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emf" ContentType="image/x-e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F" w:rsidRPr="00E03E1D" w:rsidRDefault="00FC6F38" w:rsidP="00FC6F38">
      <w:pPr>
        <w:jc w:val="center"/>
        <w:rPr>
          <w:sz w:val="28"/>
          <w:szCs w:val="72"/>
        </w:rPr>
      </w:pPr>
      <w:r w:rsidRPr="00E03E1D">
        <w:rPr>
          <w:noProof/>
          <w:sz w:val="28"/>
          <w:szCs w:val="72"/>
        </w:rPr>
        <w:drawing>
          <wp:inline distT="0" distB="0" distL="0" distR="0">
            <wp:extent cx="1295400" cy="857250"/>
            <wp:effectExtent l="19050" t="0" r="0" b="0"/>
            <wp:docPr id="87" name="Picture 2" descr="flagge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_eu"/>
                    <pic:cNvPicPr>
                      <a:picLocks noChangeAspect="1" noChangeArrowheads="1"/>
                    </pic:cNvPicPr>
                  </pic:nvPicPr>
                  <pic:blipFill>
                    <a:blip r:embed="rId8" cstate="print"/>
                    <a:srcRect/>
                    <a:stretch>
                      <a:fillRect/>
                    </a:stretch>
                  </pic:blipFill>
                  <pic:spPr bwMode="auto">
                    <a:xfrm>
                      <a:off x="0" y="0"/>
                      <a:ext cx="1295400" cy="857250"/>
                    </a:xfrm>
                    <a:prstGeom prst="rect">
                      <a:avLst/>
                    </a:prstGeom>
                    <a:noFill/>
                    <a:ln w="9525">
                      <a:noFill/>
                      <a:miter lim="800000"/>
                      <a:headEnd/>
                      <a:tailEnd/>
                    </a:ln>
                  </pic:spPr>
                </pic:pic>
              </a:graphicData>
            </a:graphic>
          </wp:inline>
        </w:drawing>
      </w:r>
      <w:r w:rsidR="0040544A" w:rsidRPr="00E03E1D">
        <w:rPr>
          <w:noProof/>
          <w:sz w:val="4"/>
        </w:rPr>
        <w:drawing>
          <wp:anchor distT="0" distB="0" distL="114300" distR="114300" simplePos="0" relativeHeight="251655168" behindDoc="0" locked="0" layoutInCell="1" allowOverlap="1">
            <wp:simplePos x="0" y="0"/>
            <wp:positionH relativeFrom="column">
              <wp:align>left</wp:align>
            </wp:positionH>
            <wp:positionV relativeFrom="paragraph">
              <wp:posOffset>11430</wp:posOffset>
            </wp:positionV>
            <wp:extent cx="2522220" cy="6981190"/>
            <wp:effectExtent l="19050" t="0" r="0" b="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l="3052"/>
                    <a:stretch>
                      <a:fillRect/>
                    </a:stretch>
                  </pic:blipFill>
                  <pic:spPr bwMode="auto">
                    <a:xfrm>
                      <a:off x="0" y="0"/>
                      <a:ext cx="2522220" cy="6981190"/>
                    </a:xfrm>
                    <a:prstGeom prst="rect">
                      <a:avLst/>
                    </a:prstGeom>
                    <a:noFill/>
                    <a:ln w="9525">
                      <a:noFill/>
                      <a:miter lim="800000"/>
                      <a:headEnd/>
                      <a:tailEnd/>
                    </a:ln>
                  </pic:spPr>
                </pic:pic>
              </a:graphicData>
            </a:graphic>
          </wp:anchor>
        </w:drawing>
      </w:r>
    </w:p>
    <w:p w:rsidR="00FC6F38" w:rsidRPr="00E03E1D" w:rsidRDefault="00FC6F38" w:rsidP="00FC6F38">
      <w:pPr>
        <w:jc w:val="center"/>
        <w:rPr>
          <w:b/>
          <w:i/>
          <w:smallCaps/>
        </w:rPr>
      </w:pPr>
      <w:r w:rsidRPr="00E03E1D">
        <w:rPr>
          <w:b/>
          <w:i/>
          <w:smallCaps/>
        </w:rPr>
        <w:t xml:space="preserve">„Európai Mezőgazdasági Vidékfejlesztési Alap: </w:t>
      </w:r>
    </w:p>
    <w:p w:rsidR="00FC6F38" w:rsidRPr="00E03E1D" w:rsidRDefault="00FC6F38" w:rsidP="00FC6F38">
      <w:pPr>
        <w:jc w:val="center"/>
        <w:rPr>
          <w:b/>
          <w:i/>
          <w:smallCaps/>
        </w:rPr>
      </w:pPr>
      <w:proofErr w:type="gramStart"/>
      <w:r w:rsidRPr="00E03E1D">
        <w:rPr>
          <w:b/>
          <w:i/>
          <w:smallCaps/>
        </w:rPr>
        <w:t>a</w:t>
      </w:r>
      <w:proofErr w:type="gramEnd"/>
      <w:r w:rsidRPr="00E03E1D">
        <w:rPr>
          <w:b/>
          <w:i/>
          <w:smallCaps/>
        </w:rPr>
        <w:t xml:space="preserve"> vidéki területekbe beruházó Európa”</w:t>
      </w:r>
    </w:p>
    <w:p w:rsidR="00FC134F" w:rsidRPr="00E03E1D" w:rsidRDefault="00FC134F" w:rsidP="00FC6F38">
      <w:pPr>
        <w:jc w:val="center"/>
        <w:rPr>
          <w:color w:val="00B050"/>
        </w:rPr>
      </w:pPr>
    </w:p>
    <w:p w:rsidR="00FC134F" w:rsidRPr="00E03E1D" w:rsidRDefault="00FC134F" w:rsidP="00FC6F38">
      <w:pPr>
        <w:jc w:val="center"/>
        <w:rPr>
          <w:color w:val="00B050"/>
        </w:rPr>
      </w:pPr>
    </w:p>
    <w:p w:rsidR="00FC6F38" w:rsidRPr="00E03E1D" w:rsidRDefault="00FC6F38" w:rsidP="00FC6F38">
      <w:pPr>
        <w:jc w:val="center"/>
        <w:rPr>
          <w:b/>
          <w:color w:val="00B050"/>
          <w:sz w:val="40"/>
          <w:szCs w:val="40"/>
        </w:rPr>
      </w:pPr>
      <w:r w:rsidRPr="00E03E1D">
        <w:rPr>
          <w:b/>
          <w:color w:val="00B050"/>
          <w:sz w:val="72"/>
          <w:szCs w:val="72"/>
        </w:rPr>
        <w:t>HUNGARIKUM</w:t>
      </w:r>
      <w:r w:rsidRPr="00E03E1D">
        <w:rPr>
          <w:b/>
          <w:color w:val="00B050"/>
          <w:sz w:val="40"/>
          <w:szCs w:val="40"/>
        </w:rPr>
        <w:t xml:space="preserve"> Konzorcium</w:t>
      </w:r>
    </w:p>
    <w:p w:rsidR="00FC6F38" w:rsidRPr="00E03E1D" w:rsidRDefault="00FC6F38" w:rsidP="00FC6F38">
      <w:pPr>
        <w:jc w:val="center"/>
        <w:rPr>
          <w:color w:val="00B050"/>
        </w:rPr>
      </w:pPr>
    </w:p>
    <w:p w:rsidR="00FC6F38" w:rsidRPr="006E633E" w:rsidRDefault="006E633E" w:rsidP="00CE3290">
      <w:pPr>
        <w:jc w:val="center"/>
        <w:rPr>
          <w:b/>
          <w:smallCaps/>
          <w:color w:val="00B050"/>
          <w:sz w:val="48"/>
          <w:szCs w:val="48"/>
        </w:rPr>
      </w:pPr>
      <w:r w:rsidRPr="006E633E">
        <w:rPr>
          <w:b/>
          <w:smallCaps/>
          <w:color w:val="00B050"/>
          <w:sz w:val="48"/>
          <w:szCs w:val="48"/>
        </w:rPr>
        <w:t>5.5-7. fejezetek</w:t>
      </w:r>
    </w:p>
    <w:p w:rsidR="00FC6F38" w:rsidRPr="00E03E1D" w:rsidRDefault="00FC6F38" w:rsidP="00FC6F38">
      <w:pPr>
        <w:jc w:val="center"/>
        <w:rPr>
          <w:b/>
          <w:color w:val="00B050"/>
          <w:sz w:val="24"/>
          <w:szCs w:val="24"/>
        </w:rPr>
      </w:pPr>
    </w:p>
    <w:p w:rsidR="00B31788" w:rsidRPr="00E03E1D" w:rsidRDefault="00B31788" w:rsidP="00FC6F38">
      <w:pPr>
        <w:jc w:val="center"/>
        <w:rPr>
          <w:b/>
          <w:color w:val="00B050"/>
          <w:sz w:val="24"/>
          <w:szCs w:val="24"/>
        </w:rPr>
      </w:pPr>
    </w:p>
    <w:p w:rsidR="00331C38" w:rsidRPr="00E03E1D" w:rsidRDefault="00331C38" w:rsidP="00FC6F38">
      <w:pPr>
        <w:jc w:val="center"/>
        <w:rPr>
          <w:b/>
          <w:color w:val="00B050"/>
          <w:sz w:val="24"/>
          <w:szCs w:val="24"/>
        </w:rPr>
      </w:pPr>
    </w:p>
    <w:p w:rsidR="00331C38" w:rsidRPr="00E03E1D" w:rsidRDefault="00331C38" w:rsidP="00FC6F38">
      <w:pPr>
        <w:jc w:val="center"/>
        <w:rPr>
          <w:b/>
          <w:color w:val="00B050"/>
          <w:sz w:val="24"/>
          <w:szCs w:val="24"/>
        </w:rPr>
      </w:pPr>
    </w:p>
    <w:p w:rsidR="00FC6F38" w:rsidRPr="00E03E1D" w:rsidRDefault="00FC6F38" w:rsidP="00FC6F38">
      <w:pPr>
        <w:spacing w:after="600"/>
        <w:jc w:val="center"/>
        <w:rPr>
          <w:b/>
          <w:color w:val="00B050"/>
          <w:sz w:val="40"/>
          <w:szCs w:val="40"/>
        </w:rPr>
      </w:pPr>
      <w:r w:rsidRPr="00E03E1D">
        <w:rPr>
          <w:b/>
          <w:color w:val="00B050"/>
          <w:sz w:val="40"/>
          <w:szCs w:val="40"/>
        </w:rPr>
        <w:t xml:space="preserve">2010. </w:t>
      </w:r>
      <w:r w:rsidR="006E633E">
        <w:rPr>
          <w:b/>
          <w:color w:val="00B050"/>
          <w:sz w:val="40"/>
          <w:szCs w:val="40"/>
        </w:rPr>
        <w:t>december</w:t>
      </w:r>
    </w:p>
    <w:p w:rsidR="00FC6F38" w:rsidRPr="00E03E1D" w:rsidRDefault="00FC6F38" w:rsidP="00FC6F38">
      <w:pPr>
        <w:jc w:val="center"/>
      </w:pPr>
      <w:r w:rsidRPr="00E03E1D">
        <w:rPr>
          <w:noProof/>
        </w:rPr>
        <w:drawing>
          <wp:inline distT="0" distB="0" distL="0" distR="0">
            <wp:extent cx="2076450" cy="1952625"/>
            <wp:effectExtent l="19050" t="0" r="0" b="0"/>
            <wp:docPr id="3" name="Picture 1" descr="umvp_all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vp_allo_2"/>
                    <pic:cNvPicPr>
                      <a:picLocks noChangeAspect="1" noChangeArrowheads="1"/>
                    </pic:cNvPicPr>
                  </pic:nvPicPr>
                  <pic:blipFill>
                    <a:blip r:embed="rId10" cstate="print"/>
                    <a:srcRect/>
                    <a:stretch>
                      <a:fillRect/>
                    </a:stretch>
                  </pic:blipFill>
                  <pic:spPr bwMode="auto">
                    <a:xfrm>
                      <a:off x="0" y="0"/>
                      <a:ext cx="2076450" cy="1952625"/>
                    </a:xfrm>
                    <a:prstGeom prst="rect">
                      <a:avLst/>
                    </a:prstGeom>
                    <a:noFill/>
                    <a:ln w="9525">
                      <a:noFill/>
                      <a:miter lim="800000"/>
                      <a:headEnd/>
                      <a:tailEnd/>
                    </a:ln>
                  </pic:spPr>
                </pic:pic>
              </a:graphicData>
            </a:graphic>
          </wp:inline>
        </w:drawing>
      </w:r>
    </w:p>
    <w:p w:rsidR="00FC6F38" w:rsidRPr="00E03E1D" w:rsidRDefault="00FC6F38" w:rsidP="00FC6F38">
      <w:pPr>
        <w:jc w:val="center"/>
        <w:rPr>
          <w:b/>
          <w:smallCaps/>
          <w:color w:val="00B050"/>
          <w:sz w:val="40"/>
          <w:szCs w:val="40"/>
        </w:rPr>
      </w:pPr>
      <w:r w:rsidRPr="00E03E1D">
        <w:rPr>
          <w:b/>
          <w:smallCaps/>
          <w:color w:val="00B050"/>
          <w:sz w:val="40"/>
          <w:szCs w:val="40"/>
        </w:rPr>
        <w:t xml:space="preserve">Az Új Magyarország Vidékfejlesztési Program </w:t>
      </w:r>
    </w:p>
    <w:p w:rsidR="002C49D7" w:rsidRPr="00E03E1D" w:rsidRDefault="00FC6F38" w:rsidP="00FC6F38">
      <w:pPr>
        <w:jc w:val="center"/>
      </w:pPr>
      <w:r w:rsidRPr="00E03E1D">
        <w:rPr>
          <w:b/>
          <w:smallCaps/>
          <w:color w:val="00B050"/>
          <w:sz w:val="40"/>
          <w:szCs w:val="40"/>
        </w:rPr>
        <w:t>(2007-2013) félid</w:t>
      </w:r>
      <w:r w:rsidR="00424C10" w:rsidRPr="00E03E1D">
        <w:rPr>
          <w:b/>
          <w:smallCaps/>
          <w:color w:val="00B050"/>
          <w:sz w:val="40"/>
          <w:szCs w:val="40"/>
        </w:rPr>
        <w:t>ei</w:t>
      </w:r>
      <w:r w:rsidRPr="00E03E1D">
        <w:rPr>
          <w:b/>
          <w:smallCaps/>
          <w:color w:val="00B050"/>
          <w:sz w:val="40"/>
          <w:szCs w:val="40"/>
        </w:rPr>
        <w:t xml:space="preserve"> (</w:t>
      </w:r>
      <w:proofErr w:type="spellStart"/>
      <w:r w:rsidRPr="00E03E1D">
        <w:rPr>
          <w:b/>
          <w:smallCaps/>
          <w:color w:val="00B050"/>
          <w:sz w:val="40"/>
          <w:szCs w:val="40"/>
        </w:rPr>
        <w:t>mid-term</w:t>
      </w:r>
      <w:proofErr w:type="spellEnd"/>
      <w:r w:rsidRPr="00E03E1D">
        <w:rPr>
          <w:b/>
          <w:smallCaps/>
          <w:color w:val="00B050"/>
          <w:sz w:val="40"/>
          <w:szCs w:val="40"/>
        </w:rPr>
        <w:t>) értékelése</w:t>
      </w:r>
      <w:r w:rsidR="00FC134F" w:rsidRPr="00E03E1D">
        <w:br w:type="page"/>
      </w:r>
    </w:p>
    <w:p w:rsidR="002C49D7" w:rsidRPr="00E03E1D" w:rsidRDefault="002C49D7" w:rsidP="008452C0">
      <w:pPr>
        <w:jc w:val="center"/>
        <w:rPr>
          <w:b/>
          <w:smallCaps/>
          <w:sz w:val="28"/>
          <w:szCs w:val="28"/>
        </w:rPr>
      </w:pPr>
      <w:r w:rsidRPr="00E03E1D">
        <w:rPr>
          <w:b/>
          <w:smallCaps/>
          <w:sz w:val="28"/>
          <w:szCs w:val="28"/>
        </w:rPr>
        <w:lastRenderedPageBreak/>
        <w:t>Tartalom</w:t>
      </w:r>
      <w:r w:rsidR="008452C0" w:rsidRPr="00E03E1D">
        <w:rPr>
          <w:b/>
          <w:smallCaps/>
          <w:sz w:val="28"/>
          <w:szCs w:val="28"/>
        </w:rPr>
        <w:t>jegyzék</w:t>
      </w:r>
    </w:p>
    <w:p w:rsidR="008452C0" w:rsidRPr="00E03E1D" w:rsidRDefault="008452C0" w:rsidP="008452C0">
      <w:pPr>
        <w:jc w:val="center"/>
        <w:rPr>
          <w:b/>
          <w:smallCaps/>
          <w:sz w:val="28"/>
          <w:szCs w:val="28"/>
        </w:rPr>
      </w:pPr>
    </w:p>
    <w:p w:rsidR="00A97AE6" w:rsidRDefault="00CF0DD4">
      <w:pPr>
        <w:pStyle w:val="TOC1"/>
        <w:rPr>
          <w:rFonts w:asciiTheme="minorHAnsi" w:eastAsiaTheme="minorEastAsia" w:hAnsiTheme="minorHAnsi" w:cstheme="minorBidi"/>
          <w:caps w:val="0"/>
          <w:sz w:val="22"/>
          <w:szCs w:val="22"/>
        </w:rPr>
      </w:pPr>
      <w:r w:rsidRPr="00CF0DD4">
        <w:fldChar w:fldCharType="begin"/>
      </w:r>
      <w:r w:rsidR="001E5FF3" w:rsidRPr="00E03E1D">
        <w:instrText xml:space="preserve"> TOC \o "1-2" \h \z </w:instrText>
      </w:r>
      <w:r w:rsidRPr="00CF0DD4">
        <w:fldChar w:fldCharType="separate"/>
      </w:r>
      <w:hyperlink w:anchor="_Toc280788347" w:history="1">
        <w:r w:rsidR="00A97AE6" w:rsidRPr="00B85794">
          <w:rPr>
            <w:rStyle w:val="Hyperlink"/>
          </w:rPr>
          <w:t>5.</w:t>
        </w:r>
        <w:r w:rsidR="00A97AE6">
          <w:rPr>
            <w:rFonts w:asciiTheme="minorHAnsi" w:eastAsiaTheme="minorEastAsia" w:hAnsiTheme="minorHAnsi" w:cstheme="minorBidi"/>
            <w:caps w:val="0"/>
            <w:sz w:val="22"/>
            <w:szCs w:val="22"/>
          </w:rPr>
          <w:tab/>
        </w:r>
        <w:r w:rsidR="00A97AE6" w:rsidRPr="00B85794">
          <w:rPr>
            <w:rStyle w:val="Hyperlink"/>
          </w:rPr>
          <w:t>A program, az intézkedések és a költségvetés leírása</w:t>
        </w:r>
        <w:r w:rsidR="00A97AE6">
          <w:rPr>
            <w:webHidden/>
          </w:rPr>
          <w:tab/>
        </w:r>
        <w:r w:rsidR="00A97AE6">
          <w:rPr>
            <w:webHidden/>
          </w:rPr>
          <w:fldChar w:fldCharType="begin"/>
        </w:r>
        <w:r w:rsidR="00A97AE6">
          <w:rPr>
            <w:webHidden/>
          </w:rPr>
          <w:instrText xml:space="preserve"> PAGEREF _Toc280788347 \h </w:instrText>
        </w:r>
        <w:r w:rsidR="00A97AE6">
          <w:rPr>
            <w:webHidden/>
          </w:rPr>
        </w:r>
        <w:r w:rsidR="00A97AE6">
          <w:rPr>
            <w:webHidden/>
          </w:rPr>
          <w:fldChar w:fldCharType="separate"/>
        </w:r>
        <w:r w:rsidR="00A97AE6">
          <w:rPr>
            <w:webHidden/>
          </w:rPr>
          <w:t>395</w:t>
        </w:r>
        <w:r w:rsidR="00A97AE6">
          <w:rPr>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48" w:history="1">
        <w:r w:rsidRPr="00B85794">
          <w:rPr>
            <w:rStyle w:val="Hyperlink"/>
            <w:noProof/>
          </w:rPr>
          <w:t>5.5.</w:t>
        </w:r>
        <w:r>
          <w:rPr>
            <w:rFonts w:asciiTheme="minorHAnsi" w:eastAsiaTheme="minorEastAsia" w:hAnsiTheme="minorHAnsi" w:cstheme="minorBidi"/>
            <w:noProof/>
            <w:sz w:val="22"/>
            <w:szCs w:val="22"/>
          </w:rPr>
          <w:tab/>
        </w:r>
        <w:r w:rsidRPr="00B85794">
          <w:rPr>
            <w:rStyle w:val="Hyperlink"/>
            <w:noProof/>
          </w:rPr>
          <w:t>A program pénzügyi státusza</w:t>
        </w:r>
        <w:r>
          <w:rPr>
            <w:noProof/>
            <w:webHidden/>
          </w:rPr>
          <w:tab/>
        </w:r>
        <w:r>
          <w:rPr>
            <w:noProof/>
            <w:webHidden/>
          </w:rPr>
          <w:fldChar w:fldCharType="begin"/>
        </w:r>
        <w:r>
          <w:rPr>
            <w:noProof/>
            <w:webHidden/>
          </w:rPr>
          <w:instrText xml:space="preserve"> PAGEREF _Toc280788348 \h </w:instrText>
        </w:r>
        <w:r>
          <w:rPr>
            <w:noProof/>
            <w:webHidden/>
          </w:rPr>
        </w:r>
        <w:r>
          <w:rPr>
            <w:noProof/>
            <w:webHidden/>
          </w:rPr>
          <w:fldChar w:fldCharType="separate"/>
        </w:r>
        <w:r>
          <w:rPr>
            <w:noProof/>
            <w:webHidden/>
          </w:rPr>
          <w:t>395</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49" w:history="1">
        <w:r w:rsidRPr="00B85794">
          <w:rPr>
            <w:rStyle w:val="Hyperlink"/>
            <w:noProof/>
          </w:rPr>
          <w:t>5.6.</w:t>
        </w:r>
        <w:r>
          <w:rPr>
            <w:rFonts w:asciiTheme="minorHAnsi" w:eastAsiaTheme="minorEastAsia" w:hAnsiTheme="minorHAnsi" w:cstheme="minorBidi"/>
            <w:noProof/>
            <w:sz w:val="22"/>
            <w:szCs w:val="22"/>
          </w:rPr>
          <w:tab/>
        </w:r>
        <w:r w:rsidRPr="00B85794">
          <w:rPr>
            <w:rStyle w:val="Hyperlink"/>
            <w:noProof/>
          </w:rPr>
          <w:t>A program átfogó értékelése</w:t>
        </w:r>
        <w:r>
          <w:rPr>
            <w:noProof/>
            <w:webHidden/>
          </w:rPr>
          <w:tab/>
        </w:r>
        <w:r>
          <w:rPr>
            <w:noProof/>
            <w:webHidden/>
          </w:rPr>
          <w:fldChar w:fldCharType="begin"/>
        </w:r>
        <w:r>
          <w:rPr>
            <w:noProof/>
            <w:webHidden/>
          </w:rPr>
          <w:instrText xml:space="preserve"> PAGEREF _Toc280788349 \h </w:instrText>
        </w:r>
        <w:r>
          <w:rPr>
            <w:noProof/>
            <w:webHidden/>
          </w:rPr>
        </w:r>
        <w:r>
          <w:rPr>
            <w:noProof/>
            <w:webHidden/>
          </w:rPr>
          <w:fldChar w:fldCharType="separate"/>
        </w:r>
        <w:r>
          <w:rPr>
            <w:noProof/>
            <w:webHidden/>
          </w:rPr>
          <w:t>399</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50" w:history="1">
        <w:r w:rsidRPr="00B85794">
          <w:rPr>
            <w:rStyle w:val="Hyperlink"/>
            <w:noProof/>
          </w:rPr>
          <w:t>5.7.</w:t>
        </w:r>
        <w:r>
          <w:rPr>
            <w:rFonts w:asciiTheme="minorHAnsi" w:eastAsiaTheme="minorEastAsia" w:hAnsiTheme="minorHAnsi" w:cstheme="minorBidi"/>
            <w:noProof/>
            <w:sz w:val="22"/>
            <w:szCs w:val="22"/>
          </w:rPr>
          <w:tab/>
        </w:r>
        <w:r w:rsidRPr="00B85794">
          <w:rPr>
            <w:rStyle w:val="Hyperlink"/>
            <w:noProof/>
          </w:rPr>
          <w:t>Az I. tengely értékelése</w:t>
        </w:r>
        <w:r>
          <w:rPr>
            <w:noProof/>
            <w:webHidden/>
          </w:rPr>
          <w:tab/>
        </w:r>
        <w:r>
          <w:rPr>
            <w:noProof/>
            <w:webHidden/>
          </w:rPr>
          <w:fldChar w:fldCharType="begin"/>
        </w:r>
        <w:r>
          <w:rPr>
            <w:noProof/>
            <w:webHidden/>
          </w:rPr>
          <w:instrText xml:space="preserve"> PAGEREF _Toc280788350 \h </w:instrText>
        </w:r>
        <w:r>
          <w:rPr>
            <w:noProof/>
            <w:webHidden/>
          </w:rPr>
        </w:r>
        <w:r>
          <w:rPr>
            <w:noProof/>
            <w:webHidden/>
          </w:rPr>
          <w:fldChar w:fldCharType="separate"/>
        </w:r>
        <w:r>
          <w:rPr>
            <w:noProof/>
            <w:webHidden/>
          </w:rPr>
          <w:t>414</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51" w:history="1">
        <w:r w:rsidRPr="00B85794">
          <w:rPr>
            <w:rStyle w:val="Hyperlink"/>
            <w:noProof/>
          </w:rPr>
          <w:t>5.8.</w:t>
        </w:r>
        <w:r>
          <w:rPr>
            <w:rFonts w:asciiTheme="minorHAnsi" w:eastAsiaTheme="minorEastAsia" w:hAnsiTheme="minorHAnsi" w:cstheme="minorBidi"/>
            <w:noProof/>
            <w:sz w:val="22"/>
            <w:szCs w:val="22"/>
          </w:rPr>
          <w:tab/>
        </w:r>
        <w:r w:rsidRPr="00B85794">
          <w:rPr>
            <w:rStyle w:val="Hyperlink"/>
            <w:noProof/>
          </w:rPr>
          <w:t>A II. tengely értékelése</w:t>
        </w:r>
        <w:r>
          <w:rPr>
            <w:noProof/>
            <w:webHidden/>
          </w:rPr>
          <w:tab/>
        </w:r>
        <w:r>
          <w:rPr>
            <w:noProof/>
            <w:webHidden/>
          </w:rPr>
          <w:fldChar w:fldCharType="begin"/>
        </w:r>
        <w:r>
          <w:rPr>
            <w:noProof/>
            <w:webHidden/>
          </w:rPr>
          <w:instrText xml:space="preserve"> PAGEREF _Toc280788351 \h </w:instrText>
        </w:r>
        <w:r>
          <w:rPr>
            <w:noProof/>
            <w:webHidden/>
          </w:rPr>
        </w:r>
        <w:r>
          <w:rPr>
            <w:noProof/>
            <w:webHidden/>
          </w:rPr>
          <w:fldChar w:fldCharType="separate"/>
        </w:r>
        <w:r>
          <w:rPr>
            <w:noProof/>
            <w:webHidden/>
          </w:rPr>
          <w:t>421</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52" w:history="1">
        <w:r w:rsidRPr="00B85794">
          <w:rPr>
            <w:rStyle w:val="Hyperlink"/>
            <w:noProof/>
          </w:rPr>
          <w:t>5.9.</w:t>
        </w:r>
        <w:r>
          <w:rPr>
            <w:rFonts w:asciiTheme="minorHAnsi" w:eastAsiaTheme="minorEastAsia" w:hAnsiTheme="minorHAnsi" w:cstheme="minorBidi"/>
            <w:noProof/>
            <w:sz w:val="22"/>
            <w:szCs w:val="22"/>
          </w:rPr>
          <w:tab/>
        </w:r>
        <w:r w:rsidRPr="00B85794">
          <w:rPr>
            <w:rStyle w:val="Hyperlink"/>
            <w:noProof/>
          </w:rPr>
          <w:t>A III. tengely értékelése</w:t>
        </w:r>
        <w:r>
          <w:rPr>
            <w:noProof/>
            <w:webHidden/>
          </w:rPr>
          <w:tab/>
        </w:r>
        <w:r>
          <w:rPr>
            <w:noProof/>
            <w:webHidden/>
          </w:rPr>
          <w:fldChar w:fldCharType="begin"/>
        </w:r>
        <w:r>
          <w:rPr>
            <w:noProof/>
            <w:webHidden/>
          </w:rPr>
          <w:instrText xml:space="preserve"> PAGEREF _Toc280788352 \h </w:instrText>
        </w:r>
        <w:r>
          <w:rPr>
            <w:noProof/>
            <w:webHidden/>
          </w:rPr>
        </w:r>
        <w:r>
          <w:rPr>
            <w:noProof/>
            <w:webHidden/>
          </w:rPr>
          <w:fldChar w:fldCharType="separate"/>
        </w:r>
        <w:r>
          <w:rPr>
            <w:noProof/>
            <w:webHidden/>
          </w:rPr>
          <w:t>427</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53" w:history="1">
        <w:r w:rsidRPr="00B85794">
          <w:rPr>
            <w:rStyle w:val="Hyperlink"/>
            <w:noProof/>
          </w:rPr>
          <w:t>5.1.</w:t>
        </w:r>
        <w:r>
          <w:rPr>
            <w:rFonts w:asciiTheme="minorHAnsi" w:eastAsiaTheme="minorEastAsia" w:hAnsiTheme="minorHAnsi" w:cstheme="minorBidi"/>
            <w:noProof/>
            <w:sz w:val="22"/>
            <w:szCs w:val="22"/>
          </w:rPr>
          <w:tab/>
        </w:r>
        <w:r w:rsidRPr="00B85794">
          <w:rPr>
            <w:rStyle w:val="Hyperlink"/>
            <w:noProof/>
          </w:rPr>
          <w:t>A IV. tengely értékelése</w:t>
        </w:r>
        <w:r>
          <w:rPr>
            <w:noProof/>
            <w:webHidden/>
          </w:rPr>
          <w:tab/>
        </w:r>
        <w:r>
          <w:rPr>
            <w:noProof/>
            <w:webHidden/>
          </w:rPr>
          <w:fldChar w:fldCharType="begin"/>
        </w:r>
        <w:r>
          <w:rPr>
            <w:noProof/>
            <w:webHidden/>
          </w:rPr>
          <w:instrText xml:space="preserve"> PAGEREF _Toc280788353 \h </w:instrText>
        </w:r>
        <w:r>
          <w:rPr>
            <w:noProof/>
            <w:webHidden/>
          </w:rPr>
        </w:r>
        <w:r>
          <w:rPr>
            <w:noProof/>
            <w:webHidden/>
          </w:rPr>
          <w:fldChar w:fldCharType="separate"/>
        </w:r>
        <w:r>
          <w:rPr>
            <w:noProof/>
            <w:webHidden/>
          </w:rPr>
          <w:t>436</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54" w:history="1">
        <w:r w:rsidRPr="00B85794">
          <w:rPr>
            <w:rStyle w:val="Hyperlink"/>
            <w:noProof/>
          </w:rPr>
          <w:t>5.10.</w:t>
        </w:r>
        <w:r>
          <w:rPr>
            <w:rFonts w:asciiTheme="minorHAnsi" w:eastAsiaTheme="minorEastAsia" w:hAnsiTheme="minorHAnsi" w:cstheme="minorBidi"/>
            <w:noProof/>
            <w:sz w:val="22"/>
            <w:szCs w:val="22"/>
          </w:rPr>
          <w:tab/>
        </w:r>
        <w:r w:rsidRPr="00B85794">
          <w:rPr>
            <w:rStyle w:val="Hyperlink"/>
            <w:noProof/>
          </w:rPr>
          <w:t>Intézményi keretek</w:t>
        </w:r>
        <w:r>
          <w:rPr>
            <w:noProof/>
            <w:webHidden/>
          </w:rPr>
          <w:tab/>
        </w:r>
        <w:r>
          <w:rPr>
            <w:noProof/>
            <w:webHidden/>
          </w:rPr>
          <w:fldChar w:fldCharType="begin"/>
        </w:r>
        <w:r>
          <w:rPr>
            <w:noProof/>
            <w:webHidden/>
          </w:rPr>
          <w:instrText xml:space="preserve"> PAGEREF _Toc280788354 \h </w:instrText>
        </w:r>
        <w:r>
          <w:rPr>
            <w:noProof/>
            <w:webHidden/>
          </w:rPr>
        </w:r>
        <w:r>
          <w:rPr>
            <w:noProof/>
            <w:webHidden/>
          </w:rPr>
          <w:fldChar w:fldCharType="separate"/>
        </w:r>
        <w:r>
          <w:rPr>
            <w:noProof/>
            <w:webHidden/>
          </w:rPr>
          <w:t>445</w:t>
        </w:r>
        <w:r>
          <w:rPr>
            <w:noProof/>
            <w:webHidden/>
          </w:rPr>
          <w:fldChar w:fldCharType="end"/>
        </w:r>
      </w:hyperlink>
    </w:p>
    <w:p w:rsidR="00A97AE6" w:rsidRDefault="00A97AE6">
      <w:pPr>
        <w:pStyle w:val="TOC1"/>
        <w:rPr>
          <w:rFonts w:asciiTheme="minorHAnsi" w:eastAsiaTheme="minorEastAsia" w:hAnsiTheme="minorHAnsi" w:cstheme="minorBidi"/>
          <w:caps w:val="0"/>
          <w:sz w:val="22"/>
          <w:szCs w:val="22"/>
        </w:rPr>
      </w:pPr>
      <w:hyperlink w:anchor="_Toc280788355" w:history="1">
        <w:r w:rsidRPr="00B85794">
          <w:rPr>
            <w:rStyle w:val="Hyperlink"/>
          </w:rPr>
          <w:t>6.</w:t>
        </w:r>
        <w:r>
          <w:rPr>
            <w:rFonts w:asciiTheme="minorHAnsi" w:eastAsiaTheme="minorEastAsia" w:hAnsiTheme="minorHAnsi" w:cstheme="minorBidi"/>
            <w:caps w:val="0"/>
            <w:sz w:val="22"/>
            <w:szCs w:val="22"/>
          </w:rPr>
          <w:tab/>
        </w:r>
        <w:r w:rsidRPr="00B85794">
          <w:rPr>
            <w:rStyle w:val="Hyperlink"/>
          </w:rPr>
          <w:t>Az értékelési kérdésekre adott válaszok</w:t>
        </w:r>
        <w:r>
          <w:rPr>
            <w:webHidden/>
          </w:rPr>
          <w:tab/>
        </w:r>
        <w:r>
          <w:rPr>
            <w:webHidden/>
          </w:rPr>
          <w:fldChar w:fldCharType="begin"/>
        </w:r>
        <w:r>
          <w:rPr>
            <w:webHidden/>
          </w:rPr>
          <w:instrText xml:space="preserve"> PAGEREF _Toc280788355 \h </w:instrText>
        </w:r>
        <w:r>
          <w:rPr>
            <w:webHidden/>
          </w:rPr>
        </w:r>
        <w:r>
          <w:rPr>
            <w:webHidden/>
          </w:rPr>
          <w:fldChar w:fldCharType="separate"/>
        </w:r>
        <w:r>
          <w:rPr>
            <w:webHidden/>
          </w:rPr>
          <w:t>455</w:t>
        </w:r>
        <w:r>
          <w:rPr>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56" w:history="1">
        <w:r w:rsidRPr="00B85794">
          <w:rPr>
            <w:rStyle w:val="Hyperlink"/>
            <w:noProof/>
          </w:rPr>
          <w:t>6.1.</w:t>
        </w:r>
        <w:r>
          <w:rPr>
            <w:rFonts w:asciiTheme="minorHAnsi" w:eastAsiaTheme="minorEastAsia" w:hAnsiTheme="minorHAnsi" w:cstheme="minorBidi"/>
            <w:noProof/>
            <w:sz w:val="22"/>
            <w:szCs w:val="22"/>
          </w:rPr>
          <w:tab/>
        </w:r>
        <w:r w:rsidRPr="00B85794">
          <w:rPr>
            <w:rStyle w:val="Hyperlink"/>
            <w:noProof/>
          </w:rPr>
          <w:t>Versenyképességre vonatkozó kérdések (I. tengely)</w:t>
        </w:r>
        <w:r>
          <w:rPr>
            <w:noProof/>
            <w:webHidden/>
          </w:rPr>
          <w:tab/>
        </w:r>
        <w:r>
          <w:rPr>
            <w:noProof/>
            <w:webHidden/>
          </w:rPr>
          <w:fldChar w:fldCharType="begin"/>
        </w:r>
        <w:r>
          <w:rPr>
            <w:noProof/>
            <w:webHidden/>
          </w:rPr>
          <w:instrText xml:space="preserve"> PAGEREF _Toc280788356 \h </w:instrText>
        </w:r>
        <w:r>
          <w:rPr>
            <w:noProof/>
            <w:webHidden/>
          </w:rPr>
        </w:r>
        <w:r>
          <w:rPr>
            <w:noProof/>
            <w:webHidden/>
          </w:rPr>
          <w:fldChar w:fldCharType="separate"/>
        </w:r>
        <w:r>
          <w:rPr>
            <w:noProof/>
            <w:webHidden/>
          </w:rPr>
          <w:t>455</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57" w:history="1">
        <w:r w:rsidRPr="00B85794">
          <w:rPr>
            <w:rStyle w:val="Hyperlink"/>
            <w:noProof/>
          </w:rPr>
          <w:t>6.2.</w:t>
        </w:r>
        <w:r>
          <w:rPr>
            <w:rFonts w:asciiTheme="minorHAnsi" w:eastAsiaTheme="minorEastAsia" w:hAnsiTheme="minorHAnsi" w:cstheme="minorBidi"/>
            <w:noProof/>
            <w:sz w:val="22"/>
            <w:szCs w:val="22"/>
          </w:rPr>
          <w:tab/>
        </w:r>
        <w:r w:rsidRPr="00B85794">
          <w:rPr>
            <w:rStyle w:val="Hyperlink"/>
            <w:noProof/>
          </w:rPr>
          <w:t>Agrár-környezet Gazdálkodásra (AKG) vonatkozó kérdések (II. tengely)</w:t>
        </w:r>
        <w:r>
          <w:rPr>
            <w:noProof/>
            <w:webHidden/>
          </w:rPr>
          <w:tab/>
        </w:r>
        <w:r>
          <w:rPr>
            <w:noProof/>
            <w:webHidden/>
          </w:rPr>
          <w:fldChar w:fldCharType="begin"/>
        </w:r>
        <w:r>
          <w:rPr>
            <w:noProof/>
            <w:webHidden/>
          </w:rPr>
          <w:instrText xml:space="preserve"> PAGEREF _Toc280788357 \h </w:instrText>
        </w:r>
        <w:r>
          <w:rPr>
            <w:noProof/>
            <w:webHidden/>
          </w:rPr>
        </w:r>
        <w:r>
          <w:rPr>
            <w:noProof/>
            <w:webHidden/>
          </w:rPr>
          <w:fldChar w:fldCharType="separate"/>
        </w:r>
        <w:r>
          <w:rPr>
            <w:noProof/>
            <w:webHidden/>
          </w:rPr>
          <w:t>467</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58" w:history="1">
        <w:r w:rsidRPr="00B85794">
          <w:rPr>
            <w:rStyle w:val="Hyperlink"/>
            <w:noProof/>
          </w:rPr>
          <w:t>6.3.</w:t>
        </w:r>
        <w:r>
          <w:rPr>
            <w:rFonts w:asciiTheme="minorHAnsi" w:eastAsiaTheme="minorEastAsia" w:hAnsiTheme="minorHAnsi" w:cstheme="minorBidi"/>
            <w:noProof/>
            <w:sz w:val="22"/>
            <w:szCs w:val="22"/>
          </w:rPr>
          <w:tab/>
        </w:r>
        <w:r w:rsidRPr="00B85794">
          <w:rPr>
            <w:rStyle w:val="Hyperlink"/>
            <w:noProof/>
          </w:rPr>
          <w:t>Helyi közösségekre vonatkozó kérdések (III. tengely)</w:t>
        </w:r>
        <w:r>
          <w:rPr>
            <w:noProof/>
            <w:webHidden/>
          </w:rPr>
          <w:tab/>
        </w:r>
        <w:r>
          <w:rPr>
            <w:noProof/>
            <w:webHidden/>
          </w:rPr>
          <w:fldChar w:fldCharType="begin"/>
        </w:r>
        <w:r>
          <w:rPr>
            <w:noProof/>
            <w:webHidden/>
          </w:rPr>
          <w:instrText xml:space="preserve"> PAGEREF _Toc280788358 \h </w:instrText>
        </w:r>
        <w:r>
          <w:rPr>
            <w:noProof/>
            <w:webHidden/>
          </w:rPr>
        </w:r>
        <w:r>
          <w:rPr>
            <w:noProof/>
            <w:webHidden/>
          </w:rPr>
          <w:fldChar w:fldCharType="separate"/>
        </w:r>
        <w:r>
          <w:rPr>
            <w:noProof/>
            <w:webHidden/>
          </w:rPr>
          <w:t>482</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59" w:history="1">
        <w:r w:rsidRPr="00B85794">
          <w:rPr>
            <w:rStyle w:val="Hyperlink"/>
            <w:noProof/>
          </w:rPr>
          <w:t>6.4.</w:t>
        </w:r>
        <w:r>
          <w:rPr>
            <w:rFonts w:asciiTheme="minorHAnsi" w:eastAsiaTheme="minorEastAsia" w:hAnsiTheme="minorHAnsi" w:cstheme="minorBidi"/>
            <w:noProof/>
            <w:sz w:val="22"/>
            <w:szCs w:val="22"/>
          </w:rPr>
          <w:tab/>
        </w:r>
        <w:r w:rsidRPr="00B85794">
          <w:rPr>
            <w:rStyle w:val="Hyperlink"/>
            <w:noProof/>
          </w:rPr>
          <w:t>LEADER-rel kapcsolatos kérdések (IV. tengely)</w:t>
        </w:r>
        <w:r>
          <w:rPr>
            <w:noProof/>
            <w:webHidden/>
          </w:rPr>
          <w:tab/>
        </w:r>
        <w:r>
          <w:rPr>
            <w:noProof/>
            <w:webHidden/>
          </w:rPr>
          <w:fldChar w:fldCharType="begin"/>
        </w:r>
        <w:r>
          <w:rPr>
            <w:noProof/>
            <w:webHidden/>
          </w:rPr>
          <w:instrText xml:space="preserve"> PAGEREF _Toc280788359 \h </w:instrText>
        </w:r>
        <w:r>
          <w:rPr>
            <w:noProof/>
            <w:webHidden/>
          </w:rPr>
        </w:r>
        <w:r>
          <w:rPr>
            <w:noProof/>
            <w:webHidden/>
          </w:rPr>
          <w:fldChar w:fldCharType="separate"/>
        </w:r>
        <w:r>
          <w:rPr>
            <w:noProof/>
            <w:webHidden/>
          </w:rPr>
          <w:t>493</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60" w:history="1">
        <w:r w:rsidRPr="00B85794">
          <w:rPr>
            <w:rStyle w:val="Hyperlink"/>
            <w:noProof/>
          </w:rPr>
          <w:t>6.5.</w:t>
        </w:r>
        <w:r>
          <w:rPr>
            <w:rFonts w:asciiTheme="minorHAnsi" w:eastAsiaTheme="minorEastAsia" w:hAnsiTheme="minorHAnsi" w:cstheme="minorBidi"/>
            <w:noProof/>
            <w:sz w:val="22"/>
            <w:szCs w:val="22"/>
          </w:rPr>
          <w:tab/>
        </w:r>
        <w:r w:rsidRPr="00B85794">
          <w:rPr>
            <w:rStyle w:val="Hyperlink"/>
            <w:noProof/>
          </w:rPr>
          <w:t>Versenyképességre vonatkozó további értékelői kérdések (I. tengely)</w:t>
        </w:r>
        <w:r>
          <w:rPr>
            <w:noProof/>
            <w:webHidden/>
          </w:rPr>
          <w:tab/>
        </w:r>
        <w:r>
          <w:rPr>
            <w:noProof/>
            <w:webHidden/>
          </w:rPr>
          <w:fldChar w:fldCharType="begin"/>
        </w:r>
        <w:r>
          <w:rPr>
            <w:noProof/>
            <w:webHidden/>
          </w:rPr>
          <w:instrText xml:space="preserve"> PAGEREF _Toc280788360 \h </w:instrText>
        </w:r>
        <w:r>
          <w:rPr>
            <w:noProof/>
            <w:webHidden/>
          </w:rPr>
        </w:r>
        <w:r>
          <w:rPr>
            <w:noProof/>
            <w:webHidden/>
          </w:rPr>
          <w:fldChar w:fldCharType="separate"/>
        </w:r>
        <w:r>
          <w:rPr>
            <w:noProof/>
            <w:webHidden/>
          </w:rPr>
          <w:t>498</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61" w:history="1">
        <w:r w:rsidRPr="00B85794">
          <w:rPr>
            <w:rStyle w:val="Hyperlink"/>
            <w:noProof/>
          </w:rPr>
          <w:t>6.6.</w:t>
        </w:r>
        <w:r>
          <w:rPr>
            <w:rFonts w:asciiTheme="minorHAnsi" w:eastAsiaTheme="minorEastAsia" w:hAnsiTheme="minorHAnsi" w:cstheme="minorBidi"/>
            <w:noProof/>
            <w:sz w:val="22"/>
            <w:szCs w:val="22"/>
          </w:rPr>
          <w:tab/>
        </w:r>
        <w:r w:rsidRPr="00B85794">
          <w:rPr>
            <w:rStyle w:val="Hyperlink"/>
            <w:noProof/>
          </w:rPr>
          <w:t>Az Agrár Környezet Gazdálkodásra (AKG) vonatkozó további értékelői kérdések (II. tengely)</w:t>
        </w:r>
        <w:r>
          <w:rPr>
            <w:noProof/>
            <w:webHidden/>
          </w:rPr>
          <w:tab/>
        </w:r>
        <w:r>
          <w:rPr>
            <w:noProof/>
            <w:webHidden/>
          </w:rPr>
          <w:fldChar w:fldCharType="begin"/>
        </w:r>
        <w:r>
          <w:rPr>
            <w:noProof/>
            <w:webHidden/>
          </w:rPr>
          <w:instrText xml:space="preserve"> PAGEREF _Toc280788361 \h </w:instrText>
        </w:r>
        <w:r>
          <w:rPr>
            <w:noProof/>
            <w:webHidden/>
          </w:rPr>
        </w:r>
        <w:r>
          <w:rPr>
            <w:noProof/>
            <w:webHidden/>
          </w:rPr>
          <w:fldChar w:fldCharType="separate"/>
        </w:r>
        <w:r>
          <w:rPr>
            <w:noProof/>
            <w:webHidden/>
          </w:rPr>
          <w:t>499</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62" w:history="1">
        <w:r w:rsidRPr="00B85794">
          <w:rPr>
            <w:rStyle w:val="Hyperlink"/>
            <w:noProof/>
          </w:rPr>
          <w:t>6.7.</w:t>
        </w:r>
        <w:r>
          <w:rPr>
            <w:rFonts w:asciiTheme="minorHAnsi" w:eastAsiaTheme="minorEastAsia" w:hAnsiTheme="minorHAnsi" w:cstheme="minorBidi"/>
            <w:noProof/>
            <w:sz w:val="22"/>
            <w:szCs w:val="22"/>
          </w:rPr>
          <w:tab/>
        </w:r>
        <w:r w:rsidRPr="00B85794">
          <w:rPr>
            <w:rStyle w:val="Hyperlink"/>
            <w:noProof/>
          </w:rPr>
          <w:t>Helyi közösségekre vonatkozó kérdések (III. tengely)</w:t>
        </w:r>
        <w:r>
          <w:rPr>
            <w:noProof/>
            <w:webHidden/>
          </w:rPr>
          <w:tab/>
        </w:r>
        <w:r>
          <w:rPr>
            <w:noProof/>
            <w:webHidden/>
          </w:rPr>
          <w:fldChar w:fldCharType="begin"/>
        </w:r>
        <w:r>
          <w:rPr>
            <w:noProof/>
            <w:webHidden/>
          </w:rPr>
          <w:instrText xml:space="preserve"> PAGEREF _Toc280788362 \h </w:instrText>
        </w:r>
        <w:r>
          <w:rPr>
            <w:noProof/>
            <w:webHidden/>
          </w:rPr>
        </w:r>
        <w:r>
          <w:rPr>
            <w:noProof/>
            <w:webHidden/>
          </w:rPr>
          <w:fldChar w:fldCharType="separate"/>
        </w:r>
        <w:r>
          <w:rPr>
            <w:noProof/>
            <w:webHidden/>
          </w:rPr>
          <w:t>505</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63" w:history="1">
        <w:r w:rsidRPr="00B85794">
          <w:rPr>
            <w:rStyle w:val="Hyperlink"/>
            <w:noProof/>
          </w:rPr>
          <w:t>6.8.</w:t>
        </w:r>
        <w:r>
          <w:rPr>
            <w:rFonts w:asciiTheme="minorHAnsi" w:eastAsiaTheme="minorEastAsia" w:hAnsiTheme="minorHAnsi" w:cstheme="minorBidi"/>
            <w:noProof/>
            <w:sz w:val="22"/>
            <w:szCs w:val="22"/>
          </w:rPr>
          <w:tab/>
        </w:r>
        <w:r w:rsidRPr="00B85794">
          <w:rPr>
            <w:rStyle w:val="Hyperlink"/>
            <w:noProof/>
          </w:rPr>
          <w:t>LEADER-rel kapcsolatos kérdések (IV. tengely)</w:t>
        </w:r>
        <w:r>
          <w:rPr>
            <w:noProof/>
            <w:webHidden/>
          </w:rPr>
          <w:tab/>
        </w:r>
        <w:r>
          <w:rPr>
            <w:noProof/>
            <w:webHidden/>
          </w:rPr>
          <w:fldChar w:fldCharType="begin"/>
        </w:r>
        <w:r>
          <w:rPr>
            <w:noProof/>
            <w:webHidden/>
          </w:rPr>
          <w:instrText xml:space="preserve"> PAGEREF _Toc280788363 \h </w:instrText>
        </w:r>
        <w:r>
          <w:rPr>
            <w:noProof/>
            <w:webHidden/>
          </w:rPr>
        </w:r>
        <w:r>
          <w:rPr>
            <w:noProof/>
            <w:webHidden/>
          </w:rPr>
          <w:fldChar w:fldCharType="separate"/>
        </w:r>
        <w:r>
          <w:rPr>
            <w:noProof/>
            <w:webHidden/>
          </w:rPr>
          <w:t>506</w:t>
        </w:r>
        <w:r>
          <w:rPr>
            <w:noProof/>
            <w:webHidden/>
          </w:rPr>
          <w:fldChar w:fldCharType="end"/>
        </w:r>
      </w:hyperlink>
    </w:p>
    <w:p w:rsidR="00A97AE6" w:rsidRDefault="00A97AE6">
      <w:pPr>
        <w:pStyle w:val="TOC1"/>
        <w:rPr>
          <w:rFonts w:asciiTheme="minorHAnsi" w:eastAsiaTheme="minorEastAsia" w:hAnsiTheme="minorHAnsi" w:cstheme="minorBidi"/>
          <w:caps w:val="0"/>
          <w:sz w:val="22"/>
          <w:szCs w:val="22"/>
        </w:rPr>
      </w:pPr>
      <w:hyperlink w:anchor="_Toc280788364" w:history="1">
        <w:r w:rsidRPr="00B85794">
          <w:rPr>
            <w:rStyle w:val="Hyperlink"/>
          </w:rPr>
          <w:t>7.</w:t>
        </w:r>
        <w:r>
          <w:rPr>
            <w:rFonts w:asciiTheme="minorHAnsi" w:eastAsiaTheme="minorEastAsia" w:hAnsiTheme="minorHAnsi" w:cstheme="minorBidi"/>
            <w:caps w:val="0"/>
            <w:sz w:val="22"/>
            <w:szCs w:val="22"/>
          </w:rPr>
          <w:tab/>
        </w:r>
        <w:r w:rsidRPr="00B85794">
          <w:rPr>
            <w:rStyle w:val="Hyperlink"/>
          </w:rPr>
          <w:t>Következtetések és javaslatok</w:t>
        </w:r>
        <w:r>
          <w:rPr>
            <w:webHidden/>
          </w:rPr>
          <w:tab/>
        </w:r>
        <w:r>
          <w:rPr>
            <w:webHidden/>
          </w:rPr>
          <w:fldChar w:fldCharType="begin"/>
        </w:r>
        <w:r>
          <w:rPr>
            <w:webHidden/>
          </w:rPr>
          <w:instrText xml:space="preserve"> PAGEREF _Toc280788364 \h </w:instrText>
        </w:r>
        <w:r>
          <w:rPr>
            <w:webHidden/>
          </w:rPr>
        </w:r>
        <w:r>
          <w:rPr>
            <w:webHidden/>
          </w:rPr>
          <w:fldChar w:fldCharType="separate"/>
        </w:r>
        <w:r>
          <w:rPr>
            <w:webHidden/>
          </w:rPr>
          <w:t>515</w:t>
        </w:r>
        <w:r>
          <w:rPr>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65" w:history="1">
        <w:r w:rsidRPr="00B85794">
          <w:rPr>
            <w:rStyle w:val="Hyperlink"/>
            <w:noProof/>
          </w:rPr>
          <w:t>7.1.</w:t>
        </w:r>
        <w:r>
          <w:rPr>
            <w:rFonts w:asciiTheme="minorHAnsi" w:eastAsiaTheme="minorEastAsia" w:hAnsiTheme="minorHAnsi" w:cstheme="minorBidi"/>
            <w:noProof/>
            <w:sz w:val="22"/>
            <w:szCs w:val="22"/>
          </w:rPr>
          <w:tab/>
        </w:r>
        <w:r w:rsidRPr="00B85794">
          <w:rPr>
            <w:rStyle w:val="Hyperlink"/>
            <w:noProof/>
          </w:rPr>
          <w:t>Következtetések</w:t>
        </w:r>
        <w:r>
          <w:rPr>
            <w:noProof/>
            <w:webHidden/>
          </w:rPr>
          <w:tab/>
        </w:r>
        <w:r>
          <w:rPr>
            <w:noProof/>
            <w:webHidden/>
          </w:rPr>
          <w:fldChar w:fldCharType="begin"/>
        </w:r>
        <w:r>
          <w:rPr>
            <w:noProof/>
            <w:webHidden/>
          </w:rPr>
          <w:instrText xml:space="preserve"> PAGEREF _Toc280788365 \h </w:instrText>
        </w:r>
        <w:r>
          <w:rPr>
            <w:noProof/>
            <w:webHidden/>
          </w:rPr>
        </w:r>
        <w:r>
          <w:rPr>
            <w:noProof/>
            <w:webHidden/>
          </w:rPr>
          <w:fldChar w:fldCharType="separate"/>
        </w:r>
        <w:r>
          <w:rPr>
            <w:noProof/>
            <w:webHidden/>
          </w:rPr>
          <w:t>515</w:t>
        </w:r>
        <w:r>
          <w:rPr>
            <w:noProof/>
            <w:webHidden/>
          </w:rPr>
          <w:fldChar w:fldCharType="end"/>
        </w:r>
      </w:hyperlink>
    </w:p>
    <w:p w:rsidR="00A97AE6" w:rsidRDefault="00A97AE6">
      <w:pPr>
        <w:pStyle w:val="TOC2"/>
        <w:rPr>
          <w:rFonts w:asciiTheme="minorHAnsi" w:eastAsiaTheme="minorEastAsia" w:hAnsiTheme="minorHAnsi" w:cstheme="minorBidi"/>
          <w:noProof/>
          <w:sz w:val="22"/>
          <w:szCs w:val="22"/>
        </w:rPr>
      </w:pPr>
      <w:hyperlink w:anchor="_Toc280788366" w:history="1">
        <w:r w:rsidRPr="00B85794">
          <w:rPr>
            <w:rStyle w:val="Hyperlink"/>
            <w:noProof/>
          </w:rPr>
          <w:t>7.2.</w:t>
        </w:r>
        <w:r>
          <w:rPr>
            <w:rFonts w:asciiTheme="minorHAnsi" w:eastAsiaTheme="minorEastAsia" w:hAnsiTheme="minorHAnsi" w:cstheme="minorBidi"/>
            <w:noProof/>
            <w:sz w:val="22"/>
            <w:szCs w:val="22"/>
          </w:rPr>
          <w:tab/>
        </w:r>
        <w:r w:rsidRPr="00B85794">
          <w:rPr>
            <w:rStyle w:val="Hyperlink"/>
            <w:noProof/>
          </w:rPr>
          <w:t>Javaslatok</w:t>
        </w:r>
        <w:r>
          <w:rPr>
            <w:noProof/>
            <w:webHidden/>
          </w:rPr>
          <w:tab/>
        </w:r>
        <w:r>
          <w:rPr>
            <w:noProof/>
            <w:webHidden/>
          </w:rPr>
          <w:fldChar w:fldCharType="begin"/>
        </w:r>
        <w:r>
          <w:rPr>
            <w:noProof/>
            <w:webHidden/>
          </w:rPr>
          <w:instrText xml:space="preserve"> PAGEREF _Toc280788366 \h </w:instrText>
        </w:r>
        <w:r>
          <w:rPr>
            <w:noProof/>
            <w:webHidden/>
          </w:rPr>
        </w:r>
        <w:r>
          <w:rPr>
            <w:noProof/>
            <w:webHidden/>
          </w:rPr>
          <w:fldChar w:fldCharType="separate"/>
        </w:r>
        <w:r>
          <w:rPr>
            <w:noProof/>
            <w:webHidden/>
          </w:rPr>
          <w:t>520</w:t>
        </w:r>
        <w:r>
          <w:rPr>
            <w:noProof/>
            <w:webHidden/>
          </w:rPr>
          <w:fldChar w:fldCharType="end"/>
        </w:r>
      </w:hyperlink>
    </w:p>
    <w:p w:rsidR="002C49D7" w:rsidRPr="00E03E1D" w:rsidRDefault="00CF0DD4" w:rsidP="008452C0">
      <w:pPr>
        <w:pStyle w:val="HUNNormal"/>
        <w:rPr>
          <w:noProof/>
        </w:rPr>
      </w:pPr>
      <w:r w:rsidRPr="00E03E1D">
        <w:rPr>
          <w:noProof/>
        </w:rPr>
        <w:fldChar w:fldCharType="end"/>
      </w:r>
    </w:p>
    <w:p w:rsidR="00D96A68" w:rsidRPr="00E03E1D" w:rsidRDefault="00D96A68" w:rsidP="008452C0">
      <w:pPr>
        <w:pStyle w:val="HUNNormal"/>
        <w:rPr>
          <w:noProof/>
        </w:rPr>
      </w:pP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3510"/>
        <w:gridCol w:w="5793"/>
      </w:tblGrid>
      <w:tr w:rsidR="008452C0" w:rsidRPr="00E03E1D" w:rsidTr="00CC10EE">
        <w:tc>
          <w:tcPr>
            <w:tcW w:w="9303" w:type="dxa"/>
            <w:gridSpan w:val="2"/>
            <w:shd w:val="clear" w:color="auto" w:fill="EFD3D2"/>
          </w:tcPr>
          <w:p w:rsidR="008452C0" w:rsidRPr="00E03E1D" w:rsidRDefault="008452C0" w:rsidP="00CC10EE">
            <w:pPr>
              <w:jc w:val="center"/>
              <w:rPr>
                <w:b/>
                <w:bCs/>
                <w:sz w:val="24"/>
                <w:szCs w:val="24"/>
              </w:rPr>
            </w:pPr>
            <w:r w:rsidRPr="00E03E1D">
              <w:rPr>
                <w:b/>
                <w:bCs/>
                <w:smallCaps/>
                <w:sz w:val="24"/>
                <w:szCs w:val="24"/>
              </w:rPr>
              <w:t>Verziókövetési információk</w:t>
            </w:r>
          </w:p>
        </w:tc>
      </w:tr>
      <w:tr w:rsidR="006E633E" w:rsidRPr="00E03E1D" w:rsidTr="00E35568">
        <w:tc>
          <w:tcPr>
            <w:tcW w:w="3510" w:type="dxa"/>
            <w:shd w:val="clear" w:color="auto" w:fill="DFA7A6"/>
          </w:tcPr>
          <w:p w:rsidR="006E633E" w:rsidRPr="00E03E1D" w:rsidRDefault="006E633E" w:rsidP="00CC10EE">
            <w:pPr>
              <w:jc w:val="center"/>
              <w:rPr>
                <w:b/>
                <w:bCs/>
                <w:sz w:val="22"/>
                <w:szCs w:val="22"/>
              </w:rPr>
            </w:pPr>
            <w:r w:rsidRPr="00E03E1D">
              <w:rPr>
                <w:b/>
                <w:bCs/>
                <w:sz w:val="22"/>
                <w:szCs w:val="22"/>
              </w:rPr>
              <w:t>Verzió száma:</w:t>
            </w:r>
          </w:p>
        </w:tc>
        <w:tc>
          <w:tcPr>
            <w:tcW w:w="5793" w:type="dxa"/>
            <w:shd w:val="clear" w:color="auto" w:fill="DFA7A6"/>
          </w:tcPr>
          <w:p w:rsidR="006E633E" w:rsidRPr="007A550E" w:rsidRDefault="006E633E" w:rsidP="006E633E">
            <w:pPr>
              <w:rPr>
                <w:sz w:val="22"/>
                <w:szCs w:val="22"/>
              </w:rPr>
            </w:pPr>
            <w:r w:rsidRPr="007A550E">
              <w:rPr>
                <w:sz w:val="22"/>
                <w:szCs w:val="22"/>
              </w:rPr>
              <w:t>v</w:t>
            </w:r>
            <w:r>
              <w:rPr>
                <w:sz w:val="22"/>
                <w:szCs w:val="22"/>
              </w:rPr>
              <w:t>3</w:t>
            </w:r>
            <w:r w:rsidR="00D11655">
              <w:rPr>
                <w:sz w:val="22"/>
                <w:szCs w:val="22"/>
              </w:rPr>
              <w:t>3</w:t>
            </w:r>
          </w:p>
        </w:tc>
      </w:tr>
      <w:tr w:rsidR="006E633E" w:rsidRPr="00E03E1D" w:rsidTr="00E35568">
        <w:tc>
          <w:tcPr>
            <w:tcW w:w="3510" w:type="dxa"/>
            <w:shd w:val="clear" w:color="auto" w:fill="EFD3D2"/>
          </w:tcPr>
          <w:p w:rsidR="006E633E" w:rsidRPr="00E03E1D" w:rsidRDefault="006E633E" w:rsidP="00CC10EE">
            <w:pPr>
              <w:jc w:val="center"/>
              <w:rPr>
                <w:b/>
                <w:bCs/>
                <w:sz w:val="22"/>
                <w:szCs w:val="22"/>
              </w:rPr>
            </w:pPr>
            <w:r w:rsidRPr="00E03E1D">
              <w:rPr>
                <w:b/>
                <w:bCs/>
                <w:sz w:val="22"/>
                <w:szCs w:val="22"/>
              </w:rPr>
              <w:t>Utoljára módosította:</w:t>
            </w:r>
          </w:p>
        </w:tc>
        <w:tc>
          <w:tcPr>
            <w:tcW w:w="5793" w:type="dxa"/>
            <w:shd w:val="clear" w:color="auto" w:fill="EFD3D2"/>
          </w:tcPr>
          <w:p w:rsidR="006E633E" w:rsidRPr="007A550E" w:rsidRDefault="006E633E" w:rsidP="00A645BA">
            <w:pPr>
              <w:rPr>
                <w:sz w:val="22"/>
                <w:szCs w:val="22"/>
              </w:rPr>
            </w:pPr>
            <w:r>
              <w:rPr>
                <w:sz w:val="22"/>
                <w:szCs w:val="22"/>
              </w:rPr>
              <w:t>Cserneczky Tamás</w:t>
            </w:r>
          </w:p>
        </w:tc>
      </w:tr>
      <w:tr w:rsidR="006E633E" w:rsidRPr="00E03E1D" w:rsidTr="00E35568">
        <w:tc>
          <w:tcPr>
            <w:tcW w:w="3510" w:type="dxa"/>
            <w:shd w:val="clear" w:color="auto" w:fill="DFA7A6"/>
          </w:tcPr>
          <w:p w:rsidR="006E633E" w:rsidRPr="00E03E1D" w:rsidRDefault="006E633E" w:rsidP="00CC10EE">
            <w:pPr>
              <w:jc w:val="center"/>
              <w:rPr>
                <w:b/>
                <w:bCs/>
                <w:sz w:val="22"/>
                <w:szCs w:val="22"/>
              </w:rPr>
            </w:pPr>
            <w:r w:rsidRPr="00E03E1D">
              <w:rPr>
                <w:b/>
                <w:bCs/>
                <w:sz w:val="22"/>
                <w:szCs w:val="22"/>
              </w:rPr>
              <w:t>Módosítás indoka:</w:t>
            </w:r>
          </w:p>
        </w:tc>
        <w:tc>
          <w:tcPr>
            <w:tcW w:w="5793" w:type="dxa"/>
            <w:shd w:val="clear" w:color="auto" w:fill="DFA7A6"/>
          </w:tcPr>
          <w:p w:rsidR="006E633E" w:rsidRPr="007A550E" w:rsidRDefault="006E633E" w:rsidP="00A645BA">
            <w:pPr>
              <w:rPr>
                <w:sz w:val="22"/>
                <w:szCs w:val="22"/>
              </w:rPr>
            </w:pPr>
            <w:r>
              <w:rPr>
                <w:sz w:val="22"/>
                <w:szCs w:val="22"/>
              </w:rPr>
              <w:t>A VM szakfőosztálya és a Monitoring Bizottság tagjai</w:t>
            </w:r>
            <w:r w:rsidR="00A97AE6">
              <w:rPr>
                <w:sz w:val="22"/>
                <w:szCs w:val="22"/>
              </w:rPr>
              <w:t>, valamint a minőségbiztosító</w:t>
            </w:r>
            <w:r>
              <w:rPr>
                <w:sz w:val="22"/>
                <w:szCs w:val="22"/>
              </w:rPr>
              <w:t xml:space="preserve"> által küldött észrevételek átvezet</w:t>
            </w:r>
            <w:r>
              <w:rPr>
                <w:sz w:val="22"/>
                <w:szCs w:val="22"/>
              </w:rPr>
              <w:t>é</w:t>
            </w:r>
            <w:r>
              <w:rPr>
                <w:sz w:val="22"/>
                <w:szCs w:val="22"/>
              </w:rPr>
              <w:t>se</w:t>
            </w:r>
          </w:p>
        </w:tc>
      </w:tr>
      <w:tr w:rsidR="006E633E" w:rsidRPr="00E03E1D" w:rsidTr="00E35568">
        <w:tc>
          <w:tcPr>
            <w:tcW w:w="3510" w:type="dxa"/>
            <w:shd w:val="clear" w:color="auto" w:fill="EFD3D2"/>
          </w:tcPr>
          <w:p w:rsidR="006E633E" w:rsidRPr="00E03E1D" w:rsidRDefault="006E633E" w:rsidP="00CC10EE">
            <w:pPr>
              <w:jc w:val="center"/>
              <w:rPr>
                <w:b/>
                <w:bCs/>
                <w:sz w:val="22"/>
                <w:szCs w:val="22"/>
              </w:rPr>
            </w:pPr>
            <w:r w:rsidRPr="00E03E1D">
              <w:rPr>
                <w:b/>
                <w:bCs/>
                <w:sz w:val="22"/>
                <w:szCs w:val="22"/>
              </w:rPr>
              <w:t>Jóváhagyta a HUNGARIKUM ko</w:t>
            </w:r>
            <w:r w:rsidRPr="00E03E1D">
              <w:rPr>
                <w:b/>
                <w:bCs/>
                <w:sz w:val="22"/>
                <w:szCs w:val="22"/>
              </w:rPr>
              <w:t>n</w:t>
            </w:r>
            <w:r w:rsidRPr="00E03E1D">
              <w:rPr>
                <w:b/>
                <w:bCs/>
                <w:sz w:val="22"/>
                <w:szCs w:val="22"/>
              </w:rPr>
              <w:t>zorcium részéről (név/dátum)</w:t>
            </w:r>
          </w:p>
        </w:tc>
        <w:tc>
          <w:tcPr>
            <w:tcW w:w="5793" w:type="dxa"/>
            <w:shd w:val="clear" w:color="auto" w:fill="EFD3D2"/>
          </w:tcPr>
          <w:p w:rsidR="006E633E" w:rsidRPr="007A550E" w:rsidRDefault="006E633E" w:rsidP="00A645BA">
            <w:pPr>
              <w:rPr>
                <w:sz w:val="22"/>
                <w:szCs w:val="22"/>
              </w:rPr>
            </w:pPr>
            <w:r w:rsidRPr="007A550E">
              <w:rPr>
                <w:sz w:val="22"/>
                <w:szCs w:val="22"/>
              </w:rPr>
              <w:t>Cserneczky Tamás (2010.12.</w:t>
            </w:r>
            <w:r w:rsidR="00A97AE6">
              <w:rPr>
                <w:sz w:val="22"/>
                <w:szCs w:val="22"/>
              </w:rPr>
              <w:t>22</w:t>
            </w:r>
            <w:r w:rsidRPr="007A550E">
              <w:rPr>
                <w:sz w:val="22"/>
                <w:szCs w:val="22"/>
              </w:rPr>
              <w:t>)</w:t>
            </w:r>
          </w:p>
        </w:tc>
      </w:tr>
    </w:tbl>
    <w:p w:rsidR="002C49D7" w:rsidRPr="00E03E1D" w:rsidRDefault="002C49D7" w:rsidP="008452C0">
      <w:pPr>
        <w:pStyle w:val="HUNNormal"/>
      </w:pPr>
    </w:p>
    <w:p w:rsidR="009A6C85" w:rsidRPr="00E03E1D" w:rsidRDefault="009A6C85">
      <w:pPr>
        <w:spacing w:before="0" w:after="0" w:line="240" w:lineRule="auto"/>
        <w:rPr>
          <w:lang w:eastAsia="en-US"/>
        </w:rPr>
      </w:pPr>
      <w:r w:rsidRPr="00E03E1D">
        <w:rPr>
          <w:lang w:eastAsia="en-US"/>
        </w:rPr>
        <w:br w:type="page"/>
      </w:r>
    </w:p>
    <w:p w:rsidR="006E633E" w:rsidRDefault="006E633E" w:rsidP="006E633E">
      <w:pPr>
        <w:pStyle w:val="HUNHeading1"/>
        <w:numPr>
          <w:ilvl w:val="0"/>
          <w:numId w:val="12"/>
        </w:numPr>
      </w:pPr>
      <w:bookmarkStart w:id="0" w:name="_Toc280734381"/>
      <w:bookmarkStart w:id="1" w:name="_Toc280741943"/>
      <w:bookmarkStart w:id="2" w:name="_Toc280746577"/>
      <w:bookmarkStart w:id="3" w:name="_Toc280788347"/>
      <w:r w:rsidRPr="007A3B59">
        <w:lastRenderedPageBreak/>
        <w:t xml:space="preserve">A program, az intézkedések </w:t>
      </w:r>
      <w:proofErr w:type="gramStart"/>
      <w:r w:rsidRPr="007A3B59">
        <w:t>és</w:t>
      </w:r>
      <w:proofErr w:type="gramEnd"/>
      <w:r w:rsidRPr="007A3B59">
        <w:t xml:space="preserve"> a költségvetés leírása</w:t>
      </w:r>
      <w:bookmarkEnd w:id="0"/>
      <w:bookmarkEnd w:id="1"/>
      <w:bookmarkEnd w:id="2"/>
      <w:bookmarkEnd w:id="3"/>
    </w:p>
    <w:p w:rsidR="00A817A4" w:rsidRPr="00E03E1D" w:rsidRDefault="00A817A4" w:rsidP="00D5521F">
      <w:pPr>
        <w:pStyle w:val="HUNHeading2"/>
        <w:numPr>
          <w:ilvl w:val="1"/>
          <w:numId w:val="32"/>
        </w:numPr>
        <w:ind w:hanging="792"/>
      </w:pPr>
      <w:bookmarkStart w:id="4" w:name="_Toc278535731"/>
      <w:bookmarkStart w:id="5" w:name="_Toc280788348"/>
      <w:r w:rsidRPr="00E03E1D">
        <w:t>A program pénzügyi státusza</w:t>
      </w:r>
      <w:bookmarkEnd w:id="4"/>
      <w:bookmarkEnd w:id="5"/>
    </w:p>
    <w:p w:rsidR="00A817A4" w:rsidRPr="00E03E1D" w:rsidRDefault="00A817A4" w:rsidP="00A817A4">
      <w:pPr>
        <w:pStyle w:val="AAMNormal"/>
        <w:rPr>
          <w:b/>
        </w:rPr>
      </w:pPr>
      <w:r w:rsidRPr="00E03E1D">
        <w:t xml:space="preserve">Az ÚMVP 2010.06.30-ig pénzügyileg jobban előrehaladt, mint az időarányosan elvárható lett volna. </w:t>
      </w:r>
      <w:r w:rsidR="00323565" w:rsidRPr="00E03E1D">
        <w:rPr>
          <w:b/>
        </w:rPr>
        <w:t>Ha a 2010.</w:t>
      </w:r>
      <w:r w:rsidRPr="00E03E1D">
        <w:rPr>
          <w:b/>
        </w:rPr>
        <w:t>06.30-ig beérkezett kérelmek forrásigényét is beszámítjuk, akkor a teljes igény több intézkedés</w:t>
      </w:r>
      <w:r w:rsidR="00CA049C" w:rsidRPr="00E03E1D">
        <w:rPr>
          <w:b/>
        </w:rPr>
        <w:t>nél az</w:t>
      </w:r>
      <w:r w:rsidRPr="00E03E1D">
        <w:rPr>
          <w:b/>
        </w:rPr>
        <w:t xml:space="preserve"> indi</w:t>
      </w:r>
      <w:r w:rsidR="00CA049C" w:rsidRPr="00E03E1D">
        <w:rPr>
          <w:b/>
        </w:rPr>
        <w:t>katív kerete</w:t>
      </w:r>
      <w:r w:rsidRPr="00E03E1D">
        <w:rPr>
          <w:b/>
        </w:rPr>
        <w:t xml:space="preserve">t </w:t>
      </w:r>
      <w:r w:rsidR="00CA049C" w:rsidRPr="00E03E1D">
        <w:rPr>
          <w:b/>
        </w:rPr>
        <w:t xml:space="preserve">is </w:t>
      </w:r>
      <w:r w:rsidRPr="00E03E1D">
        <w:rPr>
          <w:b/>
        </w:rPr>
        <w:t>meghaladja.</w:t>
      </w:r>
      <w:r w:rsidR="00A645BA">
        <w:rPr>
          <w:b/>
        </w:rPr>
        <w:t xml:space="preserve"> A kötelezettségvállalás ugyanakkor természetesen a pénzügyi kereteken belül maradt.</w:t>
      </w:r>
    </w:p>
    <w:p w:rsidR="00A817A4" w:rsidRPr="00E03E1D" w:rsidRDefault="00A817A4" w:rsidP="00A817A4">
      <w:pPr>
        <w:pStyle w:val="AAMNormal"/>
      </w:pPr>
      <w:r w:rsidRPr="00E03E1D">
        <w:t xml:space="preserve">Az ÚMVP </w:t>
      </w:r>
      <w:r w:rsidR="00CA049C" w:rsidRPr="00E03E1D">
        <w:t xml:space="preserve">pénzügyi </w:t>
      </w:r>
      <w:r w:rsidRPr="00E03E1D">
        <w:t xml:space="preserve">keretei euróban </w:t>
      </w:r>
      <w:r w:rsidR="00CA049C" w:rsidRPr="00E03E1D">
        <w:t>lettek rögzítve</w:t>
      </w:r>
      <w:r w:rsidRPr="00E03E1D">
        <w:t>, kötelezettségvállalásainak többsége pedig forintban k</w:t>
      </w:r>
      <w:r w:rsidRPr="00E03E1D">
        <w:t>e</w:t>
      </w:r>
      <w:r w:rsidRPr="00E03E1D">
        <w:t>letkezik. A fennmaradó keret csak a HUF-EUR árfolyam szcenáriók mentén becsülhető, ezért mi is két pote</w:t>
      </w:r>
      <w:r w:rsidRPr="00E03E1D">
        <w:t>n</w:t>
      </w:r>
      <w:r w:rsidRPr="00E03E1D">
        <w:t>ciális átlag árfolyamra mutatjuk be a számokat.</w:t>
      </w:r>
    </w:p>
    <w:p w:rsidR="00A817A4" w:rsidRPr="00E03E1D" w:rsidRDefault="00A817A4" w:rsidP="00A817A4">
      <w:pPr>
        <w:pStyle w:val="AAMNormal"/>
      </w:pPr>
      <w:r w:rsidRPr="00E03E1D">
        <w:t>Az ÚMVP teljes kerete a 2007-2013 időszakra 4 747 488 379 EUR, ami négy tengely és a Technikai Segí</w:t>
      </w:r>
      <w:r w:rsidRPr="00E03E1D">
        <w:t>t</w:t>
      </w:r>
      <w:r w:rsidRPr="00E03E1D">
        <w:t>ségnyújtás keret között oszlik meg.</w:t>
      </w:r>
    </w:p>
    <w:tbl>
      <w:tblPr>
        <w:tblW w:w="0" w:type="auto"/>
        <w:tblInd w:w="1101"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0A0"/>
      </w:tblPr>
      <w:tblGrid>
        <w:gridCol w:w="1701"/>
        <w:gridCol w:w="1734"/>
        <w:gridCol w:w="2261"/>
        <w:gridCol w:w="1249"/>
      </w:tblGrid>
      <w:tr w:rsidR="00A817A4" w:rsidRPr="00E03E1D" w:rsidTr="000759A6">
        <w:tc>
          <w:tcPr>
            <w:tcW w:w="1701" w:type="dxa"/>
            <w:shd w:val="clear" w:color="auto" w:fill="EFD3D2"/>
          </w:tcPr>
          <w:p w:rsidR="00A817A4" w:rsidRPr="00E03E1D" w:rsidRDefault="00A817A4" w:rsidP="000759A6">
            <w:pPr>
              <w:pStyle w:val="AAMNormal"/>
              <w:keepNext/>
              <w:rPr>
                <w:b/>
                <w:bCs/>
              </w:rPr>
            </w:pPr>
            <w:r w:rsidRPr="00E03E1D">
              <w:rPr>
                <w:b/>
                <w:bCs/>
              </w:rPr>
              <w:t>I. tengely</w:t>
            </w:r>
          </w:p>
        </w:tc>
        <w:tc>
          <w:tcPr>
            <w:tcW w:w="1734" w:type="dxa"/>
            <w:shd w:val="clear" w:color="auto" w:fill="EFD3D2"/>
            <w:vAlign w:val="bottom"/>
          </w:tcPr>
          <w:p w:rsidR="00A817A4" w:rsidRPr="00E03E1D" w:rsidRDefault="00A817A4" w:rsidP="000759A6">
            <w:pPr>
              <w:keepNext/>
              <w:jc w:val="right"/>
              <w:rPr>
                <w:rFonts w:ascii="Arial" w:hAnsi="Arial" w:cs="Arial"/>
                <w:b/>
                <w:bCs/>
              </w:rPr>
            </w:pPr>
            <w:r w:rsidRPr="00E03E1D">
              <w:rPr>
                <w:rFonts w:ascii="Arial" w:hAnsi="Arial" w:cs="Arial"/>
                <w:bCs/>
              </w:rPr>
              <w:t>2 363 564 476 €</w:t>
            </w:r>
          </w:p>
        </w:tc>
        <w:tc>
          <w:tcPr>
            <w:tcW w:w="2261" w:type="dxa"/>
            <w:shd w:val="clear" w:color="auto" w:fill="EFD3D2"/>
            <w:vAlign w:val="bottom"/>
          </w:tcPr>
          <w:p w:rsidR="00A817A4" w:rsidRPr="00E03E1D" w:rsidRDefault="00A817A4" w:rsidP="000759A6">
            <w:pPr>
              <w:keepNext/>
              <w:jc w:val="right"/>
              <w:rPr>
                <w:rFonts w:ascii="Arial" w:hAnsi="Arial" w:cs="Arial"/>
                <w:b/>
                <w:bCs/>
              </w:rPr>
            </w:pPr>
            <w:r w:rsidRPr="00E03E1D">
              <w:rPr>
                <w:rFonts w:ascii="Arial" w:hAnsi="Arial" w:cs="Arial"/>
                <w:bCs/>
              </w:rPr>
              <w:t>643 125 893 920 Ft</w:t>
            </w:r>
          </w:p>
        </w:tc>
        <w:tc>
          <w:tcPr>
            <w:tcW w:w="1249" w:type="dxa"/>
            <w:shd w:val="clear" w:color="auto" w:fill="EFD3D2"/>
            <w:vAlign w:val="bottom"/>
          </w:tcPr>
          <w:p w:rsidR="00A817A4" w:rsidRPr="00E03E1D" w:rsidRDefault="00A817A4" w:rsidP="000759A6">
            <w:pPr>
              <w:keepNext/>
              <w:jc w:val="right"/>
              <w:rPr>
                <w:rFonts w:ascii="Arial" w:hAnsi="Arial" w:cs="Arial"/>
                <w:b/>
                <w:bCs/>
              </w:rPr>
            </w:pPr>
            <w:r w:rsidRPr="00E03E1D">
              <w:rPr>
                <w:rFonts w:ascii="Arial" w:hAnsi="Arial" w:cs="Arial"/>
                <w:bCs/>
              </w:rPr>
              <w:t>50%</w:t>
            </w:r>
          </w:p>
        </w:tc>
      </w:tr>
      <w:tr w:rsidR="00A817A4" w:rsidRPr="00E03E1D" w:rsidTr="000759A6">
        <w:tc>
          <w:tcPr>
            <w:tcW w:w="1701" w:type="dxa"/>
            <w:shd w:val="clear" w:color="auto" w:fill="DFA7A6"/>
          </w:tcPr>
          <w:p w:rsidR="00A817A4" w:rsidRPr="00E03E1D" w:rsidRDefault="00A817A4" w:rsidP="000759A6">
            <w:pPr>
              <w:pStyle w:val="AAMNormal"/>
              <w:keepNext/>
              <w:rPr>
                <w:b/>
                <w:bCs/>
              </w:rPr>
            </w:pPr>
            <w:r w:rsidRPr="00E03E1D">
              <w:rPr>
                <w:b/>
                <w:bCs/>
              </w:rPr>
              <w:t>II. tengely</w:t>
            </w:r>
          </w:p>
        </w:tc>
        <w:tc>
          <w:tcPr>
            <w:tcW w:w="1734" w:type="dxa"/>
            <w:shd w:val="clear" w:color="auto" w:fill="DFA7A6"/>
            <w:vAlign w:val="bottom"/>
          </w:tcPr>
          <w:p w:rsidR="00A817A4" w:rsidRPr="00E03E1D" w:rsidRDefault="00A817A4" w:rsidP="000759A6">
            <w:pPr>
              <w:keepNext/>
              <w:jc w:val="right"/>
              <w:rPr>
                <w:rFonts w:ascii="Arial" w:hAnsi="Arial" w:cs="Arial"/>
              </w:rPr>
            </w:pPr>
            <w:r w:rsidRPr="00E03E1D">
              <w:rPr>
                <w:rFonts w:ascii="Arial" w:hAnsi="Arial" w:cs="Arial"/>
              </w:rPr>
              <w:t>1 213 079 988 €</w:t>
            </w:r>
          </w:p>
        </w:tc>
        <w:tc>
          <w:tcPr>
            <w:tcW w:w="2261" w:type="dxa"/>
            <w:shd w:val="clear" w:color="auto" w:fill="DFA7A6"/>
            <w:vAlign w:val="bottom"/>
          </w:tcPr>
          <w:p w:rsidR="00A817A4" w:rsidRPr="00E03E1D" w:rsidRDefault="00A817A4" w:rsidP="000759A6">
            <w:pPr>
              <w:keepNext/>
              <w:jc w:val="right"/>
              <w:rPr>
                <w:rFonts w:ascii="Arial" w:hAnsi="Arial" w:cs="Arial"/>
              </w:rPr>
            </w:pPr>
            <w:r w:rsidRPr="00E03E1D">
              <w:rPr>
                <w:rFonts w:ascii="Arial" w:hAnsi="Arial" w:cs="Arial"/>
              </w:rPr>
              <w:t>330 079 064 735 Ft</w:t>
            </w:r>
          </w:p>
        </w:tc>
        <w:tc>
          <w:tcPr>
            <w:tcW w:w="1249" w:type="dxa"/>
            <w:shd w:val="clear" w:color="auto" w:fill="DFA7A6"/>
            <w:vAlign w:val="bottom"/>
          </w:tcPr>
          <w:p w:rsidR="00A817A4" w:rsidRPr="00E03E1D" w:rsidRDefault="00A817A4" w:rsidP="000759A6">
            <w:pPr>
              <w:keepNext/>
              <w:jc w:val="right"/>
              <w:rPr>
                <w:rFonts w:ascii="Arial" w:hAnsi="Arial" w:cs="Arial"/>
              </w:rPr>
            </w:pPr>
            <w:r w:rsidRPr="00E03E1D">
              <w:rPr>
                <w:rFonts w:ascii="Arial" w:hAnsi="Arial" w:cs="Arial"/>
              </w:rPr>
              <w:t>26%</w:t>
            </w:r>
          </w:p>
        </w:tc>
      </w:tr>
      <w:tr w:rsidR="00A817A4" w:rsidRPr="00E03E1D" w:rsidTr="000759A6">
        <w:tc>
          <w:tcPr>
            <w:tcW w:w="1701" w:type="dxa"/>
            <w:shd w:val="clear" w:color="auto" w:fill="EFD3D2"/>
          </w:tcPr>
          <w:p w:rsidR="00A817A4" w:rsidRPr="00E03E1D" w:rsidRDefault="00A817A4" w:rsidP="000759A6">
            <w:pPr>
              <w:pStyle w:val="AAMNormal"/>
              <w:keepNext/>
              <w:rPr>
                <w:b/>
                <w:bCs/>
              </w:rPr>
            </w:pPr>
            <w:r w:rsidRPr="00E03E1D">
              <w:rPr>
                <w:b/>
                <w:bCs/>
              </w:rPr>
              <w:t>III. tengely</w:t>
            </w:r>
          </w:p>
        </w:tc>
        <w:tc>
          <w:tcPr>
            <w:tcW w:w="1734" w:type="dxa"/>
            <w:shd w:val="clear" w:color="auto" w:fill="EFD3D2"/>
            <w:vAlign w:val="bottom"/>
          </w:tcPr>
          <w:p w:rsidR="00A817A4" w:rsidRPr="00E03E1D" w:rsidRDefault="00A817A4" w:rsidP="000759A6">
            <w:pPr>
              <w:keepNext/>
              <w:jc w:val="right"/>
              <w:rPr>
                <w:rFonts w:ascii="Arial" w:hAnsi="Arial" w:cs="Arial"/>
              </w:rPr>
            </w:pPr>
            <w:r w:rsidRPr="00E03E1D">
              <w:rPr>
                <w:rFonts w:ascii="Arial" w:hAnsi="Arial" w:cs="Arial"/>
              </w:rPr>
              <w:t>691 806 587 €</w:t>
            </w:r>
          </w:p>
        </w:tc>
        <w:tc>
          <w:tcPr>
            <w:tcW w:w="2261" w:type="dxa"/>
            <w:shd w:val="clear" w:color="auto" w:fill="EFD3D2"/>
            <w:vAlign w:val="bottom"/>
          </w:tcPr>
          <w:p w:rsidR="00A817A4" w:rsidRPr="00E03E1D" w:rsidRDefault="00A817A4" w:rsidP="000759A6">
            <w:pPr>
              <w:keepNext/>
              <w:jc w:val="right"/>
              <w:rPr>
                <w:rFonts w:ascii="Arial" w:hAnsi="Arial" w:cs="Arial"/>
              </w:rPr>
            </w:pPr>
            <w:r w:rsidRPr="00E03E1D">
              <w:rPr>
                <w:rFonts w:ascii="Arial" w:hAnsi="Arial" w:cs="Arial"/>
              </w:rPr>
              <w:t>188 240 572 323 Ft</w:t>
            </w:r>
          </w:p>
        </w:tc>
        <w:tc>
          <w:tcPr>
            <w:tcW w:w="1249" w:type="dxa"/>
            <w:shd w:val="clear" w:color="auto" w:fill="EFD3D2"/>
            <w:vAlign w:val="bottom"/>
          </w:tcPr>
          <w:p w:rsidR="00A817A4" w:rsidRPr="00E03E1D" w:rsidRDefault="00A817A4" w:rsidP="000759A6">
            <w:pPr>
              <w:keepNext/>
              <w:jc w:val="right"/>
              <w:rPr>
                <w:rFonts w:ascii="Arial" w:hAnsi="Arial" w:cs="Arial"/>
              </w:rPr>
            </w:pPr>
            <w:r w:rsidRPr="00E03E1D">
              <w:rPr>
                <w:rFonts w:ascii="Arial" w:hAnsi="Arial" w:cs="Arial"/>
              </w:rPr>
              <w:t>15%</w:t>
            </w:r>
          </w:p>
        </w:tc>
      </w:tr>
      <w:tr w:rsidR="00A817A4" w:rsidRPr="00E03E1D" w:rsidTr="000759A6">
        <w:tc>
          <w:tcPr>
            <w:tcW w:w="1701" w:type="dxa"/>
            <w:shd w:val="clear" w:color="auto" w:fill="DFA7A6"/>
          </w:tcPr>
          <w:p w:rsidR="00A817A4" w:rsidRPr="00E03E1D" w:rsidRDefault="00A817A4" w:rsidP="000759A6">
            <w:pPr>
              <w:pStyle w:val="AAMNormal"/>
              <w:keepNext/>
              <w:rPr>
                <w:b/>
                <w:bCs/>
              </w:rPr>
            </w:pPr>
            <w:r w:rsidRPr="00E03E1D">
              <w:rPr>
                <w:b/>
                <w:bCs/>
              </w:rPr>
              <w:t>IV. tengely</w:t>
            </w:r>
          </w:p>
        </w:tc>
        <w:tc>
          <w:tcPr>
            <w:tcW w:w="1734" w:type="dxa"/>
            <w:shd w:val="clear" w:color="auto" w:fill="DFA7A6"/>
            <w:vAlign w:val="bottom"/>
          </w:tcPr>
          <w:p w:rsidR="00A817A4" w:rsidRPr="00E03E1D" w:rsidRDefault="00A817A4" w:rsidP="000759A6">
            <w:pPr>
              <w:keepNext/>
              <w:jc w:val="right"/>
              <w:rPr>
                <w:rFonts w:ascii="Arial" w:hAnsi="Arial" w:cs="Arial"/>
              </w:rPr>
            </w:pPr>
            <w:r w:rsidRPr="00E03E1D">
              <w:rPr>
                <w:rFonts w:ascii="Arial" w:hAnsi="Arial" w:cs="Arial"/>
              </w:rPr>
              <w:t>273 176 970 €</w:t>
            </w:r>
          </w:p>
        </w:tc>
        <w:tc>
          <w:tcPr>
            <w:tcW w:w="2261" w:type="dxa"/>
            <w:shd w:val="clear" w:color="auto" w:fill="DFA7A6"/>
            <w:vAlign w:val="bottom"/>
          </w:tcPr>
          <w:p w:rsidR="00A817A4" w:rsidRPr="00E03E1D" w:rsidRDefault="00A817A4" w:rsidP="000759A6">
            <w:pPr>
              <w:keepNext/>
              <w:jc w:val="right"/>
              <w:rPr>
                <w:rFonts w:ascii="Arial" w:hAnsi="Arial" w:cs="Arial"/>
              </w:rPr>
            </w:pPr>
            <w:r w:rsidRPr="00E03E1D">
              <w:rPr>
                <w:rFonts w:ascii="Arial" w:hAnsi="Arial" w:cs="Arial"/>
              </w:rPr>
              <w:t>74 331 453 537 Ft</w:t>
            </w:r>
          </w:p>
        </w:tc>
        <w:tc>
          <w:tcPr>
            <w:tcW w:w="1249" w:type="dxa"/>
            <w:shd w:val="clear" w:color="auto" w:fill="DFA7A6"/>
            <w:vAlign w:val="bottom"/>
          </w:tcPr>
          <w:p w:rsidR="00A817A4" w:rsidRPr="00E03E1D" w:rsidRDefault="00A817A4" w:rsidP="000759A6">
            <w:pPr>
              <w:keepNext/>
              <w:jc w:val="right"/>
              <w:rPr>
                <w:rFonts w:ascii="Arial" w:hAnsi="Arial" w:cs="Arial"/>
              </w:rPr>
            </w:pPr>
            <w:r w:rsidRPr="00E03E1D">
              <w:rPr>
                <w:rFonts w:ascii="Arial" w:hAnsi="Arial" w:cs="Arial"/>
              </w:rPr>
              <w:t>6%</w:t>
            </w:r>
          </w:p>
        </w:tc>
      </w:tr>
      <w:tr w:rsidR="00A817A4" w:rsidRPr="00E03E1D" w:rsidTr="000759A6">
        <w:tc>
          <w:tcPr>
            <w:tcW w:w="1701" w:type="dxa"/>
            <w:shd w:val="clear" w:color="auto" w:fill="EFD3D2"/>
          </w:tcPr>
          <w:p w:rsidR="00A817A4" w:rsidRPr="00E03E1D" w:rsidRDefault="00A817A4" w:rsidP="000759A6">
            <w:pPr>
              <w:pStyle w:val="AAMNormal"/>
              <w:keepNext/>
              <w:rPr>
                <w:b/>
                <w:bCs/>
              </w:rPr>
            </w:pPr>
            <w:r w:rsidRPr="00E03E1D">
              <w:rPr>
                <w:b/>
                <w:bCs/>
              </w:rPr>
              <w:t>TS keret</w:t>
            </w:r>
          </w:p>
        </w:tc>
        <w:tc>
          <w:tcPr>
            <w:tcW w:w="1734" w:type="dxa"/>
            <w:shd w:val="clear" w:color="auto" w:fill="EFD3D2"/>
            <w:vAlign w:val="bottom"/>
          </w:tcPr>
          <w:p w:rsidR="00A817A4" w:rsidRPr="00E03E1D" w:rsidRDefault="00A817A4" w:rsidP="000759A6">
            <w:pPr>
              <w:keepNext/>
              <w:jc w:val="right"/>
              <w:rPr>
                <w:rFonts w:ascii="Arial" w:hAnsi="Arial" w:cs="Arial"/>
              </w:rPr>
            </w:pPr>
            <w:r w:rsidRPr="00E03E1D">
              <w:rPr>
                <w:rFonts w:ascii="Arial" w:hAnsi="Arial" w:cs="Arial"/>
              </w:rPr>
              <w:t>205 860 358 €</w:t>
            </w:r>
          </w:p>
        </w:tc>
        <w:tc>
          <w:tcPr>
            <w:tcW w:w="2261" w:type="dxa"/>
            <w:shd w:val="clear" w:color="auto" w:fill="EFD3D2"/>
            <w:vAlign w:val="bottom"/>
          </w:tcPr>
          <w:p w:rsidR="00A817A4" w:rsidRPr="00E03E1D" w:rsidRDefault="00A817A4" w:rsidP="000759A6">
            <w:pPr>
              <w:keepNext/>
              <w:jc w:val="right"/>
              <w:rPr>
                <w:rFonts w:ascii="Arial" w:hAnsi="Arial" w:cs="Arial"/>
              </w:rPr>
            </w:pPr>
            <w:r w:rsidRPr="00E03E1D">
              <w:rPr>
                <w:rFonts w:ascii="Arial" w:hAnsi="Arial" w:cs="Arial"/>
              </w:rPr>
              <w:t>56 014 603 412 Ft</w:t>
            </w:r>
          </w:p>
        </w:tc>
        <w:tc>
          <w:tcPr>
            <w:tcW w:w="1249" w:type="dxa"/>
            <w:shd w:val="clear" w:color="auto" w:fill="EFD3D2"/>
            <w:vAlign w:val="bottom"/>
          </w:tcPr>
          <w:p w:rsidR="00A817A4" w:rsidRPr="00E03E1D" w:rsidRDefault="00A817A4" w:rsidP="000759A6">
            <w:pPr>
              <w:keepNext/>
              <w:jc w:val="right"/>
              <w:rPr>
                <w:rFonts w:ascii="Arial" w:hAnsi="Arial" w:cs="Arial"/>
              </w:rPr>
            </w:pPr>
            <w:r w:rsidRPr="00E03E1D">
              <w:rPr>
                <w:rFonts w:ascii="Arial" w:hAnsi="Arial" w:cs="Arial"/>
              </w:rPr>
              <w:t>4%</w:t>
            </w:r>
          </w:p>
        </w:tc>
      </w:tr>
      <w:tr w:rsidR="00A817A4" w:rsidRPr="00E03E1D" w:rsidTr="000759A6">
        <w:tc>
          <w:tcPr>
            <w:tcW w:w="1701" w:type="dxa"/>
            <w:shd w:val="clear" w:color="auto" w:fill="DFA7A6"/>
          </w:tcPr>
          <w:p w:rsidR="00A817A4" w:rsidRPr="00E03E1D" w:rsidRDefault="00A817A4" w:rsidP="000759A6">
            <w:pPr>
              <w:pStyle w:val="AAMNormal"/>
              <w:keepNext/>
              <w:rPr>
                <w:b/>
                <w:bCs/>
              </w:rPr>
            </w:pPr>
            <w:r w:rsidRPr="00E03E1D">
              <w:rPr>
                <w:b/>
                <w:bCs/>
              </w:rPr>
              <w:t>Összesen</w:t>
            </w:r>
          </w:p>
        </w:tc>
        <w:tc>
          <w:tcPr>
            <w:tcW w:w="1734" w:type="dxa"/>
            <w:shd w:val="clear" w:color="auto" w:fill="DFA7A6"/>
            <w:vAlign w:val="bottom"/>
          </w:tcPr>
          <w:p w:rsidR="00A817A4" w:rsidRPr="00E03E1D" w:rsidRDefault="00A817A4" w:rsidP="000759A6">
            <w:pPr>
              <w:keepNext/>
              <w:jc w:val="right"/>
              <w:rPr>
                <w:rFonts w:ascii="Arial" w:hAnsi="Arial" w:cs="Arial"/>
                <w:b/>
              </w:rPr>
            </w:pPr>
            <w:r w:rsidRPr="00E03E1D">
              <w:rPr>
                <w:rFonts w:ascii="Arial" w:hAnsi="Arial" w:cs="Arial"/>
                <w:b/>
              </w:rPr>
              <w:t>4 747 488 379 €</w:t>
            </w:r>
          </w:p>
        </w:tc>
        <w:tc>
          <w:tcPr>
            <w:tcW w:w="2261" w:type="dxa"/>
            <w:shd w:val="clear" w:color="auto" w:fill="DFA7A6"/>
            <w:vAlign w:val="bottom"/>
          </w:tcPr>
          <w:p w:rsidR="00A817A4" w:rsidRPr="00E03E1D" w:rsidRDefault="00A817A4" w:rsidP="000759A6">
            <w:pPr>
              <w:keepNext/>
              <w:jc w:val="right"/>
              <w:rPr>
                <w:rFonts w:ascii="Arial" w:hAnsi="Arial" w:cs="Arial"/>
                <w:b/>
              </w:rPr>
            </w:pPr>
            <w:r w:rsidRPr="00E03E1D">
              <w:rPr>
                <w:rFonts w:ascii="Arial" w:hAnsi="Arial" w:cs="Arial"/>
                <w:b/>
              </w:rPr>
              <w:t>1 291 791 587 926 Ft</w:t>
            </w:r>
          </w:p>
        </w:tc>
        <w:tc>
          <w:tcPr>
            <w:tcW w:w="1249" w:type="dxa"/>
            <w:shd w:val="clear" w:color="auto" w:fill="DFA7A6"/>
            <w:vAlign w:val="bottom"/>
          </w:tcPr>
          <w:p w:rsidR="00A817A4" w:rsidRPr="00E03E1D" w:rsidRDefault="00A817A4" w:rsidP="000759A6">
            <w:pPr>
              <w:keepNext/>
              <w:rPr>
                <w:rFonts w:ascii="Arial" w:hAnsi="Arial" w:cs="Arial"/>
              </w:rPr>
            </w:pPr>
          </w:p>
        </w:tc>
      </w:tr>
    </w:tbl>
    <w:p w:rsidR="003070C3" w:rsidRPr="00E03E1D" w:rsidRDefault="00CF0DD4" w:rsidP="003070C3">
      <w:pPr>
        <w:pStyle w:val="Caption"/>
        <w:spacing w:before="60" w:after="120" w:line="280" w:lineRule="atLeast"/>
        <w:jc w:val="center"/>
        <w:rPr>
          <w:color w:val="auto"/>
        </w:rPr>
      </w:pPr>
      <w:r w:rsidRPr="00E03E1D">
        <w:rPr>
          <w:color w:val="auto"/>
        </w:rPr>
        <w:fldChar w:fldCharType="begin"/>
      </w:r>
      <w:r w:rsidR="003070C3" w:rsidRPr="00E03E1D">
        <w:rPr>
          <w:color w:val="auto"/>
        </w:rPr>
        <w:instrText xml:space="preserve"> SEQ táblázat \* ARABIC </w:instrText>
      </w:r>
      <w:r w:rsidRPr="00E03E1D">
        <w:rPr>
          <w:color w:val="auto"/>
        </w:rPr>
        <w:fldChar w:fldCharType="separate"/>
      </w:r>
      <w:r w:rsidR="00A645BA">
        <w:rPr>
          <w:noProof/>
          <w:color w:val="auto"/>
        </w:rPr>
        <w:t>1</w:t>
      </w:r>
      <w:r w:rsidRPr="00E03E1D">
        <w:rPr>
          <w:color w:val="auto"/>
        </w:rPr>
        <w:fldChar w:fldCharType="end"/>
      </w:r>
      <w:r w:rsidR="003070C3" w:rsidRPr="00E03E1D">
        <w:rPr>
          <w:color w:val="auto"/>
        </w:rPr>
        <w:t>. táblázat: Az ÚMVP pénzügyi keretszámai</w:t>
      </w:r>
      <w:r w:rsidR="005E7E76">
        <w:rPr>
          <w:rStyle w:val="FootnoteReference"/>
          <w:color w:val="auto"/>
        </w:rPr>
        <w:footnoteReference w:id="1"/>
      </w:r>
    </w:p>
    <w:p w:rsidR="008575AF" w:rsidRPr="00E03E1D" w:rsidRDefault="008575AF" w:rsidP="00A817A4">
      <w:pPr>
        <w:pStyle w:val="AAMNormal"/>
      </w:pPr>
    </w:p>
    <w:p w:rsidR="00A817A4" w:rsidRPr="00E03E1D" w:rsidRDefault="00A817A4" w:rsidP="00A817A4">
      <w:pPr>
        <w:pStyle w:val="AAMNormal"/>
      </w:pPr>
      <w:r w:rsidRPr="00E03E1D">
        <w:t>Ha a 2010.06.30-ig megtett kötelezettségvállalásokat vizsgáljuk, akkor az ÚMVP összes keretének 69,7%-74,2%</w:t>
      </w:r>
      <w:r w:rsidR="003070C3" w:rsidRPr="00E03E1D">
        <w:rPr>
          <w:rStyle w:val="FootnoteReference"/>
        </w:rPr>
        <w:footnoteReference w:id="2"/>
      </w:r>
      <w:r w:rsidRPr="00E03E1D">
        <w:t xml:space="preserve"> a közötti értéket ér el a már megítélt támogatások aránya a keret átváltásához alkalmazott árfolyam függvényében.</w:t>
      </w:r>
    </w:p>
    <w:p w:rsidR="00A817A4" w:rsidRPr="00E03E1D" w:rsidRDefault="00A817A4" w:rsidP="00A817A4">
      <w:pPr>
        <w:pStyle w:val="AAMNormal"/>
        <w:jc w:val="center"/>
      </w:pPr>
      <w:r w:rsidRPr="00E03E1D">
        <w:rPr>
          <w:noProof/>
        </w:rPr>
        <w:lastRenderedPageBreak/>
        <w:drawing>
          <wp:inline distT="0" distB="0" distL="0" distR="0">
            <wp:extent cx="4940935" cy="2794635"/>
            <wp:effectExtent l="19050" t="0" r="164465" b="139065"/>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30EF" w:rsidRPr="00E03E1D" w:rsidRDefault="00CF0DD4" w:rsidP="002330EF">
      <w:pPr>
        <w:pStyle w:val="Caption"/>
        <w:spacing w:before="60" w:after="120" w:line="280" w:lineRule="atLeast"/>
        <w:jc w:val="center"/>
        <w:rPr>
          <w:bCs w:val="0"/>
          <w:color w:val="auto"/>
          <w:sz w:val="20"/>
          <w:szCs w:val="20"/>
        </w:rPr>
      </w:pPr>
      <w:r w:rsidRPr="00E03E1D">
        <w:rPr>
          <w:color w:val="auto"/>
        </w:rPr>
        <w:fldChar w:fldCharType="begin"/>
      </w:r>
      <w:r w:rsidR="002330EF" w:rsidRPr="00E03E1D">
        <w:rPr>
          <w:color w:val="auto"/>
        </w:rPr>
        <w:instrText xml:space="preserve"> SEQ ábra \* ARABIC </w:instrText>
      </w:r>
      <w:r w:rsidRPr="00E03E1D">
        <w:rPr>
          <w:color w:val="auto"/>
        </w:rPr>
        <w:fldChar w:fldCharType="separate"/>
      </w:r>
      <w:r w:rsidR="00A645BA">
        <w:rPr>
          <w:noProof/>
          <w:color w:val="auto"/>
        </w:rPr>
        <w:t>1</w:t>
      </w:r>
      <w:r w:rsidRPr="00E03E1D">
        <w:rPr>
          <w:color w:val="auto"/>
        </w:rPr>
        <w:fldChar w:fldCharType="end"/>
      </w:r>
      <w:r w:rsidR="002330EF" w:rsidRPr="00E03E1D">
        <w:rPr>
          <w:color w:val="auto"/>
        </w:rPr>
        <w:t xml:space="preserve">. </w:t>
      </w:r>
      <w:r w:rsidR="002330EF" w:rsidRPr="00E03E1D">
        <w:rPr>
          <w:bCs w:val="0"/>
          <w:color w:val="auto"/>
          <w:sz w:val="20"/>
          <w:szCs w:val="20"/>
        </w:rPr>
        <w:t xml:space="preserve">ábra: Az </w:t>
      </w:r>
      <w:proofErr w:type="spellStart"/>
      <w:r w:rsidR="002330EF" w:rsidRPr="00E03E1D">
        <w:rPr>
          <w:bCs w:val="0"/>
          <w:color w:val="auto"/>
          <w:sz w:val="20"/>
          <w:szCs w:val="20"/>
        </w:rPr>
        <w:t>ÚMVP-ben</w:t>
      </w:r>
      <w:proofErr w:type="spellEnd"/>
      <w:r w:rsidR="002330EF" w:rsidRPr="00E03E1D">
        <w:rPr>
          <w:bCs w:val="0"/>
          <w:color w:val="auto"/>
          <w:sz w:val="20"/>
          <w:szCs w:val="20"/>
        </w:rPr>
        <w:t xml:space="preserve"> 2010.06.30-ig megtett kötelezettségvállalások aránya a kerethez képest</w:t>
      </w:r>
      <w:r w:rsidR="002330EF" w:rsidRPr="00E03E1D">
        <w:rPr>
          <w:bCs w:val="0"/>
          <w:color w:val="auto"/>
          <w:sz w:val="20"/>
          <w:szCs w:val="20"/>
        </w:rPr>
        <w:footnoteReference w:id="3"/>
      </w:r>
    </w:p>
    <w:p w:rsidR="00A817A4" w:rsidRPr="00E03E1D" w:rsidRDefault="00A817A4" w:rsidP="00A817A4">
      <w:pPr>
        <w:pStyle w:val="AAMNormal"/>
      </w:pPr>
      <w:r w:rsidRPr="00E03E1D">
        <w:t xml:space="preserve">Ez számszerűleg azt jelenti, hogy a kötelezettségvállalás értéke 926 616 256 277 </w:t>
      </w:r>
      <w:proofErr w:type="gramStart"/>
      <w:r w:rsidRPr="00E03E1D">
        <w:t>Ft</w:t>
      </w:r>
      <w:r w:rsidRPr="00E03E1D">
        <w:rPr>
          <w:rStyle w:val="FootnoteReference"/>
        </w:rPr>
        <w:footnoteReference w:id="4"/>
      </w:r>
      <w:r w:rsidRPr="00E03E1D">
        <w:t>,</w:t>
      </w:r>
      <w:proofErr w:type="gramEnd"/>
      <w:r w:rsidRPr="00E03E1D">
        <w:t xml:space="preserve"> ami a különböző árf</w:t>
      </w:r>
      <w:r w:rsidRPr="00E03E1D">
        <w:t>o</w:t>
      </w:r>
      <w:r w:rsidRPr="00E03E1D">
        <w:t xml:space="preserve">lyamok mellett 320-400 </w:t>
      </w:r>
      <w:proofErr w:type="spellStart"/>
      <w:r w:rsidRPr="00E03E1D">
        <w:t>mrd</w:t>
      </w:r>
      <w:proofErr w:type="spellEnd"/>
      <w:r w:rsidRPr="00E03E1D">
        <w:t xml:space="preserve"> Ft még felhasználható forrást jelentene.</w:t>
      </w:r>
    </w:p>
    <w:p w:rsidR="00A817A4" w:rsidRPr="00E03E1D" w:rsidRDefault="00A817A4" w:rsidP="00A817A4">
      <w:pPr>
        <w:pStyle w:val="AAMNormal"/>
      </w:pPr>
      <w:r w:rsidRPr="00E03E1D">
        <w:t xml:space="preserve">Ugyanakkor figyelembe kell venni, hogy 2010.06.30-án már </w:t>
      </w:r>
      <w:r w:rsidR="00ED21B8" w:rsidRPr="00E03E1D">
        <w:t>27</w:t>
      </w:r>
      <w:r w:rsidR="003070C3" w:rsidRPr="00E03E1D">
        <w:t>0 067 939 670</w:t>
      </w:r>
      <w:r w:rsidRPr="00E03E1D">
        <w:t xml:space="preserve"> Ft támogatási igény érkezett be az intézményrendszerhez, a következő táblázatban látható megoszlásban.</w:t>
      </w:r>
    </w:p>
    <w:p w:rsidR="00A817A4" w:rsidRPr="00E03E1D" w:rsidRDefault="00DF1ABF" w:rsidP="00A817A4">
      <w:pPr>
        <w:pStyle w:val="AAMNormal"/>
        <w:jc w:val="center"/>
      </w:pPr>
      <w:r w:rsidRPr="00DF1ABF">
        <w:rPr>
          <w:noProof/>
        </w:rPr>
        <w:drawing>
          <wp:inline distT="0" distB="0" distL="0" distR="0">
            <wp:extent cx="4524375" cy="2979820"/>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533114" cy="2985576"/>
                    </a:xfrm>
                    <a:prstGeom prst="rect">
                      <a:avLst/>
                    </a:prstGeom>
                    <a:noFill/>
                    <a:ln w="9525">
                      <a:noFill/>
                      <a:miter lim="800000"/>
                      <a:headEnd/>
                      <a:tailEnd/>
                    </a:ln>
                  </pic:spPr>
                </pic:pic>
              </a:graphicData>
            </a:graphic>
          </wp:inline>
        </w:drawing>
      </w:r>
    </w:p>
    <w:bookmarkStart w:id="6" w:name="_Ref279367999"/>
    <w:p w:rsidR="003070C3" w:rsidRPr="00E03E1D" w:rsidRDefault="00CF0DD4" w:rsidP="003070C3">
      <w:pPr>
        <w:pStyle w:val="Caption"/>
        <w:spacing w:before="60" w:after="120" w:line="280" w:lineRule="atLeast"/>
        <w:jc w:val="center"/>
        <w:rPr>
          <w:color w:val="auto"/>
        </w:rPr>
      </w:pPr>
      <w:r w:rsidRPr="00E03E1D">
        <w:rPr>
          <w:color w:val="auto"/>
        </w:rPr>
        <w:fldChar w:fldCharType="begin"/>
      </w:r>
      <w:r w:rsidR="003070C3" w:rsidRPr="00E03E1D">
        <w:rPr>
          <w:color w:val="auto"/>
        </w:rPr>
        <w:instrText xml:space="preserve"> SEQ táblázat \* ARABIC </w:instrText>
      </w:r>
      <w:r w:rsidRPr="00E03E1D">
        <w:rPr>
          <w:color w:val="auto"/>
        </w:rPr>
        <w:fldChar w:fldCharType="separate"/>
      </w:r>
      <w:bookmarkStart w:id="7" w:name="_Ref279368007"/>
      <w:r w:rsidR="00447BB8">
        <w:rPr>
          <w:noProof/>
          <w:color w:val="auto"/>
        </w:rPr>
        <w:t>2</w:t>
      </w:r>
      <w:bookmarkEnd w:id="7"/>
      <w:r w:rsidRPr="00E03E1D">
        <w:rPr>
          <w:color w:val="auto"/>
        </w:rPr>
        <w:fldChar w:fldCharType="end"/>
      </w:r>
      <w:r w:rsidR="003070C3" w:rsidRPr="00E03E1D">
        <w:rPr>
          <w:color w:val="auto"/>
        </w:rPr>
        <w:t xml:space="preserve">. táblázat: Az </w:t>
      </w:r>
      <w:proofErr w:type="spellStart"/>
      <w:r w:rsidR="003070C3" w:rsidRPr="00E03E1D">
        <w:rPr>
          <w:color w:val="auto"/>
        </w:rPr>
        <w:t>ÚMVP-ben</w:t>
      </w:r>
      <w:proofErr w:type="spellEnd"/>
      <w:r w:rsidR="003070C3" w:rsidRPr="00E03E1D">
        <w:rPr>
          <w:color w:val="auto"/>
        </w:rPr>
        <w:t xml:space="preserve"> 2010.06.30-ig benyújtott, de még el nem bírált kérelmek megoszlása</w:t>
      </w:r>
      <w:bookmarkEnd w:id="6"/>
    </w:p>
    <w:p w:rsidR="00A817A4" w:rsidRPr="00E03E1D" w:rsidRDefault="00A817A4" w:rsidP="00A817A4">
      <w:pPr>
        <w:pStyle w:val="AAMNormal"/>
      </w:pPr>
      <w:r w:rsidRPr="00E03E1D">
        <w:lastRenderedPageBreak/>
        <w:t>Ha ezeket is figyelembe vesszük, akkor az igénnyel le nem fedett keretek mértéke jelentősen lecsökken, sőt az I. tengely forrásigénye meghaladja a keretet, míg a III. tengely igénye gyakorlatilag megegyezik a kerettel.</w:t>
      </w:r>
    </w:p>
    <w:p w:rsidR="00A817A4" w:rsidRPr="00E03E1D" w:rsidRDefault="00A817A4" w:rsidP="00A817A4">
      <w:pPr>
        <w:pStyle w:val="AAMNormal"/>
        <w:jc w:val="center"/>
      </w:pPr>
      <w:r w:rsidRPr="00E03E1D">
        <w:rPr>
          <w:noProof/>
        </w:rPr>
        <w:drawing>
          <wp:inline distT="0" distB="0" distL="0" distR="0">
            <wp:extent cx="4831936" cy="2679369"/>
            <wp:effectExtent l="19050" t="0" r="178214" b="140031"/>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30EF" w:rsidRPr="00E03E1D" w:rsidRDefault="00CF0DD4" w:rsidP="002330EF">
      <w:pPr>
        <w:pStyle w:val="Caption"/>
        <w:spacing w:before="60" w:after="120" w:line="280" w:lineRule="atLeast"/>
        <w:jc w:val="center"/>
        <w:rPr>
          <w:color w:val="auto"/>
        </w:rPr>
      </w:pPr>
      <w:r w:rsidRPr="00E03E1D">
        <w:rPr>
          <w:color w:val="auto"/>
        </w:rPr>
        <w:fldChar w:fldCharType="begin"/>
      </w:r>
      <w:r w:rsidR="002330EF" w:rsidRPr="00E03E1D">
        <w:rPr>
          <w:color w:val="auto"/>
        </w:rPr>
        <w:instrText xml:space="preserve"> SEQ ábra \* ARABIC </w:instrText>
      </w:r>
      <w:r w:rsidRPr="00E03E1D">
        <w:rPr>
          <w:color w:val="auto"/>
        </w:rPr>
        <w:fldChar w:fldCharType="separate"/>
      </w:r>
      <w:r w:rsidR="00A645BA">
        <w:rPr>
          <w:noProof/>
          <w:color w:val="auto"/>
        </w:rPr>
        <w:t>2</w:t>
      </w:r>
      <w:r w:rsidRPr="00E03E1D">
        <w:rPr>
          <w:color w:val="auto"/>
        </w:rPr>
        <w:fldChar w:fldCharType="end"/>
      </w:r>
      <w:r w:rsidR="002330EF" w:rsidRPr="00E03E1D">
        <w:rPr>
          <w:color w:val="auto"/>
        </w:rPr>
        <w:t xml:space="preserve">. ábra: Az </w:t>
      </w:r>
      <w:proofErr w:type="spellStart"/>
      <w:r w:rsidR="002330EF" w:rsidRPr="00E03E1D">
        <w:rPr>
          <w:color w:val="auto"/>
        </w:rPr>
        <w:t>ÚMVP-ben</w:t>
      </w:r>
      <w:proofErr w:type="spellEnd"/>
      <w:r w:rsidR="002330EF" w:rsidRPr="00E03E1D">
        <w:rPr>
          <w:color w:val="auto"/>
        </w:rPr>
        <w:t xml:space="preserve"> 2010.06.30-ig megtett kötelezettségvállalások és a benyújtott kérelmek forrásigényének aránya a kerethez képest</w:t>
      </w:r>
    </w:p>
    <w:p w:rsidR="00A817A4" w:rsidRPr="00E03E1D" w:rsidRDefault="00A817A4" w:rsidP="00A817A4">
      <w:pPr>
        <w:pStyle w:val="AAMNormal"/>
      </w:pPr>
      <w:r w:rsidRPr="00E03E1D">
        <w:t>Tovább árnyalja a helyzetet az, hogy a keretek kihasználtságánál figyelembe kell venni még néhány tényezőt, amelyek az árfolyamon túl további bizonytalanságot visznek a rendszerbe:</w:t>
      </w:r>
    </w:p>
    <w:p w:rsidR="00A817A4" w:rsidRPr="00E03E1D" w:rsidRDefault="00A817A4" w:rsidP="00D5521F">
      <w:pPr>
        <w:pStyle w:val="AAMNormal"/>
        <w:numPr>
          <w:ilvl w:val="0"/>
          <w:numId w:val="14"/>
        </w:numPr>
      </w:pPr>
      <w:r w:rsidRPr="00E03E1D">
        <w:t>20 477 679 000 Ft értékben</w:t>
      </w:r>
      <w:r w:rsidRPr="00E03E1D">
        <w:rPr>
          <w:rStyle w:val="FootnoteReference"/>
        </w:rPr>
        <w:footnoteReference w:id="5"/>
      </w:r>
      <w:r w:rsidRPr="00E03E1D">
        <w:t xml:space="preserve"> nyújtottak be fellebbezést, illetve keresetlevelet kérelmezők az MVH határozataival szemben. Ugyan az MVH eddigi adatai alapján minden bírósági szakaszba jutott és már lezárt ügyben a felperes (MVH) javára döntött a bíróság, de még csak az ügyek 26,6 % zárult le, így az összes per pénzügyi egyenlege jelentős mínusz is lehet.</w:t>
      </w:r>
    </w:p>
    <w:p w:rsidR="00A817A4" w:rsidRPr="00E03E1D" w:rsidRDefault="00A817A4" w:rsidP="00D5521F">
      <w:pPr>
        <w:pStyle w:val="AAMNormal"/>
        <w:numPr>
          <w:ilvl w:val="0"/>
          <w:numId w:val="14"/>
        </w:numPr>
      </w:pPr>
      <w:r w:rsidRPr="00E03E1D">
        <w:t>Több intézkedés esetében jogosultsági alapon jár a támogatás. Ezen esetekben a támogatási kér</w:t>
      </w:r>
      <w:r w:rsidRPr="00E03E1D">
        <w:t>e</w:t>
      </w:r>
      <w:r w:rsidRPr="00E03E1D">
        <w:t>lem, egyben kifizetési kérelem is, így a kötelezettségvállalást nem lehet előre ismerni, csak becsü</w:t>
      </w:r>
      <w:r w:rsidRPr="00E03E1D">
        <w:t>l</w:t>
      </w:r>
      <w:r w:rsidRPr="00E03E1D">
        <w:t>ni. Ilyen intézkedés a 113 (</w:t>
      </w:r>
      <w:r w:rsidR="000D3161" w:rsidRPr="00E03E1D">
        <w:t>Gazdaságátadáshoz nyújtott támogatás</w:t>
      </w:r>
      <w:r w:rsidRPr="00E03E1D">
        <w:t>), 142 (Termelői csoportok m</w:t>
      </w:r>
      <w:r w:rsidRPr="00E03E1D">
        <w:t>ű</w:t>
      </w:r>
      <w:r w:rsidRPr="00E03E1D">
        <w:t>ködéséhez nyújtandó támogatás), 212 (Kedvezőtlen Adottság</w:t>
      </w:r>
      <w:r w:rsidR="000D3161" w:rsidRPr="00E03E1D">
        <w:t>ú Területek), 213 (NATURA 2000)</w:t>
      </w:r>
      <w:r w:rsidRPr="00E03E1D">
        <w:t xml:space="preserve">. A kifizetendő összeg a jogosultsági </w:t>
      </w:r>
      <w:r w:rsidR="00E25D46">
        <w:t>szabályok jövőbeni alakulásától és</w:t>
      </w:r>
      <w:r w:rsidRPr="00E03E1D">
        <w:t xml:space="preserve"> a jogosultak egyedi döntéseitől függ. Ezeknél az intézkedéseknél konzervatív becslés mentén kell </w:t>
      </w:r>
      <w:r w:rsidR="00E25D46">
        <w:t>a pénzügyi</w:t>
      </w:r>
      <w:r w:rsidRPr="00E03E1D">
        <w:t xml:space="preserve"> kereteket </w:t>
      </w:r>
      <w:r w:rsidR="00E25D46">
        <w:t>biztosítani</w:t>
      </w:r>
      <w:r w:rsidRPr="00E03E1D">
        <w:t>.</w:t>
      </w:r>
    </w:p>
    <w:p w:rsidR="00A817A4" w:rsidRPr="00E03E1D" w:rsidRDefault="005E7E76" w:rsidP="00D5521F">
      <w:pPr>
        <w:pStyle w:val="AAMNormal"/>
        <w:numPr>
          <w:ilvl w:val="0"/>
          <w:numId w:val="14"/>
        </w:numPr>
      </w:pPr>
      <w:r w:rsidRPr="005E7E76">
        <w:t>A 214 (AKG) intézkedésnél 5 évre, illetve a Mezőgazdasági Területek Első Erdősítése esetében 5-10 illetve 15 évre, az Erdő környezetvédelmi kifizetéseknél akár 10 évre vállalt kötelezettséget a m</w:t>
      </w:r>
      <w:r w:rsidRPr="005E7E76">
        <w:t>a</w:t>
      </w:r>
      <w:r w:rsidRPr="005E7E76">
        <w:t>gyar állam. Ezekhez a projektekhez csak 2013-ig (az n+2 szabály miatt legfeljebb 2015-ig) nyújt f</w:t>
      </w:r>
      <w:r w:rsidRPr="005E7E76">
        <w:t>i</w:t>
      </w:r>
      <w:r w:rsidRPr="005E7E76">
        <w:t>nanszírozást az ÚMVP. A további évekre a 2014-2020-as időszak vidékfejlesztési programja kell f</w:t>
      </w:r>
      <w:r w:rsidRPr="005E7E76">
        <w:t>i</w:t>
      </w:r>
      <w:r w:rsidRPr="005E7E76">
        <w:t xml:space="preserve">nanszírozást nyújtson (mint az NVT determináció az </w:t>
      </w:r>
      <w:proofErr w:type="spellStart"/>
      <w:r w:rsidRPr="005E7E76">
        <w:t>ÚMVP-ben</w:t>
      </w:r>
      <w:proofErr w:type="spellEnd"/>
      <w:r w:rsidRPr="005E7E76">
        <w:t>). Mivel nem látszanak ennek a pro</w:t>
      </w:r>
      <w:r w:rsidRPr="005E7E76">
        <w:t>g</w:t>
      </w:r>
      <w:r w:rsidRPr="005E7E76">
        <w:t>ramnak a feltételei, a tovább</w:t>
      </w:r>
      <w:r w:rsidR="00E25D46">
        <w:t>i</w:t>
      </w:r>
      <w:r w:rsidRPr="005E7E76">
        <w:t xml:space="preserve"> finanszírozás sem garantálható egyelőre.</w:t>
      </w:r>
    </w:p>
    <w:p w:rsidR="00A817A4" w:rsidRPr="00E03E1D" w:rsidRDefault="00A817A4" w:rsidP="00A817A4">
      <w:pPr>
        <w:pStyle w:val="AAMNormal"/>
      </w:pPr>
      <w:r w:rsidRPr="00E03E1D">
        <w:t>Növelheti a felhasználható keret mértékét a támogatott projektekből „felszabaduló” forrás. Ez kisebb mé</w:t>
      </w:r>
      <w:r w:rsidRPr="00E03E1D">
        <w:t>r</w:t>
      </w:r>
      <w:r w:rsidRPr="00E03E1D">
        <w:t>tékben várható az ellenőrzések során felderített hiányosságok vagy szabálytalanságok miatti levonáso</w:t>
      </w:r>
      <w:r w:rsidRPr="00E03E1D">
        <w:t>k</w:t>
      </w:r>
      <w:r w:rsidRPr="00E03E1D">
        <w:t>ból/visszafizetésekből, nagyobb mértékben pedig a végre nem hajtott beruházások miatt. Utóbbira legi</w:t>
      </w:r>
      <w:r w:rsidRPr="00E03E1D">
        <w:t>n</w:t>
      </w:r>
      <w:r w:rsidRPr="00E03E1D">
        <w:lastRenderedPageBreak/>
        <w:t xml:space="preserve">kább az 121.2 jogcímnél (Állattartó Telepek Korszerűsítése) lehet számítani. Konzervatív becslés szerint 28-60 </w:t>
      </w:r>
      <w:proofErr w:type="spellStart"/>
      <w:r w:rsidRPr="00E03E1D">
        <w:t>mrd</w:t>
      </w:r>
      <w:proofErr w:type="spellEnd"/>
      <w:r w:rsidRPr="00E03E1D">
        <w:t xml:space="preserve"> Ft felszabadulása várható e</w:t>
      </w:r>
      <w:r w:rsidR="00E25D46">
        <w:t>bben a</w:t>
      </w:r>
      <w:r w:rsidRPr="00E03E1D">
        <w:t xml:space="preserve"> </w:t>
      </w:r>
      <w:r w:rsidR="000D3161" w:rsidRPr="00E03E1D">
        <w:t>jogcímben</w:t>
      </w:r>
      <w:r w:rsidRPr="00E03E1D">
        <w:t>.</w:t>
      </w:r>
    </w:p>
    <w:p w:rsidR="00A817A4" w:rsidRPr="00E03E1D" w:rsidRDefault="00A817A4" w:rsidP="00A817A4">
      <w:pPr>
        <w:pStyle w:val="AAMNormal"/>
      </w:pPr>
      <w:r w:rsidRPr="00E03E1D">
        <w:t xml:space="preserve">A fentiek </w:t>
      </w:r>
      <w:r w:rsidR="00E25D46">
        <w:t>összesítése alapján</w:t>
      </w:r>
      <w:r w:rsidRPr="00E03E1D">
        <w:t xml:space="preserve"> az ÚMVP megvalósítása alapvetően két </w:t>
      </w:r>
      <w:r w:rsidR="00E25D46">
        <w:t xml:space="preserve">pénzügyi </w:t>
      </w:r>
      <w:r w:rsidRPr="00E03E1D">
        <w:t>alternatíva mentén képzelh</w:t>
      </w:r>
      <w:r w:rsidRPr="00E03E1D">
        <w:t>e</w:t>
      </w:r>
      <w:r w:rsidRPr="00E03E1D">
        <w:t>tő el.</w:t>
      </w:r>
    </w:p>
    <w:p w:rsidR="00A817A4" w:rsidRPr="00E03E1D" w:rsidRDefault="00A817A4" w:rsidP="00A817A4">
      <w:pPr>
        <w:pStyle w:val="AAMNormal"/>
      </w:pPr>
    </w:p>
    <w:p w:rsidR="00A817A4" w:rsidRPr="00E03E1D" w:rsidRDefault="00A817A4" w:rsidP="00D5521F">
      <w:pPr>
        <w:pStyle w:val="AAMNormal"/>
        <w:numPr>
          <w:ilvl w:val="0"/>
          <w:numId w:val="15"/>
        </w:numPr>
        <w:jc w:val="left"/>
        <w:rPr>
          <w:b/>
          <w:sz w:val="22"/>
          <w:szCs w:val="22"/>
        </w:rPr>
      </w:pPr>
      <w:r w:rsidRPr="00E03E1D">
        <w:rPr>
          <w:b/>
          <w:sz w:val="22"/>
          <w:szCs w:val="22"/>
        </w:rPr>
        <w:t>szcenárió: a Program a determinált pénzügyi keretek mentén halad tovább</w:t>
      </w:r>
    </w:p>
    <w:p w:rsidR="00A817A4" w:rsidRPr="00E03E1D" w:rsidRDefault="00A817A4" w:rsidP="00A817A4">
      <w:pPr>
        <w:pStyle w:val="AAMNormal"/>
      </w:pPr>
      <w:r w:rsidRPr="00E03E1D">
        <w:t xml:space="preserve"> Amennyiben a már benyújtott kérelmek olyan arányban kapnak támogatást, mint az elmúlt két évben</w:t>
      </w:r>
      <w:r w:rsidRPr="00E03E1D">
        <w:rPr>
          <w:rStyle w:val="FootnoteReference"/>
        </w:rPr>
        <w:footnoteReference w:id="6"/>
      </w:r>
      <w:r w:rsidRPr="00E03E1D">
        <w:t xml:space="preserve"> és 28 </w:t>
      </w:r>
      <w:proofErr w:type="spellStart"/>
      <w:r w:rsidRPr="00E03E1D">
        <w:t>mrd</w:t>
      </w:r>
      <w:proofErr w:type="spellEnd"/>
      <w:r w:rsidRPr="00E03E1D">
        <w:t xml:space="preserve"> Ft-nyi kötelezettségvállalás felszabadulását valószínűsítjük a 121.2 jogcímből, akkor a fennmaradó összeg az alábbiak szerint alakul az EUR/HUF árfolyam függvényében.</w:t>
      </w:r>
    </w:p>
    <w:tbl>
      <w:tblPr>
        <w:tblW w:w="0" w:type="auto"/>
        <w:tblInd w:w="1384" w:type="dxa"/>
        <w:tblBorders>
          <w:top w:val="single" w:sz="18" w:space="0" w:color="auto"/>
          <w:bottom w:val="single" w:sz="18" w:space="0" w:color="auto"/>
        </w:tblBorders>
        <w:tblLook w:val="00A0"/>
      </w:tblPr>
      <w:tblGrid>
        <w:gridCol w:w="1717"/>
        <w:gridCol w:w="2110"/>
        <w:gridCol w:w="2552"/>
      </w:tblGrid>
      <w:tr w:rsidR="00A817A4" w:rsidRPr="00E03E1D" w:rsidTr="000759A6">
        <w:trPr>
          <w:tblHeader/>
        </w:trPr>
        <w:tc>
          <w:tcPr>
            <w:tcW w:w="1717" w:type="dxa"/>
            <w:tcBorders>
              <w:top w:val="single" w:sz="18" w:space="0" w:color="auto"/>
              <w:left w:val="nil"/>
              <w:bottom w:val="single" w:sz="18" w:space="0" w:color="auto"/>
              <w:right w:val="nil"/>
            </w:tcBorders>
            <w:shd w:val="clear" w:color="auto" w:fill="C0504D"/>
          </w:tcPr>
          <w:p w:rsidR="00A817A4" w:rsidRPr="00E03E1D" w:rsidRDefault="00A817A4" w:rsidP="000759A6">
            <w:pPr>
              <w:rPr>
                <w:rFonts w:ascii="Arial" w:hAnsi="Arial" w:cs="Arial"/>
                <w:b/>
                <w:bCs/>
                <w:color w:val="FFFFFF"/>
              </w:rPr>
            </w:pPr>
          </w:p>
        </w:tc>
        <w:tc>
          <w:tcPr>
            <w:tcW w:w="2110" w:type="dxa"/>
            <w:tcBorders>
              <w:top w:val="single" w:sz="18" w:space="0" w:color="auto"/>
              <w:left w:val="nil"/>
              <w:bottom w:val="single" w:sz="18" w:space="0" w:color="auto"/>
              <w:right w:val="nil"/>
            </w:tcBorders>
            <w:shd w:val="clear" w:color="auto" w:fill="C0504D"/>
          </w:tcPr>
          <w:p w:rsidR="00A817A4" w:rsidRPr="00E03E1D" w:rsidRDefault="00A817A4" w:rsidP="000759A6">
            <w:pPr>
              <w:jc w:val="center"/>
              <w:rPr>
                <w:rFonts w:cs="Arial"/>
                <w:b/>
                <w:bCs/>
                <w:i/>
                <w:iCs/>
                <w:color w:val="FFFFFF"/>
                <w:sz w:val="18"/>
                <w:szCs w:val="18"/>
              </w:rPr>
            </w:pPr>
            <w:r w:rsidRPr="00E03E1D">
              <w:rPr>
                <w:rFonts w:cs="Arial"/>
                <w:b/>
                <w:i/>
                <w:iCs/>
                <w:color w:val="FFFFFF"/>
                <w:sz w:val="18"/>
                <w:szCs w:val="18"/>
              </w:rPr>
              <w:t>Fennmaradó keret</w:t>
            </w:r>
          </w:p>
          <w:p w:rsidR="00A817A4" w:rsidRPr="00E03E1D" w:rsidRDefault="00A817A4" w:rsidP="000759A6">
            <w:pPr>
              <w:jc w:val="center"/>
              <w:rPr>
                <w:rFonts w:cs="Arial"/>
                <w:b/>
                <w:bCs/>
                <w:i/>
                <w:iCs/>
                <w:color w:val="FFFFFF"/>
                <w:sz w:val="18"/>
                <w:szCs w:val="18"/>
              </w:rPr>
            </w:pPr>
            <w:r w:rsidRPr="00E03E1D">
              <w:rPr>
                <w:rFonts w:cs="Arial"/>
                <w:b/>
                <w:i/>
                <w:iCs/>
                <w:color w:val="FFFFFF"/>
                <w:sz w:val="18"/>
                <w:szCs w:val="18"/>
              </w:rPr>
              <w:t>(263,09 Ft/ 1 EUR)</w:t>
            </w:r>
          </w:p>
        </w:tc>
        <w:tc>
          <w:tcPr>
            <w:tcW w:w="2552" w:type="dxa"/>
            <w:tcBorders>
              <w:top w:val="single" w:sz="18" w:space="0" w:color="auto"/>
              <w:left w:val="nil"/>
              <w:bottom w:val="single" w:sz="18" w:space="0" w:color="auto"/>
              <w:right w:val="nil"/>
            </w:tcBorders>
            <w:shd w:val="clear" w:color="auto" w:fill="C0504D"/>
          </w:tcPr>
          <w:p w:rsidR="00A817A4" w:rsidRPr="00E03E1D" w:rsidRDefault="00A817A4" w:rsidP="000759A6">
            <w:pPr>
              <w:jc w:val="center"/>
              <w:rPr>
                <w:rFonts w:cs="Arial"/>
                <w:b/>
                <w:bCs/>
                <w:i/>
                <w:iCs/>
                <w:color w:val="FFFFFF"/>
                <w:sz w:val="18"/>
                <w:szCs w:val="18"/>
              </w:rPr>
            </w:pPr>
            <w:r w:rsidRPr="00E03E1D">
              <w:rPr>
                <w:rFonts w:cs="Arial"/>
                <w:b/>
                <w:i/>
                <w:iCs/>
                <w:color w:val="FFFFFF"/>
                <w:sz w:val="18"/>
                <w:szCs w:val="18"/>
              </w:rPr>
              <w:t xml:space="preserve">Fennmaradó keret </w:t>
            </w:r>
          </w:p>
          <w:p w:rsidR="00A817A4" w:rsidRPr="00E03E1D" w:rsidRDefault="00A817A4" w:rsidP="000759A6">
            <w:pPr>
              <w:jc w:val="center"/>
              <w:rPr>
                <w:rFonts w:cs="Arial"/>
                <w:b/>
                <w:bCs/>
                <w:i/>
                <w:iCs/>
                <w:color w:val="FFFFFF"/>
                <w:sz w:val="18"/>
                <w:szCs w:val="18"/>
              </w:rPr>
            </w:pPr>
            <w:r w:rsidRPr="00E03E1D">
              <w:rPr>
                <w:rFonts w:cs="Arial"/>
                <w:b/>
                <w:i/>
                <w:iCs/>
                <w:color w:val="FFFFFF"/>
                <w:sz w:val="18"/>
                <w:szCs w:val="18"/>
              </w:rPr>
              <w:t>(280 Ft/ 1 EUR)</w:t>
            </w:r>
          </w:p>
        </w:tc>
      </w:tr>
      <w:tr w:rsidR="00A817A4" w:rsidRPr="00E03E1D" w:rsidTr="000759A6">
        <w:tc>
          <w:tcPr>
            <w:tcW w:w="1717" w:type="dxa"/>
            <w:tcBorders>
              <w:left w:val="nil"/>
              <w:bottom w:val="nil"/>
              <w:right w:val="nil"/>
            </w:tcBorders>
            <w:shd w:val="clear" w:color="auto" w:fill="C0504D"/>
          </w:tcPr>
          <w:p w:rsidR="00A817A4" w:rsidRPr="00E03E1D" w:rsidRDefault="00A817A4" w:rsidP="000759A6">
            <w:pPr>
              <w:rPr>
                <w:rFonts w:ascii="Arial" w:hAnsi="Arial" w:cs="Arial"/>
                <w:b/>
                <w:bCs/>
                <w:color w:val="FFFFFF"/>
              </w:rPr>
            </w:pPr>
            <w:r w:rsidRPr="00E03E1D">
              <w:rPr>
                <w:rFonts w:ascii="Arial" w:hAnsi="Arial" w:cs="Arial"/>
                <w:b/>
                <w:bCs/>
                <w:color w:val="FFFFFF"/>
              </w:rPr>
              <w:t>ÚMVP</w:t>
            </w:r>
          </w:p>
        </w:tc>
        <w:tc>
          <w:tcPr>
            <w:tcW w:w="2110" w:type="dxa"/>
            <w:shd w:val="clear" w:color="auto" w:fill="D8D8D8"/>
            <w:vAlign w:val="bottom"/>
          </w:tcPr>
          <w:p w:rsidR="00A817A4" w:rsidRPr="00E03E1D" w:rsidRDefault="00A817A4" w:rsidP="000759A6">
            <w:pPr>
              <w:jc w:val="right"/>
              <w:rPr>
                <w:rFonts w:ascii="Arial" w:hAnsi="Arial" w:cs="Arial"/>
              </w:rPr>
            </w:pPr>
            <w:r w:rsidRPr="00E03E1D">
              <w:rPr>
                <w:rFonts w:ascii="Arial" w:hAnsi="Arial" w:cs="Arial"/>
              </w:rPr>
              <w:t>167 710 314 984 Ft</w:t>
            </w:r>
          </w:p>
        </w:tc>
        <w:tc>
          <w:tcPr>
            <w:tcW w:w="2552" w:type="dxa"/>
            <w:shd w:val="clear" w:color="auto" w:fill="D8D8D8"/>
            <w:vAlign w:val="bottom"/>
          </w:tcPr>
          <w:p w:rsidR="00A817A4" w:rsidRPr="00E03E1D" w:rsidRDefault="00A817A4" w:rsidP="000759A6">
            <w:pPr>
              <w:jc w:val="right"/>
              <w:rPr>
                <w:rFonts w:ascii="Arial" w:hAnsi="Arial" w:cs="Arial"/>
              </w:rPr>
            </w:pPr>
            <w:r w:rsidRPr="00E03E1D">
              <w:rPr>
                <w:rFonts w:ascii="Arial" w:hAnsi="Arial" w:cs="Arial"/>
              </w:rPr>
              <w:t>244 509 244 819 Ft</w:t>
            </w:r>
          </w:p>
        </w:tc>
      </w:tr>
      <w:tr w:rsidR="00A817A4" w:rsidRPr="00E03E1D" w:rsidTr="000759A6">
        <w:tc>
          <w:tcPr>
            <w:tcW w:w="1717" w:type="dxa"/>
            <w:tcBorders>
              <w:left w:val="nil"/>
              <w:bottom w:val="nil"/>
              <w:right w:val="nil"/>
            </w:tcBorders>
            <w:shd w:val="clear" w:color="auto" w:fill="C0504D"/>
          </w:tcPr>
          <w:p w:rsidR="00A817A4" w:rsidRPr="00E03E1D" w:rsidRDefault="00A817A4" w:rsidP="000759A6">
            <w:pPr>
              <w:rPr>
                <w:rFonts w:ascii="Arial" w:hAnsi="Arial" w:cs="Arial"/>
                <w:b/>
                <w:bCs/>
                <w:color w:val="FFFFFF"/>
              </w:rPr>
            </w:pPr>
            <w:r w:rsidRPr="00E03E1D">
              <w:rPr>
                <w:rFonts w:ascii="Arial" w:hAnsi="Arial" w:cs="Arial"/>
                <w:b/>
                <w:bCs/>
                <w:color w:val="FFFFFF"/>
              </w:rPr>
              <w:t>I. tengely</w:t>
            </w:r>
          </w:p>
        </w:tc>
        <w:tc>
          <w:tcPr>
            <w:tcW w:w="2110" w:type="dxa"/>
            <w:vAlign w:val="bottom"/>
          </w:tcPr>
          <w:p w:rsidR="00A817A4" w:rsidRPr="00E03E1D" w:rsidRDefault="00A817A4" w:rsidP="000759A6">
            <w:pPr>
              <w:jc w:val="right"/>
              <w:rPr>
                <w:rFonts w:ascii="Arial" w:hAnsi="Arial" w:cs="Arial"/>
              </w:rPr>
            </w:pPr>
            <w:r w:rsidRPr="00E03E1D">
              <w:rPr>
                <w:rFonts w:ascii="Arial" w:hAnsi="Arial" w:cs="Arial"/>
              </w:rPr>
              <w:t>35 326 992 881 Ft</w:t>
            </w:r>
          </w:p>
        </w:tc>
        <w:tc>
          <w:tcPr>
            <w:tcW w:w="2552" w:type="dxa"/>
            <w:vAlign w:val="bottom"/>
          </w:tcPr>
          <w:p w:rsidR="00A817A4" w:rsidRPr="00E03E1D" w:rsidRDefault="00A817A4" w:rsidP="000759A6">
            <w:pPr>
              <w:jc w:val="right"/>
              <w:rPr>
                <w:rFonts w:ascii="Arial" w:hAnsi="Arial" w:cs="Arial"/>
              </w:rPr>
            </w:pPr>
            <w:r w:rsidRPr="00E03E1D">
              <w:rPr>
                <w:rFonts w:ascii="Arial" w:hAnsi="Arial" w:cs="Arial"/>
              </w:rPr>
              <w:t>75 294 868 170 Ft</w:t>
            </w:r>
          </w:p>
        </w:tc>
      </w:tr>
      <w:tr w:rsidR="00A817A4" w:rsidRPr="00E03E1D" w:rsidTr="000759A6">
        <w:tc>
          <w:tcPr>
            <w:tcW w:w="1717" w:type="dxa"/>
            <w:tcBorders>
              <w:left w:val="nil"/>
              <w:bottom w:val="nil"/>
              <w:right w:val="nil"/>
            </w:tcBorders>
            <w:shd w:val="clear" w:color="auto" w:fill="C0504D"/>
          </w:tcPr>
          <w:p w:rsidR="00A817A4" w:rsidRPr="00E03E1D" w:rsidRDefault="00A817A4" w:rsidP="000759A6">
            <w:pPr>
              <w:rPr>
                <w:rFonts w:ascii="Arial" w:hAnsi="Arial" w:cs="Arial"/>
                <w:b/>
                <w:bCs/>
                <w:color w:val="FFFFFF"/>
              </w:rPr>
            </w:pPr>
            <w:r w:rsidRPr="00E03E1D">
              <w:rPr>
                <w:rFonts w:ascii="Arial" w:hAnsi="Arial" w:cs="Arial"/>
                <w:b/>
                <w:bCs/>
                <w:color w:val="FFFFFF"/>
              </w:rPr>
              <w:t>II. tengely</w:t>
            </w:r>
          </w:p>
        </w:tc>
        <w:tc>
          <w:tcPr>
            <w:tcW w:w="2110" w:type="dxa"/>
            <w:shd w:val="clear" w:color="auto" w:fill="D8D8D8"/>
            <w:vAlign w:val="bottom"/>
          </w:tcPr>
          <w:p w:rsidR="00A817A4" w:rsidRPr="00E03E1D" w:rsidRDefault="00A817A4" w:rsidP="000759A6">
            <w:pPr>
              <w:jc w:val="right"/>
              <w:rPr>
                <w:rFonts w:ascii="Arial" w:hAnsi="Arial" w:cs="Arial"/>
              </w:rPr>
            </w:pPr>
            <w:r w:rsidRPr="00E03E1D">
              <w:rPr>
                <w:rFonts w:ascii="Arial" w:hAnsi="Arial" w:cs="Arial"/>
              </w:rPr>
              <w:t>46 697 019 433 Ft</w:t>
            </w:r>
          </w:p>
        </w:tc>
        <w:tc>
          <w:tcPr>
            <w:tcW w:w="2552" w:type="dxa"/>
            <w:shd w:val="clear" w:color="auto" w:fill="D8D8D8"/>
            <w:vAlign w:val="bottom"/>
          </w:tcPr>
          <w:p w:rsidR="00A817A4" w:rsidRPr="00E03E1D" w:rsidRDefault="00A817A4" w:rsidP="000759A6">
            <w:pPr>
              <w:jc w:val="right"/>
              <w:rPr>
                <w:rFonts w:ascii="Arial" w:hAnsi="Arial" w:cs="Arial"/>
              </w:rPr>
            </w:pPr>
            <w:r w:rsidRPr="00E03E1D">
              <w:rPr>
                <w:rFonts w:ascii="Arial" w:hAnsi="Arial" w:cs="Arial"/>
              </w:rPr>
              <w:t>67 210 202 030 Ft</w:t>
            </w:r>
          </w:p>
        </w:tc>
      </w:tr>
      <w:tr w:rsidR="00A817A4" w:rsidRPr="00E03E1D" w:rsidTr="000759A6">
        <w:tc>
          <w:tcPr>
            <w:tcW w:w="1717" w:type="dxa"/>
            <w:tcBorders>
              <w:left w:val="nil"/>
              <w:bottom w:val="nil"/>
              <w:right w:val="nil"/>
            </w:tcBorders>
            <w:shd w:val="clear" w:color="auto" w:fill="C0504D"/>
          </w:tcPr>
          <w:p w:rsidR="00A817A4" w:rsidRPr="00E03E1D" w:rsidRDefault="00A817A4" w:rsidP="000759A6">
            <w:pPr>
              <w:rPr>
                <w:rFonts w:ascii="Arial" w:hAnsi="Arial" w:cs="Arial"/>
                <w:b/>
                <w:bCs/>
                <w:color w:val="FFFFFF"/>
              </w:rPr>
            </w:pPr>
            <w:r w:rsidRPr="00E03E1D">
              <w:rPr>
                <w:rFonts w:ascii="Arial" w:hAnsi="Arial" w:cs="Arial"/>
                <w:b/>
                <w:bCs/>
                <w:color w:val="FFFFFF"/>
              </w:rPr>
              <w:t>III. tengely</w:t>
            </w:r>
          </w:p>
        </w:tc>
        <w:tc>
          <w:tcPr>
            <w:tcW w:w="2110" w:type="dxa"/>
            <w:vAlign w:val="bottom"/>
          </w:tcPr>
          <w:p w:rsidR="00A817A4" w:rsidRPr="00E03E1D" w:rsidRDefault="00A817A4" w:rsidP="000759A6">
            <w:pPr>
              <w:jc w:val="right"/>
              <w:rPr>
                <w:rFonts w:ascii="Arial" w:hAnsi="Arial" w:cs="Arial"/>
              </w:rPr>
            </w:pPr>
            <w:r w:rsidRPr="00E03E1D">
              <w:rPr>
                <w:rFonts w:ascii="Arial" w:hAnsi="Arial" w:cs="Arial"/>
              </w:rPr>
              <w:t>30 288 548 166 Ft</w:t>
            </w:r>
          </w:p>
        </w:tc>
        <w:tc>
          <w:tcPr>
            <w:tcW w:w="2552" w:type="dxa"/>
            <w:vAlign w:val="bottom"/>
          </w:tcPr>
          <w:p w:rsidR="00A817A4" w:rsidRPr="00E03E1D" w:rsidRDefault="00A817A4" w:rsidP="000759A6">
            <w:pPr>
              <w:jc w:val="right"/>
              <w:rPr>
                <w:rFonts w:ascii="Arial" w:hAnsi="Arial" w:cs="Arial"/>
              </w:rPr>
            </w:pPr>
            <w:r w:rsidRPr="00E03E1D">
              <w:rPr>
                <w:rFonts w:ascii="Arial" w:hAnsi="Arial" w:cs="Arial"/>
              </w:rPr>
              <w:t>41 986 997 552 Ft</w:t>
            </w:r>
          </w:p>
        </w:tc>
      </w:tr>
      <w:tr w:rsidR="00A817A4" w:rsidRPr="00E03E1D" w:rsidTr="000759A6">
        <w:trPr>
          <w:trHeight w:val="303"/>
        </w:trPr>
        <w:tc>
          <w:tcPr>
            <w:tcW w:w="1717" w:type="dxa"/>
            <w:tcBorders>
              <w:left w:val="nil"/>
              <w:bottom w:val="single" w:sz="18" w:space="0" w:color="auto"/>
              <w:right w:val="nil"/>
            </w:tcBorders>
            <w:shd w:val="clear" w:color="auto" w:fill="C0504D"/>
          </w:tcPr>
          <w:p w:rsidR="00A817A4" w:rsidRPr="00E03E1D" w:rsidRDefault="00A817A4" w:rsidP="000759A6">
            <w:pPr>
              <w:keepNext/>
              <w:rPr>
                <w:rFonts w:ascii="Arial" w:hAnsi="Arial" w:cs="Arial"/>
                <w:b/>
                <w:bCs/>
              </w:rPr>
            </w:pPr>
            <w:r w:rsidRPr="00E03E1D">
              <w:rPr>
                <w:rFonts w:ascii="Arial" w:hAnsi="Arial" w:cs="Arial"/>
                <w:b/>
                <w:bCs/>
                <w:color w:val="FFFFFF"/>
              </w:rPr>
              <w:t>IV. tengely</w:t>
            </w:r>
          </w:p>
        </w:tc>
        <w:tc>
          <w:tcPr>
            <w:tcW w:w="2110" w:type="dxa"/>
            <w:tcBorders>
              <w:bottom w:val="single" w:sz="18" w:space="0" w:color="auto"/>
            </w:tcBorders>
            <w:shd w:val="clear" w:color="auto" w:fill="D8D8D8"/>
            <w:vAlign w:val="bottom"/>
          </w:tcPr>
          <w:p w:rsidR="00A817A4" w:rsidRPr="00E03E1D" w:rsidRDefault="00A817A4" w:rsidP="000759A6">
            <w:pPr>
              <w:keepNext/>
              <w:jc w:val="right"/>
              <w:rPr>
                <w:rFonts w:ascii="Arial" w:hAnsi="Arial" w:cs="Arial"/>
              </w:rPr>
            </w:pPr>
            <w:r w:rsidRPr="00E03E1D">
              <w:rPr>
                <w:rFonts w:ascii="Arial" w:hAnsi="Arial" w:cs="Arial"/>
              </w:rPr>
              <w:t>55 397 754 505 Ft</w:t>
            </w:r>
          </w:p>
        </w:tc>
        <w:tc>
          <w:tcPr>
            <w:tcW w:w="2552" w:type="dxa"/>
            <w:tcBorders>
              <w:bottom w:val="single" w:sz="18" w:space="0" w:color="auto"/>
            </w:tcBorders>
            <w:shd w:val="clear" w:color="auto" w:fill="D8D8D8"/>
            <w:vAlign w:val="bottom"/>
          </w:tcPr>
          <w:p w:rsidR="00A817A4" w:rsidRPr="00E03E1D" w:rsidRDefault="00A817A4" w:rsidP="000759A6">
            <w:pPr>
              <w:keepNext/>
              <w:jc w:val="right"/>
              <w:rPr>
                <w:rFonts w:ascii="Arial" w:hAnsi="Arial" w:cs="Arial"/>
              </w:rPr>
            </w:pPr>
            <w:r w:rsidRPr="00E03E1D">
              <w:rPr>
                <w:rFonts w:ascii="Arial" w:hAnsi="Arial" w:cs="Arial"/>
              </w:rPr>
              <w:t>60 017 177 068 Ft</w:t>
            </w:r>
          </w:p>
        </w:tc>
      </w:tr>
    </w:tbl>
    <w:p w:rsidR="00E25D46" w:rsidRPr="00E03E1D" w:rsidRDefault="00CF0DD4" w:rsidP="00E25D46">
      <w:pPr>
        <w:pStyle w:val="Caption"/>
        <w:spacing w:before="60" w:after="120" w:line="280" w:lineRule="atLeast"/>
        <w:jc w:val="center"/>
        <w:rPr>
          <w:color w:val="auto"/>
        </w:rPr>
      </w:pPr>
      <w:r w:rsidRPr="00E03E1D">
        <w:rPr>
          <w:color w:val="auto"/>
        </w:rPr>
        <w:fldChar w:fldCharType="begin"/>
      </w:r>
      <w:r w:rsidR="00E25D46" w:rsidRPr="00E03E1D">
        <w:rPr>
          <w:color w:val="auto"/>
        </w:rPr>
        <w:instrText xml:space="preserve"> SEQ táblázat \* ARABIC </w:instrText>
      </w:r>
      <w:r w:rsidRPr="00E03E1D">
        <w:rPr>
          <w:color w:val="auto"/>
        </w:rPr>
        <w:fldChar w:fldCharType="separate"/>
      </w:r>
      <w:r w:rsidR="00E25D46">
        <w:rPr>
          <w:noProof/>
          <w:color w:val="auto"/>
        </w:rPr>
        <w:t>3</w:t>
      </w:r>
      <w:r w:rsidRPr="00E03E1D">
        <w:rPr>
          <w:color w:val="auto"/>
        </w:rPr>
        <w:fldChar w:fldCharType="end"/>
      </w:r>
      <w:r w:rsidR="00E25D46" w:rsidRPr="00E03E1D">
        <w:rPr>
          <w:color w:val="auto"/>
        </w:rPr>
        <w:t xml:space="preserve">. táblázat: </w:t>
      </w:r>
      <w:r w:rsidR="00E25D46" w:rsidRPr="00E25D46">
        <w:rPr>
          <w:color w:val="auto"/>
        </w:rPr>
        <w:t xml:space="preserve">Az </w:t>
      </w:r>
      <w:proofErr w:type="spellStart"/>
      <w:r w:rsidR="00E25D46" w:rsidRPr="00E25D46">
        <w:rPr>
          <w:color w:val="auto"/>
        </w:rPr>
        <w:t>ÚMVP-ben</w:t>
      </w:r>
      <w:proofErr w:type="spellEnd"/>
      <w:r w:rsidR="00E25D46" w:rsidRPr="00E25D46">
        <w:rPr>
          <w:color w:val="auto"/>
        </w:rPr>
        <w:t xml:space="preserve"> megmaradó keret az 1. szcenárió szerint</w:t>
      </w:r>
    </w:p>
    <w:p w:rsidR="00A817A4" w:rsidRPr="00E03E1D" w:rsidRDefault="00A817A4" w:rsidP="00A817A4">
      <w:pPr>
        <w:pStyle w:val="AAMNormal"/>
      </w:pPr>
      <w:r w:rsidRPr="00E03E1D">
        <w:t>A tengelyek között gyakorlatilag alig lehet már átcsoportosítani, mert a 1698/2005 EK rendelet szerint a II. tengelyre a Program keretének legalább 25%-át, míg a IV. tengelyre legalább 5%-át kell biztosítani és jele</w:t>
      </w:r>
      <w:r w:rsidRPr="00E03E1D">
        <w:t>n</w:t>
      </w:r>
      <w:r w:rsidRPr="00E03E1D">
        <w:t>legi indikatív részesedésük 26% és 6%. Így csak az I. -</w:t>
      </w:r>
      <w:r w:rsidR="00E25D46">
        <w:t>&gt;</w:t>
      </w:r>
      <w:r w:rsidRPr="00E03E1D">
        <w:t xml:space="preserve"> III., III</w:t>
      </w:r>
      <w:r w:rsidR="00E25D46">
        <w:t xml:space="preserve"> </w:t>
      </w:r>
      <w:r w:rsidRPr="00E03E1D">
        <w:t>-</w:t>
      </w:r>
      <w:r w:rsidR="00E25D46">
        <w:t xml:space="preserve">&gt; </w:t>
      </w:r>
      <w:r w:rsidRPr="00E03E1D">
        <w:t>I, I</w:t>
      </w:r>
      <w:r w:rsidR="00E25D46">
        <w:t xml:space="preserve"> </w:t>
      </w:r>
      <w:r w:rsidRPr="00E03E1D">
        <w:t>-</w:t>
      </w:r>
      <w:r w:rsidR="00E25D46">
        <w:t xml:space="preserve">&gt; </w:t>
      </w:r>
      <w:r w:rsidRPr="00E03E1D">
        <w:t>II, III</w:t>
      </w:r>
      <w:r w:rsidR="00E25D46">
        <w:t xml:space="preserve"> </w:t>
      </w:r>
      <w:r w:rsidRPr="00E03E1D">
        <w:t>-</w:t>
      </w:r>
      <w:r w:rsidR="00E25D46">
        <w:t xml:space="preserve">&gt; </w:t>
      </w:r>
      <w:r w:rsidRPr="00E03E1D">
        <w:t>II irányokban lehet átcsoport</w:t>
      </w:r>
      <w:r w:rsidRPr="00E03E1D">
        <w:t>o</w:t>
      </w:r>
      <w:r w:rsidRPr="00E03E1D">
        <w:t>sítást megvalósítani. Érdemi átcsoportosításhoz az EU Bizottság hozzájárulása is szükséges.</w:t>
      </w:r>
    </w:p>
    <w:p w:rsidR="00A817A4" w:rsidRPr="00E03E1D" w:rsidRDefault="00A817A4" w:rsidP="00A817A4">
      <w:pPr>
        <w:pStyle w:val="AAMNormal"/>
      </w:pPr>
      <w:r w:rsidRPr="00E03E1D">
        <w:rPr>
          <w:b/>
        </w:rPr>
        <w:t xml:space="preserve">Ebben a szcenárióban a megmaradó forrás alapvetően a bizonytalansági tényezők </w:t>
      </w:r>
      <w:proofErr w:type="gramStart"/>
      <w:r w:rsidRPr="00E03E1D">
        <w:rPr>
          <w:b/>
        </w:rPr>
        <w:t>kezelésére</w:t>
      </w:r>
      <w:r w:rsidRPr="00E03E1D">
        <w:rPr>
          <w:rStyle w:val="FootnoteReference"/>
          <w:b/>
        </w:rPr>
        <w:footnoteReference w:id="7"/>
      </w:r>
      <w:r w:rsidRPr="00E03E1D">
        <w:rPr>
          <w:b/>
        </w:rPr>
        <w:t>,</w:t>
      </w:r>
      <w:proofErr w:type="gramEnd"/>
      <w:r w:rsidRPr="00E03E1D">
        <w:rPr>
          <w:b/>
        </w:rPr>
        <w:t xml:space="preserve"> a IV. tengely lebonyolítására és az I, II, III tengelyben pilot jellegű projektek megvalósítására elegendő. Utóbbiakat úgy érdemes kiválasztani, ki lehessen próbálni azokat az új támogatási konstrukciókat, amelyeknek a szakpolit</w:t>
      </w:r>
      <w:r w:rsidRPr="00E03E1D">
        <w:rPr>
          <w:b/>
        </w:rPr>
        <w:t>i</w:t>
      </w:r>
      <w:r w:rsidRPr="00E03E1D">
        <w:rPr>
          <w:b/>
        </w:rPr>
        <w:t>ka 2014-től jelentős szerepet szán</w:t>
      </w:r>
      <w:r w:rsidRPr="00E03E1D">
        <w:t xml:space="preserve">. Jelentősebb, az </w:t>
      </w:r>
      <w:r w:rsidR="00E25D46">
        <w:t>élelmiszergazdaságot</w:t>
      </w:r>
      <w:r w:rsidRPr="00E03E1D">
        <w:t xml:space="preserve"> érdemben megmozgató intézk</w:t>
      </w:r>
      <w:r w:rsidRPr="00E03E1D">
        <w:t>e</w:t>
      </w:r>
      <w:r w:rsidRPr="00E03E1D">
        <w:t xml:space="preserve">désre a maradvány </w:t>
      </w:r>
      <w:r w:rsidR="00E25D46">
        <w:t xml:space="preserve">ebben az esetben </w:t>
      </w:r>
      <w:r w:rsidRPr="00E03E1D">
        <w:t>nem elegendő.</w:t>
      </w:r>
    </w:p>
    <w:p w:rsidR="00A817A4" w:rsidRPr="00E03E1D" w:rsidRDefault="00A817A4" w:rsidP="00A817A4">
      <w:pPr>
        <w:pStyle w:val="AAMNormal"/>
      </w:pPr>
    </w:p>
    <w:p w:rsidR="00A817A4" w:rsidRPr="00E03E1D" w:rsidRDefault="00A817A4" w:rsidP="00D5521F">
      <w:pPr>
        <w:pStyle w:val="AAMNormal"/>
        <w:numPr>
          <w:ilvl w:val="0"/>
          <w:numId w:val="15"/>
        </w:numPr>
        <w:jc w:val="left"/>
        <w:rPr>
          <w:b/>
          <w:sz w:val="22"/>
          <w:szCs w:val="22"/>
        </w:rPr>
      </w:pPr>
      <w:r w:rsidRPr="00E03E1D">
        <w:rPr>
          <w:b/>
          <w:sz w:val="22"/>
          <w:szCs w:val="22"/>
        </w:rPr>
        <w:t>szcenárió: az I. tengely projektjei a korábbi gyakorlatnál kisebb mértékben nyernek támogatást</w:t>
      </w:r>
    </w:p>
    <w:p w:rsidR="00A817A4" w:rsidRPr="00E03E1D" w:rsidRDefault="00A817A4" w:rsidP="00A817A4">
      <w:pPr>
        <w:pStyle w:val="AAMNormal"/>
      </w:pPr>
      <w:r w:rsidRPr="00E03E1D">
        <w:t>Az Irányító Hatóságnak (a Forrás Allokációs Bizottságnak) joga van arra, hogy a rangsorba helyezett kére</w:t>
      </w:r>
      <w:r w:rsidRPr="00E03E1D">
        <w:t>l</w:t>
      </w:r>
      <w:r w:rsidRPr="00E03E1D">
        <w:t>mek forrásigénye ismeretében az adott körben egyedileg határozza meg a szétosztható keret mértékét. Amennyiben az I. tengelyben az eddigi 67,9%-os nyerési arány helyett csak a forrás egyharmada kerülne megítélésre, a többi tengelyben pedig a korábbi évek nyerési aránya maradna, a fennmaradó keret a köve</w:t>
      </w:r>
      <w:r w:rsidRPr="00E03E1D">
        <w:t>t</w:t>
      </w:r>
      <w:r w:rsidRPr="00E03E1D">
        <w:t>kezőképpen alakulna.</w:t>
      </w:r>
    </w:p>
    <w:tbl>
      <w:tblPr>
        <w:tblW w:w="0" w:type="auto"/>
        <w:tblInd w:w="1384" w:type="dxa"/>
        <w:tblBorders>
          <w:top w:val="single" w:sz="18" w:space="0" w:color="auto"/>
          <w:bottom w:val="single" w:sz="18" w:space="0" w:color="auto"/>
        </w:tblBorders>
        <w:tblLook w:val="00A0"/>
      </w:tblPr>
      <w:tblGrid>
        <w:gridCol w:w="1717"/>
        <w:gridCol w:w="2110"/>
        <w:gridCol w:w="2552"/>
      </w:tblGrid>
      <w:tr w:rsidR="00A817A4" w:rsidRPr="00E03E1D" w:rsidTr="000759A6">
        <w:trPr>
          <w:tblHeader/>
        </w:trPr>
        <w:tc>
          <w:tcPr>
            <w:tcW w:w="1717" w:type="dxa"/>
            <w:tcBorders>
              <w:top w:val="single" w:sz="18" w:space="0" w:color="auto"/>
              <w:left w:val="nil"/>
              <w:bottom w:val="single" w:sz="18" w:space="0" w:color="auto"/>
              <w:right w:val="nil"/>
            </w:tcBorders>
            <w:shd w:val="clear" w:color="auto" w:fill="C0504D"/>
          </w:tcPr>
          <w:p w:rsidR="00A817A4" w:rsidRPr="00E03E1D" w:rsidRDefault="00A817A4" w:rsidP="000759A6">
            <w:pPr>
              <w:rPr>
                <w:rFonts w:ascii="Arial" w:hAnsi="Arial" w:cs="Arial"/>
                <w:b/>
                <w:bCs/>
                <w:color w:val="FFFFFF"/>
              </w:rPr>
            </w:pPr>
          </w:p>
        </w:tc>
        <w:tc>
          <w:tcPr>
            <w:tcW w:w="2110" w:type="dxa"/>
            <w:tcBorders>
              <w:top w:val="single" w:sz="18" w:space="0" w:color="auto"/>
              <w:left w:val="nil"/>
              <w:bottom w:val="single" w:sz="18" w:space="0" w:color="auto"/>
              <w:right w:val="nil"/>
            </w:tcBorders>
            <w:shd w:val="clear" w:color="auto" w:fill="C0504D"/>
          </w:tcPr>
          <w:p w:rsidR="00A817A4" w:rsidRPr="00E03E1D" w:rsidRDefault="00A817A4" w:rsidP="000759A6">
            <w:pPr>
              <w:jc w:val="center"/>
              <w:rPr>
                <w:rFonts w:cs="Arial"/>
                <w:b/>
                <w:bCs/>
                <w:i/>
                <w:iCs/>
                <w:color w:val="FFFFFF"/>
                <w:sz w:val="18"/>
                <w:szCs w:val="18"/>
              </w:rPr>
            </w:pPr>
            <w:r w:rsidRPr="00E03E1D">
              <w:rPr>
                <w:rFonts w:cs="Arial"/>
                <w:b/>
                <w:i/>
                <w:iCs/>
                <w:color w:val="FFFFFF"/>
                <w:sz w:val="18"/>
                <w:szCs w:val="18"/>
              </w:rPr>
              <w:t>Fennmaradó keret</w:t>
            </w:r>
          </w:p>
          <w:p w:rsidR="00A817A4" w:rsidRPr="00E03E1D" w:rsidRDefault="00A817A4" w:rsidP="000759A6">
            <w:pPr>
              <w:jc w:val="center"/>
              <w:rPr>
                <w:rFonts w:cs="Arial"/>
                <w:b/>
                <w:bCs/>
                <w:i/>
                <w:iCs/>
                <w:color w:val="FFFFFF"/>
                <w:sz w:val="18"/>
                <w:szCs w:val="18"/>
              </w:rPr>
            </w:pPr>
            <w:r w:rsidRPr="00E03E1D">
              <w:rPr>
                <w:rFonts w:cs="Arial"/>
                <w:b/>
                <w:i/>
                <w:iCs/>
                <w:color w:val="FFFFFF"/>
                <w:sz w:val="18"/>
                <w:szCs w:val="18"/>
              </w:rPr>
              <w:t>(263,09 Ft/ 1 EUR)</w:t>
            </w:r>
          </w:p>
        </w:tc>
        <w:tc>
          <w:tcPr>
            <w:tcW w:w="2552" w:type="dxa"/>
            <w:tcBorders>
              <w:top w:val="single" w:sz="18" w:space="0" w:color="auto"/>
              <w:left w:val="nil"/>
              <w:bottom w:val="single" w:sz="18" w:space="0" w:color="auto"/>
              <w:right w:val="nil"/>
            </w:tcBorders>
            <w:shd w:val="clear" w:color="auto" w:fill="C0504D"/>
          </w:tcPr>
          <w:p w:rsidR="00A817A4" w:rsidRPr="00E03E1D" w:rsidRDefault="00A817A4" w:rsidP="000759A6">
            <w:pPr>
              <w:jc w:val="center"/>
              <w:rPr>
                <w:rFonts w:cs="Arial"/>
                <w:b/>
                <w:bCs/>
                <w:i/>
                <w:iCs/>
                <w:color w:val="FFFFFF"/>
                <w:sz w:val="18"/>
                <w:szCs w:val="18"/>
              </w:rPr>
            </w:pPr>
            <w:r w:rsidRPr="00E03E1D">
              <w:rPr>
                <w:rFonts w:cs="Arial"/>
                <w:b/>
                <w:i/>
                <w:iCs/>
                <w:color w:val="FFFFFF"/>
                <w:sz w:val="18"/>
                <w:szCs w:val="18"/>
              </w:rPr>
              <w:t>Fennmaradó keret (280 Ft/ 1 EUR)</w:t>
            </w:r>
          </w:p>
        </w:tc>
      </w:tr>
      <w:tr w:rsidR="00A817A4" w:rsidRPr="00E03E1D" w:rsidTr="000759A6">
        <w:tc>
          <w:tcPr>
            <w:tcW w:w="1717" w:type="dxa"/>
            <w:tcBorders>
              <w:left w:val="nil"/>
              <w:bottom w:val="nil"/>
              <w:right w:val="nil"/>
            </w:tcBorders>
            <w:shd w:val="clear" w:color="auto" w:fill="C0504D"/>
          </w:tcPr>
          <w:p w:rsidR="00A817A4" w:rsidRPr="00E03E1D" w:rsidRDefault="00A817A4" w:rsidP="000759A6">
            <w:pPr>
              <w:rPr>
                <w:rFonts w:ascii="Arial" w:hAnsi="Arial" w:cs="Arial"/>
                <w:b/>
                <w:bCs/>
                <w:color w:val="FFFFFF"/>
              </w:rPr>
            </w:pPr>
            <w:r w:rsidRPr="00E03E1D">
              <w:rPr>
                <w:rFonts w:ascii="Arial" w:hAnsi="Arial" w:cs="Arial"/>
                <w:b/>
                <w:bCs/>
                <w:color w:val="FFFFFF"/>
              </w:rPr>
              <w:t>ÚMVP</w:t>
            </w:r>
          </w:p>
        </w:tc>
        <w:tc>
          <w:tcPr>
            <w:tcW w:w="2110" w:type="dxa"/>
            <w:shd w:val="clear" w:color="auto" w:fill="D8D8D8"/>
            <w:vAlign w:val="bottom"/>
          </w:tcPr>
          <w:p w:rsidR="00A817A4" w:rsidRPr="00E03E1D" w:rsidRDefault="00A817A4" w:rsidP="000759A6">
            <w:pPr>
              <w:jc w:val="right"/>
              <w:rPr>
                <w:rFonts w:ascii="Arial" w:hAnsi="Arial" w:cs="Arial"/>
              </w:rPr>
            </w:pPr>
            <w:r w:rsidRPr="00E03E1D">
              <w:rPr>
                <w:rFonts w:ascii="Arial" w:hAnsi="Arial" w:cs="Arial"/>
              </w:rPr>
              <w:t>243 138 528 024 Ft</w:t>
            </w:r>
          </w:p>
        </w:tc>
        <w:tc>
          <w:tcPr>
            <w:tcW w:w="2552" w:type="dxa"/>
            <w:shd w:val="clear" w:color="auto" w:fill="D8D8D8"/>
            <w:vAlign w:val="bottom"/>
          </w:tcPr>
          <w:p w:rsidR="00A817A4" w:rsidRPr="00E03E1D" w:rsidRDefault="00A817A4" w:rsidP="000759A6">
            <w:pPr>
              <w:jc w:val="right"/>
              <w:rPr>
                <w:rFonts w:ascii="Arial" w:hAnsi="Arial" w:cs="Arial"/>
              </w:rPr>
            </w:pPr>
            <w:r w:rsidRPr="00E03E1D">
              <w:rPr>
                <w:rFonts w:ascii="Arial" w:hAnsi="Arial" w:cs="Arial"/>
              </w:rPr>
              <w:t>310 937 457 859 Ft</w:t>
            </w:r>
          </w:p>
        </w:tc>
      </w:tr>
      <w:tr w:rsidR="00A817A4" w:rsidRPr="00E03E1D" w:rsidTr="000759A6">
        <w:tc>
          <w:tcPr>
            <w:tcW w:w="1717" w:type="dxa"/>
            <w:tcBorders>
              <w:left w:val="nil"/>
              <w:bottom w:val="nil"/>
              <w:right w:val="nil"/>
            </w:tcBorders>
            <w:shd w:val="clear" w:color="auto" w:fill="C0504D"/>
          </w:tcPr>
          <w:p w:rsidR="00A817A4" w:rsidRPr="00E03E1D" w:rsidRDefault="00A817A4" w:rsidP="000759A6">
            <w:pPr>
              <w:rPr>
                <w:rFonts w:ascii="Arial" w:hAnsi="Arial" w:cs="Arial"/>
                <w:b/>
                <w:bCs/>
                <w:color w:val="FFFFFF"/>
              </w:rPr>
            </w:pPr>
            <w:r w:rsidRPr="00E03E1D">
              <w:rPr>
                <w:rFonts w:ascii="Arial" w:hAnsi="Arial" w:cs="Arial"/>
                <w:b/>
                <w:bCs/>
                <w:color w:val="FFFFFF"/>
              </w:rPr>
              <w:t>I. tengely</w:t>
            </w:r>
          </w:p>
        </w:tc>
        <w:tc>
          <w:tcPr>
            <w:tcW w:w="2110" w:type="dxa"/>
            <w:vAlign w:val="bottom"/>
          </w:tcPr>
          <w:p w:rsidR="00A817A4" w:rsidRPr="00E03E1D" w:rsidRDefault="00A817A4" w:rsidP="000759A6">
            <w:pPr>
              <w:jc w:val="right"/>
              <w:rPr>
                <w:rFonts w:ascii="Arial" w:hAnsi="Arial" w:cs="Arial"/>
              </w:rPr>
            </w:pPr>
            <w:r w:rsidRPr="00E03E1D">
              <w:rPr>
                <w:rFonts w:ascii="Arial" w:hAnsi="Arial" w:cs="Arial"/>
              </w:rPr>
              <w:t>100 353 430 337 Ft</w:t>
            </w:r>
          </w:p>
        </w:tc>
        <w:tc>
          <w:tcPr>
            <w:tcW w:w="2552" w:type="dxa"/>
            <w:vAlign w:val="bottom"/>
          </w:tcPr>
          <w:p w:rsidR="00A817A4" w:rsidRPr="00E03E1D" w:rsidRDefault="00A817A4" w:rsidP="000759A6">
            <w:pPr>
              <w:jc w:val="right"/>
              <w:rPr>
                <w:rFonts w:ascii="Arial" w:hAnsi="Arial" w:cs="Arial"/>
              </w:rPr>
            </w:pPr>
            <w:r w:rsidRPr="00E03E1D">
              <w:rPr>
                <w:rFonts w:ascii="Arial" w:hAnsi="Arial" w:cs="Arial"/>
              </w:rPr>
              <w:t>140 326 305 626 Ft</w:t>
            </w:r>
          </w:p>
        </w:tc>
      </w:tr>
      <w:tr w:rsidR="00A817A4" w:rsidRPr="00E03E1D" w:rsidTr="000759A6">
        <w:tc>
          <w:tcPr>
            <w:tcW w:w="1717" w:type="dxa"/>
            <w:tcBorders>
              <w:left w:val="nil"/>
              <w:bottom w:val="nil"/>
              <w:right w:val="nil"/>
            </w:tcBorders>
            <w:shd w:val="clear" w:color="auto" w:fill="C0504D"/>
          </w:tcPr>
          <w:p w:rsidR="00A817A4" w:rsidRPr="00E03E1D" w:rsidRDefault="00A817A4" w:rsidP="000759A6">
            <w:pPr>
              <w:rPr>
                <w:rFonts w:ascii="Arial" w:hAnsi="Arial" w:cs="Arial"/>
                <w:b/>
                <w:bCs/>
                <w:color w:val="FFFFFF"/>
              </w:rPr>
            </w:pPr>
            <w:r w:rsidRPr="00E03E1D">
              <w:rPr>
                <w:rFonts w:ascii="Arial" w:hAnsi="Arial" w:cs="Arial"/>
                <w:b/>
                <w:bCs/>
                <w:color w:val="FFFFFF"/>
              </w:rPr>
              <w:t>II. tengely</w:t>
            </w:r>
          </w:p>
        </w:tc>
        <w:tc>
          <w:tcPr>
            <w:tcW w:w="2110" w:type="dxa"/>
            <w:shd w:val="clear" w:color="auto" w:fill="D8D8D8"/>
            <w:vAlign w:val="bottom"/>
          </w:tcPr>
          <w:p w:rsidR="00A817A4" w:rsidRPr="00E03E1D" w:rsidRDefault="00A817A4" w:rsidP="000759A6">
            <w:pPr>
              <w:jc w:val="right"/>
              <w:rPr>
                <w:rFonts w:ascii="Arial" w:hAnsi="Arial" w:cs="Arial"/>
              </w:rPr>
            </w:pPr>
            <w:r w:rsidRPr="00E03E1D">
              <w:rPr>
                <w:rFonts w:ascii="Arial" w:hAnsi="Arial" w:cs="Arial"/>
              </w:rPr>
              <w:t>46 697 019 433 Ft</w:t>
            </w:r>
          </w:p>
        </w:tc>
        <w:tc>
          <w:tcPr>
            <w:tcW w:w="2552" w:type="dxa"/>
            <w:shd w:val="clear" w:color="auto" w:fill="D8D8D8"/>
            <w:vAlign w:val="bottom"/>
          </w:tcPr>
          <w:p w:rsidR="00A817A4" w:rsidRPr="00E03E1D" w:rsidRDefault="00A817A4" w:rsidP="000759A6">
            <w:pPr>
              <w:jc w:val="right"/>
              <w:rPr>
                <w:rFonts w:ascii="Arial" w:hAnsi="Arial" w:cs="Arial"/>
              </w:rPr>
            </w:pPr>
            <w:r w:rsidRPr="00E03E1D">
              <w:rPr>
                <w:rFonts w:ascii="Arial" w:hAnsi="Arial" w:cs="Arial"/>
              </w:rPr>
              <w:t>67 210 202 030 Ft</w:t>
            </w:r>
          </w:p>
        </w:tc>
      </w:tr>
      <w:tr w:rsidR="00A817A4" w:rsidRPr="00E03E1D" w:rsidTr="000759A6">
        <w:tc>
          <w:tcPr>
            <w:tcW w:w="1717" w:type="dxa"/>
            <w:tcBorders>
              <w:left w:val="nil"/>
              <w:bottom w:val="nil"/>
              <w:right w:val="nil"/>
            </w:tcBorders>
            <w:shd w:val="clear" w:color="auto" w:fill="C0504D"/>
          </w:tcPr>
          <w:p w:rsidR="00A817A4" w:rsidRPr="00E03E1D" w:rsidRDefault="00A817A4" w:rsidP="000759A6">
            <w:pPr>
              <w:rPr>
                <w:rFonts w:ascii="Arial" w:hAnsi="Arial" w:cs="Arial"/>
                <w:b/>
                <w:bCs/>
                <w:color w:val="FFFFFF"/>
              </w:rPr>
            </w:pPr>
            <w:r w:rsidRPr="00E03E1D">
              <w:rPr>
                <w:rFonts w:ascii="Arial" w:hAnsi="Arial" w:cs="Arial"/>
                <w:b/>
                <w:bCs/>
                <w:color w:val="FFFFFF"/>
              </w:rPr>
              <w:t>III. tengely</w:t>
            </w:r>
          </w:p>
        </w:tc>
        <w:tc>
          <w:tcPr>
            <w:tcW w:w="2110" w:type="dxa"/>
            <w:vAlign w:val="bottom"/>
          </w:tcPr>
          <w:p w:rsidR="00A817A4" w:rsidRPr="00E03E1D" w:rsidRDefault="00A817A4" w:rsidP="000759A6">
            <w:pPr>
              <w:jc w:val="right"/>
              <w:rPr>
                <w:rFonts w:ascii="Arial" w:hAnsi="Arial" w:cs="Arial"/>
              </w:rPr>
            </w:pPr>
            <w:r w:rsidRPr="00E03E1D">
              <w:rPr>
                <w:rFonts w:ascii="Arial" w:hAnsi="Arial" w:cs="Arial"/>
              </w:rPr>
              <w:t>30 288 548 166 Ft</w:t>
            </w:r>
          </w:p>
        </w:tc>
        <w:tc>
          <w:tcPr>
            <w:tcW w:w="2552" w:type="dxa"/>
            <w:vAlign w:val="bottom"/>
          </w:tcPr>
          <w:p w:rsidR="00A817A4" w:rsidRPr="00E03E1D" w:rsidRDefault="00A817A4" w:rsidP="000759A6">
            <w:pPr>
              <w:jc w:val="right"/>
              <w:rPr>
                <w:rFonts w:ascii="Arial" w:hAnsi="Arial" w:cs="Arial"/>
              </w:rPr>
            </w:pPr>
            <w:r w:rsidRPr="00E03E1D">
              <w:rPr>
                <w:rFonts w:ascii="Arial" w:hAnsi="Arial" w:cs="Arial"/>
              </w:rPr>
              <w:t>41 986 997 552 Ft</w:t>
            </w:r>
          </w:p>
        </w:tc>
      </w:tr>
      <w:tr w:rsidR="00A817A4" w:rsidRPr="00E03E1D" w:rsidTr="000759A6">
        <w:tc>
          <w:tcPr>
            <w:tcW w:w="1717" w:type="dxa"/>
            <w:tcBorders>
              <w:left w:val="nil"/>
              <w:bottom w:val="single" w:sz="18" w:space="0" w:color="auto"/>
              <w:right w:val="nil"/>
            </w:tcBorders>
            <w:shd w:val="clear" w:color="auto" w:fill="C0504D"/>
          </w:tcPr>
          <w:p w:rsidR="00A817A4" w:rsidRPr="00E03E1D" w:rsidRDefault="00A817A4" w:rsidP="000759A6">
            <w:pPr>
              <w:rPr>
                <w:rFonts w:ascii="Arial" w:hAnsi="Arial" w:cs="Arial"/>
                <w:b/>
                <w:bCs/>
                <w:color w:val="FFFFFF"/>
              </w:rPr>
            </w:pPr>
            <w:r w:rsidRPr="00E03E1D">
              <w:rPr>
                <w:rFonts w:ascii="Arial" w:hAnsi="Arial" w:cs="Arial"/>
                <w:b/>
                <w:bCs/>
                <w:color w:val="FFFFFF"/>
              </w:rPr>
              <w:t>IV. tengely</w:t>
            </w:r>
          </w:p>
        </w:tc>
        <w:tc>
          <w:tcPr>
            <w:tcW w:w="2110" w:type="dxa"/>
            <w:tcBorders>
              <w:bottom w:val="single" w:sz="18" w:space="0" w:color="auto"/>
            </w:tcBorders>
            <w:shd w:val="clear" w:color="auto" w:fill="D8D8D8"/>
            <w:vAlign w:val="bottom"/>
          </w:tcPr>
          <w:p w:rsidR="00A817A4" w:rsidRPr="00E03E1D" w:rsidRDefault="00A817A4" w:rsidP="000759A6">
            <w:pPr>
              <w:jc w:val="right"/>
              <w:rPr>
                <w:rFonts w:ascii="Arial" w:hAnsi="Arial" w:cs="Arial"/>
              </w:rPr>
            </w:pPr>
            <w:r w:rsidRPr="00E03E1D">
              <w:rPr>
                <w:rFonts w:ascii="Arial" w:hAnsi="Arial" w:cs="Arial"/>
              </w:rPr>
              <w:t>55 397 754 505 Ft</w:t>
            </w:r>
          </w:p>
        </w:tc>
        <w:tc>
          <w:tcPr>
            <w:tcW w:w="2552" w:type="dxa"/>
            <w:tcBorders>
              <w:bottom w:val="single" w:sz="18" w:space="0" w:color="auto"/>
            </w:tcBorders>
            <w:shd w:val="clear" w:color="auto" w:fill="D8D8D8"/>
            <w:vAlign w:val="bottom"/>
          </w:tcPr>
          <w:p w:rsidR="00A817A4" w:rsidRPr="00E03E1D" w:rsidRDefault="00A817A4" w:rsidP="000759A6">
            <w:pPr>
              <w:jc w:val="right"/>
              <w:rPr>
                <w:rFonts w:ascii="Arial" w:hAnsi="Arial" w:cs="Arial"/>
              </w:rPr>
            </w:pPr>
            <w:r w:rsidRPr="00E03E1D">
              <w:rPr>
                <w:rFonts w:ascii="Arial" w:hAnsi="Arial" w:cs="Arial"/>
              </w:rPr>
              <w:t>60 017 177 068 Ft</w:t>
            </w:r>
          </w:p>
        </w:tc>
      </w:tr>
    </w:tbl>
    <w:p w:rsidR="00E25D46" w:rsidRPr="00E03E1D" w:rsidRDefault="00CF0DD4" w:rsidP="00E25D46">
      <w:pPr>
        <w:pStyle w:val="Caption"/>
        <w:spacing w:before="60" w:after="120" w:line="280" w:lineRule="atLeast"/>
        <w:jc w:val="center"/>
        <w:rPr>
          <w:color w:val="auto"/>
        </w:rPr>
      </w:pPr>
      <w:r w:rsidRPr="00E03E1D">
        <w:rPr>
          <w:color w:val="auto"/>
        </w:rPr>
        <w:fldChar w:fldCharType="begin"/>
      </w:r>
      <w:r w:rsidR="00E25D46" w:rsidRPr="00E03E1D">
        <w:rPr>
          <w:color w:val="auto"/>
        </w:rPr>
        <w:instrText xml:space="preserve"> SEQ táblázat \* ARABIC </w:instrText>
      </w:r>
      <w:r w:rsidRPr="00E03E1D">
        <w:rPr>
          <w:color w:val="auto"/>
        </w:rPr>
        <w:fldChar w:fldCharType="separate"/>
      </w:r>
      <w:r w:rsidR="00E25D46">
        <w:rPr>
          <w:noProof/>
          <w:color w:val="auto"/>
        </w:rPr>
        <w:t>4</w:t>
      </w:r>
      <w:r w:rsidRPr="00E03E1D">
        <w:rPr>
          <w:color w:val="auto"/>
        </w:rPr>
        <w:fldChar w:fldCharType="end"/>
      </w:r>
      <w:r w:rsidR="00E25D46" w:rsidRPr="00E03E1D">
        <w:rPr>
          <w:color w:val="auto"/>
        </w:rPr>
        <w:t xml:space="preserve">. táblázat: </w:t>
      </w:r>
      <w:r w:rsidR="00E25D46" w:rsidRPr="00E25D46">
        <w:rPr>
          <w:color w:val="auto"/>
        </w:rPr>
        <w:t xml:space="preserve">Az </w:t>
      </w:r>
      <w:proofErr w:type="spellStart"/>
      <w:r w:rsidR="00E25D46" w:rsidRPr="00E25D46">
        <w:rPr>
          <w:color w:val="auto"/>
        </w:rPr>
        <w:t>ÚMVP-ben</w:t>
      </w:r>
      <w:proofErr w:type="spellEnd"/>
      <w:r w:rsidR="00E25D46" w:rsidRPr="00E25D46">
        <w:rPr>
          <w:color w:val="auto"/>
        </w:rPr>
        <w:t xml:space="preserve"> megmaradó keret a 2. szcenárió szerint</w:t>
      </w:r>
    </w:p>
    <w:p w:rsidR="00A817A4" w:rsidRPr="00E03E1D" w:rsidRDefault="00A817A4" w:rsidP="00A817A4">
      <w:pPr>
        <w:pStyle w:val="AAMNormal"/>
        <w:rPr>
          <w:b/>
        </w:rPr>
      </w:pPr>
      <w:r w:rsidRPr="00E03E1D">
        <w:rPr>
          <w:b/>
        </w:rPr>
        <w:t>Ebben a szcenárióban a forrás már lehetőséget ad nagyobb hatású agrár-, vidékfejlesztési programok elind</w:t>
      </w:r>
      <w:r w:rsidRPr="00E03E1D">
        <w:rPr>
          <w:b/>
        </w:rPr>
        <w:t>í</w:t>
      </w:r>
      <w:r w:rsidRPr="00E03E1D">
        <w:rPr>
          <w:b/>
        </w:rPr>
        <w:t>tására, amennyiben a fennmaradó forrás céljaiban koncentráltan kerül felhasználásra.</w:t>
      </w:r>
    </w:p>
    <w:p w:rsidR="00A817A4" w:rsidRPr="00E03E1D" w:rsidRDefault="00A817A4" w:rsidP="00A817A4">
      <w:pPr>
        <w:pStyle w:val="AAMNormal"/>
      </w:pPr>
      <w:r w:rsidRPr="00E03E1D">
        <w:t>Az egyes szcenáriók között szakpolitikai megfontolások alapján célszerű dönteni. A döntés jelentősen vi</w:t>
      </w:r>
      <w:r w:rsidRPr="00E03E1D">
        <w:t>s</w:t>
      </w:r>
      <w:r w:rsidRPr="00E03E1D">
        <w:t>szahat az értékelés eredményének hasznosítására. Amennyiben az első szcenárió valósul meg, akkor az értékelés tapasztalatait elsősorban a 2014-2020 időszakra történő tervezésnél lehet figyelembe venni, míg a második változatnál új jogcímek kidolgozásához is alkalmazhatóak a javaslatok. Az értékelői javaslatok megfogalmazásánál arra törekedtünk, hogy azok mindkét szcenárióban értelmezhetőek legyenek.</w:t>
      </w:r>
    </w:p>
    <w:p w:rsidR="00A817A4" w:rsidRPr="00E03E1D" w:rsidRDefault="00A817A4" w:rsidP="00D5521F">
      <w:pPr>
        <w:pStyle w:val="HUNHeading2"/>
        <w:numPr>
          <w:ilvl w:val="1"/>
          <w:numId w:val="32"/>
        </w:numPr>
        <w:ind w:hanging="792"/>
      </w:pPr>
      <w:bookmarkStart w:id="8" w:name="_Toc278535732"/>
      <w:bookmarkStart w:id="9" w:name="_Toc280788349"/>
      <w:r w:rsidRPr="00E03E1D">
        <w:t>A program átfogó értékelése</w:t>
      </w:r>
      <w:bookmarkEnd w:id="8"/>
      <w:bookmarkEnd w:id="9"/>
    </w:p>
    <w:p w:rsidR="000D3161" w:rsidRPr="00E03E1D" w:rsidRDefault="000D3161" w:rsidP="00A817A4">
      <w:pPr>
        <w:pStyle w:val="AAMNormal"/>
      </w:pPr>
      <w:r w:rsidRPr="00E03E1D">
        <w:t>A teljes programot az Új Magyarország Vidékfejlesztési Stratégia céljai</w:t>
      </w:r>
      <w:r w:rsidR="00285223">
        <w:t>hoz mérve</w:t>
      </w:r>
      <w:r w:rsidR="00DD1A12">
        <w:t xml:space="preserve">, </w:t>
      </w:r>
      <w:r w:rsidR="00285223">
        <w:t xml:space="preserve">illetve </w:t>
      </w:r>
      <w:r w:rsidR="00DD1A12">
        <w:t>a programszintű CMEF kérdések</w:t>
      </w:r>
      <w:r w:rsidR="00285223">
        <w:t xml:space="preserve"> megválaszolásával </w:t>
      </w:r>
      <w:r w:rsidR="00E25D46">
        <w:t>értékeljük</w:t>
      </w:r>
      <w:r w:rsidR="00285223">
        <w:t>. A hatásokat részletesen a tengelyszintű értékeléseknél m</w:t>
      </w:r>
      <w:r w:rsidR="00285223">
        <w:t>u</w:t>
      </w:r>
      <w:r w:rsidR="00285223">
        <w:t>tat</w:t>
      </w:r>
      <w:r w:rsidR="00E25D46">
        <w:t>tuk</w:t>
      </w:r>
      <w:r w:rsidR="00D52992">
        <w:t xml:space="preserve"> be, mert </w:t>
      </w:r>
      <w:r w:rsidR="008720A5">
        <w:t xml:space="preserve">ezek mindegyik a Program félidejében nem volt még számszerűsíthető, így </w:t>
      </w:r>
      <w:proofErr w:type="spellStart"/>
      <w:r w:rsidR="008720A5">
        <w:t>aggregálható</w:t>
      </w:r>
      <w:proofErr w:type="spellEnd"/>
      <w:r w:rsidR="008720A5">
        <w:t xml:space="preserve"> sem.</w:t>
      </w:r>
    </w:p>
    <w:p w:rsidR="00A817A4" w:rsidRPr="00E03E1D" w:rsidRDefault="00A817A4" w:rsidP="00A817A4">
      <w:pPr>
        <w:pStyle w:val="AAMNormal"/>
      </w:pPr>
      <w:r w:rsidRPr="00E03E1D">
        <w:t>Az ÚMVP célrendszerét lefektető Új Magyarország Vidékfejlesztési Stratégia vízióját a következőképpen f</w:t>
      </w:r>
      <w:r w:rsidRPr="00E03E1D">
        <w:t>o</w:t>
      </w:r>
      <w:r w:rsidRPr="00E03E1D">
        <w:t>galmazta meg:</w:t>
      </w:r>
    </w:p>
    <w:p w:rsidR="00A817A4" w:rsidRPr="00E03E1D" w:rsidRDefault="00A817A4" w:rsidP="00A817A4">
      <w:pPr>
        <w:pStyle w:val="AAMNormal"/>
        <w:rPr>
          <w:i/>
        </w:rPr>
      </w:pPr>
      <w:r w:rsidRPr="00E03E1D">
        <w:rPr>
          <w:i/>
        </w:rPr>
        <w:t>„Erősödik a mezőgazdaság multifunkcionális jellege, megindul a vidéki térségek összehangolt, a forrásokat s a fejlesztési elképzeléseket integráló fejlesztése, és egyre nagyobb hangsúlyt kapnak a fenntarthatósági szempontok, az élhető környezet megteremtése, s egyfajta szolgáltatássá válik a szélesebb társadalom számára a környezeti szempontokat érvényesítő agrárgazdálkodás.”</w:t>
      </w:r>
    </w:p>
    <w:p w:rsidR="00A817A4" w:rsidRPr="00E03E1D" w:rsidRDefault="00A817A4" w:rsidP="00A817A4">
      <w:pPr>
        <w:pStyle w:val="AAMNormal"/>
      </w:pPr>
      <w:r w:rsidRPr="00E03E1D">
        <w:t>A vízió elérése érdekében megvalósítandó feladatokról a Stratégia a következőket rögzíti:</w:t>
      </w:r>
    </w:p>
    <w:p w:rsidR="00A817A4" w:rsidRPr="00E03E1D" w:rsidRDefault="00A817A4" w:rsidP="00A817A4">
      <w:pPr>
        <w:pStyle w:val="AAMNormal"/>
        <w:rPr>
          <w:i/>
        </w:rPr>
      </w:pPr>
      <w:r w:rsidRPr="00E03E1D">
        <w:rPr>
          <w:i/>
        </w:rPr>
        <w:t xml:space="preserve">„A hazai agrár-vidékfejlesztés legfontosabb feladata a vidéki térségek lakosságának alacsony gazdasági aktivitásából, az alacsony foglalkoztatottságból és </w:t>
      </w:r>
      <w:proofErr w:type="gramStart"/>
      <w:r w:rsidRPr="00E03E1D">
        <w:rPr>
          <w:i/>
        </w:rPr>
        <w:t>ezáltal</w:t>
      </w:r>
      <w:proofErr w:type="gramEnd"/>
      <w:r w:rsidRPr="00E03E1D">
        <w:rPr>
          <w:i/>
        </w:rPr>
        <w:t xml:space="preserve"> alacsony jövedelmi szintjéből fakadó társadalmi feszültség kezelése. Ez egyrészt a kedvező mezőgazdasági adottságok és a vidék elmaradottsága között feszülő ellentmondás feloldását is jelenti.”</w:t>
      </w:r>
    </w:p>
    <w:p w:rsidR="00A817A4" w:rsidRPr="00E03E1D" w:rsidRDefault="00A817A4" w:rsidP="00A817A4">
      <w:pPr>
        <w:pStyle w:val="AAMNormal"/>
        <w:rPr>
          <w:i/>
        </w:rPr>
      </w:pPr>
      <w:r w:rsidRPr="00E03E1D">
        <w:rPr>
          <w:i/>
        </w:rPr>
        <w:t>„A vidéki térségek gazdaságának megerősítésére a Stratégia három szálon kínál megoldást.</w:t>
      </w:r>
    </w:p>
    <w:p w:rsidR="00A817A4" w:rsidRPr="00E03E1D" w:rsidRDefault="00A817A4" w:rsidP="00D5521F">
      <w:pPr>
        <w:pStyle w:val="AAMNormal"/>
        <w:numPr>
          <w:ilvl w:val="0"/>
          <w:numId w:val="16"/>
        </w:numPr>
        <w:rPr>
          <w:i/>
        </w:rPr>
      </w:pPr>
      <w:r w:rsidRPr="00E03E1D">
        <w:rPr>
          <w:i/>
        </w:rPr>
        <w:t>Egyrészt a jó mezőgazdasági adottságokra alapozó, versenyképes, a térség kistermelőinek szolgáltat</w:t>
      </w:r>
      <w:r w:rsidRPr="00E03E1D">
        <w:rPr>
          <w:i/>
        </w:rPr>
        <w:t>á</w:t>
      </w:r>
      <w:r w:rsidRPr="00E03E1D">
        <w:rPr>
          <w:i/>
        </w:rPr>
        <w:t>sokat nyújtó, azokat integrációval segítő, a helyi társadalom formálásában, aktivizálásában aktív szer</w:t>
      </w:r>
      <w:r w:rsidRPr="00E03E1D">
        <w:rPr>
          <w:i/>
        </w:rPr>
        <w:t>e</w:t>
      </w:r>
      <w:r w:rsidRPr="00E03E1D">
        <w:rPr>
          <w:i/>
        </w:rPr>
        <w:t>pet vállaló mezőgazdasági üzemek támogatása által.</w:t>
      </w:r>
    </w:p>
    <w:p w:rsidR="00A817A4" w:rsidRPr="00E03E1D" w:rsidRDefault="00A817A4" w:rsidP="00D5521F">
      <w:pPr>
        <w:pStyle w:val="AAMNormal"/>
        <w:numPr>
          <w:ilvl w:val="0"/>
          <w:numId w:val="16"/>
        </w:numPr>
        <w:rPr>
          <w:i/>
        </w:rPr>
      </w:pPr>
      <w:r w:rsidRPr="00E03E1D">
        <w:rPr>
          <w:i/>
        </w:rPr>
        <w:lastRenderedPageBreak/>
        <w:t>Másrészt a megerősödő családi gazdálkodók, fiatal gazdák, kisebb gazdaságok támogatása révén, am</w:t>
      </w:r>
      <w:r w:rsidRPr="00E03E1D">
        <w:rPr>
          <w:i/>
        </w:rPr>
        <w:t>e</w:t>
      </w:r>
      <w:r w:rsidRPr="00E03E1D">
        <w:rPr>
          <w:i/>
        </w:rPr>
        <w:t>lyeknek egy része a vidékfejlesztési források felhasználásának segítségével képes a termelés és a jöv</w:t>
      </w:r>
      <w:r w:rsidRPr="00E03E1D">
        <w:rPr>
          <w:i/>
        </w:rPr>
        <w:t>e</w:t>
      </w:r>
      <w:r w:rsidRPr="00E03E1D">
        <w:rPr>
          <w:i/>
        </w:rPr>
        <w:t xml:space="preserve">delmezőség növelésére, a méretgazdaságosság </w:t>
      </w:r>
      <w:proofErr w:type="gramStart"/>
      <w:r w:rsidRPr="00E03E1D">
        <w:rPr>
          <w:i/>
        </w:rPr>
        <w:t>révén</w:t>
      </w:r>
      <w:proofErr w:type="gramEnd"/>
      <w:r w:rsidRPr="00E03E1D">
        <w:rPr>
          <w:i/>
        </w:rPr>
        <w:t xml:space="preserve"> költségoldalon versenyelőny elérésére. Másik r</w:t>
      </w:r>
      <w:r w:rsidRPr="00E03E1D">
        <w:rPr>
          <w:i/>
        </w:rPr>
        <w:t>é</w:t>
      </w:r>
      <w:r w:rsidRPr="00E03E1D">
        <w:rPr>
          <w:i/>
        </w:rPr>
        <w:t>szük számára a nagy hozzáadott értékkel rendelkező, a piaci réseket kitöltő termékszerkezet előállítása, illetve a gazdaság diverzifikációja jelentheti hosszú távon a termelés fenntartását, a megélhetést.</w:t>
      </w:r>
    </w:p>
    <w:p w:rsidR="00A817A4" w:rsidRPr="00E03E1D" w:rsidRDefault="00A817A4" w:rsidP="00D5521F">
      <w:pPr>
        <w:pStyle w:val="AAMNormal"/>
        <w:numPr>
          <w:ilvl w:val="0"/>
          <w:numId w:val="16"/>
        </w:numPr>
        <w:rPr>
          <w:i/>
        </w:rPr>
      </w:pPr>
      <w:r w:rsidRPr="00E03E1D">
        <w:rPr>
          <w:i/>
        </w:rPr>
        <w:t xml:space="preserve">Harmadrészt a vidéki </w:t>
      </w:r>
      <w:proofErr w:type="spellStart"/>
      <w:r w:rsidRPr="00E03E1D">
        <w:rPr>
          <w:i/>
        </w:rPr>
        <w:t>mikrovállalkozások</w:t>
      </w:r>
      <w:proofErr w:type="spellEnd"/>
      <w:r w:rsidRPr="00E03E1D">
        <w:rPr>
          <w:i/>
        </w:rPr>
        <w:t xml:space="preserve"> erősítésével, ahol lehet térségi alapon, integrált módon, a té</w:t>
      </w:r>
      <w:r w:rsidRPr="00E03E1D">
        <w:rPr>
          <w:i/>
        </w:rPr>
        <w:t>r</w:t>
      </w:r>
      <w:r w:rsidRPr="00E03E1D">
        <w:rPr>
          <w:i/>
        </w:rPr>
        <w:t>ség sajátosságaira, kitörési pontjaira alapozva.”</w:t>
      </w:r>
    </w:p>
    <w:p w:rsidR="00A817A4" w:rsidRPr="00E03E1D" w:rsidRDefault="00A817A4" w:rsidP="00A817A4">
      <w:pPr>
        <w:pStyle w:val="AAMNormal"/>
      </w:pPr>
      <w:r w:rsidRPr="00E03E1D">
        <w:t>A gazdaságfejlesztés mellett a Stratégia még két dimenziót emel ki, amelyeket a fejlesztéseknél figyelembe kell venni.</w:t>
      </w:r>
    </w:p>
    <w:p w:rsidR="00A817A4" w:rsidRPr="00E03E1D" w:rsidRDefault="00A817A4" w:rsidP="00D5521F">
      <w:pPr>
        <w:pStyle w:val="AAMNormal"/>
        <w:numPr>
          <w:ilvl w:val="0"/>
          <w:numId w:val="18"/>
        </w:numPr>
        <w:rPr>
          <w:i/>
        </w:rPr>
      </w:pPr>
      <w:r w:rsidRPr="00E03E1D">
        <w:rPr>
          <w:i/>
        </w:rPr>
        <w:t>„A fokozódó gazdasági aktivitás csak a jelenlegi, alacsony környezetterhelés megőrzése esetén k</w:t>
      </w:r>
      <w:r w:rsidRPr="00E03E1D">
        <w:rPr>
          <w:i/>
        </w:rPr>
        <w:t>í</w:t>
      </w:r>
      <w:r w:rsidRPr="00E03E1D">
        <w:rPr>
          <w:i/>
        </w:rPr>
        <w:t>nál fenntartható fejlődési lehetőséget a vidéki térségek, a települések számára. Ezért a megvalós</w:t>
      </w:r>
      <w:r w:rsidRPr="00E03E1D">
        <w:rPr>
          <w:i/>
        </w:rPr>
        <w:t>u</w:t>
      </w:r>
      <w:r w:rsidRPr="00E03E1D">
        <w:rPr>
          <w:i/>
        </w:rPr>
        <w:t>ló fejlesztések mindenkor a térség környezeti, természeti értékeinek megóvásával kell, hogy pár</w:t>
      </w:r>
      <w:r w:rsidRPr="00E03E1D">
        <w:rPr>
          <w:i/>
        </w:rPr>
        <w:t>o</w:t>
      </w:r>
      <w:r w:rsidRPr="00E03E1D">
        <w:rPr>
          <w:i/>
        </w:rPr>
        <w:t>suljanak.</w:t>
      </w:r>
    </w:p>
    <w:p w:rsidR="00A817A4" w:rsidRPr="00E03E1D" w:rsidRDefault="00A817A4" w:rsidP="00D5521F">
      <w:pPr>
        <w:pStyle w:val="AAMNormal"/>
        <w:numPr>
          <w:ilvl w:val="0"/>
          <w:numId w:val="18"/>
        </w:numPr>
        <w:rPr>
          <w:i/>
        </w:rPr>
      </w:pPr>
      <w:r w:rsidRPr="00E03E1D">
        <w:rPr>
          <w:i/>
        </w:rPr>
        <w:t xml:space="preserve">Mindazonáltal a sikeres vidéki gazdaság csak szükséges, de nem elégséges feltétele a sikeres és élhető települések megteremtésének. Mindehhez szükség van még egy innováció-orientált ám a hagyományokat tiszteletben tartó, azokra alapozó – modernizációra az alábbi területeken: </w:t>
      </w:r>
    </w:p>
    <w:p w:rsidR="00A817A4" w:rsidRPr="00E03E1D" w:rsidRDefault="00A817A4" w:rsidP="00D5521F">
      <w:pPr>
        <w:pStyle w:val="AAMNormal"/>
        <w:numPr>
          <w:ilvl w:val="0"/>
          <w:numId w:val="17"/>
        </w:numPr>
        <w:rPr>
          <w:i/>
        </w:rPr>
      </w:pPr>
      <w:r w:rsidRPr="00E03E1D">
        <w:rPr>
          <w:i/>
        </w:rPr>
        <w:t>szolgáltatások elérésének javítása az új – infó-kommunikációs – technológiák felhasznál</w:t>
      </w:r>
      <w:r w:rsidRPr="00E03E1D">
        <w:rPr>
          <w:i/>
        </w:rPr>
        <w:t>á</w:t>
      </w:r>
      <w:r w:rsidRPr="00E03E1D">
        <w:rPr>
          <w:i/>
        </w:rPr>
        <w:t xml:space="preserve">sával; </w:t>
      </w:r>
    </w:p>
    <w:p w:rsidR="00A817A4" w:rsidRPr="00E03E1D" w:rsidRDefault="00A817A4" w:rsidP="00D5521F">
      <w:pPr>
        <w:pStyle w:val="AAMNormal"/>
        <w:numPr>
          <w:ilvl w:val="0"/>
          <w:numId w:val="17"/>
        </w:numPr>
        <w:rPr>
          <w:i/>
        </w:rPr>
      </w:pPr>
      <w:r w:rsidRPr="00E03E1D">
        <w:rPr>
          <w:i/>
        </w:rPr>
        <w:t>falumegújítás – örökségvédelem;</w:t>
      </w:r>
    </w:p>
    <w:p w:rsidR="00A817A4" w:rsidRPr="00E03E1D" w:rsidRDefault="00A817A4" w:rsidP="00D5521F">
      <w:pPr>
        <w:pStyle w:val="AAMNormal"/>
        <w:numPr>
          <w:ilvl w:val="0"/>
          <w:numId w:val="17"/>
        </w:numPr>
        <w:rPr>
          <w:i/>
        </w:rPr>
      </w:pPr>
      <w:r w:rsidRPr="00E03E1D">
        <w:rPr>
          <w:i/>
        </w:rPr>
        <w:t>kapacitásfejlesztés, innovatív vidékfejlesztési hálózatok kialakítása.”</w:t>
      </w:r>
    </w:p>
    <w:p w:rsidR="00A817A4" w:rsidRPr="00E03E1D" w:rsidRDefault="00A817A4" w:rsidP="00A817A4">
      <w:pPr>
        <w:pStyle w:val="AAMNormal"/>
      </w:pPr>
      <w:r w:rsidRPr="00E03E1D">
        <w:t xml:space="preserve">Az ÚMVP a célok tekintetében az </w:t>
      </w:r>
      <w:proofErr w:type="spellStart"/>
      <w:r w:rsidRPr="00E03E1D">
        <w:t>ÚMVST-re</w:t>
      </w:r>
      <w:proofErr w:type="spellEnd"/>
      <w:r w:rsidRPr="00E03E1D">
        <w:t xml:space="preserve"> épít, annak céljait veti össze a közösségi </w:t>
      </w:r>
      <w:proofErr w:type="gramStart"/>
      <w:r w:rsidRPr="00E03E1D">
        <w:t>iránymutatással</w:t>
      </w:r>
      <w:r w:rsidRPr="00E03E1D">
        <w:rPr>
          <w:rStyle w:val="FootnoteReference"/>
        </w:rPr>
        <w:footnoteReference w:id="8"/>
      </w:r>
      <w:r w:rsidRPr="00E03E1D">
        <w:t>,</w:t>
      </w:r>
      <w:proofErr w:type="gramEnd"/>
      <w:r w:rsidRPr="00E03E1D">
        <w:t xml:space="preserve"> jo</w:t>
      </w:r>
      <w:r w:rsidRPr="00E03E1D">
        <w:t>g</w:t>
      </w:r>
      <w:r w:rsidRPr="00E03E1D">
        <w:t>szabállyal</w:t>
      </w:r>
      <w:r w:rsidRPr="00E03E1D">
        <w:rPr>
          <w:rStyle w:val="FootnoteReference"/>
        </w:rPr>
        <w:footnoteReference w:id="9"/>
      </w:r>
      <w:r w:rsidRPr="00E03E1D">
        <w:t xml:space="preserve"> és ez alapján határolja le az egyes intézkedéseket.</w:t>
      </w:r>
    </w:p>
    <w:p w:rsidR="002E741F" w:rsidRPr="001C19C5" w:rsidRDefault="002E741F" w:rsidP="002E741F">
      <w:pPr>
        <w:pStyle w:val="AAMNormal"/>
        <w:rPr>
          <w:b/>
          <w:i/>
        </w:rPr>
      </w:pPr>
      <w:r w:rsidRPr="00465129">
        <w:rPr>
          <w:b/>
          <w:i/>
        </w:rPr>
        <w:t>Relevanciaelemzés</w:t>
      </w:r>
    </w:p>
    <w:p w:rsidR="00B149E5" w:rsidRDefault="00B149E5" w:rsidP="00465129">
      <w:pPr>
        <w:pStyle w:val="AAMNormal"/>
      </w:pPr>
      <w:r>
        <w:t xml:space="preserve">Az ÚMVP programszintű céljainak relevanciáját a Program környezetét jelentő trendek </w:t>
      </w:r>
      <w:r w:rsidR="00285223">
        <w:t>értékelésével és a vonatkozó CMEF kérdések megválaszolásával</w:t>
      </w:r>
      <w:r>
        <w:t xml:space="preserve"> </w:t>
      </w:r>
      <w:r w:rsidR="00285223">
        <w:t>jellemezzük</w:t>
      </w:r>
      <w:r>
        <w:t>.</w:t>
      </w:r>
    </w:p>
    <w:p w:rsidR="00465129" w:rsidRPr="00E03E1D" w:rsidRDefault="00465129" w:rsidP="00465129">
      <w:pPr>
        <w:pStyle w:val="AAMNormal"/>
      </w:pPr>
      <w:r w:rsidRPr="00E03E1D">
        <w:t xml:space="preserve">Az </w:t>
      </w:r>
      <w:r w:rsidR="00E25D46">
        <w:t>élelmiszergazdaság</w:t>
      </w:r>
      <w:r w:rsidRPr="00E03E1D">
        <w:t xml:space="preserve"> trendjeinek elemzése arra világít rá, hogy 2006</w:t>
      </w:r>
      <w:r w:rsidR="001A530E">
        <w:t>.</w:t>
      </w:r>
      <w:r w:rsidRPr="00E03E1D">
        <w:t xml:space="preserve"> óta </w:t>
      </w:r>
      <w:r w:rsidR="00E25D46">
        <w:t xml:space="preserve">a kibocsátás stagnált, </w:t>
      </w:r>
      <w:r w:rsidRPr="00E03E1D">
        <w:t>az állat</w:t>
      </w:r>
      <w:r w:rsidR="00E25D46">
        <w:t>t</w:t>
      </w:r>
      <w:r w:rsidR="00E25D46">
        <w:t>e</w:t>
      </w:r>
      <w:r w:rsidR="00E25D46">
        <w:t>nyésztés</w:t>
      </w:r>
      <w:r w:rsidRPr="00E03E1D">
        <w:t xml:space="preserve"> visszaesése </w:t>
      </w:r>
      <w:r w:rsidR="00E25D46">
        <w:t xml:space="preserve">pedig tovább folytatódott. </w:t>
      </w:r>
      <w:r w:rsidRPr="00E03E1D">
        <w:t xml:space="preserve">A munkaerő hatékonysága növekedett, </w:t>
      </w:r>
      <w:r w:rsidR="00A95CBA">
        <w:t>elsősorban a techn</w:t>
      </w:r>
      <w:r w:rsidR="00A95CBA">
        <w:t>o</w:t>
      </w:r>
      <w:r w:rsidR="00A95CBA">
        <w:t>lógia korszerűsítés miatt jelentkező</w:t>
      </w:r>
      <w:r w:rsidRPr="00E03E1D">
        <w:t xml:space="preserve"> létszámcsökkenés</w:t>
      </w:r>
      <w:r w:rsidR="00A95CBA">
        <w:t xml:space="preserve"> hatására. Az elbocsátott munkavállalókat a többi szektor nem tudta jövedelemhez juttatni, így</w:t>
      </w:r>
      <w:r w:rsidRPr="00E03E1D">
        <w:t xml:space="preserve"> az elmúlt évtizedekben kialakult társadalmi feszültségek</w:t>
      </w:r>
      <w:r w:rsidR="00A95CBA">
        <w:t xml:space="preserve"> </w:t>
      </w:r>
      <w:r w:rsidR="00E25D46">
        <w:t>t</w:t>
      </w:r>
      <w:r w:rsidR="00E25D46">
        <w:t>o</w:t>
      </w:r>
      <w:r w:rsidR="00E25D46">
        <w:t xml:space="preserve">vábbra is </w:t>
      </w:r>
      <w:r w:rsidR="00A95CBA">
        <w:t>fennmaradtak</w:t>
      </w:r>
      <w:r w:rsidRPr="00E03E1D">
        <w:t xml:space="preserve">. Mindeközben a magyar </w:t>
      </w:r>
      <w:r w:rsidR="00E25D46">
        <w:t>élelmiszergazdaság</w:t>
      </w:r>
      <w:r w:rsidRPr="00E03E1D">
        <w:t xml:space="preserve"> nem tudott kitörni a rendszerváltás óta kialakult szerkezeti válságból</w:t>
      </w:r>
      <w:r w:rsidR="001A530E">
        <w:t>,</w:t>
      </w:r>
      <w:r w:rsidRPr="00E03E1D">
        <w:t xml:space="preserve"> </w:t>
      </w:r>
      <w:r w:rsidR="00A95CBA">
        <w:t>amelynek következtében</w:t>
      </w:r>
      <w:r w:rsidRPr="00E03E1D">
        <w:t xml:space="preserve"> </w:t>
      </w:r>
      <w:r w:rsidR="00A95CBA">
        <w:t>a</w:t>
      </w:r>
      <w:r w:rsidRPr="00E03E1D">
        <w:t xml:space="preserve"> nyugat-európai élelmiszeripar </w:t>
      </w:r>
      <w:r w:rsidR="00A95CBA">
        <w:t xml:space="preserve">számára történő </w:t>
      </w:r>
      <w:r w:rsidRPr="00E03E1D">
        <w:t>alapanyag beszállít</w:t>
      </w:r>
      <w:r w:rsidR="00A95CBA">
        <w:t>ás maradt a meghatározó</w:t>
      </w:r>
      <w:r w:rsidRPr="00E03E1D">
        <w:t>. Ez jövedelmezőségi és foglalkoztatási problémákat generál a vidéki lakosság számára.</w:t>
      </w:r>
    </w:p>
    <w:p w:rsidR="00A95CBA" w:rsidRPr="00E03E1D" w:rsidRDefault="00A95CBA" w:rsidP="00465129">
      <w:pPr>
        <w:pStyle w:val="AAMNormal"/>
      </w:pPr>
      <w:r>
        <w:t>Bár az elvándorlás az ÚMVP támogatásainak fényében egyelőre még nem elemezhető, de a romló foglalko</w:t>
      </w:r>
      <w:r>
        <w:t>z</w:t>
      </w:r>
      <w:r>
        <w:t>tatási tendenciák ismeretében nem várható a vidéki térsé</w:t>
      </w:r>
      <w:r w:rsidR="002549EB">
        <w:t xml:space="preserve">gekre ható elvándorlási nyomás </w:t>
      </w:r>
      <w:r>
        <w:t xml:space="preserve">csökkenése. </w:t>
      </w:r>
    </w:p>
    <w:p w:rsidR="00465129" w:rsidRDefault="00465129" w:rsidP="00465129">
      <w:pPr>
        <w:pStyle w:val="AAMNormal"/>
      </w:pPr>
      <w:r w:rsidRPr="00E03E1D">
        <w:t>A 2006</w:t>
      </w:r>
      <w:r w:rsidR="001A530E">
        <w:t>.</w:t>
      </w:r>
      <w:r w:rsidRPr="00E03E1D">
        <w:t xml:space="preserve"> óta eltelt időszakban publikált, a klímaváltozással kapcsolatos kutatási eredmények alapján a szakmai közvéleményben </w:t>
      </w:r>
      <w:r w:rsidR="00A95CBA">
        <w:t>tovább</w:t>
      </w:r>
      <w:r w:rsidRPr="00E03E1D">
        <w:t xml:space="preserve"> erősödött a klímaváltozás hatásaira történő fe</w:t>
      </w:r>
      <w:r w:rsidR="00A95CBA">
        <w:t>lkészülés</w:t>
      </w:r>
      <w:r w:rsidRPr="00E03E1D">
        <w:t>t előtérbe helyező álláspont.</w:t>
      </w:r>
    </w:p>
    <w:p w:rsidR="00A95CBA" w:rsidRDefault="002549EB" w:rsidP="00A95CBA">
      <w:pPr>
        <w:pStyle w:val="AAMNormal"/>
      </w:pPr>
      <w:r>
        <w:lastRenderedPageBreak/>
        <w:t xml:space="preserve">A </w:t>
      </w:r>
      <w:r w:rsidR="00FE1385">
        <w:t xml:space="preserve">Program környezetét jellemző trendek </w:t>
      </w:r>
      <w:r w:rsidR="00B149E5">
        <w:t>alapján az ÚMVST céljai továbbra is relevánsak, sőt elérésük az elmúlt időszak trendjei fényében még inkább indokolt.</w:t>
      </w:r>
      <w:r w:rsidR="00A95CBA" w:rsidRPr="00E03E1D">
        <w:t xml:space="preserve"> </w:t>
      </w:r>
    </w:p>
    <w:p w:rsidR="00FE1385" w:rsidRDefault="00FE1385" w:rsidP="00A95CBA">
      <w:pPr>
        <w:pStyle w:val="AAMNormal"/>
      </w:pPr>
      <w:r>
        <w:t>A relevancia vizsgálatát a CMEF értékelési szempontjai a programozási terület társadalmi, környezeti saj</w:t>
      </w:r>
      <w:r>
        <w:t>á</w:t>
      </w:r>
      <w:r>
        <w:t xml:space="preserve">tosságai mentén is szükségessé teszik. </w:t>
      </w:r>
      <w:r w:rsidR="00A41112">
        <w:t>Az e</w:t>
      </w:r>
      <w:r>
        <w:t>nnek megfelelő CMEF kérdés a következő:</w:t>
      </w:r>
    </w:p>
    <w:p w:rsidR="00FE1385" w:rsidRPr="00E03E1D" w:rsidRDefault="00FE1385" w:rsidP="00FE1385">
      <w:pPr>
        <w:pStyle w:val="AAMNormal"/>
        <w:rPr>
          <w:b/>
          <w:i/>
        </w:rPr>
      </w:pPr>
      <w:r w:rsidRPr="00FE1385">
        <w:rPr>
          <w:i/>
        </w:rPr>
        <w:t>A program milyen mértékben célozta meg sikerrel a programozási területen a mezőgazdasági tevékenys</w:t>
      </w:r>
      <w:r w:rsidRPr="00FE1385">
        <w:rPr>
          <w:i/>
        </w:rPr>
        <w:t>é</w:t>
      </w:r>
      <w:r w:rsidRPr="00FE1385">
        <w:rPr>
          <w:i/>
        </w:rPr>
        <w:t>gek sajátosságát a következőket illetően:</w:t>
      </w:r>
      <w:r>
        <w:rPr>
          <w:i/>
        </w:rPr>
        <w:t xml:space="preserve"> </w:t>
      </w:r>
      <w:r w:rsidRPr="00FE1385">
        <w:rPr>
          <w:i/>
        </w:rPr>
        <w:t>a programozási terület társadalmi szerkezete; a programozási terület szerkezeti és természeti feltételei.</w:t>
      </w:r>
    </w:p>
    <w:p w:rsidR="00FE1385" w:rsidRPr="00E03E1D" w:rsidRDefault="001D7CF4" w:rsidP="00FE1385">
      <w:pPr>
        <w:jc w:val="both"/>
      </w:pPr>
      <w:r>
        <w:t>A program megalkotásakor a mezőgazdasági tevékenység jellemző sajátosságai az állattenyésztés vissz</w:t>
      </w:r>
      <w:r>
        <w:t>a</w:t>
      </w:r>
      <w:r>
        <w:t>szorulása, a korszerkezet romlása voltak. A társadalmi szerkezet legjellemzőbb sajátossága a területi egye</w:t>
      </w:r>
      <w:r>
        <w:t>n</w:t>
      </w:r>
      <w:r>
        <w:t>lőtlenségek mértéke volt. A természeti sajátosságok közül a sérülékenységgel érintett területek magas ar</w:t>
      </w:r>
      <w:r>
        <w:t>á</w:t>
      </w:r>
      <w:r>
        <w:t>nyát érdemes kiemelni.</w:t>
      </w:r>
    </w:p>
    <w:p w:rsidR="00FE1385" w:rsidRDefault="00FE1385" w:rsidP="00FE1385">
      <w:pPr>
        <w:jc w:val="both"/>
      </w:pPr>
      <w:r w:rsidRPr="00E03E1D">
        <w:t>A program (helyesen)</w:t>
      </w:r>
      <w:r w:rsidR="005E7D75">
        <w:t xml:space="preserve"> célul tűzte ki az állattenyésztés kibocsátásának növelését</w:t>
      </w:r>
      <w:r w:rsidRPr="00E03E1D">
        <w:t xml:space="preserve">, </w:t>
      </w:r>
      <w:r w:rsidR="00285223">
        <w:t>mert a magyar mezőgazd</w:t>
      </w:r>
      <w:r w:rsidR="00285223">
        <w:t>a</w:t>
      </w:r>
      <w:r w:rsidR="00285223">
        <w:t>ság egyik legnagyobb problémája, sajátossága az állat</w:t>
      </w:r>
      <w:r w:rsidR="009D0BC3">
        <w:t>tenyésztés</w:t>
      </w:r>
      <w:r w:rsidR="00285223">
        <w:t xml:space="preserve"> drasztikus és folyamatos visszaszorulása. A</w:t>
      </w:r>
      <w:r w:rsidRPr="00E03E1D">
        <w:t xml:space="preserve"> </w:t>
      </w:r>
      <w:r w:rsidR="00285223">
        <w:t xml:space="preserve">támogatott projektek elemezése alapján ennek a célnak a megvalósulása </w:t>
      </w:r>
      <w:r w:rsidR="001D7CF4">
        <w:t xml:space="preserve">azonban </w:t>
      </w:r>
      <w:r w:rsidR="00285223">
        <w:t xml:space="preserve">nem </w:t>
      </w:r>
      <w:r w:rsidR="00CC466E">
        <w:t>valószínű</w:t>
      </w:r>
      <w:r w:rsidR="00285223">
        <w:t>. Legn</w:t>
      </w:r>
      <w:r w:rsidR="00285223">
        <w:t>a</w:t>
      </w:r>
      <w:r w:rsidR="00285223">
        <w:t>gyobb hatás ebből a szempontból</w:t>
      </w:r>
      <w:r w:rsidRPr="00E03E1D">
        <w:t xml:space="preserve"> </w:t>
      </w:r>
      <w:r w:rsidR="001D7CF4">
        <w:t xml:space="preserve">a </w:t>
      </w:r>
      <w:r w:rsidRPr="00E03E1D">
        <w:t>121-es intézkedé</w:t>
      </w:r>
      <w:r w:rsidR="00285223">
        <w:t xml:space="preserve">s </w:t>
      </w:r>
      <w:r w:rsidR="001D7CF4">
        <w:t xml:space="preserve">Állattartó telepek korszerűsítése jogcímétől </w:t>
      </w:r>
      <w:r w:rsidR="00285223">
        <w:t>lenne várható. A</w:t>
      </w:r>
      <w:r w:rsidRPr="00E03E1D">
        <w:t xml:space="preserve">z intézkedés 355 milliárd Ft megítélt támogatásából </w:t>
      </w:r>
      <w:r w:rsidR="00285223">
        <w:t xml:space="preserve">ugyan </w:t>
      </w:r>
      <w:r w:rsidRPr="00E03E1D">
        <w:t xml:space="preserve">212 milliárd Ft-ot kötött le </w:t>
      </w:r>
      <w:r w:rsidR="001D7CF4">
        <w:t>ez a</w:t>
      </w:r>
      <w:r w:rsidRPr="00E03E1D">
        <w:t xml:space="preserve"> jogcím</w:t>
      </w:r>
      <w:r w:rsidR="00285223">
        <w:t>, azonban a megítélt támogatások túlnyomó többsége a környezetvédelmi és technológiai korszerűsítési cél</w:t>
      </w:r>
      <w:r w:rsidR="00285223">
        <w:t>o</w:t>
      </w:r>
      <w:r w:rsidR="00285223">
        <w:t>kat szolgált, így a</w:t>
      </w:r>
      <w:r w:rsidR="001D7CF4">
        <w:t>z állattenyésztés</w:t>
      </w:r>
      <w:r w:rsidR="00285223">
        <w:t xml:space="preserve"> termelési érték</w:t>
      </w:r>
      <w:r w:rsidR="001D7CF4">
        <w:t>e</w:t>
      </w:r>
      <w:r w:rsidR="00285223">
        <w:t xml:space="preserve"> fejlesztések hatására </w:t>
      </w:r>
      <w:r w:rsidR="001D7CF4">
        <w:t xml:space="preserve">csak korlátozottan fog növekedni, az egyéb kedvezőtlen gazdasági hatások miatt, </w:t>
      </w:r>
      <w:r w:rsidR="00285223">
        <w:t>a támogatás</w:t>
      </w:r>
      <w:r w:rsidR="001D7CF4">
        <w:t>ok ellenére</w:t>
      </w:r>
      <w:r w:rsidR="00285223">
        <w:t xml:space="preserve"> csak a szinten tartás várható.</w:t>
      </w:r>
    </w:p>
    <w:p w:rsidR="005E7D75" w:rsidRDefault="005E7D75" w:rsidP="005E7D75">
      <w:pPr>
        <w:jc w:val="both"/>
      </w:pPr>
      <w:r w:rsidRPr="00E03E1D">
        <w:t xml:space="preserve">A program </w:t>
      </w:r>
      <w:r>
        <w:t xml:space="preserve">szintén kiemelt célként kezeli a </w:t>
      </w:r>
      <w:r w:rsidRPr="00E03E1D">
        <w:t>mezőgazdasági korszerkezet javítás</w:t>
      </w:r>
      <w:r>
        <w:t>át is, amelyre</w:t>
      </w:r>
      <w:r w:rsidRPr="00E03E1D">
        <w:t xml:space="preserve"> forrást</w:t>
      </w:r>
      <w:r>
        <w:t xml:space="preserve"> is all</w:t>
      </w:r>
      <w:r>
        <w:t>o</w:t>
      </w:r>
      <w:r>
        <w:t>kált</w:t>
      </w:r>
      <w:r w:rsidRPr="00E03E1D">
        <w:t xml:space="preserve"> (pl.: Fiatal gazdák támogatása</w:t>
      </w:r>
      <w:r w:rsidRPr="00E03E1D">
        <w:rPr>
          <w:rStyle w:val="FootnoteReference"/>
        </w:rPr>
        <w:footnoteReference w:id="10"/>
      </w:r>
      <w:r w:rsidRPr="00E03E1D">
        <w:t>, Gazdaságátadás</w:t>
      </w:r>
      <w:r w:rsidRPr="00E03E1D">
        <w:rPr>
          <w:rStyle w:val="FootnoteReference"/>
        </w:rPr>
        <w:footnoteReference w:id="11"/>
      </w:r>
      <w:r w:rsidRPr="00E03E1D">
        <w:t xml:space="preserve"> intézkedések, rendre 24,5 Mrd Ft és 307 millió Ft kötelezettségvállalással)</w:t>
      </w:r>
      <w:r>
        <w:t xml:space="preserve">, továbbá a jóváhagyott támogatási kérelmeket vizsgálva megállapítható volt, hogy a Fiatal </w:t>
      </w:r>
      <w:proofErr w:type="gramStart"/>
      <w:r>
        <w:t>gazda intézkedésben</w:t>
      </w:r>
      <w:proofErr w:type="gramEnd"/>
      <w:r>
        <w:t xml:space="preserve"> támogatottak közül 704-es támogatást nyertek más intézkedésekben</w:t>
      </w:r>
      <w:r>
        <w:rPr>
          <w:rStyle w:val="FootnoteReference"/>
        </w:rPr>
        <w:footnoteReference w:id="12"/>
      </w:r>
      <w:r>
        <w:t xml:space="preserve"> is, ö</w:t>
      </w:r>
      <w:r>
        <w:t>s</w:t>
      </w:r>
      <w:r>
        <w:t>szesen 3 760 034 562 Ft értékben</w:t>
      </w:r>
      <w:r w:rsidRPr="00E03E1D">
        <w:t xml:space="preserve">. </w:t>
      </w:r>
    </w:p>
    <w:p w:rsidR="00FE1385" w:rsidRDefault="00CE552A" w:rsidP="00FE1385">
      <w:pPr>
        <w:jc w:val="both"/>
      </w:pPr>
      <w:r>
        <w:t>A korszerkezetet közvetlenül javító</w:t>
      </w:r>
      <w:r w:rsidR="00FE1385" w:rsidRPr="00E03E1D">
        <w:t xml:space="preserve"> intézkedések hatását külső tényezők </w:t>
      </w:r>
      <w:r w:rsidR="00CC466E">
        <w:t xml:space="preserve">is </w:t>
      </w:r>
      <w:r w:rsidR="00FE1385" w:rsidRPr="00E03E1D">
        <w:t xml:space="preserve">korlátozták, </w:t>
      </w:r>
      <w:r w:rsidR="00CC466E">
        <w:t>továbbá</w:t>
      </w:r>
      <w:r w:rsidR="00FE1385" w:rsidRPr="00E03E1D">
        <w:t xml:space="preserve"> mivel az allokált források sem voltak </w:t>
      </w:r>
      <w:r>
        <w:t>jelentősek</w:t>
      </w:r>
      <w:r w:rsidR="00FE1385" w:rsidRPr="00E03E1D">
        <w:t>, csak korlátozott hatást várunk. A többi intézkedés is preferálta a korszerkezet változását, de a jellemző tőkehiány miatt a fiatal gazdálkodók ezekkel csak kis mértékben tu</w:t>
      </w:r>
      <w:r w:rsidR="00FE1385" w:rsidRPr="00E03E1D">
        <w:t>d</w:t>
      </w:r>
      <w:r w:rsidR="00FE1385" w:rsidRPr="00E03E1D">
        <w:t>tak élni.</w:t>
      </w:r>
      <w:r w:rsidR="00FE1385">
        <w:t xml:space="preserve"> Ahogy azt </w:t>
      </w:r>
      <w:r w:rsidR="00FE1385" w:rsidRPr="008F63D0">
        <w:t xml:space="preserve">a </w:t>
      </w:r>
      <w:fldSimple w:instr=" REF _Ref279560061 \h  \* MERGEFORMAT ">
        <w:r w:rsidR="0031770A">
          <w:rPr>
            <w:noProof/>
          </w:rPr>
          <w:t>10</w:t>
        </w:r>
        <w:r w:rsidR="0031770A" w:rsidRPr="007D69C4">
          <w:t>. táblázat</w:t>
        </w:r>
      </w:fldSimple>
      <w:r w:rsidR="00FE1385" w:rsidRPr="008F63D0">
        <w:t xml:space="preserve"> szemlélteti</w:t>
      </w:r>
      <w:r w:rsidR="00FE1385">
        <w:t>, a támogatottak által megadott e-monitoring adatok alapján a preferált 25-40 éves korosztály még mindig kevesebb támogatást vesz igénybe</w:t>
      </w:r>
      <w:r>
        <w:t>, mint</w:t>
      </w:r>
      <w:r w:rsidR="00FE1385">
        <w:t xml:space="preserve"> a 40 fölötti korosztál</w:t>
      </w:r>
      <w:r>
        <w:t>y</w:t>
      </w:r>
      <w:r w:rsidR="00FE1385">
        <w:t xml:space="preserve">. </w:t>
      </w:r>
    </w:p>
    <w:p w:rsidR="005E7D75" w:rsidRDefault="00212F22" w:rsidP="00212F22">
      <w:pPr>
        <w:jc w:val="both"/>
      </w:pPr>
      <w:r w:rsidRPr="00212F22">
        <w:t>Általános Mezőgazdasági Összeírás 2010, előzetes adatai</w:t>
      </w:r>
      <w:r>
        <w:t xml:space="preserve"> alapján az állapítható meg, hogy az elmúlt tíz évben a gazdálkodók átlagéletkora másfél évvel nőtt, ezzel összhangban a gazdálkodók korösszetételében eltérés mutatható ki 2000-hez képest. A fiatal (34 éves és ez alatti) gazdálkodók aránya 9-ről 7 százalékra, a 35 és 54 év közötti korosztályé 41-ről 36 százalékra csökkent, ugyanakkor az idősebbek (55 év felettiek) aránya 50-ről 57 százalékra nőtt. Ez a felmérés – mivel idén készült - már a korszerkezet váltást elősegítő intézkedések hatását is mér</w:t>
      </w:r>
      <w:r w:rsidR="00A31446">
        <w:t>te. Az eredmények alapján a korszerkezet váltás eléréséhez további intézked</w:t>
      </w:r>
      <w:r w:rsidR="00A31446">
        <w:t>é</w:t>
      </w:r>
      <w:r w:rsidR="00A31446">
        <w:t>sek szükségesek.</w:t>
      </w:r>
    </w:p>
    <w:tbl>
      <w:tblPr>
        <w:tblStyle w:val="MediumShading2-Accent2"/>
        <w:tblW w:w="5000" w:type="pct"/>
        <w:tblLook w:val="04A0"/>
      </w:tblPr>
      <w:tblGrid>
        <w:gridCol w:w="3794"/>
        <w:gridCol w:w="1276"/>
        <w:gridCol w:w="1225"/>
        <w:gridCol w:w="1045"/>
        <w:gridCol w:w="994"/>
        <w:gridCol w:w="1045"/>
      </w:tblGrid>
      <w:tr w:rsidR="00FE1385" w:rsidRPr="00B0642E" w:rsidTr="005E7D75">
        <w:trPr>
          <w:cnfStyle w:val="100000000000"/>
          <w:tblHeader/>
        </w:trPr>
        <w:tc>
          <w:tcPr>
            <w:cnfStyle w:val="001000000100"/>
            <w:tcW w:w="2023" w:type="pct"/>
          </w:tcPr>
          <w:p w:rsidR="00FE1385" w:rsidRPr="00B0642E" w:rsidRDefault="00FE1385" w:rsidP="0090471E">
            <w:pPr>
              <w:jc w:val="both"/>
              <w:rPr>
                <w:sz w:val="18"/>
                <w:szCs w:val="18"/>
              </w:rPr>
            </w:pPr>
          </w:p>
        </w:tc>
        <w:tc>
          <w:tcPr>
            <w:tcW w:w="680" w:type="pct"/>
            <w:vAlign w:val="center"/>
          </w:tcPr>
          <w:p w:rsidR="00FE1385" w:rsidRPr="00B0642E" w:rsidRDefault="00FE1385" w:rsidP="0090471E">
            <w:pPr>
              <w:jc w:val="center"/>
              <w:cnfStyle w:val="100000000000"/>
              <w:rPr>
                <w:smallCaps/>
                <w:sz w:val="18"/>
                <w:szCs w:val="18"/>
              </w:rPr>
            </w:pPr>
            <w:r w:rsidRPr="00B0642E">
              <w:rPr>
                <w:smallCaps/>
                <w:sz w:val="18"/>
                <w:szCs w:val="18"/>
              </w:rPr>
              <w:t>ÚMVP</w:t>
            </w:r>
          </w:p>
        </w:tc>
        <w:tc>
          <w:tcPr>
            <w:tcW w:w="653" w:type="pct"/>
            <w:vAlign w:val="center"/>
          </w:tcPr>
          <w:p w:rsidR="00FE1385" w:rsidRPr="00B0642E" w:rsidRDefault="00FE1385" w:rsidP="0090471E">
            <w:pPr>
              <w:ind w:left="-53"/>
              <w:jc w:val="center"/>
              <w:cnfStyle w:val="100000000000"/>
              <w:rPr>
                <w:smallCaps/>
                <w:sz w:val="18"/>
                <w:szCs w:val="18"/>
              </w:rPr>
            </w:pPr>
            <w:r w:rsidRPr="00B0642E">
              <w:rPr>
                <w:smallCaps/>
                <w:sz w:val="18"/>
                <w:szCs w:val="18"/>
              </w:rPr>
              <w:t>I. tengely</w:t>
            </w:r>
          </w:p>
        </w:tc>
        <w:tc>
          <w:tcPr>
            <w:tcW w:w="557" w:type="pct"/>
            <w:vAlign w:val="center"/>
          </w:tcPr>
          <w:p w:rsidR="00FE1385" w:rsidRPr="00B0642E" w:rsidRDefault="00FE1385" w:rsidP="0090471E">
            <w:pPr>
              <w:jc w:val="center"/>
              <w:cnfStyle w:val="100000000000"/>
              <w:rPr>
                <w:smallCaps/>
                <w:sz w:val="18"/>
                <w:szCs w:val="18"/>
              </w:rPr>
            </w:pPr>
            <w:r w:rsidRPr="00B0642E">
              <w:rPr>
                <w:smallCaps/>
                <w:sz w:val="18"/>
                <w:szCs w:val="18"/>
              </w:rPr>
              <w:t>II. tengely</w:t>
            </w:r>
          </w:p>
        </w:tc>
        <w:tc>
          <w:tcPr>
            <w:tcW w:w="530" w:type="pct"/>
            <w:vAlign w:val="center"/>
          </w:tcPr>
          <w:p w:rsidR="00FE1385" w:rsidRPr="00B0642E" w:rsidRDefault="00FE1385" w:rsidP="0090471E">
            <w:pPr>
              <w:jc w:val="center"/>
              <w:cnfStyle w:val="100000000000"/>
              <w:rPr>
                <w:smallCaps/>
                <w:sz w:val="18"/>
                <w:szCs w:val="18"/>
              </w:rPr>
            </w:pPr>
            <w:r w:rsidRPr="00B0642E">
              <w:rPr>
                <w:smallCaps/>
                <w:sz w:val="18"/>
                <w:szCs w:val="18"/>
              </w:rPr>
              <w:t>III. tengely</w:t>
            </w:r>
          </w:p>
        </w:tc>
        <w:tc>
          <w:tcPr>
            <w:tcW w:w="557" w:type="pct"/>
            <w:vAlign w:val="center"/>
          </w:tcPr>
          <w:p w:rsidR="00FE1385" w:rsidRPr="00B0642E" w:rsidRDefault="00FE1385" w:rsidP="0090471E">
            <w:pPr>
              <w:jc w:val="center"/>
              <w:cnfStyle w:val="100000000000"/>
              <w:rPr>
                <w:smallCaps/>
                <w:sz w:val="18"/>
                <w:szCs w:val="18"/>
              </w:rPr>
            </w:pPr>
            <w:r w:rsidRPr="00B0642E">
              <w:rPr>
                <w:smallCaps/>
                <w:sz w:val="18"/>
                <w:szCs w:val="18"/>
              </w:rPr>
              <w:t>IV. tengely</w:t>
            </w:r>
          </w:p>
        </w:tc>
      </w:tr>
      <w:tr w:rsidR="00FE1385" w:rsidRPr="00B0642E" w:rsidTr="005E7D75">
        <w:trPr>
          <w:cnfStyle w:val="000000100000"/>
        </w:trPr>
        <w:tc>
          <w:tcPr>
            <w:cnfStyle w:val="001000000000"/>
            <w:tcW w:w="2023" w:type="pct"/>
          </w:tcPr>
          <w:p w:rsidR="00FE1385" w:rsidRPr="00B0642E" w:rsidRDefault="00FE1385" w:rsidP="0090471E">
            <w:pPr>
              <w:jc w:val="both"/>
              <w:rPr>
                <w:b w:val="0"/>
                <w:smallCaps/>
                <w:sz w:val="18"/>
                <w:szCs w:val="18"/>
              </w:rPr>
            </w:pPr>
            <w:r w:rsidRPr="00B0642E">
              <w:rPr>
                <w:smallCaps/>
                <w:sz w:val="18"/>
                <w:szCs w:val="18"/>
              </w:rPr>
              <w:t>Jóváhagyott</w:t>
            </w:r>
            <w:r w:rsidRPr="00B0642E">
              <w:rPr>
                <w:b w:val="0"/>
                <w:smallCaps/>
                <w:sz w:val="18"/>
                <w:szCs w:val="18"/>
              </w:rPr>
              <w:t xml:space="preserve"> támogatási kérelmek száma</w:t>
            </w:r>
          </w:p>
        </w:tc>
        <w:tc>
          <w:tcPr>
            <w:tcW w:w="680" w:type="pct"/>
            <w:vAlign w:val="center"/>
          </w:tcPr>
          <w:p w:rsidR="00FE1385" w:rsidRPr="00B0642E" w:rsidRDefault="00FE1385" w:rsidP="0090471E">
            <w:pPr>
              <w:jc w:val="center"/>
              <w:cnfStyle w:val="000000100000"/>
              <w:rPr>
                <w:sz w:val="18"/>
                <w:szCs w:val="18"/>
              </w:rPr>
            </w:pPr>
            <w:r w:rsidRPr="00B0642E">
              <w:rPr>
                <w:sz w:val="18"/>
                <w:szCs w:val="18"/>
              </w:rPr>
              <w:t>82 237</w:t>
            </w:r>
          </w:p>
        </w:tc>
        <w:tc>
          <w:tcPr>
            <w:tcW w:w="653" w:type="pct"/>
            <w:vAlign w:val="center"/>
          </w:tcPr>
          <w:p w:rsidR="00FE1385" w:rsidRPr="00B0642E" w:rsidRDefault="00FE1385" w:rsidP="0090471E">
            <w:pPr>
              <w:jc w:val="center"/>
              <w:cnfStyle w:val="000000100000"/>
              <w:rPr>
                <w:sz w:val="18"/>
                <w:szCs w:val="18"/>
              </w:rPr>
            </w:pPr>
            <w:r w:rsidRPr="00B0642E">
              <w:rPr>
                <w:sz w:val="18"/>
                <w:szCs w:val="18"/>
              </w:rPr>
              <w:t>33 494</w:t>
            </w:r>
          </w:p>
        </w:tc>
        <w:tc>
          <w:tcPr>
            <w:tcW w:w="557" w:type="pct"/>
            <w:vAlign w:val="center"/>
          </w:tcPr>
          <w:p w:rsidR="00FE1385" w:rsidRPr="00B0642E" w:rsidRDefault="00FE1385" w:rsidP="0090471E">
            <w:pPr>
              <w:jc w:val="center"/>
              <w:cnfStyle w:val="000000100000"/>
              <w:rPr>
                <w:sz w:val="18"/>
                <w:szCs w:val="18"/>
              </w:rPr>
            </w:pPr>
            <w:r w:rsidRPr="00B0642E">
              <w:rPr>
                <w:sz w:val="18"/>
                <w:szCs w:val="18"/>
              </w:rPr>
              <w:t>42 991</w:t>
            </w:r>
          </w:p>
        </w:tc>
        <w:tc>
          <w:tcPr>
            <w:tcW w:w="530" w:type="pct"/>
            <w:vAlign w:val="center"/>
          </w:tcPr>
          <w:p w:rsidR="00FE1385" w:rsidRPr="00B0642E" w:rsidRDefault="00FE1385" w:rsidP="0090471E">
            <w:pPr>
              <w:jc w:val="center"/>
              <w:cnfStyle w:val="000000100000"/>
              <w:rPr>
                <w:sz w:val="18"/>
                <w:szCs w:val="18"/>
              </w:rPr>
            </w:pPr>
            <w:r w:rsidRPr="00B0642E">
              <w:rPr>
                <w:sz w:val="18"/>
                <w:szCs w:val="18"/>
              </w:rPr>
              <w:t>5 301</w:t>
            </w:r>
          </w:p>
        </w:tc>
        <w:tc>
          <w:tcPr>
            <w:tcW w:w="557" w:type="pct"/>
            <w:vAlign w:val="center"/>
          </w:tcPr>
          <w:p w:rsidR="00FE1385" w:rsidRPr="00B0642E" w:rsidRDefault="00FE1385" w:rsidP="0090471E">
            <w:pPr>
              <w:jc w:val="center"/>
              <w:cnfStyle w:val="000000100000"/>
              <w:rPr>
                <w:sz w:val="18"/>
                <w:szCs w:val="18"/>
              </w:rPr>
            </w:pPr>
            <w:r w:rsidRPr="00B0642E">
              <w:rPr>
                <w:sz w:val="18"/>
                <w:szCs w:val="18"/>
              </w:rPr>
              <w:t>531</w:t>
            </w:r>
          </w:p>
        </w:tc>
      </w:tr>
      <w:tr w:rsidR="00FE1385" w:rsidRPr="00B0642E" w:rsidTr="005E7D75">
        <w:tc>
          <w:tcPr>
            <w:cnfStyle w:val="001000000000"/>
            <w:tcW w:w="2023" w:type="pct"/>
          </w:tcPr>
          <w:p w:rsidR="00FE1385" w:rsidRPr="00B0642E" w:rsidRDefault="00FE1385" w:rsidP="0090471E">
            <w:pPr>
              <w:jc w:val="both"/>
              <w:rPr>
                <w:b w:val="0"/>
                <w:smallCaps/>
                <w:sz w:val="18"/>
                <w:szCs w:val="18"/>
              </w:rPr>
            </w:pPr>
            <w:r w:rsidRPr="00B0642E">
              <w:rPr>
                <w:b w:val="0"/>
                <w:smallCaps/>
                <w:sz w:val="18"/>
                <w:szCs w:val="18"/>
              </w:rPr>
              <w:t xml:space="preserve">ebből </w:t>
            </w:r>
            <w:r w:rsidRPr="00B0642E">
              <w:rPr>
                <w:smallCaps/>
                <w:sz w:val="18"/>
                <w:szCs w:val="18"/>
              </w:rPr>
              <w:t>e-monitoring</w:t>
            </w:r>
            <w:r w:rsidRPr="00B0642E">
              <w:rPr>
                <w:b w:val="0"/>
                <w:smallCaps/>
                <w:sz w:val="18"/>
                <w:szCs w:val="18"/>
              </w:rPr>
              <w:t xml:space="preserve"> adatszolgáltatást benyújtott</w:t>
            </w:r>
          </w:p>
        </w:tc>
        <w:tc>
          <w:tcPr>
            <w:tcW w:w="680" w:type="pct"/>
            <w:vAlign w:val="center"/>
          </w:tcPr>
          <w:p w:rsidR="00FE1385" w:rsidRPr="00B0642E" w:rsidRDefault="00FE1385" w:rsidP="0090471E">
            <w:pPr>
              <w:jc w:val="center"/>
              <w:cnfStyle w:val="000000000000"/>
              <w:rPr>
                <w:sz w:val="18"/>
                <w:szCs w:val="18"/>
              </w:rPr>
            </w:pPr>
            <w:r w:rsidRPr="00B0642E">
              <w:rPr>
                <w:sz w:val="18"/>
                <w:szCs w:val="18"/>
              </w:rPr>
              <w:t>41 590</w:t>
            </w:r>
          </w:p>
        </w:tc>
        <w:tc>
          <w:tcPr>
            <w:tcW w:w="653" w:type="pct"/>
            <w:vAlign w:val="center"/>
          </w:tcPr>
          <w:p w:rsidR="00FE1385" w:rsidRPr="00B0642E" w:rsidRDefault="00FE1385" w:rsidP="0090471E">
            <w:pPr>
              <w:jc w:val="center"/>
              <w:cnfStyle w:val="000000000000"/>
              <w:rPr>
                <w:sz w:val="18"/>
                <w:szCs w:val="18"/>
              </w:rPr>
            </w:pPr>
            <w:r w:rsidRPr="00B0642E">
              <w:rPr>
                <w:sz w:val="18"/>
                <w:szCs w:val="18"/>
              </w:rPr>
              <w:t>30 457</w:t>
            </w:r>
          </w:p>
        </w:tc>
        <w:tc>
          <w:tcPr>
            <w:tcW w:w="557" w:type="pct"/>
            <w:vAlign w:val="center"/>
          </w:tcPr>
          <w:p w:rsidR="00FE1385" w:rsidRPr="00B0642E" w:rsidRDefault="00FE1385" w:rsidP="0090471E">
            <w:pPr>
              <w:jc w:val="center"/>
              <w:cnfStyle w:val="000000000000"/>
              <w:rPr>
                <w:sz w:val="18"/>
                <w:szCs w:val="18"/>
              </w:rPr>
            </w:pPr>
            <w:r w:rsidRPr="00B0642E">
              <w:rPr>
                <w:sz w:val="18"/>
                <w:szCs w:val="18"/>
              </w:rPr>
              <w:t>6 802</w:t>
            </w:r>
          </w:p>
        </w:tc>
        <w:tc>
          <w:tcPr>
            <w:tcW w:w="530" w:type="pct"/>
            <w:vAlign w:val="center"/>
          </w:tcPr>
          <w:p w:rsidR="00FE1385" w:rsidRPr="00B0642E" w:rsidRDefault="00FE1385" w:rsidP="0090471E">
            <w:pPr>
              <w:jc w:val="center"/>
              <w:cnfStyle w:val="000000000000"/>
              <w:rPr>
                <w:sz w:val="18"/>
                <w:szCs w:val="18"/>
              </w:rPr>
            </w:pPr>
            <w:r w:rsidRPr="00B0642E">
              <w:rPr>
                <w:sz w:val="18"/>
                <w:szCs w:val="18"/>
              </w:rPr>
              <w:t>4 221</w:t>
            </w:r>
          </w:p>
        </w:tc>
        <w:tc>
          <w:tcPr>
            <w:tcW w:w="557" w:type="pct"/>
            <w:vAlign w:val="center"/>
          </w:tcPr>
          <w:p w:rsidR="00FE1385" w:rsidRPr="00B0642E" w:rsidRDefault="00FE1385" w:rsidP="0090471E">
            <w:pPr>
              <w:jc w:val="center"/>
              <w:cnfStyle w:val="000000000000"/>
              <w:rPr>
                <w:sz w:val="18"/>
                <w:szCs w:val="18"/>
              </w:rPr>
            </w:pPr>
            <w:r w:rsidRPr="00B0642E">
              <w:rPr>
                <w:sz w:val="18"/>
                <w:szCs w:val="18"/>
              </w:rPr>
              <w:t>92</w:t>
            </w:r>
          </w:p>
        </w:tc>
      </w:tr>
      <w:tr w:rsidR="00FE1385" w:rsidRPr="00B0642E" w:rsidTr="005E7D75">
        <w:trPr>
          <w:cnfStyle w:val="000000100000"/>
        </w:trPr>
        <w:tc>
          <w:tcPr>
            <w:cnfStyle w:val="001000000000"/>
            <w:tcW w:w="2023" w:type="pct"/>
          </w:tcPr>
          <w:p w:rsidR="00FE1385" w:rsidRPr="00B0642E" w:rsidRDefault="00FE1385" w:rsidP="0090471E">
            <w:pPr>
              <w:jc w:val="both"/>
              <w:rPr>
                <w:b w:val="0"/>
                <w:smallCaps/>
                <w:sz w:val="18"/>
                <w:szCs w:val="18"/>
              </w:rPr>
            </w:pPr>
            <w:r w:rsidRPr="00B0642E">
              <w:rPr>
                <w:smallCaps/>
                <w:sz w:val="18"/>
                <w:szCs w:val="18"/>
              </w:rPr>
              <w:t>Születési</w:t>
            </w:r>
            <w:r w:rsidRPr="00B0642E">
              <w:rPr>
                <w:b w:val="0"/>
                <w:smallCaps/>
                <w:sz w:val="18"/>
                <w:szCs w:val="18"/>
              </w:rPr>
              <w:t xml:space="preserve"> </w:t>
            </w:r>
            <w:r w:rsidRPr="00B0642E">
              <w:rPr>
                <w:smallCaps/>
                <w:sz w:val="18"/>
                <w:szCs w:val="18"/>
              </w:rPr>
              <w:t>dátumot</w:t>
            </w:r>
            <w:r w:rsidRPr="00B0642E">
              <w:rPr>
                <w:b w:val="0"/>
                <w:smallCaps/>
                <w:sz w:val="18"/>
                <w:szCs w:val="18"/>
              </w:rPr>
              <w:t xml:space="preserve"> megadott magánszemély, ebből:</w:t>
            </w:r>
          </w:p>
        </w:tc>
        <w:tc>
          <w:tcPr>
            <w:tcW w:w="680" w:type="pct"/>
            <w:vAlign w:val="center"/>
          </w:tcPr>
          <w:p w:rsidR="00FE1385" w:rsidRPr="00B0642E" w:rsidRDefault="00FE1385" w:rsidP="0090471E">
            <w:pPr>
              <w:jc w:val="center"/>
              <w:cnfStyle w:val="000000100000"/>
              <w:rPr>
                <w:sz w:val="18"/>
                <w:szCs w:val="18"/>
              </w:rPr>
            </w:pPr>
            <w:r w:rsidRPr="00B0642E">
              <w:rPr>
                <w:sz w:val="18"/>
                <w:szCs w:val="18"/>
              </w:rPr>
              <w:t>19 547</w:t>
            </w:r>
          </w:p>
        </w:tc>
        <w:tc>
          <w:tcPr>
            <w:tcW w:w="653" w:type="pct"/>
            <w:vAlign w:val="center"/>
          </w:tcPr>
          <w:p w:rsidR="00FE1385" w:rsidRPr="00B0642E" w:rsidRDefault="00FE1385" w:rsidP="0090471E">
            <w:pPr>
              <w:jc w:val="center"/>
              <w:cnfStyle w:val="000000100000"/>
              <w:rPr>
                <w:sz w:val="18"/>
                <w:szCs w:val="18"/>
              </w:rPr>
            </w:pPr>
            <w:r w:rsidRPr="00B0642E">
              <w:rPr>
                <w:sz w:val="18"/>
                <w:szCs w:val="18"/>
              </w:rPr>
              <w:t>17 539</w:t>
            </w:r>
          </w:p>
        </w:tc>
        <w:tc>
          <w:tcPr>
            <w:tcW w:w="557" w:type="pct"/>
            <w:vAlign w:val="center"/>
          </w:tcPr>
          <w:p w:rsidR="00FE1385" w:rsidRPr="00B0642E" w:rsidRDefault="00FE1385" w:rsidP="0090471E">
            <w:pPr>
              <w:jc w:val="center"/>
              <w:cnfStyle w:val="000000100000"/>
              <w:rPr>
                <w:sz w:val="18"/>
                <w:szCs w:val="18"/>
              </w:rPr>
            </w:pPr>
            <w:r w:rsidRPr="00B0642E">
              <w:rPr>
                <w:sz w:val="18"/>
                <w:szCs w:val="18"/>
              </w:rPr>
              <w:t>1 739</w:t>
            </w:r>
          </w:p>
        </w:tc>
        <w:tc>
          <w:tcPr>
            <w:tcW w:w="530" w:type="pct"/>
            <w:vAlign w:val="center"/>
          </w:tcPr>
          <w:p w:rsidR="00FE1385" w:rsidRPr="00B0642E" w:rsidRDefault="00FE1385" w:rsidP="0090471E">
            <w:pPr>
              <w:jc w:val="center"/>
              <w:cnfStyle w:val="000000100000"/>
              <w:rPr>
                <w:sz w:val="18"/>
                <w:szCs w:val="18"/>
              </w:rPr>
            </w:pPr>
            <w:r w:rsidRPr="00B0642E">
              <w:rPr>
                <w:sz w:val="18"/>
                <w:szCs w:val="18"/>
              </w:rPr>
              <w:t>269</w:t>
            </w:r>
          </w:p>
        </w:tc>
        <w:tc>
          <w:tcPr>
            <w:tcW w:w="557" w:type="pct"/>
            <w:vAlign w:val="center"/>
          </w:tcPr>
          <w:p w:rsidR="00FE1385" w:rsidRPr="00B0642E" w:rsidRDefault="00FE1385" w:rsidP="0090471E">
            <w:pPr>
              <w:jc w:val="center"/>
              <w:cnfStyle w:val="000000100000"/>
              <w:rPr>
                <w:sz w:val="18"/>
                <w:szCs w:val="18"/>
              </w:rPr>
            </w:pPr>
            <w:r w:rsidRPr="00B0642E">
              <w:rPr>
                <w:sz w:val="18"/>
                <w:szCs w:val="18"/>
              </w:rPr>
              <w:t>-</w:t>
            </w:r>
          </w:p>
        </w:tc>
      </w:tr>
      <w:tr w:rsidR="00FE1385" w:rsidRPr="00B0642E" w:rsidTr="005E7D75">
        <w:tc>
          <w:tcPr>
            <w:cnfStyle w:val="001000000000"/>
            <w:tcW w:w="2023" w:type="pct"/>
          </w:tcPr>
          <w:p w:rsidR="00FE1385" w:rsidRPr="00B0642E" w:rsidRDefault="00FE1385" w:rsidP="0090471E">
            <w:pPr>
              <w:ind w:left="426"/>
              <w:jc w:val="both"/>
              <w:rPr>
                <w:b w:val="0"/>
                <w:i/>
                <w:smallCaps/>
                <w:sz w:val="18"/>
                <w:szCs w:val="18"/>
              </w:rPr>
            </w:pPr>
            <w:r w:rsidRPr="00B0642E">
              <w:rPr>
                <w:b w:val="0"/>
                <w:i/>
                <w:smallCaps/>
                <w:sz w:val="18"/>
                <w:szCs w:val="18"/>
              </w:rPr>
              <w:t>25 év alatt</w:t>
            </w:r>
          </w:p>
        </w:tc>
        <w:tc>
          <w:tcPr>
            <w:tcW w:w="680" w:type="pct"/>
            <w:vAlign w:val="center"/>
          </w:tcPr>
          <w:p w:rsidR="00FE1385" w:rsidRPr="00B0642E" w:rsidRDefault="00FE1385" w:rsidP="0090471E">
            <w:pPr>
              <w:jc w:val="center"/>
              <w:cnfStyle w:val="000000000000"/>
              <w:rPr>
                <w:sz w:val="18"/>
                <w:szCs w:val="18"/>
              </w:rPr>
            </w:pPr>
            <w:r w:rsidRPr="00B0642E">
              <w:rPr>
                <w:sz w:val="18"/>
                <w:szCs w:val="18"/>
              </w:rPr>
              <w:t>449</w:t>
            </w:r>
          </w:p>
        </w:tc>
        <w:tc>
          <w:tcPr>
            <w:tcW w:w="653" w:type="pct"/>
            <w:vAlign w:val="center"/>
          </w:tcPr>
          <w:p w:rsidR="00FE1385" w:rsidRPr="00B0642E" w:rsidRDefault="00FE1385" w:rsidP="0090471E">
            <w:pPr>
              <w:jc w:val="center"/>
              <w:cnfStyle w:val="000000000000"/>
              <w:rPr>
                <w:sz w:val="18"/>
                <w:szCs w:val="18"/>
              </w:rPr>
            </w:pPr>
            <w:r w:rsidRPr="00B0642E">
              <w:rPr>
                <w:sz w:val="18"/>
                <w:szCs w:val="18"/>
              </w:rPr>
              <w:t>428</w:t>
            </w:r>
          </w:p>
        </w:tc>
        <w:tc>
          <w:tcPr>
            <w:tcW w:w="557" w:type="pct"/>
            <w:vAlign w:val="center"/>
          </w:tcPr>
          <w:p w:rsidR="00FE1385" w:rsidRPr="00B0642E" w:rsidRDefault="00FE1385" w:rsidP="0090471E">
            <w:pPr>
              <w:jc w:val="center"/>
              <w:cnfStyle w:val="000000000000"/>
              <w:rPr>
                <w:sz w:val="18"/>
                <w:szCs w:val="18"/>
              </w:rPr>
            </w:pPr>
            <w:r w:rsidRPr="00B0642E">
              <w:rPr>
                <w:sz w:val="18"/>
                <w:szCs w:val="18"/>
              </w:rPr>
              <w:t>18</w:t>
            </w:r>
          </w:p>
        </w:tc>
        <w:tc>
          <w:tcPr>
            <w:tcW w:w="530" w:type="pct"/>
            <w:vAlign w:val="center"/>
          </w:tcPr>
          <w:p w:rsidR="00FE1385" w:rsidRPr="00B0642E" w:rsidRDefault="00FE1385" w:rsidP="0090471E">
            <w:pPr>
              <w:jc w:val="center"/>
              <w:cnfStyle w:val="000000000000"/>
              <w:rPr>
                <w:sz w:val="18"/>
                <w:szCs w:val="18"/>
              </w:rPr>
            </w:pPr>
            <w:r w:rsidRPr="00B0642E">
              <w:rPr>
                <w:sz w:val="18"/>
                <w:szCs w:val="18"/>
              </w:rPr>
              <w:t>3</w:t>
            </w:r>
          </w:p>
        </w:tc>
        <w:tc>
          <w:tcPr>
            <w:tcW w:w="557" w:type="pct"/>
            <w:vAlign w:val="center"/>
          </w:tcPr>
          <w:p w:rsidR="00FE1385" w:rsidRPr="00B0642E" w:rsidRDefault="00FE1385" w:rsidP="0090471E">
            <w:pPr>
              <w:jc w:val="center"/>
              <w:cnfStyle w:val="000000000000"/>
              <w:rPr>
                <w:sz w:val="18"/>
                <w:szCs w:val="18"/>
              </w:rPr>
            </w:pPr>
            <w:r w:rsidRPr="00B0642E">
              <w:rPr>
                <w:sz w:val="18"/>
                <w:szCs w:val="18"/>
              </w:rPr>
              <w:t>-</w:t>
            </w:r>
          </w:p>
        </w:tc>
      </w:tr>
      <w:tr w:rsidR="00FE1385" w:rsidRPr="00B0642E" w:rsidTr="005E7D75">
        <w:trPr>
          <w:cnfStyle w:val="000000100000"/>
        </w:trPr>
        <w:tc>
          <w:tcPr>
            <w:cnfStyle w:val="001000000000"/>
            <w:tcW w:w="2023" w:type="pct"/>
          </w:tcPr>
          <w:p w:rsidR="00FE1385" w:rsidRPr="00B0642E" w:rsidRDefault="00FE1385" w:rsidP="0090471E">
            <w:pPr>
              <w:ind w:left="426"/>
              <w:jc w:val="both"/>
              <w:rPr>
                <w:b w:val="0"/>
                <w:i/>
                <w:smallCaps/>
                <w:sz w:val="18"/>
                <w:szCs w:val="18"/>
              </w:rPr>
            </w:pPr>
            <w:r w:rsidRPr="00B0642E">
              <w:rPr>
                <w:b w:val="0"/>
                <w:i/>
                <w:smallCaps/>
                <w:sz w:val="18"/>
                <w:szCs w:val="18"/>
              </w:rPr>
              <w:t>25-40 év között</w:t>
            </w:r>
          </w:p>
        </w:tc>
        <w:tc>
          <w:tcPr>
            <w:tcW w:w="680" w:type="pct"/>
            <w:vAlign w:val="center"/>
          </w:tcPr>
          <w:p w:rsidR="00FE1385" w:rsidRPr="00B0642E" w:rsidRDefault="00FE1385" w:rsidP="0090471E">
            <w:pPr>
              <w:jc w:val="center"/>
              <w:cnfStyle w:val="000000100000"/>
              <w:rPr>
                <w:sz w:val="18"/>
                <w:szCs w:val="18"/>
              </w:rPr>
            </w:pPr>
            <w:r w:rsidRPr="00B0642E">
              <w:rPr>
                <w:sz w:val="18"/>
                <w:szCs w:val="18"/>
              </w:rPr>
              <w:t>5 048</w:t>
            </w:r>
          </w:p>
        </w:tc>
        <w:tc>
          <w:tcPr>
            <w:tcW w:w="653" w:type="pct"/>
            <w:vAlign w:val="center"/>
          </w:tcPr>
          <w:p w:rsidR="00FE1385" w:rsidRPr="00B0642E" w:rsidRDefault="00FE1385" w:rsidP="0090471E">
            <w:pPr>
              <w:jc w:val="center"/>
              <w:cnfStyle w:val="000000100000"/>
              <w:rPr>
                <w:sz w:val="18"/>
                <w:szCs w:val="18"/>
              </w:rPr>
            </w:pPr>
            <w:r w:rsidRPr="00B0642E">
              <w:rPr>
                <w:sz w:val="18"/>
                <w:szCs w:val="18"/>
              </w:rPr>
              <w:t>4 610</w:t>
            </w:r>
          </w:p>
        </w:tc>
        <w:tc>
          <w:tcPr>
            <w:tcW w:w="557" w:type="pct"/>
            <w:vAlign w:val="center"/>
          </w:tcPr>
          <w:p w:rsidR="00FE1385" w:rsidRPr="00B0642E" w:rsidRDefault="00FE1385" w:rsidP="0090471E">
            <w:pPr>
              <w:jc w:val="center"/>
              <w:cnfStyle w:val="000000100000"/>
              <w:rPr>
                <w:sz w:val="18"/>
                <w:szCs w:val="18"/>
              </w:rPr>
            </w:pPr>
            <w:r w:rsidRPr="00B0642E">
              <w:rPr>
                <w:sz w:val="18"/>
                <w:szCs w:val="18"/>
              </w:rPr>
              <w:t>344</w:t>
            </w:r>
          </w:p>
        </w:tc>
        <w:tc>
          <w:tcPr>
            <w:tcW w:w="530" w:type="pct"/>
            <w:vAlign w:val="center"/>
          </w:tcPr>
          <w:p w:rsidR="00FE1385" w:rsidRPr="00B0642E" w:rsidRDefault="00FE1385" w:rsidP="0090471E">
            <w:pPr>
              <w:jc w:val="center"/>
              <w:cnfStyle w:val="000000100000"/>
              <w:rPr>
                <w:sz w:val="18"/>
                <w:szCs w:val="18"/>
              </w:rPr>
            </w:pPr>
            <w:r w:rsidRPr="00B0642E">
              <w:rPr>
                <w:sz w:val="18"/>
                <w:szCs w:val="18"/>
              </w:rPr>
              <w:t>94</w:t>
            </w:r>
          </w:p>
        </w:tc>
        <w:tc>
          <w:tcPr>
            <w:tcW w:w="557" w:type="pct"/>
            <w:vAlign w:val="center"/>
          </w:tcPr>
          <w:p w:rsidR="00FE1385" w:rsidRPr="00B0642E" w:rsidRDefault="00FE1385" w:rsidP="0090471E">
            <w:pPr>
              <w:jc w:val="center"/>
              <w:cnfStyle w:val="000000100000"/>
              <w:rPr>
                <w:sz w:val="18"/>
                <w:szCs w:val="18"/>
              </w:rPr>
            </w:pPr>
            <w:r w:rsidRPr="00B0642E">
              <w:rPr>
                <w:sz w:val="18"/>
                <w:szCs w:val="18"/>
              </w:rPr>
              <w:t>-</w:t>
            </w:r>
          </w:p>
        </w:tc>
      </w:tr>
      <w:tr w:rsidR="00FE1385" w:rsidRPr="00B0642E" w:rsidTr="005E7D75">
        <w:tc>
          <w:tcPr>
            <w:cnfStyle w:val="001000000000"/>
            <w:tcW w:w="2023" w:type="pct"/>
          </w:tcPr>
          <w:p w:rsidR="00FE1385" w:rsidRPr="00B0642E" w:rsidRDefault="00FE1385" w:rsidP="0090471E">
            <w:pPr>
              <w:ind w:left="426"/>
              <w:jc w:val="both"/>
              <w:rPr>
                <w:b w:val="0"/>
                <w:i/>
                <w:smallCaps/>
                <w:sz w:val="18"/>
                <w:szCs w:val="18"/>
              </w:rPr>
            </w:pPr>
            <w:r w:rsidRPr="00B0642E">
              <w:rPr>
                <w:b w:val="0"/>
                <w:i/>
                <w:smallCaps/>
                <w:sz w:val="18"/>
                <w:szCs w:val="18"/>
              </w:rPr>
              <w:t>40-60 év között</w:t>
            </w:r>
          </w:p>
        </w:tc>
        <w:tc>
          <w:tcPr>
            <w:tcW w:w="680" w:type="pct"/>
            <w:vAlign w:val="center"/>
          </w:tcPr>
          <w:p w:rsidR="00FE1385" w:rsidRPr="00B0642E" w:rsidRDefault="00FE1385" w:rsidP="0090471E">
            <w:pPr>
              <w:jc w:val="center"/>
              <w:cnfStyle w:val="000000000000"/>
              <w:rPr>
                <w:sz w:val="18"/>
                <w:szCs w:val="18"/>
              </w:rPr>
            </w:pPr>
            <w:r w:rsidRPr="00B0642E">
              <w:rPr>
                <w:sz w:val="18"/>
                <w:szCs w:val="18"/>
              </w:rPr>
              <w:t>9 797</w:t>
            </w:r>
          </w:p>
        </w:tc>
        <w:tc>
          <w:tcPr>
            <w:tcW w:w="653" w:type="pct"/>
            <w:vAlign w:val="center"/>
          </w:tcPr>
          <w:p w:rsidR="00FE1385" w:rsidRPr="00B0642E" w:rsidRDefault="00FE1385" w:rsidP="0090471E">
            <w:pPr>
              <w:jc w:val="center"/>
              <w:cnfStyle w:val="000000000000"/>
              <w:rPr>
                <w:sz w:val="18"/>
                <w:szCs w:val="18"/>
              </w:rPr>
            </w:pPr>
            <w:r w:rsidRPr="00B0642E">
              <w:rPr>
                <w:sz w:val="18"/>
                <w:szCs w:val="18"/>
              </w:rPr>
              <w:t>8 792</w:t>
            </w:r>
          </w:p>
        </w:tc>
        <w:tc>
          <w:tcPr>
            <w:tcW w:w="557" w:type="pct"/>
            <w:vAlign w:val="center"/>
          </w:tcPr>
          <w:p w:rsidR="00FE1385" w:rsidRPr="00B0642E" w:rsidRDefault="00FE1385" w:rsidP="0090471E">
            <w:pPr>
              <w:jc w:val="center"/>
              <w:cnfStyle w:val="000000000000"/>
              <w:rPr>
                <w:sz w:val="18"/>
                <w:szCs w:val="18"/>
              </w:rPr>
            </w:pPr>
            <w:r w:rsidRPr="00B0642E">
              <w:rPr>
                <w:sz w:val="18"/>
                <w:szCs w:val="18"/>
              </w:rPr>
              <w:t>856</w:t>
            </w:r>
          </w:p>
        </w:tc>
        <w:tc>
          <w:tcPr>
            <w:tcW w:w="530" w:type="pct"/>
            <w:vAlign w:val="center"/>
          </w:tcPr>
          <w:p w:rsidR="00FE1385" w:rsidRPr="00B0642E" w:rsidRDefault="00FE1385" w:rsidP="0090471E">
            <w:pPr>
              <w:jc w:val="center"/>
              <w:cnfStyle w:val="000000000000"/>
              <w:rPr>
                <w:sz w:val="18"/>
                <w:szCs w:val="18"/>
              </w:rPr>
            </w:pPr>
            <w:r w:rsidRPr="00B0642E">
              <w:rPr>
                <w:sz w:val="18"/>
                <w:szCs w:val="18"/>
              </w:rPr>
              <w:t>149</w:t>
            </w:r>
          </w:p>
        </w:tc>
        <w:tc>
          <w:tcPr>
            <w:tcW w:w="557" w:type="pct"/>
            <w:vAlign w:val="center"/>
          </w:tcPr>
          <w:p w:rsidR="00FE1385" w:rsidRPr="00B0642E" w:rsidRDefault="00FE1385" w:rsidP="0090471E">
            <w:pPr>
              <w:jc w:val="center"/>
              <w:cnfStyle w:val="000000000000"/>
              <w:rPr>
                <w:sz w:val="18"/>
                <w:szCs w:val="18"/>
              </w:rPr>
            </w:pPr>
            <w:r w:rsidRPr="00B0642E">
              <w:rPr>
                <w:sz w:val="18"/>
                <w:szCs w:val="18"/>
              </w:rPr>
              <w:t>-</w:t>
            </w:r>
          </w:p>
        </w:tc>
      </w:tr>
      <w:tr w:rsidR="00FE1385" w:rsidRPr="00B0642E" w:rsidTr="005E7D75">
        <w:trPr>
          <w:cnfStyle w:val="000000100000"/>
        </w:trPr>
        <w:tc>
          <w:tcPr>
            <w:cnfStyle w:val="001000000000"/>
            <w:tcW w:w="2023" w:type="pct"/>
          </w:tcPr>
          <w:p w:rsidR="00FE1385" w:rsidRPr="00B0642E" w:rsidRDefault="00FE1385" w:rsidP="0090471E">
            <w:pPr>
              <w:ind w:left="426"/>
              <w:jc w:val="both"/>
              <w:rPr>
                <w:b w:val="0"/>
                <w:i/>
                <w:smallCaps/>
                <w:sz w:val="18"/>
                <w:szCs w:val="18"/>
              </w:rPr>
            </w:pPr>
            <w:r w:rsidRPr="00B0642E">
              <w:rPr>
                <w:b w:val="0"/>
                <w:i/>
                <w:smallCaps/>
                <w:sz w:val="18"/>
                <w:szCs w:val="18"/>
              </w:rPr>
              <w:t>60-80 év között</w:t>
            </w:r>
          </w:p>
        </w:tc>
        <w:tc>
          <w:tcPr>
            <w:tcW w:w="680" w:type="pct"/>
            <w:vAlign w:val="center"/>
          </w:tcPr>
          <w:p w:rsidR="00FE1385" w:rsidRPr="00B0642E" w:rsidRDefault="00FE1385" w:rsidP="0090471E">
            <w:pPr>
              <w:jc w:val="center"/>
              <w:cnfStyle w:val="000000100000"/>
              <w:rPr>
                <w:sz w:val="18"/>
                <w:szCs w:val="18"/>
              </w:rPr>
            </w:pPr>
            <w:r w:rsidRPr="00B0642E">
              <w:rPr>
                <w:sz w:val="18"/>
                <w:szCs w:val="18"/>
              </w:rPr>
              <w:t>4022</w:t>
            </w:r>
          </w:p>
        </w:tc>
        <w:tc>
          <w:tcPr>
            <w:tcW w:w="653" w:type="pct"/>
            <w:vAlign w:val="center"/>
          </w:tcPr>
          <w:p w:rsidR="00FE1385" w:rsidRPr="00B0642E" w:rsidRDefault="00FE1385" w:rsidP="0090471E">
            <w:pPr>
              <w:jc w:val="center"/>
              <w:cnfStyle w:val="000000100000"/>
              <w:rPr>
                <w:sz w:val="18"/>
                <w:szCs w:val="18"/>
              </w:rPr>
            </w:pPr>
            <w:r w:rsidRPr="00B0642E">
              <w:rPr>
                <w:sz w:val="18"/>
                <w:szCs w:val="18"/>
              </w:rPr>
              <w:t>3 504</w:t>
            </w:r>
          </w:p>
        </w:tc>
        <w:tc>
          <w:tcPr>
            <w:tcW w:w="557" w:type="pct"/>
            <w:vAlign w:val="center"/>
          </w:tcPr>
          <w:p w:rsidR="00FE1385" w:rsidRPr="00B0642E" w:rsidRDefault="00FE1385" w:rsidP="0090471E">
            <w:pPr>
              <w:jc w:val="center"/>
              <w:cnfStyle w:val="000000100000"/>
              <w:rPr>
                <w:sz w:val="18"/>
                <w:szCs w:val="18"/>
              </w:rPr>
            </w:pPr>
            <w:r w:rsidRPr="00B0642E">
              <w:rPr>
                <w:sz w:val="18"/>
                <w:szCs w:val="18"/>
              </w:rPr>
              <w:t>496</w:t>
            </w:r>
          </w:p>
        </w:tc>
        <w:tc>
          <w:tcPr>
            <w:tcW w:w="530" w:type="pct"/>
            <w:vAlign w:val="center"/>
          </w:tcPr>
          <w:p w:rsidR="00FE1385" w:rsidRPr="00B0642E" w:rsidRDefault="00FE1385" w:rsidP="0090471E">
            <w:pPr>
              <w:jc w:val="center"/>
              <w:cnfStyle w:val="000000100000"/>
              <w:rPr>
                <w:sz w:val="18"/>
                <w:szCs w:val="18"/>
              </w:rPr>
            </w:pPr>
            <w:r w:rsidRPr="00B0642E">
              <w:rPr>
                <w:sz w:val="18"/>
                <w:szCs w:val="18"/>
              </w:rPr>
              <w:t>22</w:t>
            </w:r>
          </w:p>
        </w:tc>
        <w:tc>
          <w:tcPr>
            <w:tcW w:w="557" w:type="pct"/>
            <w:vAlign w:val="center"/>
          </w:tcPr>
          <w:p w:rsidR="00FE1385" w:rsidRPr="00B0642E" w:rsidRDefault="00FE1385" w:rsidP="0090471E">
            <w:pPr>
              <w:jc w:val="center"/>
              <w:cnfStyle w:val="000000100000"/>
              <w:rPr>
                <w:sz w:val="18"/>
                <w:szCs w:val="18"/>
              </w:rPr>
            </w:pPr>
            <w:r w:rsidRPr="00B0642E">
              <w:rPr>
                <w:sz w:val="18"/>
                <w:szCs w:val="18"/>
              </w:rPr>
              <w:t>-</w:t>
            </w:r>
          </w:p>
        </w:tc>
      </w:tr>
      <w:tr w:rsidR="00FE1385" w:rsidRPr="00B0642E" w:rsidTr="005E7D75">
        <w:tc>
          <w:tcPr>
            <w:cnfStyle w:val="001000000000"/>
            <w:tcW w:w="2023" w:type="pct"/>
          </w:tcPr>
          <w:p w:rsidR="00FE1385" w:rsidRPr="00B0642E" w:rsidRDefault="00FE1385" w:rsidP="0090471E">
            <w:pPr>
              <w:ind w:left="426"/>
              <w:jc w:val="both"/>
              <w:rPr>
                <w:b w:val="0"/>
                <w:i/>
                <w:smallCaps/>
                <w:sz w:val="18"/>
                <w:szCs w:val="18"/>
              </w:rPr>
            </w:pPr>
            <w:r w:rsidRPr="00B0642E">
              <w:rPr>
                <w:b w:val="0"/>
                <w:i/>
                <w:smallCaps/>
                <w:sz w:val="18"/>
                <w:szCs w:val="18"/>
              </w:rPr>
              <w:t>80 év fölött</w:t>
            </w:r>
          </w:p>
        </w:tc>
        <w:tc>
          <w:tcPr>
            <w:tcW w:w="680" w:type="pct"/>
            <w:vAlign w:val="center"/>
          </w:tcPr>
          <w:p w:rsidR="00FE1385" w:rsidRPr="00B0642E" w:rsidRDefault="00FE1385" w:rsidP="0090471E">
            <w:pPr>
              <w:jc w:val="center"/>
              <w:cnfStyle w:val="000000000000"/>
              <w:rPr>
                <w:sz w:val="18"/>
                <w:szCs w:val="18"/>
              </w:rPr>
            </w:pPr>
            <w:r w:rsidRPr="00B0642E">
              <w:rPr>
                <w:sz w:val="18"/>
                <w:szCs w:val="18"/>
              </w:rPr>
              <w:t>231</w:t>
            </w:r>
          </w:p>
        </w:tc>
        <w:tc>
          <w:tcPr>
            <w:tcW w:w="653" w:type="pct"/>
            <w:vAlign w:val="center"/>
          </w:tcPr>
          <w:p w:rsidR="00FE1385" w:rsidRPr="00B0642E" w:rsidRDefault="00FE1385" w:rsidP="0090471E">
            <w:pPr>
              <w:jc w:val="center"/>
              <w:cnfStyle w:val="000000000000"/>
              <w:rPr>
                <w:sz w:val="18"/>
                <w:szCs w:val="18"/>
              </w:rPr>
            </w:pPr>
            <w:r w:rsidRPr="00B0642E">
              <w:rPr>
                <w:sz w:val="18"/>
                <w:szCs w:val="18"/>
              </w:rPr>
              <w:t>205</w:t>
            </w:r>
          </w:p>
        </w:tc>
        <w:tc>
          <w:tcPr>
            <w:tcW w:w="557" w:type="pct"/>
            <w:vAlign w:val="center"/>
          </w:tcPr>
          <w:p w:rsidR="00FE1385" w:rsidRPr="00B0642E" w:rsidRDefault="00FE1385" w:rsidP="0090471E">
            <w:pPr>
              <w:jc w:val="center"/>
              <w:cnfStyle w:val="000000000000"/>
              <w:rPr>
                <w:sz w:val="18"/>
                <w:szCs w:val="18"/>
              </w:rPr>
            </w:pPr>
            <w:r w:rsidRPr="00B0642E">
              <w:rPr>
                <w:sz w:val="18"/>
                <w:szCs w:val="18"/>
              </w:rPr>
              <w:t>25</w:t>
            </w:r>
          </w:p>
        </w:tc>
        <w:tc>
          <w:tcPr>
            <w:tcW w:w="530" w:type="pct"/>
            <w:vAlign w:val="center"/>
          </w:tcPr>
          <w:p w:rsidR="00FE1385" w:rsidRPr="00B0642E" w:rsidRDefault="00FE1385" w:rsidP="0090471E">
            <w:pPr>
              <w:jc w:val="center"/>
              <w:cnfStyle w:val="000000000000"/>
              <w:rPr>
                <w:sz w:val="18"/>
                <w:szCs w:val="18"/>
              </w:rPr>
            </w:pPr>
            <w:r w:rsidRPr="00B0642E">
              <w:rPr>
                <w:sz w:val="18"/>
                <w:szCs w:val="18"/>
              </w:rPr>
              <w:t>1</w:t>
            </w:r>
          </w:p>
        </w:tc>
        <w:tc>
          <w:tcPr>
            <w:tcW w:w="557" w:type="pct"/>
            <w:vAlign w:val="center"/>
          </w:tcPr>
          <w:p w:rsidR="00FE1385" w:rsidRPr="00B0642E" w:rsidRDefault="00FE1385" w:rsidP="0090471E">
            <w:pPr>
              <w:jc w:val="center"/>
              <w:cnfStyle w:val="000000000000"/>
              <w:rPr>
                <w:sz w:val="18"/>
                <w:szCs w:val="18"/>
              </w:rPr>
            </w:pPr>
            <w:r w:rsidRPr="00B0642E">
              <w:rPr>
                <w:sz w:val="18"/>
                <w:szCs w:val="18"/>
              </w:rPr>
              <w:t>-</w:t>
            </w:r>
          </w:p>
        </w:tc>
      </w:tr>
    </w:tbl>
    <w:bookmarkStart w:id="10" w:name="_Ref279560061"/>
    <w:p w:rsidR="00FE1385" w:rsidRPr="007D69C4" w:rsidRDefault="00CF0DD4" w:rsidP="00FE1385">
      <w:pPr>
        <w:pStyle w:val="Caption"/>
        <w:spacing w:before="60" w:after="120" w:line="280" w:lineRule="atLeast"/>
        <w:jc w:val="center"/>
        <w:rPr>
          <w:color w:val="auto"/>
        </w:rPr>
      </w:pPr>
      <w:r w:rsidRPr="007D69C4">
        <w:rPr>
          <w:color w:val="auto"/>
        </w:rPr>
        <w:fldChar w:fldCharType="begin"/>
      </w:r>
      <w:r w:rsidR="00FE1385" w:rsidRPr="007D69C4">
        <w:rPr>
          <w:color w:val="auto"/>
        </w:rPr>
        <w:instrText xml:space="preserve"> SEQ táblázat \* ARABIC </w:instrText>
      </w:r>
      <w:r w:rsidRPr="007D69C4">
        <w:rPr>
          <w:color w:val="auto"/>
        </w:rPr>
        <w:fldChar w:fldCharType="separate"/>
      </w:r>
      <w:r w:rsidR="00A31446">
        <w:rPr>
          <w:noProof/>
          <w:color w:val="auto"/>
        </w:rPr>
        <w:t>5</w:t>
      </w:r>
      <w:r w:rsidRPr="007D69C4">
        <w:rPr>
          <w:color w:val="auto"/>
        </w:rPr>
        <w:fldChar w:fldCharType="end"/>
      </w:r>
      <w:r w:rsidR="00FE1385" w:rsidRPr="007D69C4">
        <w:rPr>
          <w:color w:val="auto"/>
        </w:rPr>
        <w:t>. táblázat</w:t>
      </w:r>
      <w:bookmarkEnd w:id="10"/>
      <w:r w:rsidR="00FE1385" w:rsidRPr="007D69C4">
        <w:rPr>
          <w:color w:val="auto"/>
        </w:rPr>
        <w:t>: E-monitoring adatok</w:t>
      </w:r>
      <w:r w:rsidR="00FE1385">
        <w:rPr>
          <w:color w:val="auto"/>
        </w:rPr>
        <w:t xml:space="preserve"> -</w:t>
      </w:r>
      <w:r w:rsidR="00FE1385" w:rsidRPr="007D69C4">
        <w:rPr>
          <w:color w:val="auto"/>
        </w:rPr>
        <w:t xml:space="preserve"> korszerkezet</w:t>
      </w:r>
    </w:p>
    <w:p w:rsidR="005E7D75" w:rsidRPr="00E03E1D" w:rsidRDefault="005E7D75" w:rsidP="005E7D75">
      <w:pPr>
        <w:jc w:val="both"/>
      </w:pPr>
      <w:r>
        <w:t xml:space="preserve">A Program szintén megcélozta a hátrányos helyzetű térségek fejlesztését. </w:t>
      </w:r>
      <w:r w:rsidRPr="00E03E1D">
        <w:t>A bírálati szempontok preferálták a hátrányos helyzetű térségeket, amelynek eredményeképpen a forráslekötések jelentős része hátrányos, LHH vagy komplex LHH kistérségekbe irányult (</w:t>
      </w:r>
      <w:r w:rsidRPr="008F63D0">
        <w:t xml:space="preserve">lásd: </w:t>
      </w:r>
      <w:fldSimple w:instr=" REF _Ref278892901 \h  \* MERGEFORMAT ">
        <w:r w:rsidR="00A31446">
          <w:rPr>
            <w:noProof/>
          </w:rPr>
          <w:t>6</w:t>
        </w:r>
        <w:r w:rsidR="00A31446" w:rsidRPr="00E03E1D">
          <w:t>. ábra</w:t>
        </w:r>
      </w:fldSimple>
      <w:r w:rsidRPr="008F63D0">
        <w:t>), így</w:t>
      </w:r>
      <w:r w:rsidRPr="00E03E1D">
        <w:t xml:space="preserve"> a program hozzájárul e kistérségek kedv</w:t>
      </w:r>
      <w:r w:rsidRPr="00E03E1D">
        <w:t>e</w:t>
      </w:r>
      <w:r w:rsidRPr="00E03E1D">
        <w:t xml:space="preserve">zőtlen helyzetének javításához. </w:t>
      </w:r>
    </w:p>
    <w:p w:rsidR="008A065B" w:rsidRDefault="008A065B" w:rsidP="008A065B">
      <w:pPr>
        <w:pStyle w:val="AAMNormal"/>
      </w:pPr>
      <w:r w:rsidRPr="008A065B">
        <w:t>A Stratégia három szálon kívánja fejleszteni a gazdasági aktivitást (lásd előző oldalon), de ebből a vizsgált időszakban hangsúlyt inkább csak az első kapott, amely a „versenyképes” mezőgazdasági üzemek támog</w:t>
      </w:r>
      <w:r w:rsidRPr="008A065B">
        <w:t>a</w:t>
      </w:r>
      <w:r w:rsidRPr="008A065B">
        <w:t>tását irányozta elő. A kihelyezett támogatások 69%-</w:t>
      </w:r>
      <w:proofErr w:type="gramStart"/>
      <w:r w:rsidRPr="008A065B">
        <w:t>a</w:t>
      </w:r>
      <w:proofErr w:type="gramEnd"/>
      <w:r w:rsidRPr="008A065B">
        <w:t xml:space="preserve"> ugyanis az I. tengelyben a kérelmezők 5%-ának jutott, amely jellemzően többször pályázó, nagygazdaságokat takar. Ezen üzemektől a Stratégia „</w:t>
      </w:r>
      <w:r w:rsidRPr="008A065B">
        <w:rPr>
          <w:i/>
        </w:rPr>
        <w:t>a térség kisterm</w:t>
      </w:r>
      <w:r w:rsidRPr="008A065B">
        <w:rPr>
          <w:i/>
        </w:rPr>
        <w:t>e</w:t>
      </w:r>
      <w:r w:rsidRPr="008A065B">
        <w:rPr>
          <w:i/>
        </w:rPr>
        <w:t xml:space="preserve">lőnek integrációját, a helyi társadalom formálását, aktivizálását” </w:t>
      </w:r>
      <w:r w:rsidRPr="008A065B">
        <w:t>várja el, de a kérelmekben foglalt vállal</w:t>
      </w:r>
      <w:r w:rsidRPr="008A065B">
        <w:t>á</w:t>
      </w:r>
      <w:r w:rsidRPr="008A065B">
        <w:t xml:space="preserve">sok elemzése azt mutatja, hogy a forrás jelentős részét lekötő nagygazdaságok </w:t>
      </w:r>
      <w:r w:rsidR="00CC466E">
        <w:t>jelentős</w:t>
      </w:r>
      <w:r w:rsidRPr="008A065B">
        <w:t xml:space="preserve"> létszámleépítést valósítottak meg </w:t>
      </w:r>
      <w:r w:rsidR="00A31446">
        <w:t>a technológia</w:t>
      </w:r>
      <w:r w:rsidRPr="008A065B">
        <w:t>fejlesztések keretében. Ez nehezen egyeztethető össze a fenti megfogalm</w:t>
      </w:r>
      <w:r w:rsidRPr="008A065B">
        <w:t>a</w:t>
      </w:r>
      <w:r w:rsidRPr="008A065B">
        <w:t>zással, továbbá a hazai agrár-vidékfejlesztés legfontosabb feladataként kitűzött, az alacsony gazdasági akt</w:t>
      </w:r>
      <w:r w:rsidRPr="008A065B">
        <w:t>i</w:t>
      </w:r>
      <w:r w:rsidRPr="008A065B">
        <w:t>vitásból, foglalkoztatási szintből fakadó feszültségek kezelésével.</w:t>
      </w:r>
    </w:p>
    <w:p w:rsidR="00447BB8" w:rsidRDefault="00447BB8" w:rsidP="008A065B">
      <w:pPr>
        <w:pStyle w:val="AAMNormal"/>
      </w:pPr>
      <w:r>
        <w:t xml:space="preserve">A koncentrációt már az ex-ante értékelés is </w:t>
      </w:r>
      <w:proofErr w:type="spellStart"/>
      <w:r>
        <w:t>előrejelezte</w:t>
      </w:r>
      <w:proofErr w:type="spellEnd"/>
      <w:r>
        <w:t xml:space="preserve">: </w:t>
      </w:r>
      <w:r>
        <w:rPr>
          <w:i/>
        </w:rPr>
        <w:t>A</w:t>
      </w:r>
      <w:r w:rsidRPr="00E74FC1">
        <w:rPr>
          <w:i/>
        </w:rPr>
        <w:t>z I. tengely esetében a kiválasztott stratégia ind</w:t>
      </w:r>
      <w:r w:rsidRPr="00E74FC1">
        <w:rPr>
          <w:i/>
        </w:rPr>
        <w:t>o</w:t>
      </w:r>
      <w:r w:rsidRPr="00E74FC1">
        <w:rPr>
          <w:i/>
        </w:rPr>
        <w:t>koltsága nem támasztható alá a versenyképesség egyetlen, széles körben elfogadott fogalom-meghatározásával, miközben a nemzeti prioritások is a versenyképesség egyes elemeire hivatkoznak</w:t>
      </w:r>
      <w:proofErr w:type="gramStart"/>
      <w:r>
        <w:rPr>
          <w:i/>
        </w:rPr>
        <w:t>…..</w:t>
      </w:r>
      <w:proofErr w:type="gramEnd"/>
      <w:r w:rsidRPr="00E74FC1">
        <w:rPr>
          <w:i/>
        </w:rPr>
        <w:t xml:space="preserve"> A termelés további koncentrációjára számítunk, a farmok számának csökkenésére, főleg családi farmoknál.</w:t>
      </w:r>
    </w:p>
    <w:p w:rsidR="00FE1385" w:rsidRDefault="0038103F" w:rsidP="0038103F">
      <w:pPr>
        <w:pStyle w:val="AAMNormal"/>
      </w:pPr>
      <w:r w:rsidRPr="0038103F">
        <w:t>A természeti sajátosságok, értékekhez való illeszkedést több térinformatikai elemzéssel vizsgáltuk. Az egyik vizsgálatnál az AKG támogatások területi megoszlását vizsgáltuk környezeti sérülékenység fényében. Ez alapján úgy látjuk, hogy azok a támogatások, amelyek elsősorban</w:t>
      </w:r>
      <w:r w:rsidR="00FE1385" w:rsidRPr="0038103F">
        <w:t xml:space="preserve"> a környezet-, illetve természetvédelmi cél</w:t>
      </w:r>
      <w:r w:rsidRPr="0038103F">
        <w:t>ját szolgálják,</w:t>
      </w:r>
      <w:r w:rsidR="00FE1385" w:rsidRPr="0038103F">
        <w:t xml:space="preserve"> jól illeszkednek a környezeti, természeti adottságokhoz</w:t>
      </w:r>
      <w:r w:rsidRPr="0038103F">
        <w:t>. Az illeszkedés kedvező mértéke</w:t>
      </w:r>
      <w:r w:rsidR="00FE1385" w:rsidRPr="0038103F">
        <w:t xml:space="preserve"> elsősorban a zonális célprogramoknak köszönhetően. Az illeszkedés mértéke még nagyobb lehetett volna, ha az ilyen célú intézkedések (AKG, erdészeti jogcímek) forrásának nagyobb részét a zonális célprogramok használják fel a horizontálisak helyett</w:t>
      </w:r>
    </w:p>
    <w:p w:rsidR="0038103F" w:rsidRDefault="0038103F" w:rsidP="00A95CBA">
      <w:pPr>
        <w:pStyle w:val="AAMNormal"/>
      </w:pPr>
    </w:p>
    <w:p w:rsidR="0038103F" w:rsidRDefault="0038103F" w:rsidP="00A95CBA">
      <w:pPr>
        <w:pStyle w:val="AAMNormal"/>
      </w:pPr>
    </w:p>
    <w:p w:rsidR="0038103F" w:rsidRDefault="0038103F" w:rsidP="00A95CBA">
      <w:pPr>
        <w:pStyle w:val="AAMNormal"/>
      </w:pPr>
    </w:p>
    <w:p w:rsidR="001C19C5" w:rsidRPr="001C19C5" w:rsidRDefault="001C19C5" w:rsidP="00A817A4">
      <w:pPr>
        <w:pStyle w:val="AAMNormal"/>
        <w:rPr>
          <w:b/>
          <w:i/>
        </w:rPr>
      </w:pPr>
      <w:r w:rsidRPr="001C19C5">
        <w:rPr>
          <w:b/>
          <w:i/>
        </w:rPr>
        <w:lastRenderedPageBreak/>
        <w:t>Szinergia</w:t>
      </w:r>
      <w:r w:rsidR="002E741F">
        <w:rPr>
          <w:b/>
          <w:i/>
        </w:rPr>
        <w:t xml:space="preserve"> a Programon belül</w:t>
      </w:r>
    </w:p>
    <w:p w:rsidR="002E741F" w:rsidRDefault="00A817A4" w:rsidP="00A817A4">
      <w:pPr>
        <w:pStyle w:val="AAMNormal"/>
      </w:pPr>
      <w:r w:rsidRPr="00E03E1D">
        <w:t xml:space="preserve">Az ÚMVST víziója </w:t>
      </w:r>
      <w:r w:rsidR="001A530E">
        <w:t xml:space="preserve">az </w:t>
      </w:r>
      <w:r w:rsidRPr="00E03E1D">
        <w:rPr>
          <w:i/>
        </w:rPr>
        <w:t>„összehangolt, a forrásokat s a fejlesztési elképzeléseket integráló fejlesztést”</w:t>
      </w:r>
      <w:r w:rsidR="001C19C5">
        <w:t xml:space="preserve"> célozta </w:t>
      </w:r>
      <w:r w:rsidR="001C19C5" w:rsidRPr="001C19C5">
        <w:t>meg</w:t>
      </w:r>
      <w:r w:rsidR="0038103F">
        <w:t xml:space="preserve">, bár </w:t>
      </w:r>
      <w:r w:rsidR="001C19C5" w:rsidRPr="00B149E5">
        <w:t>indikátorokat, számszerűsíthető célokat ezzel a témakörrel kapcsolat</w:t>
      </w:r>
      <w:r w:rsidR="00B149E5">
        <w:t>ban</w:t>
      </w:r>
      <w:r w:rsidR="0038103F">
        <w:t xml:space="preserve"> nem határozott meg.</w:t>
      </w:r>
      <w:r w:rsidR="00B149E5">
        <w:t xml:space="preserve"> </w:t>
      </w:r>
    </w:p>
    <w:p w:rsidR="008765FD" w:rsidRDefault="00815302" w:rsidP="00A817A4">
      <w:pPr>
        <w:pStyle w:val="AAMNormal"/>
      </w:pPr>
      <w:r>
        <w:t xml:space="preserve">Ezt a </w:t>
      </w:r>
      <w:r w:rsidR="0038103F">
        <w:t>témakört</w:t>
      </w:r>
      <w:r>
        <w:t xml:space="preserve"> vizsgálja a következő </w:t>
      </w:r>
      <w:r w:rsidR="008765FD">
        <w:t xml:space="preserve">két </w:t>
      </w:r>
      <w:r>
        <w:t xml:space="preserve">CMEF kérdés is: </w:t>
      </w:r>
    </w:p>
    <w:p w:rsidR="008765FD" w:rsidRDefault="00815302" w:rsidP="00D5521F">
      <w:pPr>
        <w:pStyle w:val="AAMNormal"/>
        <w:numPr>
          <w:ilvl w:val="0"/>
          <w:numId w:val="31"/>
        </w:numPr>
        <w:rPr>
          <w:i/>
        </w:rPr>
      </w:pPr>
      <w:r w:rsidRPr="00815302">
        <w:rPr>
          <w:i/>
        </w:rPr>
        <w:t>A program milyen mértékben maximalizálta a tengelyek közötti szinergiákat?</w:t>
      </w:r>
      <w:r w:rsidR="008765FD">
        <w:rPr>
          <w:i/>
        </w:rPr>
        <w:t xml:space="preserve"> </w:t>
      </w:r>
    </w:p>
    <w:p w:rsidR="00815302" w:rsidRPr="008765FD" w:rsidRDefault="008765FD" w:rsidP="00D5521F">
      <w:pPr>
        <w:pStyle w:val="AAMNormal"/>
        <w:numPr>
          <w:ilvl w:val="0"/>
          <w:numId w:val="31"/>
        </w:numPr>
        <w:rPr>
          <w:i/>
        </w:rPr>
      </w:pPr>
      <w:r w:rsidRPr="008765FD">
        <w:rPr>
          <w:i/>
        </w:rPr>
        <w:t>A program milyen mértékben járult hozzá a vidékfejlesztés integrált megközelítéséhez?</w:t>
      </w:r>
    </w:p>
    <w:p w:rsidR="00A817A4" w:rsidRPr="00E03E1D" w:rsidRDefault="00A817A4" w:rsidP="00A817A4">
      <w:pPr>
        <w:pStyle w:val="AAMNormal"/>
        <w:rPr>
          <w:i/>
        </w:rPr>
      </w:pPr>
      <w:r w:rsidRPr="00E03E1D">
        <w:t>Az</w:t>
      </w:r>
      <w:r w:rsidR="0038103F">
        <w:t xml:space="preserve"> intézkedések részletes értékelése alapján megállapítható, hogy </w:t>
      </w:r>
      <w:r w:rsidR="001A530E">
        <w:t xml:space="preserve">az </w:t>
      </w:r>
      <w:r w:rsidR="0038103F">
        <w:t>élelmiszergazdaság fejlesztésének</w:t>
      </w:r>
      <w:r w:rsidRPr="00E03E1D">
        <w:t xml:space="preserve"> (I. és II. tengelyek) nincs </w:t>
      </w:r>
      <w:r w:rsidR="00362B76">
        <w:t xml:space="preserve">előírásokban megjelenő </w:t>
      </w:r>
      <w:proofErr w:type="spellStart"/>
      <w:r w:rsidR="0038103F">
        <w:t>szinergikus</w:t>
      </w:r>
      <w:proofErr w:type="spellEnd"/>
      <w:r w:rsidR="0038103F">
        <w:t xml:space="preserve"> </w:t>
      </w:r>
      <w:r w:rsidRPr="00E03E1D">
        <w:t xml:space="preserve">kapcsolata a vidékfejlesztéssel (III-IV. </w:t>
      </w:r>
      <w:proofErr w:type="gramStart"/>
      <w:r w:rsidRPr="00E03E1D">
        <w:t>tengelye</w:t>
      </w:r>
      <w:r w:rsidRPr="00E03E1D">
        <w:t>k</w:t>
      </w:r>
      <w:r w:rsidRPr="00E03E1D">
        <w:t>kel</w:t>
      </w:r>
      <w:proofErr w:type="gramEnd"/>
      <w:r w:rsidRPr="00E03E1D">
        <w:t>). A két fejlesztési irány egyértelműen lehatárolt tengelyekben történt, amelyek között érdemi kapcsolatot alig találtunk, míg a vidékfejlesztés céljaival ellentétes lehatárolási meg</w:t>
      </w:r>
      <w:r w:rsidR="00362B76">
        <w:t xml:space="preserve">oldást igen. </w:t>
      </w:r>
      <w:r w:rsidRPr="00E03E1D">
        <w:t xml:space="preserve">Az </w:t>
      </w:r>
      <w:proofErr w:type="spellStart"/>
      <w:r w:rsidRPr="00E03E1D">
        <w:t>ÚMVST-ben</w:t>
      </w:r>
      <w:proofErr w:type="spellEnd"/>
      <w:r w:rsidRPr="00E03E1D">
        <w:t xml:space="preserve"> említett átfogó fejlesztési elvek kevéssé jelentek meg a bírálati szempontokban (kivéve az I. tengelyben a KAT, NATURA, AKG területekről pályázóknak járó többletpontok), vagy lebonyolítási megoldásban, illetve az előír</w:t>
      </w:r>
      <w:r w:rsidRPr="00E03E1D">
        <w:t>á</w:t>
      </w:r>
      <w:r w:rsidRPr="00E03E1D">
        <w:t>sokban, noha a Stratégia szellemisége kifejezetten ezt igé</w:t>
      </w:r>
      <w:r w:rsidR="0038103F">
        <w:t>nyelte volna:</w:t>
      </w:r>
      <w:r w:rsidRPr="00E03E1D">
        <w:t xml:space="preserve"> „</w:t>
      </w:r>
      <w:r w:rsidRPr="00E03E1D">
        <w:rPr>
          <w:i/>
        </w:rPr>
        <w:t>a megvalósuló fejlesztések minde</w:t>
      </w:r>
      <w:r w:rsidRPr="00E03E1D">
        <w:rPr>
          <w:i/>
        </w:rPr>
        <w:t>n</w:t>
      </w:r>
      <w:r w:rsidRPr="00E03E1D">
        <w:rPr>
          <w:i/>
        </w:rPr>
        <w:t>kor a térség környezeti, természeti értékeinek megóvásával kell, hogy párosuljanak”.</w:t>
      </w:r>
    </w:p>
    <w:p w:rsidR="00A817A4" w:rsidRPr="00E03E1D" w:rsidRDefault="00A817A4" w:rsidP="00A817A4">
      <w:pPr>
        <w:pStyle w:val="AAMNormal"/>
      </w:pPr>
      <w:r w:rsidRPr="00E03E1D">
        <w:t>A</w:t>
      </w:r>
      <w:r w:rsidR="00362B76">
        <w:t>z</w:t>
      </w:r>
      <w:r w:rsidRPr="00E03E1D">
        <w:t xml:space="preserve"> integráció </w:t>
      </w:r>
      <w:r w:rsidR="0038103F">
        <w:t xml:space="preserve">mértékét az előírások mellett </w:t>
      </w:r>
      <w:r w:rsidR="00362B76">
        <w:t xml:space="preserve">a </w:t>
      </w:r>
      <w:r w:rsidR="00362B76">
        <w:rPr>
          <w:b/>
        </w:rPr>
        <w:t>több tengelyben is támogatot</w:t>
      </w:r>
      <w:r w:rsidRPr="00E03E1D">
        <w:rPr>
          <w:b/>
        </w:rPr>
        <w:t>t</w:t>
      </w:r>
      <w:r w:rsidR="0038103F">
        <w:t xml:space="preserve"> kérelmezők arányának elemz</w:t>
      </w:r>
      <w:r w:rsidR="0038103F">
        <w:t>é</w:t>
      </w:r>
      <w:r w:rsidR="0038103F">
        <w:t>sével is vizsgáltuk</w:t>
      </w:r>
      <w:r w:rsidRPr="00E03E1D">
        <w:t xml:space="preserve">. </w:t>
      </w:r>
      <w:r w:rsidR="00362B76">
        <w:t>Ebben a tekintetben é</w:t>
      </w:r>
      <w:r w:rsidRPr="00E03E1D">
        <w:t xml:space="preserve">rdemi kapcsolat csak az I. és II. tengely között tapasztalható. A </w:t>
      </w:r>
      <w:r w:rsidR="000D3161" w:rsidRPr="00E03E1D">
        <w:t>négy</w:t>
      </w:r>
      <w:r w:rsidRPr="00E03E1D">
        <w:t xml:space="preserve"> tengelyben </w:t>
      </w:r>
      <w:r w:rsidRPr="00E03E1D">
        <w:rPr>
          <w:b/>
        </w:rPr>
        <w:t>összesen</w:t>
      </w:r>
      <w:r w:rsidRPr="00E03E1D">
        <w:t xml:space="preserve"> </w:t>
      </w:r>
      <w:r w:rsidRPr="00E03E1D">
        <w:rPr>
          <w:b/>
        </w:rPr>
        <w:t>43 217 db támogatott kérelmező</w:t>
      </w:r>
      <w:r w:rsidRPr="00E03E1D">
        <w:rPr>
          <w:rStyle w:val="FootnoteReference"/>
        </w:rPr>
        <w:footnoteReference w:id="13"/>
      </w:r>
      <w:r w:rsidRPr="00E03E1D">
        <w:t xml:space="preserve"> található, ebből:</w:t>
      </w:r>
    </w:p>
    <w:p w:rsidR="00A817A4" w:rsidRPr="00E03E1D" w:rsidRDefault="00A817A4" w:rsidP="00D5521F">
      <w:pPr>
        <w:pStyle w:val="AAMNormal"/>
        <w:numPr>
          <w:ilvl w:val="0"/>
          <w:numId w:val="26"/>
        </w:numPr>
      </w:pPr>
      <w:r w:rsidRPr="00E03E1D">
        <w:rPr>
          <w:b/>
        </w:rPr>
        <w:t xml:space="preserve">7086 db </w:t>
      </w:r>
      <w:r w:rsidRPr="00E03E1D">
        <w:t xml:space="preserve">azon támogatott kérelmezők száma, akik az </w:t>
      </w:r>
      <w:r w:rsidRPr="00E03E1D">
        <w:rPr>
          <w:b/>
        </w:rPr>
        <w:t>I. és a II. tengelyben</w:t>
      </w:r>
      <w:r w:rsidRPr="00E03E1D">
        <w:t xml:space="preserve"> is részt vettek. A 7086 db támogatott kérelmező összesen 25 675 db jóváhagyott támogatási kérelmet nyújtott be, melyből 5761 db az AKG, 5</w:t>
      </w:r>
      <w:r w:rsidR="00362B76">
        <w:t xml:space="preserve"> </w:t>
      </w:r>
      <w:r w:rsidRPr="00E03E1D">
        <w:t>883 db a KAT-NATURA, valamint 6</w:t>
      </w:r>
      <w:r w:rsidR="00362B76">
        <w:t xml:space="preserve"> </w:t>
      </w:r>
      <w:r w:rsidRPr="00E03E1D">
        <w:t>901 db a Szaktanácsadás jogcímekhez ka</w:t>
      </w:r>
      <w:r w:rsidRPr="00E03E1D">
        <w:t>p</w:t>
      </w:r>
      <w:r w:rsidRPr="00E03E1D">
        <w:t>csolódik.</w:t>
      </w:r>
      <w:r w:rsidR="00362B76">
        <w:t xml:space="preserve"> </w:t>
      </w:r>
    </w:p>
    <w:p w:rsidR="00A817A4" w:rsidRPr="00E03E1D" w:rsidRDefault="00A817A4" w:rsidP="00D5521F">
      <w:pPr>
        <w:pStyle w:val="AAMNormal"/>
        <w:numPr>
          <w:ilvl w:val="0"/>
          <w:numId w:val="26"/>
        </w:numPr>
      </w:pPr>
      <w:r w:rsidRPr="00E03E1D">
        <w:t>83 db kérelmező nyert támogatást az I. és a III. tengelyben</w:t>
      </w:r>
      <w:r w:rsidR="00362B76">
        <w:t xml:space="preserve"> is</w:t>
      </w:r>
      <w:r w:rsidRPr="00E03E1D">
        <w:t>;</w:t>
      </w:r>
    </w:p>
    <w:p w:rsidR="00A817A4" w:rsidRPr="00E03E1D" w:rsidRDefault="00A817A4" w:rsidP="00D5521F">
      <w:pPr>
        <w:pStyle w:val="AAMNormal"/>
        <w:numPr>
          <w:ilvl w:val="0"/>
          <w:numId w:val="26"/>
        </w:numPr>
      </w:pPr>
      <w:r w:rsidRPr="00E03E1D">
        <w:t>6 db kérelmező nyert támogatást az I. és IV. tengelyekben</w:t>
      </w:r>
      <w:r w:rsidR="00362B76">
        <w:t xml:space="preserve"> is</w:t>
      </w:r>
      <w:r w:rsidRPr="00E03E1D">
        <w:t>;</w:t>
      </w:r>
    </w:p>
    <w:p w:rsidR="00A817A4" w:rsidRPr="00E03E1D" w:rsidRDefault="00A817A4" w:rsidP="00D5521F">
      <w:pPr>
        <w:pStyle w:val="AAMNormal"/>
        <w:numPr>
          <w:ilvl w:val="0"/>
          <w:numId w:val="26"/>
        </w:numPr>
      </w:pPr>
      <w:r w:rsidRPr="00E03E1D">
        <w:t>135 db kérelmező nyert támogatást a II. és III. tengelyekben</w:t>
      </w:r>
      <w:r w:rsidR="00362B76">
        <w:t xml:space="preserve"> is;</w:t>
      </w:r>
    </w:p>
    <w:p w:rsidR="00A817A4" w:rsidRPr="00E03E1D" w:rsidRDefault="00A817A4" w:rsidP="00D5521F">
      <w:pPr>
        <w:pStyle w:val="AAMNormal"/>
        <w:numPr>
          <w:ilvl w:val="0"/>
          <w:numId w:val="26"/>
        </w:numPr>
      </w:pPr>
      <w:r w:rsidRPr="00E03E1D">
        <w:t>11 db kérelmező nyert támogatást a II. és IV. tengelyekben</w:t>
      </w:r>
      <w:r w:rsidR="00362B76">
        <w:t xml:space="preserve"> is</w:t>
      </w:r>
      <w:r w:rsidRPr="00E03E1D">
        <w:t>.</w:t>
      </w:r>
    </w:p>
    <w:p w:rsidR="00A817A4" w:rsidRDefault="00A817A4" w:rsidP="00A817A4">
      <w:pPr>
        <w:pStyle w:val="AAMNormal"/>
      </w:pPr>
    </w:p>
    <w:p w:rsidR="002E741F" w:rsidRPr="001C19C5" w:rsidRDefault="002E741F" w:rsidP="002E741F">
      <w:pPr>
        <w:pStyle w:val="AAMNormal"/>
        <w:rPr>
          <w:b/>
          <w:i/>
        </w:rPr>
      </w:pPr>
      <w:r w:rsidRPr="00362B76">
        <w:rPr>
          <w:b/>
          <w:i/>
        </w:rPr>
        <w:t>Szinergia egyéb fejlesztési programokkal</w:t>
      </w:r>
    </w:p>
    <w:p w:rsidR="002E741F" w:rsidRDefault="00B24EBF" w:rsidP="00A817A4">
      <w:pPr>
        <w:pStyle w:val="AAMNormal"/>
      </w:pPr>
      <w:r>
        <w:t xml:space="preserve">A vidékfejlesztés, a területi felzárkóztatás a releváns fejlesztési programok összehangolt működését igényli. Ebből a szempontból leginkább az Új Magyarország Fejlesztési Terv fejlesztéseivel való kapcsolatot, </w:t>
      </w:r>
      <w:r w:rsidR="00795147">
        <w:t xml:space="preserve">mert az ÚMFT képviseli a legjelentősebb fejlesztési forrást ma Magyarországon. Az </w:t>
      </w:r>
      <w:proofErr w:type="spellStart"/>
      <w:r w:rsidR="00795147">
        <w:t>ÚMFT-n</w:t>
      </w:r>
      <w:proofErr w:type="spellEnd"/>
      <w:r w:rsidR="00795147">
        <w:t xml:space="preserve"> belül a Regionális Oper</w:t>
      </w:r>
      <w:r w:rsidR="00795147">
        <w:t>a</w:t>
      </w:r>
      <w:r w:rsidR="00795147">
        <w:t>tív Programokat vizsgáltuk kiemelten, mert ezek célterületei sok hasonlóságot mutatnak az ÚMVP III. teng</w:t>
      </w:r>
      <w:r w:rsidR="00795147">
        <w:t>e</w:t>
      </w:r>
      <w:r w:rsidR="00795147">
        <w:t>lyével.</w:t>
      </w:r>
    </w:p>
    <w:p w:rsidR="00B24EBF" w:rsidRPr="00E03E1D" w:rsidRDefault="00B24EBF" w:rsidP="00B24EBF">
      <w:pPr>
        <w:pStyle w:val="AAMNormal"/>
      </w:pPr>
      <w:r>
        <w:t xml:space="preserve">Ezt a témakört vizsgálja a következő CMEF kérdés is: </w:t>
      </w:r>
      <w:r w:rsidRPr="00B24EBF">
        <w:rPr>
          <w:i/>
        </w:rPr>
        <w:t>A program milyen mértékben biztosította a program intézkedései és a Kohéziós Alap, az Európai Szociális Alap, az Európai Halászati Alap és az EMVA által f</w:t>
      </w:r>
      <w:r w:rsidRPr="00B24EBF">
        <w:rPr>
          <w:i/>
        </w:rPr>
        <w:t>i</w:t>
      </w:r>
      <w:r w:rsidRPr="00B24EBF">
        <w:rPr>
          <w:i/>
        </w:rPr>
        <w:t>nanszírozott tevékenységek közötti kiegészítő jelleget és összhangot?</w:t>
      </w:r>
    </w:p>
    <w:p w:rsidR="00795147" w:rsidRDefault="00795147" w:rsidP="00B24EBF">
      <w:pPr>
        <w:jc w:val="both"/>
      </w:pPr>
      <w:r>
        <w:t>A már említett okból elsősorban az ÚMFT és az ÚMVP kapcsolatát vizsgáltuk.</w:t>
      </w:r>
    </w:p>
    <w:p w:rsidR="0077734B" w:rsidRDefault="00B24EBF" w:rsidP="00B24EBF">
      <w:pPr>
        <w:jc w:val="both"/>
      </w:pPr>
      <w:r w:rsidRPr="00E03E1D">
        <w:lastRenderedPageBreak/>
        <w:t>Az ÚMVP ÚMFT közötti átjárhatóságot</w:t>
      </w:r>
      <w:r>
        <w:t xml:space="preserve"> szigorú lehatárolási szabályok korlátozzák, megfelelve a </w:t>
      </w:r>
      <w:r w:rsidR="0077734B">
        <w:t xml:space="preserve">közösségi iránymutatásnak, amely demarkációs határok kialakítását </w:t>
      </w:r>
      <w:r w:rsidR="00CE552A">
        <w:t>várja el</w:t>
      </w:r>
      <w:r w:rsidR="0077734B">
        <w:t xml:space="preserve">. Emellett azonban nincs olyan előírás egyik </w:t>
      </w:r>
      <w:r w:rsidR="00CE552A">
        <w:t xml:space="preserve">fejlesztési </w:t>
      </w:r>
      <w:r w:rsidR="0077734B">
        <w:t xml:space="preserve">Program </w:t>
      </w:r>
      <w:r w:rsidR="00CE552A">
        <w:t>előírásaiban</w:t>
      </w:r>
      <w:r w:rsidR="0077734B">
        <w:t xml:space="preserve"> sem, amely a szinergi</w:t>
      </w:r>
      <w:r w:rsidR="00CE552A">
        <w:t>a elérését</w:t>
      </w:r>
      <w:r w:rsidR="0077734B">
        <w:t xml:space="preserve"> célozná</w:t>
      </w:r>
      <w:r w:rsidRPr="00E03E1D">
        <w:t>.</w:t>
      </w:r>
      <w:r w:rsidR="0077734B">
        <w:t xml:space="preserve"> Ennek oka részben a lehat</w:t>
      </w:r>
      <w:r w:rsidR="0077734B">
        <w:t>á</w:t>
      </w:r>
      <w:r w:rsidR="0077734B">
        <w:t>rolási kényszer, részben pedig az Irányító Hatóságok közötti operatív kapcsolatok hiánya.</w:t>
      </w:r>
      <w:r w:rsidRPr="00E03E1D">
        <w:t xml:space="preserve"> </w:t>
      </w:r>
    </w:p>
    <w:p w:rsidR="0077734B" w:rsidRDefault="0077734B" w:rsidP="00B24EBF">
      <w:pPr>
        <w:jc w:val="both"/>
      </w:pPr>
      <w:r>
        <w:t>A lehatárolás a gazdaságfejlesztést célzó fejlesztéseknél a tevékenységi kör alapján történt, míg a vidékfe</w:t>
      </w:r>
      <w:r>
        <w:t>j</w:t>
      </w:r>
      <w:r>
        <w:t>lesztési/területfejlesztési támogatásoknál a települések létszáma, népsűrűsége volt a meghatározó.</w:t>
      </w:r>
    </w:p>
    <w:p w:rsidR="0077734B" w:rsidRDefault="0077734B" w:rsidP="00B24EBF">
      <w:pPr>
        <w:jc w:val="both"/>
      </w:pPr>
      <w:r>
        <w:t xml:space="preserve">Utóbbi lehatárolási szabály érvényesítését szolgáló előírások és a forrásallokáció együttesen különösen a vidéki térségbe tartozó kistelepüléseket érintette hátrányosan. </w:t>
      </w:r>
      <w:r w:rsidR="00420D44">
        <w:t>Az</w:t>
      </w:r>
      <w:r>
        <w:t xml:space="preserve"> ÚMFT</w:t>
      </w:r>
      <w:r w:rsidR="00420D44">
        <w:t xml:space="preserve"> Regionális Operatív Programjainak</w:t>
      </w:r>
      <w:r w:rsidR="00815302">
        <w:t xml:space="preserve"> (ROP)</w:t>
      </w:r>
      <w:r>
        <w:t xml:space="preserve"> és </w:t>
      </w:r>
      <w:proofErr w:type="gramStart"/>
      <w:r>
        <w:t>a</w:t>
      </w:r>
      <w:proofErr w:type="gramEnd"/>
      <w:r>
        <w:t xml:space="preserve"> ÚMVP v</w:t>
      </w:r>
      <w:r w:rsidR="00420D44">
        <w:t>idékfejlesztési támogatásainak</w:t>
      </w:r>
      <w:r w:rsidR="00B60726">
        <w:t xml:space="preserve"> (III</w:t>
      </w:r>
      <w:r w:rsidR="00CC5E76">
        <w:t>.</w:t>
      </w:r>
      <w:r w:rsidR="00B60726">
        <w:t xml:space="preserve"> tengely)</w:t>
      </w:r>
      <w:r>
        <w:t xml:space="preserve"> </w:t>
      </w:r>
      <w:r w:rsidR="00420D44">
        <w:t>összehasonlító elemzése alapján</w:t>
      </w:r>
      <w:r>
        <w:t xml:space="preserve"> megállapí</w:t>
      </w:r>
      <w:r>
        <w:t>t</w:t>
      </w:r>
      <w:r>
        <w:t>ható, hogy a lehatárolás következtében a kis létszámú vidéki települések a forráselosztásnál hátrányt sze</w:t>
      </w:r>
      <w:r>
        <w:t>n</w:t>
      </w:r>
      <w:r>
        <w:t>vednek.</w:t>
      </w:r>
    </w:p>
    <w:p w:rsidR="00B60726" w:rsidRDefault="0077734B" w:rsidP="00B24EBF">
      <w:pPr>
        <w:jc w:val="both"/>
      </w:pPr>
      <w:r>
        <w:t>Míg az ÚMVP</w:t>
      </w:r>
      <w:r w:rsidR="00B60726">
        <w:t xml:space="preserve"> III</w:t>
      </w:r>
      <w:r w:rsidR="00CC5E76">
        <w:t>.</w:t>
      </w:r>
      <w:r w:rsidR="00B60726">
        <w:t xml:space="preserve"> tengelye</w:t>
      </w:r>
      <w:r>
        <w:t xml:space="preserve"> az 1000 fő alatti településeket és a </w:t>
      </w:r>
      <w:r w:rsidR="00B60726">
        <w:t>33 leghátrányosabb helyzetű kistérséget is népességarányúknál magasabb mértékben támogatja, addig az ÚMFT inkább a városias térségeket preferá</w:t>
      </w:r>
      <w:r w:rsidR="00B60726">
        <w:t>l</w:t>
      </w:r>
      <w:r w:rsidR="00B60726">
        <w:t>ja. A kötelezettségvállalások alapján az állapítható meg, hogy az ÚMVP támogatásainak 30%-a jut el az 1000 fő alatti településekre, amelyek népességarányban 8%-ot képviselnek, míg a 33 leghátrányosabb ki</w:t>
      </w:r>
      <w:r w:rsidR="00B60726">
        <w:t>s</w:t>
      </w:r>
      <w:r w:rsidR="00B60726">
        <w:t>térségbe 22%-a jut el a támogatásnak, ami több mint kétszerese a 10%-os népességaránynak.</w:t>
      </w:r>
    </w:p>
    <w:p w:rsidR="00B60726" w:rsidRDefault="00B60726" w:rsidP="00B60726">
      <w:pPr>
        <w:jc w:val="center"/>
      </w:pPr>
      <w:r>
        <w:rPr>
          <w:noProof/>
        </w:rPr>
        <w:drawing>
          <wp:inline distT="0" distB="0" distL="0" distR="0">
            <wp:extent cx="4212709" cy="2855785"/>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219721" cy="2860538"/>
                    </a:xfrm>
                    <a:prstGeom prst="rect">
                      <a:avLst/>
                    </a:prstGeom>
                    <a:noFill/>
                  </pic:spPr>
                </pic:pic>
              </a:graphicData>
            </a:graphic>
          </wp:inline>
        </w:drawing>
      </w:r>
    </w:p>
    <w:p w:rsidR="00B60726" w:rsidRPr="00E03E1D" w:rsidRDefault="00CF0DD4" w:rsidP="00B60726">
      <w:pPr>
        <w:pStyle w:val="Caption"/>
        <w:spacing w:before="60" w:after="120" w:line="280" w:lineRule="atLeast"/>
        <w:jc w:val="center"/>
        <w:rPr>
          <w:color w:val="auto"/>
        </w:rPr>
      </w:pPr>
      <w:r w:rsidRPr="00E03E1D">
        <w:rPr>
          <w:color w:val="auto"/>
        </w:rPr>
        <w:fldChar w:fldCharType="begin"/>
      </w:r>
      <w:r w:rsidR="00B60726" w:rsidRPr="00E03E1D">
        <w:rPr>
          <w:color w:val="auto"/>
        </w:rPr>
        <w:instrText xml:space="preserve"> SEQ ábra \* ARABIC </w:instrText>
      </w:r>
      <w:r w:rsidRPr="00E03E1D">
        <w:rPr>
          <w:color w:val="auto"/>
        </w:rPr>
        <w:fldChar w:fldCharType="separate"/>
      </w:r>
      <w:r w:rsidR="0031770A">
        <w:rPr>
          <w:noProof/>
          <w:color w:val="auto"/>
        </w:rPr>
        <w:t>4</w:t>
      </w:r>
      <w:r w:rsidRPr="00E03E1D">
        <w:rPr>
          <w:color w:val="auto"/>
        </w:rPr>
        <w:fldChar w:fldCharType="end"/>
      </w:r>
      <w:r w:rsidR="00B60726" w:rsidRPr="00E03E1D">
        <w:rPr>
          <w:color w:val="auto"/>
        </w:rPr>
        <w:t xml:space="preserve">. ábra: Az </w:t>
      </w:r>
      <w:proofErr w:type="spellStart"/>
      <w:r w:rsidR="00B60726" w:rsidRPr="00E03E1D">
        <w:rPr>
          <w:color w:val="auto"/>
        </w:rPr>
        <w:t>ÚMVP-ben</w:t>
      </w:r>
      <w:proofErr w:type="spellEnd"/>
      <w:r w:rsidR="00B60726" w:rsidRPr="00E03E1D">
        <w:rPr>
          <w:color w:val="auto"/>
        </w:rPr>
        <w:t xml:space="preserve"> </w:t>
      </w:r>
      <w:r w:rsidR="00B60726">
        <w:rPr>
          <w:color w:val="auto"/>
        </w:rPr>
        <w:t>III</w:t>
      </w:r>
      <w:r w:rsidR="00CC5E76">
        <w:rPr>
          <w:color w:val="auto"/>
        </w:rPr>
        <w:t>.</w:t>
      </w:r>
      <w:r w:rsidR="00B60726">
        <w:rPr>
          <w:color w:val="auto"/>
        </w:rPr>
        <w:t xml:space="preserve"> tengely támogatásainak megoszlása</w:t>
      </w:r>
    </w:p>
    <w:p w:rsidR="00B24EBF" w:rsidRDefault="00B60726" w:rsidP="00B24EBF">
      <w:pPr>
        <w:jc w:val="both"/>
      </w:pPr>
      <w:r>
        <w:t xml:space="preserve">Az ÚMFT kötelezettségvállalásaiból ellentétes tendencia olvasható ki. Ha az egy főre jutó támogatásokat </w:t>
      </w:r>
      <w:r w:rsidR="00420D44">
        <w:t>vizsgáljuk,</w:t>
      </w:r>
      <w:r>
        <w:t xml:space="preserve"> azt tapasztaljuk, az egy főre jutó támogatás a népességlétszámmal növekszik, ahogy ezt az alábbi ábra is bemutatja.</w:t>
      </w:r>
    </w:p>
    <w:p w:rsidR="00B24EBF" w:rsidRDefault="00815302" w:rsidP="00B24EBF">
      <w:pPr>
        <w:jc w:val="both"/>
      </w:pPr>
      <w:r>
        <w:rPr>
          <w:noProof/>
        </w:rPr>
        <w:lastRenderedPageBreak/>
        <w:drawing>
          <wp:inline distT="0" distB="0" distL="0" distR="0">
            <wp:extent cx="6156960" cy="2857500"/>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156960" cy="2857500"/>
                    </a:xfrm>
                    <a:prstGeom prst="rect">
                      <a:avLst/>
                    </a:prstGeom>
                    <a:noFill/>
                  </pic:spPr>
                </pic:pic>
              </a:graphicData>
            </a:graphic>
          </wp:inline>
        </w:drawing>
      </w:r>
    </w:p>
    <w:p w:rsidR="00815302" w:rsidRPr="00E03E1D" w:rsidRDefault="00CF0DD4" w:rsidP="00815302">
      <w:pPr>
        <w:pStyle w:val="Caption"/>
        <w:spacing w:before="60" w:after="120" w:line="280" w:lineRule="atLeast"/>
        <w:jc w:val="center"/>
        <w:rPr>
          <w:color w:val="auto"/>
        </w:rPr>
      </w:pPr>
      <w:r w:rsidRPr="00E03E1D">
        <w:rPr>
          <w:color w:val="auto"/>
        </w:rPr>
        <w:fldChar w:fldCharType="begin"/>
      </w:r>
      <w:r w:rsidR="00815302" w:rsidRPr="00E03E1D">
        <w:rPr>
          <w:color w:val="auto"/>
        </w:rPr>
        <w:instrText xml:space="preserve"> SEQ ábra \* ARABIC </w:instrText>
      </w:r>
      <w:r w:rsidRPr="00E03E1D">
        <w:rPr>
          <w:color w:val="auto"/>
        </w:rPr>
        <w:fldChar w:fldCharType="separate"/>
      </w:r>
      <w:r w:rsidR="0031770A">
        <w:rPr>
          <w:noProof/>
          <w:color w:val="auto"/>
        </w:rPr>
        <w:t>5</w:t>
      </w:r>
      <w:r w:rsidRPr="00E03E1D">
        <w:rPr>
          <w:color w:val="auto"/>
        </w:rPr>
        <w:fldChar w:fldCharType="end"/>
      </w:r>
      <w:r w:rsidR="00815302" w:rsidRPr="00E03E1D">
        <w:rPr>
          <w:color w:val="auto"/>
        </w:rPr>
        <w:t xml:space="preserve">. ábra: </w:t>
      </w:r>
      <w:r w:rsidR="00815302">
        <w:rPr>
          <w:color w:val="auto"/>
        </w:rPr>
        <w:t>Az ÚMFT ROP egy főre jutó támogatása településméret szerint</w:t>
      </w:r>
    </w:p>
    <w:p w:rsidR="00CE552A" w:rsidRPr="00E03E1D" w:rsidRDefault="00CE552A" w:rsidP="00CE552A">
      <w:pPr>
        <w:jc w:val="both"/>
      </w:pPr>
      <w:r>
        <w:t xml:space="preserve">Az ÚMFT Regionális Operatív Programjaiban kb. 1 170 </w:t>
      </w:r>
      <w:proofErr w:type="spellStart"/>
      <w:r>
        <w:t>mrd</w:t>
      </w:r>
      <w:proofErr w:type="spellEnd"/>
      <w:r>
        <w:t xml:space="preserve"> Ft. </w:t>
      </w:r>
      <w:proofErr w:type="gramStart"/>
      <w:r>
        <w:t>vehető</w:t>
      </w:r>
      <w:proofErr w:type="gramEnd"/>
      <w:r>
        <w:t xml:space="preserve"> igénybe 2007-2013 között, míg az ÚMVP III</w:t>
      </w:r>
      <w:r w:rsidR="00CC5E76">
        <w:t>.</w:t>
      </w:r>
      <w:r>
        <w:t xml:space="preserve"> tengelyéből csak kb. 188 </w:t>
      </w:r>
      <w:proofErr w:type="spellStart"/>
      <w:r>
        <w:t>mrd</w:t>
      </w:r>
      <w:proofErr w:type="spellEnd"/>
      <w:r>
        <w:t xml:space="preserve"> Ft. Mivel az ÚMFT ROP felhasználható forrása nagyságrenddel n</w:t>
      </w:r>
      <w:r>
        <w:t>a</w:t>
      </w:r>
      <w:r>
        <w:t>gyobb az ÚMVP III</w:t>
      </w:r>
      <w:r w:rsidR="00CC5E76">
        <w:t>.</w:t>
      </w:r>
      <w:r>
        <w:t xml:space="preserve"> tengelyében erre a célra mozgósítható forrásnál, továbbá az ÚMFT Regionális Op</w:t>
      </w:r>
      <w:r>
        <w:t>e</w:t>
      </w:r>
      <w:r>
        <w:t>ratív Programjaiban a nagyobb létszámú települések jutottak relatív több forráshoz, a két programot vizsgá</w:t>
      </w:r>
      <w:r>
        <w:t>l</w:t>
      </w:r>
      <w:r>
        <w:t>va a kisebb települések hátránya mutatható ki a fejlesztési források felhasználásában.</w:t>
      </w:r>
    </w:p>
    <w:p w:rsidR="00815302" w:rsidRDefault="00972141" w:rsidP="00B24EBF">
      <w:pPr>
        <w:jc w:val="both"/>
      </w:pPr>
      <w:r>
        <w:t xml:space="preserve">Ugyancsak hátrányt jelent a kisebb létszámú települések nem agrárjellegű vállalkozásai számára, hogy az ÚMVP </w:t>
      </w:r>
      <w:proofErr w:type="spellStart"/>
      <w:r>
        <w:t>mikrovállalkozásokat</w:t>
      </w:r>
      <w:proofErr w:type="spellEnd"/>
      <w:r>
        <w:t xml:space="preserve"> támogató intézkedése egyes jellemzőiben (pl.: előleg hiánya, 3 év helyett 5 éves vállalási időszak) kevésbé vállalkozóbarát, mint az ÚMFT hasonló intézkedése.</w:t>
      </w:r>
    </w:p>
    <w:p w:rsidR="00420D44" w:rsidRDefault="00420D44" w:rsidP="00B24EBF">
      <w:pPr>
        <w:jc w:val="both"/>
      </w:pPr>
      <w:r>
        <w:t xml:space="preserve">A szinergia a fenti adatokból kiolvasható gyengesége </w:t>
      </w:r>
      <w:r w:rsidR="00AF23EB">
        <w:t>nem tervezett hatásokat indukálhat, elsősorban az elvándorlási nyomás erősítésével.</w:t>
      </w:r>
      <w:r w:rsidR="00447BB8">
        <w:t xml:space="preserve"> A tapasztalatok az ex-ante értékelés következő megállapítását erősítik: </w:t>
      </w:r>
      <w:r w:rsidR="00447BB8" w:rsidRPr="0098221A">
        <w:rPr>
          <w:i/>
        </w:rPr>
        <w:t>A vidéki gazdaság és társadalom, ideértve a mezőgazdaságot, nem határoz meg markánsan egy irányt, ezért a vidéki területek rendezett fejlődése mind gazdasági, környezeti és a vidéki életminőség szempontjából nem tűnik biztosítottnak. Ezt támasztja alá az a tény, hogy más nemzeti szabályozások olyan mértékben gyakorolhatnak hatást a vidéki életre, aminek az ellensúlyozására ezen Program intézkedései nem elege</w:t>
      </w:r>
      <w:r w:rsidR="00447BB8" w:rsidRPr="0098221A">
        <w:rPr>
          <w:i/>
        </w:rPr>
        <w:t>n</w:t>
      </w:r>
      <w:r w:rsidR="00447BB8" w:rsidRPr="0098221A">
        <w:rPr>
          <w:i/>
        </w:rPr>
        <w:t>dők</w:t>
      </w:r>
    </w:p>
    <w:p w:rsidR="00AF23EB" w:rsidRPr="00E03E1D" w:rsidRDefault="00AF23EB" w:rsidP="00B24EBF">
      <w:pPr>
        <w:jc w:val="both"/>
      </w:pPr>
    </w:p>
    <w:p w:rsidR="00B24EBF" w:rsidRPr="00972141" w:rsidRDefault="00972141" w:rsidP="00972141">
      <w:pPr>
        <w:pStyle w:val="AAMNormal"/>
        <w:rPr>
          <w:b/>
          <w:i/>
        </w:rPr>
      </w:pPr>
      <w:r w:rsidRPr="00972141">
        <w:rPr>
          <w:b/>
          <w:i/>
        </w:rPr>
        <w:t>Illeszkedés a közösségi prioritásokhoz</w:t>
      </w:r>
    </w:p>
    <w:p w:rsidR="00972141" w:rsidRPr="00E03E1D" w:rsidRDefault="00972141" w:rsidP="00972141">
      <w:pPr>
        <w:jc w:val="both"/>
      </w:pPr>
      <w:r>
        <w:t xml:space="preserve">A CMEF külön értékelési kérdésként írja elő annak vizsgálatát, hogy </w:t>
      </w:r>
      <w:r w:rsidRPr="00972141">
        <w:rPr>
          <w:i/>
        </w:rPr>
        <w:t>a program milyen mértékben járult ho</w:t>
      </w:r>
      <w:r w:rsidRPr="00972141">
        <w:rPr>
          <w:i/>
        </w:rPr>
        <w:t>z</w:t>
      </w:r>
      <w:r w:rsidRPr="00972141">
        <w:rPr>
          <w:i/>
        </w:rPr>
        <w:t>zá a növekedésre és a munkára vonatkozó megújult lisszaboni stratégia tekintetében a közösségi priorit</w:t>
      </w:r>
      <w:r w:rsidRPr="00972141">
        <w:rPr>
          <w:i/>
        </w:rPr>
        <w:t>á</w:t>
      </w:r>
      <w:r w:rsidRPr="00972141">
        <w:rPr>
          <w:i/>
        </w:rPr>
        <w:t xml:space="preserve">sok megvalósításához a következőket illetően: Foglalkoztatási lehetőségek létrehozása, </w:t>
      </w:r>
      <w:proofErr w:type="gramStart"/>
      <w:r w:rsidRPr="00972141">
        <w:rPr>
          <w:i/>
        </w:rPr>
        <w:t>A</w:t>
      </w:r>
      <w:proofErr w:type="gramEnd"/>
      <w:r w:rsidRPr="00972141">
        <w:rPr>
          <w:i/>
        </w:rPr>
        <w:t xml:space="preserve"> növekedési felt</w:t>
      </w:r>
      <w:r w:rsidRPr="00972141">
        <w:rPr>
          <w:i/>
        </w:rPr>
        <w:t>é</w:t>
      </w:r>
      <w:r w:rsidRPr="00972141">
        <w:rPr>
          <w:i/>
        </w:rPr>
        <w:t>telek javítása</w:t>
      </w:r>
      <w:r>
        <w:rPr>
          <w:i/>
        </w:rPr>
        <w:t>.</w:t>
      </w:r>
    </w:p>
    <w:p w:rsidR="00AF23EB" w:rsidRDefault="00972141" w:rsidP="00972141">
      <w:pPr>
        <w:jc w:val="both"/>
      </w:pPr>
      <w:r w:rsidRPr="00E03E1D">
        <w:t xml:space="preserve">A programban alapvetően egymásnak ellentmondó célok fogalmazódtak meg a versenyképességet és a foglalkoztatást illetően. </w:t>
      </w:r>
      <w:r w:rsidR="00862BAD">
        <w:t>A versenyképesség növelése érdekében kitűzött korszerűsítési célok a hazai agrár</w:t>
      </w:r>
      <w:r w:rsidR="00862BAD">
        <w:t>i</w:t>
      </w:r>
      <w:r w:rsidR="00862BAD">
        <w:t>umban jellemzően létszámcsökkentéssel járnak, hiszen a munkaerő-felhasználás mértéke meghaladja még több, fejlettebb európai ország adatát és jelentős lemaradásban vannak a magyar vállalkozások a gépesítés terén.</w:t>
      </w:r>
    </w:p>
    <w:p w:rsidR="00972141" w:rsidRPr="00E03E1D" w:rsidRDefault="00972141" w:rsidP="00972141">
      <w:pPr>
        <w:jc w:val="both"/>
      </w:pPr>
      <w:r w:rsidRPr="00E03E1D">
        <w:lastRenderedPageBreak/>
        <w:t>Az értékelés keretében elvégzett hatásvizsgálat alapján a technológiai fejlesztésektől a növekedési feltét</w:t>
      </w:r>
      <w:r w:rsidRPr="00E03E1D">
        <w:t>e</w:t>
      </w:r>
      <w:r w:rsidRPr="00E03E1D">
        <w:t>lek erős javulása várható, de a potenciálvizsgálatok alapján úgy látjuk, hogy ennek ára a</w:t>
      </w:r>
      <w:r w:rsidR="00862BAD">
        <w:t>z általános trendnek megfelelő módon</w:t>
      </w:r>
      <w:r w:rsidRPr="00E03E1D">
        <w:t xml:space="preserve"> munkaerő-felhasználás további csökkenése lesz. </w:t>
      </w:r>
      <w:r w:rsidR="00862BAD">
        <w:t xml:space="preserve">Fontos rögzíteni, hogy ez leginkább a nagygazdaságokra és a szántóföldi növénytermesztésre igaz elsősorban, a kisebb gazdaságok és a </w:t>
      </w:r>
      <w:proofErr w:type="spellStart"/>
      <w:r w:rsidR="00862BAD">
        <w:t>munkaerőintenzív</w:t>
      </w:r>
      <w:proofErr w:type="spellEnd"/>
      <w:r w:rsidR="00862BAD">
        <w:t xml:space="preserve"> tevékenységet végzők inkább létszámbővítést terveztek.</w:t>
      </w:r>
    </w:p>
    <w:p w:rsidR="00862BAD" w:rsidRDefault="00862BAD" w:rsidP="00972141">
      <w:pPr>
        <w:jc w:val="both"/>
      </w:pPr>
      <w:r>
        <w:t xml:space="preserve">A technológia korszerűsítés hatására </w:t>
      </w:r>
      <w:r w:rsidR="00972141" w:rsidRPr="00E03E1D">
        <w:t>a versenyképesség javul, a folyamat fenntarthatósága és a vidékfe</w:t>
      </w:r>
      <w:r w:rsidR="00972141" w:rsidRPr="00E03E1D">
        <w:t>j</w:t>
      </w:r>
      <w:r w:rsidR="00972141" w:rsidRPr="00E03E1D">
        <w:t xml:space="preserve">lesztés céljainak való megfelelése </w:t>
      </w:r>
      <w:r>
        <w:t xml:space="preserve">azonban </w:t>
      </w:r>
      <w:r w:rsidR="00972141" w:rsidRPr="00E03E1D">
        <w:t xml:space="preserve">kérdéses, mert a foglalkoztatási szint csökkenése még inkább perifériára szoríthatja a magyar vidéket. </w:t>
      </w:r>
    </w:p>
    <w:p w:rsidR="00972141" w:rsidRPr="00E03E1D" w:rsidRDefault="00972141" w:rsidP="00972141">
      <w:pPr>
        <w:jc w:val="both"/>
      </w:pPr>
      <w:r w:rsidRPr="00E03E1D">
        <w:t xml:space="preserve">A növekedésnek további korlátot jelenthet a jövőben a magyar mezőgazdaság elöregedő korszerkezete, aminek megváltoztatására a 112/113 intézkedések önmagukban nem bizonyulnak egyelőre elég hathatós </w:t>
      </w:r>
      <w:proofErr w:type="gramStart"/>
      <w:r w:rsidRPr="00E03E1D">
        <w:t>eszköznek</w:t>
      </w:r>
      <w:r w:rsidRPr="00E03E1D">
        <w:rPr>
          <w:rStyle w:val="FootnoteReference"/>
        </w:rPr>
        <w:footnoteReference w:id="14"/>
      </w:r>
      <w:r w:rsidRPr="00E03E1D">
        <w:t>.</w:t>
      </w:r>
      <w:proofErr w:type="gramEnd"/>
      <w:r w:rsidRPr="00E03E1D">
        <w:t xml:space="preserve"> </w:t>
      </w:r>
    </w:p>
    <w:p w:rsidR="00972141" w:rsidRDefault="00972141" w:rsidP="00972141">
      <w:pPr>
        <w:jc w:val="both"/>
      </w:pPr>
      <w:r w:rsidRPr="00E03E1D">
        <w:t xml:space="preserve">A magyar mezőgazdaság </w:t>
      </w:r>
      <w:r w:rsidR="00862BAD">
        <w:t xml:space="preserve">további </w:t>
      </w:r>
      <w:r w:rsidRPr="00E03E1D">
        <w:t>növekedési feltétele lenne a termékszerkezet váltás: elsősorban a növén</w:t>
      </w:r>
      <w:r w:rsidRPr="00E03E1D">
        <w:t>y</w:t>
      </w:r>
      <w:r w:rsidRPr="00E03E1D">
        <w:t>termesztés és az állattenyésztés termelési értékben mért arányának megváltoztatása az állattenyésztés javára. A vizsgált időszakban a szántóföldi növénytermesztés dominanciája nem szűnt meg, a preferált sze</w:t>
      </w:r>
      <w:r w:rsidRPr="00E03E1D">
        <w:t>r</w:t>
      </w:r>
      <w:r w:rsidRPr="00E03E1D">
        <w:t xml:space="preserve">kezetváltás csak nyomokban észlelhető. Az állattartó telepek </w:t>
      </w:r>
      <w:r w:rsidR="00CC466E">
        <w:t xml:space="preserve">a </w:t>
      </w:r>
      <w:r w:rsidRPr="00E03E1D">
        <w:t xml:space="preserve">Programból finanszírozott korszerűsítése valószínűsíthetően </w:t>
      </w:r>
      <w:r w:rsidR="00CE552A">
        <w:t>nem</w:t>
      </w:r>
      <w:r w:rsidRPr="00E03E1D">
        <w:t xml:space="preserve"> fogja ezt az arány módosítani, mert elsősorban a környezeti szabályoknak (Nitrát Direktíva) való megfelelést szolgálta, és csekély jelentőséget kaptak az új férőhelyek a támogatott proje</w:t>
      </w:r>
      <w:r w:rsidRPr="00E03E1D">
        <w:t>k</w:t>
      </w:r>
      <w:r w:rsidRPr="00E03E1D">
        <w:t>tekben (24</w:t>
      </w:r>
      <w:proofErr w:type="gramStart"/>
      <w:r w:rsidRPr="00E03E1D">
        <w:t>%</w:t>
      </w:r>
      <w:r w:rsidRPr="00E03E1D">
        <w:rPr>
          <w:rStyle w:val="FootnoteReference"/>
        </w:rPr>
        <w:footnoteReference w:id="15"/>
      </w:r>
      <w:r w:rsidRPr="00E03E1D">
        <w:t>)</w:t>
      </w:r>
      <w:proofErr w:type="gramEnd"/>
      <w:r w:rsidRPr="00E03E1D">
        <w:t xml:space="preserve">. </w:t>
      </w:r>
    </w:p>
    <w:p w:rsidR="0081414C" w:rsidRPr="00E03E1D" w:rsidRDefault="0081414C" w:rsidP="00972141">
      <w:pPr>
        <w:jc w:val="both"/>
      </w:pPr>
      <w:r>
        <w:t>A növekedés további kulcsa le</w:t>
      </w:r>
      <w:r w:rsidR="00F66631">
        <w:t>het a hozzáadott érték termelő képesség növekedése. Ilyen támogatásokat is biztosított a program, elsősorban a 123-as intézkedésen keresztül. A támogatások hatása ilyen tekintetben még nem vizsgálható.</w:t>
      </w:r>
    </w:p>
    <w:p w:rsidR="00972141" w:rsidRDefault="00972141" w:rsidP="00972141">
      <w:pPr>
        <w:jc w:val="both"/>
      </w:pPr>
      <w:r w:rsidRPr="00E03E1D">
        <w:t xml:space="preserve">A vidéki területek gazdasági teljesítményének növekedéséhez vezethetnének a </w:t>
      </w:r>
      <w:r>
        <w:t>III.</w:t>
      </w:r>
      <w:r w:rsidRPr="00E03E1D">
        <w:t xml:space="preserve"> tengely vállalkozásfejles</w:t>
      </w:r>
      <w:r w:rsidRPr="00E03E1D">
        <w:t>z</w:t>
      </w:r>
      <w:r w:rsidRPr="00E03E1D">
        <w:t>tési forrásai, de ezek mértéke csak töredéke a</w:t>
      </w:r>
      <w:r w:rsidR="00CC466E">
        <w:t>z ehhez</w:t>
      </w:r>
      <w:r w:rsidRPr="00E03E1D">
        <w:t xml:space="preserve"> szükségesnek, ráadásul az ÚMFT-ÚMVP lehatárolás miatt a vidéki területek vállalkozásai hátrányosabb helyzetbe kerültek, mintha csak az </w:t>
      </w:r>
      <w:proofErr w:type="spellStart"/>
      <w:r w:rsidRPr="00E03E1D">
        <w:t>ÚMFT-ből</w:t>
      </w:r>
      <w:proofErr w:type="spellEnd"/>
      <w:r w:rsidRPr="00E03E1D">
        <w:t xml:space="preserve"> kaptak vo</w:t>
      </w:r>
      <w:r w:rsidRPr="00E03E1D">
        <w:t>l</w:t>
      </w:r>
      <w:r w:rsidRPr="00E03E1D">
        <w:t xml:space="preserve">na támogatást. A </w:t>
      </w:r>
      <w:r>
        <w:t>III.</w:t>
      </w:r>
      <w:r w:rsidRPr="00E03E1D">
        <w:t xml:space="preserve"> tengelytől növekedés</w:t>
      </w:r>
      <w:r w:rsidR="00BA1C58">
        <w:t>i</w:t>
      </w:r>
      <w:r w:rsidRPr="00E03E1D">
        <w:t xml:space="preserve">, illetve foglalkoztatási hatás </w:t>
      </w:r>
      <w:r w:rsidR="00BA1C58">
        <w:t xml:space="preserve">így </w:t>
      </w:r>
      <w:r w:rsidRPr="00E03E1D">
        <w:t>csak korlátozottan várható</w:t>
      </w:r>
      <w:r w:rsidR="00BA1C58">
        <w:t xml:space="preserve">, bár ez is </w:t>
      </w:r>
      <w:r w:rsidR="00F66631">
        <w:t>hozzájárulhat</w:t>
      </w:r>
      <w:r w:rsidR="00BA1C58">
        <w:t xml:space="preserve"> az I tengelyben várható létszámcsökkenés részleges kompenzálásához</w:t>
      </w:r>
      <w:r w:rsidRPr="00E03E1D">
        <w:t xml:space="preserve">. A </w:t>
      </w:r>
      <w:r>
        <w:t>IV.</w:t>
      </w:r>
      <w:r w:rsidRPr="00E03E1D">
        <w:t xml:space="preserve"> tengely a kih</w:t>
      </w:r>
      <w:r w:rsidRPr="00E03E1D">
        <w:t>e</w:t>
      </w:r>
      <w:r w:rsidRPr="00E03E1D">
        <w:t>lyezett támogatás volumene és az eddig támogatott projektek jellege szempontjából sem a foglalkoztatás, sem a növekedés szempontjából nem releváns.</w:t>
      </w:r>
    </w:p>
    <w:p w:rsidR="00FE1385" w:rsidRPr="00E03E1D" w:rsidRDefault="00FE1385" w:rsidP="00FE1385">
      <w:pPr>
        <w:jc w:val="both"/>
        <w:rPr>
          <w:b/>
          <w:i/>
        </w:rPr>
      </w:pPr>
      <w:bookmarkStart w:id="11" w:name="_Ref278894904"/>
      <w:r>
        <w:t xml:space="preserve">Szintén szükséges vizsgálni a vonatkozó CMEF kérdés alapján, hogy </w:t>
      </w:r>
      <w:r w:rsidRPr="00FE1385">
        <w:rPr>
          <w:i/>
        </w:rPr>
        <w:t>a program milyen mértékben járult ho</w:t>
      </w:r>
      <w:r w:rsidRPr="00FE1385">
        <w:rPr>
          <w:i/>
        </w:rPr>
        <w:t>z</w:t>
      </w:r>
      <w:r w:rsidRPr="00FE1385">
        <w:rPr>
          <w:i/>
        </w:rPr>
        <w:t>zá a gazdasági és társadalmi kohéziós politika célkitűzéseinek eléréséhez a következőket illetően</w:t>
      </w:r>
      <w:proofErr w:type="gramStart"/>
      <w:r w:rsidRPr="00FE1385">
        <w:rPr>
          <w:i/>
        </w:rPr>
        <w:t>:</w:t>
      </w:r>
      <w:bookmarkEnd w:id="11"/>
      <w:r w:rsidRPr="00FE1385">
        <w:rPr>
          <w:i/>
        </w:rPr>
        <w:t>az</w:t>
      </w:r>
      <w:proofErr w:type="gramEnd"/>
      <w:r w:rsidRPr="00FE1385">
        <w:rPr>
          <w:i/>
        </w:rPr>
        <w:t xml:space="preserve"> EU polgárai közötti egyenlőtlenségek csökkentése, a területi egyensúlyhiányok csökkentése?</w:t>
      </w:r>
    </w:p>
    <w:p w:rsidR="00FE1385" w:rsidRDefault="00C05D32" w:rsidP="00FE1385">
      <w:pPr>
        <w:jc w:val="both"/>
      </w:pPr>
      <w:r>
        <w:t xml:space="preserve">Az esélyegyenlőség biztosítása igen komplex fejlesztési terület. Az </w:t>
      </w:r>
      <w:r w:rsidR="0090471E" w:rsidRPr="00C05D32">
        <w:t>ÚMVP</w:t>
      </w:r>
      <w:r w:rsidR="00FE1385" w:rsidRPr="00C05D32">
        <w:t xml:space="preserve"> </w:t>
      </w:r>
      <w:r>
        <w:t xml:space="preserve">ennek a komplex célkitűzésnek három elemét emelte ki. Egyrészt fejleszteni kívánta a vidéki területeken élők az alapszolgáltatásokhoz való hozzáférését, továbbá a nők és romák pozitív diszkriminációját vállalta fel. Az előbbi a </w:t>
      </w:r>
      <w:r w:rsidR="00FE1385" w:rsidRPr="00C05D32">
        <w:t>III. tengely prioritása</w:t>
      </w:r>
      <w:r w:rsidR="00FE1385" w:rsidRPr="00C05D32">
        <w:t>i</w:t>
      </w:r>
      <w:r w:rsidR="00FE1385" w:rsidRPr="00C05D32">
        <w:t>ban</w:t>
      </w:r>
      <w:r>
        <w:t>, míg az utóbbi</w:t>
      </w:r>
      <w:r w:rsidR="00FE1385" w:rsidRPr="00C05D32">
        <w:t xml:space="preserve"> az I.</w:t>
      </w:r>
      <w:r>
        <w:t xml:space="preserve"> és a III</w:t>
      </w:r>
      <w:r w:rsidR="00CC5E76">
        <w:t>.</w:t>
      </w:r>
      <w:r w:rsidR="00FE1385" w:rsidRPr="00C05D32">
        <w:t xml:space="preserve"> tengely bírálati szempontjaiban </w:t>
      </w:r>
      <w:r>
        <w:t>jelent meg</w:t>
      </w:r>
      <w:r w:rsidR="00FE1385" w:rsidRPr="00C05D32">
        <w:t xml:space="preserve">. </w:t>
      </w:r>
    </w:p>
    <w:p w:rsidR="00FE1385" w:rsidRDefault="00FE1385" w:rsidP="00FE1385">
      <w:pPr>
        <w:jc w:val="both"/>
      </w:pPr>
      <w:r>
        <w:t xml:space="preserve">Amint azt </w:t>
      </w:r>
      <w:r w:rsidRPr="008F63D0">
        <w:t xml:space="preserve">a </w:t>
      </w:r>
      <w:fldSimple w:instr=" REF _Ref279556272 \h  \* MERGEFORMAT ">
        <w:r w:rsidR="0031770A">
          <w:rPr>
            <w:noProof/>
          </w:rPr>
          <w:t>11</w:t>
        </w:r>
        <w:r w:rsidR="0031770A" w:rsidRPr="00F0588C">
          <w:t>. táblázat</w:t>
        </w:r>
      </w:fldSimple>
      <w:r>
        <w:t xml:space="preserve"> is szemlélteti, a támogatottak által szolgáltatott e-monitoring adatok alapján, a t</w:t>
      </w:r>
      <w:r>
        <w:t>á</w:t>
      </w:r>
      <w:r w:rsidR="0090471E">
        <w:t>mogatott magánszemélyek között a preferencia ellenére</w:t>
      </w:r>
      <w:r>
        <w:t xml:space="preserve"> a férfiak aránya a meghatározó</w:t>
      </w:r>
      <w:r w:rsidR="0090471E">
        <w:t>, azonban ez a m</w:t>
      </w:r>
      <w:r w:rsidR="0090471E">
        <w:t>e</w:t>
      </w:r>
      <w:r w:rsidR="0090471E">
        <w:lastRenderedPageBreak/>
        <w:t>zőgazdaság sajátosságait tekintve nem meglepő</w:t>
      </w:r>
      <w:r>
        <w:t xml:space="preserve">. </w:t>
      </w:r>
      <w:r w:rsidR="00CC466E">
        <w:t>A monitoring adatok korlátos elemezhetősége mellet m</w:t>
      </w:r>
      <w:r>
        <w:t>e</w:t>
      </w:r>
      <w:r>
        <w:t>g</w:t>
      </w:r>
      <w:r>
        <w:t>állapítható az is, hogy az arányok tengelyenként különböznek: míg a III. tengelyben nagyjából kiegyenlítet</w:t>
      </w:r>
      <w:r>
        <w:t>t</w:t>
      </w:r>
      <w:r>
        <w:t>nek mondható a</w:t>
      </w:r>
      <w:r w:rsidR="0090471E">
        <w:t>z arány</w:t>
      </w:r>
      <w:r>
        <w:t xml:space="preserve">, addig az I. tengely (és a II. tengely) </w:t>
      </w:r>
      <w:r w:rsidR="0090471E">
        <w:t>esetén jelentős a férfi</w:t>
      </w:r>
      <w:r w:rsidR="0091368E">
        <w:t>ak</w:t>
      </w:r>
      <w:r w:rsidR="0090471E">
        <w:t xml:space="preserve"> dominanciája</w:t>
      </w:r>
      <w:r w:rsidR="0091368E">
        <w:t xml:space="preserve"> (77%)</w:t>
      </w:r>
      <w:r>
        <w:t xml:space="preserve">. </w:t>
      </w:r>
      <w:r w:rsidR="0091368E">
        <w:t xml:space="preserve">Utóbbi szinte teljesen megegyezik a KSH felmérése alapján a mezőgazdaságban foglalkoztatottak között mért aránnyal (74%) </w:t>
      </w:r>
      <w:proofErr w:type="gramStart"/>
      <w:r>
        <w:t>A</w:t>
      </w:r>
      <w:proofErr w:type="gramEnd"/>
      <w:r>
        <w:t xml:space="preserve"> IV. tengelyről a </w:t>
      </w:r>
      <w:proofErr w:type="spellStart"/>
      <w:r>
        <w:t>mid-term</w:t>
      </w:r>
      <w:proofErr w:type="spellEnd"/>
      <w:r>
        <w:t xml:space="preserve"> értékelés összeállításáig nem érkezett érdemi monitoring adatszolgáltatás.</w:t>
      </w:r>
    </w:p>
    <w:p w:rsidR="00CE552A" w:rsidRPr="00E03E1D" w:rsidRDefault="00CE552A" w:rsidP="00CE552A">
      <w:pPr>
        <w:jc w:val="both"/>
      </w:pPr>
    </w:p>
    <w:tbl>
      <w:tblPr>
        <w:tblStyle w:val="MediumShading2-Accent2"/>
        <w:tblW w:w="5000" w:type="pct"/>
        <w:tblLook w:val="04A0"/>
      </w:tblPr>
      <w:tblGrid>
        <w:gridCol w:w="3795"/>
        <w:gridCol w:w="1135"/>
        <w:gridCol w:w="992"/>
        <w:gridCol w:w="1135"/>
        <w:gridCol w:w="1135"/>
        <w:gridCol w:w="1187"/>
      </w:tblGrid>
      <w:tr w:rsidR="00CE552A" w:rsidRPr="00726DCD" w:rsidTr="000E399D">
        <w:trPr>
          <w:cnfStyle w:val="100000000000"/>
          <w:tblHeader/>
        </w:trPr>
        <w:tc>
          <w:tcPr>
            <w:cnfStyle w:val="001000000100"/>
            <w:tcW w:w="2023" w:type="pct"/>
          </w:tcPr>
          <w:p w:rsidR="00CE552A" w:rsidRPr="00726DCD" w:rsidRDefault="00CE552A" w:rsidP="000E399D">
            <w:pPr>
              <w:jc w:val="both"/>
              <w:rPr>
                <w:sz w:val="18"/>
              </w:rPr>
            </w:pPr>
          </w:p>
        </w:tc>
        <w:tc>
          <w:tcPr>
            <w:tcW w:w="605" w:type="pct"/>
            <w:vAlign w:val="center"/>
          </w:tcPr>
          <w:p w:rsidR="00CE552A" w:rsidRPr="00726DCD" w:rsidRDefault="00CE552A" w:rsidP="000E399D">
            <w:pPr>
              <w:jc w:val="center"/>
              <w:cnfStyle w:val="100000000000"/>
              <w:rPr>
                <w:smallCaps/>
                <w:sz w:val="18"/>
              </w:rPr>
            </w:pPr>
            <w:r w:rsidRPr="00726DCD">
              <w:rPr>
                <w:smallCaps/>
                <w:sz w:val="18"/>
              </w:rPr>
              <w:t>ÚMVP</w:t>
            </w:r>
          </w:p>
        </w:tc>
        <w:tc>
          <w:tcPr>
            <w:tcW w:w="529" w:type="pct"/>
            <w:vAlign w:val="center"/>
          </w:tcPr>
          <w:p w:rsidR="00CE552A" w:rsidRPr="00726DCD" w:rsidRDefault="00CE552A" w:rsidP="000E399D">
            <w:pPr>
              <w:ind w:left="-53"/>
              <w:jc w:val="center"/>
              <w:cnfStyle w:val="100000000000"/>
              <w:rPr>
                <w:smallCaps/>
                <w:sz w:val="18"/>
              </w:rPr>
            </w:pPr>
            <w:r w:rsidRPr="00726DCD">
              <w:rPr>
                <w:smallCaps/>
                <w:sz w:val="18"/>
              </w:rPr>
              <w:t>I. tengely</w:t>
            </w:r>
          </w:p>
        </w:tc>
        <w:tc>
          <w:tcPr>
            <w:tcW w:w="605" w:type="pct"/>
            <w:vAlign w:val="center"/>
          </w:tcPr>
          <w:p w:rsidR="00CE552A" w:rsidRPr="00726DCD" w:rsidRDefault="00CE552A" w:rsidP="000E399D">
            <w:pPr>
              <w:jc w:val="center"/>
              <w:cnfStyle w:val="100000000000"/>
              <w:rPr>
                <w:smallCaps/>
                <w:sz w:val="18"/>
              </w:rPr>
            </w:pPr>
            <w:r w:rsidRPr="00726DCD">
              <w:rPr>
                <w:smallCaps/>
                <w:sz w:val="18"/>
              </w:rPr>
              <w:t>II. tengely</w:t>
            </w:r>
          </w:p>
        </w:tc>
        <w:tc>
          <w:tcPr>
            <w:tcW w:w="605" w:type="pct"/>
            <w:vAlign w:val="center"/>
          </w:tcPr>
          <w:p w:rsidR="00CE552A" w:rsidRPr="00726DCD" w:rsidRDefault="00CE552A" w:rsidP="000E399D">
            <w:pPr>
              <w:jc w:val="center"/>
              <w:cnfStyle w:val="100000000000"/>
              <w:rPr>
                <w:smallCaps/>
                <w:sz w:val="18"/>
              </w:rPr>
            </w:pPr>
            <w:r w:rsidRPr="00726DCD">
              <w:rPr>
                <w:smallCaps/>
                <w:sz w:val="18"/>
              </w:rPr>
              <w:t>III. tengely</w:t>
            </w:r>
          </w:p>
        </w:tc>
        <w:tc>
          <w:tcPr>
            <w:tcW w:w="634" w:type="pct"/>
            <w:vAlign w:val="center"/>
          </w:tcPr>
          <w:p w:rsidR="00CE552A" w:rsidRPr="00726DCD" w:rsidRDefault="00CE552A" w:rsidP="000E399D">
            <w:pPr>
              <w:jc w:val="center"/>
              <w:cnfStyle w:val="100000000000"/>
              <w:rPr>
                <w:smallCaps/>
                <w:sz w:val="18"/>
              </w:rPr>
            </w:pPr>
            <w:r w:rsidRPr="00726DCD">
              <w:rPr>
                <w:smallCaps/>
                <w:sz w:val="18"/>
              </w:rPr>
              <w:t>IV. tengely</w:t>
            </w:r>
          </w:p>
        </w:tc>
      </w:tr>
      <w:tr w:rsidR="00CE552A" w:rsidRPr="00726DCD" w:rsidTr="000E399D">
        <w:trPr>
          <w:cnfStyle w:val="000000100000"/>
        </w:trPr>
        <w:tc>
          <w:tcPr>
            <w:cnfStyle w:val="001000000000"/>
            <w:tcW w:w="2023" w:type="pct"/>
          </w:tcPr>
          <w:p w:rsidR="00CE552A" w:rsidRPr="00726DCD" w:rsidRDefault="00CE552A" w:rsidP="000E399D">
            <w:pPr>
              <w:jc w:val="both"/>
              <w:rPr>
                <w:b w:val="0"/>
                <w:smallCaps/>
                <w:sz w:val="18"/>
              </w:rPr>
            </w:pPr>
            <w:r w:rsidRPr="00726DCD">
              <w:rPr>
                <w:smallCaps/>
                <w:sz w:val="18"/>
              </w:rPr>
              <w:t>Jóváhagyott</w:t>
            </w:r>
            <w:r w:rsidRPr="00726DCD">
              <w:rPr>
                <w:b w:val="0"/>
                <w:smallCaps/>
                <w:sz w:val="18"/>
              </w:rPr>
              <w:t xml:space="preserve"> támogatási kérelmek száma</w:t>
            </w:r>
          </w:p>
        </w:tc>
        <w:tc>
          <w:tcPr>
            <w:tcW w:w="605" w:type="pct"/>
            <w:vAlign w:val="center"/>
          </w:tcPr>
          <w:p w:rsidR="00CE552A" w:rsidRPr="00726DCD" w:rsidRDefault="00CE552A" w:rsidP="000E399D">
            <w:pPr>
              <w:jc w:val="center"/>
              <w:cnfStyle w:val="000000100000"/>
              <w:rPr>
                <w:sz w:val="18"/>
              </w:rPr>
            </w:pPr>
            <w:r w:rsidRPr="00726DCD">
              <w:rPr>
                <w:sz w:val="18"/>
              </w:rPr>
              <w:t>82 237</w:t>
            </w:r>
          </w:p>
        </w:tc>
        <w:tc>
          <w:tcPr>
            <w:tcW w:w="529" w:type="pct"/>
            <w:vAlign w:val="center"/>
          </w:tcPr>
          <w:p w:rsidR="00CE552A" w:rsidRPr="00726DCD" w:rsidRDefault="00CE552A" w:rsidP="000E399D">
            <w:pPr>
              <w:jc w:val="center"/>
              <w:cnfStyle w:val="000000100000"/>
              <w:rPr>
                <w:sz w:val="18"/>
              </w:rPr>
            </w:pPr>
            <w:r w:rsidRPr="00726DCD">
              <w:rPr>
                <w:sz w:val="18"/>
              </w:rPr>
              <w:t>33 494</w:t>
            </w:r>
          </w:p>
        </w:tc>
        <w:tc>
          <w:tcPr>
            <w:tcW w:w="605" w:type="pct"/>
            <w:vAlign w:val="center"/>
          </w:tcPr>
          <w:p w:rsidR="00CE552A" w:rsidRPr="00726DCD" w:rsidRDefault="00CE552A" w:rsidP="000E399D">
            <w:pPr>
              <w:jc w:val="center"/>
              <w:cnfStyle w:val="000000100000"/>
              <w:rPr>
                <w:sz w:val="18"/>
              </w:rPr>
            </w:pPr>
            <w:r w:rsidRPr="00726DCD">
              <w:rPr>
                <w:sz w:val="18"/>
              </w:rPr>
              <w:t>42 991</w:t>
            </w:r>
          </w:p>
        </w:tc>
        <w:tc>
          <w:tcPr>
            <w:tcW w:w="605" w:type="pct"/>
            <w:vAlign w:val="center"/>
          </w:tcPr>
          <w:p w:rsidR="00CE552A" w:rsidRPr="00726DCD" w:rsidRDefault="00CE552A" w:rsidP="000E399D">
            <w:pPr>
              <w:jc w:val="center"/>
              <w:cnfStyle w:val="000000100000"/>
              <w:rPr>
                <w:sz w:val="18"/>
              </w:rPr>
            </w:pPr>
            <w:r w:rsidRPr="00726DCD">
              <w:rPr>
                <w:sz w:val="18"/>
              </w:rPr>
              <w:t>5 301</w:t>
            </w:r>
          </w:p>
        </w:tc>
        <w:tc>
          <w:tcPr>
            <w:tcW w:w="634" w:type="pct"/>
            <w:vAlign w:val="center"/>
          </w:tcPr>
          <w:p w:rsidR="00CE552A" w:rsidRPr="00726DCD" w:rsidRDefault="00CE552A" w:rsidP="000E399D">
            <w:pPr>
              <w:jc w:val="center"/>
              <w:cnfStyle w:val="000000100000"/>
              <w:rPr>
                <w:sz w:val="18"/>
              </w:rPr>
            </w:pPr>
            <w:r w:rsidRPr="00726DCD">
              <w:rPr>
                <w:sz w:val="18"/>
              </w:rPr>
              <w:t>531</w:t>
            </w:r>
          </w:p>
        </w:tc>
      </w:tr>
      <w:tr w:rsidR="00CE552A" w:rsidRPr="00726DCD" w:rsidTr="000E399D">
        <w:tc>
          <w:tcPr>
            <w:cnfStyle w:val="001000000000"/>
            <w:tcW w:w="2023" w:type="pct"/>
          </w:tcPr>
          <w:p w:rsidR="00CE552A" w:rsidRPr="00726DCD" w:rsidRDefault="00CE552A" w:rsidP="000E399D">
            <w:pPr>
              <w:jc w:val="both"/>
              <w:rPr>
                <w:b w:val="0"/>
                <w:smallCaps/>
                <w:sz w:val="18"/>
              </w:rPr>
            </w:pPr>
            <w:r w:rsidRPr="00726DCD">
              <w:rPr>
                <w:b w:val="0"/>
                <w:smallCaps/>
                <w:sz w:val="18"/>
              </w:rPr>
              <w:t xml:space="preserve">ebből </w:t>
            </w:r>
            <w:r w:rsidRPr="00726DCD">
              <w:rPr>
                <w:smallCaps/>
                <w:sz w:val="18"/>
              </w:rPr>
              <w:t>e-monitoring</w:t>
            </w:r>
            <w:r w:rsidRPr="00726DCD">
              <w:rPr>
                <w:b w:val="0"/>
                <w:smallCaps/>
                <w:sz w:val="18"/>
              </w:rPr>
              <w:t xml:space="preserve"> adatszolgáltatást benyújtott</w:t>
            </w:r>
          </w:p>
        </w:tc>
        <w:tc>
          <w:tcPr>
            <w:tcW w:w="605" w:type="pct"/>
            <w:vAlign w:val="center"/>
          </w:tcPr>
          <w:p w:rsidR="00CE552A" w:rsidRPr="00726DCD" w:rsidRDefault="00CE552A" w:rsidP="000E399D">
            <w:pPr>
              <w:jc w:val="center"/>
              <w:cnfStyle w:val="000000000000"/>
              <w:rPr>
                <w:sz w:val="18"/>
              </w:rPr>
            </w:pPr>
            <w:r w:rsidRPr="00726DCD">
              <w:rPr>
                <w:sz w:val="18"/>
              </w:rPr>
              <w:t>41 590</w:t>
            </w:r>
          </w:p>
        </w:tc>
        <w:tc>
          <w:tcPr>
            <w:tcW w:w="529" w:type="pct"/>
            <w:vAlign w:val="center"/>
          </w:tcPr>
          <w:p w:rsidR="00CE552A" w:rsidRPr="00726DCD" w:rsidRDefault="00CE552A" w:rsidP="000E399D">
            <w:pPr>
              <w:jc w:val="center"/>
              <w:cnfStyle w:val="000000000000"/>
              <w:rPr>
                <w:sz w:val="18"/>
              </w:rPr>
            </w:pPr>
            <w:r w:rsidRPr="00726DCD">
              <w:rPr>
                <w:sz w:val="18"/>
              </w:rPr>
              <w:t>30 457</w:t>
            </w:r>
          </w:p>
        </w:tc>
        <w:tc>
          <w:tcPr>
            <w:tcW w:w="605" w:type="pct"/>
            <w:vAlign w:val="center"/>
          </w:tcPr>
          <w:p w:rsidR="00CE552A" w:rsidRPr="00726DCD" w:rsidRDefault="00CE552A" w:rsidP="000E399D">
            <w:pPr>
              <w:jc w:val="center"/>
              <w:cnfStyle w:val="000000000000"/>
              <w:rPr>
                <w:sz w:val="18"/>
              </w:rPr>
            </w:pPr>
            <w:r w:rsidRPr="00726DCD">
              <w:rPr>
                <w:sz w:val="18"/>
              </w:rPr>
              <w:t>6 802</w:t>
            </w:r>
          </w:p>
        </w:tc>
        <w:tc>
          <w:tcPr>
            <w:tcW w:w="605" w:type="pct"/>
            <w:vAlign w:val="center"/>
          </w:tcPr>
          <w:p w:rsidR="00CE552A" w:rsidRPr="00726DCD" w:rsidRDefault="00CE552A" w:rsidP="000E399D">
            <w:pPr>
              <w:jc w:val="center"/>
              <w:cnfStyle w:val="000000000000"/>
              <w:rPr>
                <w:sz w:val="18"/>
              </w:rPr>
            </w:pPr>
            <w:r w:rsidRPr="00726DCD">
              <w:rPr>
                <w:sz w:val="18"/>
              </w:rPr>
              <w:t>4 221</w:t>
            </w:r>
          </w:p>
        </w:tc>
        <w:tc>
          <w:tcPr>
            <w:tcW w:w="634" w:type="pct"/>
            <w:vAlign w:val="center"/>
          </w:tcPr>
          <w:p w:rsidR="00CE552A" w:rsidRPr="00726DCD" w:rsidRDefault="00CE552A" w:rsidP="000E399D">
            <w:pPr>
              <w:jc w:val="center"/>
              <w:cnfStyle w:val="000000000000"/>
              <w:rPr>
                <w:sz w:val="18"/>
              </w:rPr>
            </w:pPr>
            <w:r w:rsidRPr="00726DCD">
              <w:rPr>
                <w:sz w:val="18"/>
              </w:rPr>
              <w:t>92</w:t>
            </w:r>
          </w:p>
        </w:tc>
      </w:tr>
      <w:tr w:rsidR="00CE552A" w:rsidRPr="00726DCD" w:rsidTr="000E399D">
        <w:trPr>
          <w:cnfStyle w:val="000000100000"/>
        </w:trPr>
        <w:tc>
          <w:tcPr>
            <w:cnfStyle w:val="001000000000"/>
            <w:tcW w:w="2023" w:type="pct"/>
          </w:tcPr>
          <w:p w:rsidR="00CE552A" w:rsidRPr="00726DCD" w:rsidRDefault="00CE552A" w:rsidP="000E399D">
            <w:pPr>
              <w:jc w:val="both"/>
              <w:rPr>
                <w:b w:val="0"/>
                <w:smallCaps/>
                <w:sz w:val="18"/>
              </w:rPr>
            </w:pPr>
            <w:r w:rsidRPr="00726DCD">
              <w:rPr>
                <w:b w:val="0"/>
                <w:smallCaps/>
                <w:sz w:val="18"/>
              </w:rPr>
              <w:t xml:space="preserve">ebből </w:t>
            </w:r>
            <w:r w:rsidRPr="00726DCD">
              <w:rPr>
                <w:smallCaps/>
                <w:sz w:val="18"/>
              </w:rPr>
              <w:t>magánszemélyekhez</w:t>
            </w:r>
            <w:r w:rsidRPr="00726DCD">
              <w:rPr>
                <w:b w:val="0"/>
                <w:smallCaps/>
                <w:sz w:val="18"/>
              </w:rPr>
              <w:t xml:space="preserve"> köthető, ebből:</w:t>
            </w:r>
          </w:p>
        </w:tc>
        <w:tc>
          <w:tcPr>
            <w:tcW w:w="605" w:type="pct"/>
            <w:vAlign w:val="center"/>
          </w:tcPr>
          <w:p w:rsidR="00CE552A" w:rsidRPr="00726DCD" w:rsidRDefault="00CE552A" w:rsidP="000E399D">
            <w:pPr>
              <w:jc w:val="center"/>
              <w:cnfStyle w:val="000000100000"/>
              <w:rPr>
                <w:sz w:val="18"/>
              </w:rPr>
            </w:pPr>
            <w:r w:rsidRPr="00726DCD">
              <w:rPr>
                <w:sz w:val="18"/>
              </w:rPr>
              <w:t>24 826</w:t>
            </w:r>
          </w:p>
        </w:tc>
        <w:tc>
          <w:tcPr>
            <w:tcW w:w="529" w:type="pct"/>
            <w:vAlign w:val="center"/>
          </w:tcPr>
          <w:p w:rsidR="00CE552A" w:rsidRPr="00726DCD" w:rsidRDefault="00CE552A" w:rsidP="000E399D">
            <w:pPr>
              <w:jc w:val="center"/>
              <w:cnfStyle w:val="000000100000"/>
              <w:rPr>
                <w:sz w:val="18"/>
              </w:rPr>
            </w:pPr>
            <w:r w:rsidRPr="00726DCD">
              <w:rPr>
                <w:sz w:val="18"/>
              </w:rPr>
              <w:t>22 353</w:t>
            </w:r>
          </w:p>
        </w:tc>
        <w:tc>
          <w:tcPr>
            <w:tcW w:w="605" w:type="pct"/>
            <w:vAlign w:val="center"/>
          </w:tcPr>
          <w:p w:rsidR="00CE552A" w:rsidRPr="00726DCD" w:rsidRDefault="00CE552A" w:rsidP="000E399D">
            <w:pPr>
              <w:jc w:val="center"/>
              <w:cnfStyle w:val="000000100000"/>
              <w:rPr>
                <w:sz w:val="18"/>
              </w:rPr>
            </w:pPr>
            <w:r w:rsidRPr="00726DCD">
              <w:rPr>
                <w:sz w:val="18"/>
              </w:rPr>
              <w:t>1 855</w:t>
            </w:r>
          </w:p>
        </w:tc>
        <w:tc>
          <w:tcPr>
            <w:tcW w:w="605" w:type="pct"/>
            <w:vAlign w:val="center"/>
          </w:tcPr>
          <w:p w:rsidR="00CE552A" w:rsidRPr="00726DCD" w:rsidRDefault="00CE552A" w:rsidP="000E399D">
            <w:pPr>
              <w:jc w:val="center"/>
              <w:cnfStyle w:val="000000100000"/>
              <w:rPr>
                <w:sz w:val="18"/>
              </w:rPr>
            </w:pPr>
            <w:r w:rsidRPr="00726DCD">
              <w:rPr>
                <w:sz w:val="18"/>
              </w:rPr>
              <w:t>618</w:t>
            </w:r>
          </w:p>
        </w:tc>
        <w:tc>
          <w:tcPr>
            <w:tcW w:w="634" w:type="pct"/>
            <w:vAlign w:val="center"/>
          </w:tcPr>
          <w:p w:rsidR="00CE552A" w:rsidRPr="00726DCD" w:rsidRDefault="00CE552A" w:rsidP="000E399D">
            <w:pPr>
              <w:jc w:val="center"/>
              <w:cnfStyle w:val="000000100000"/>
              <w:rPr>
                <w:sz w:val="18"/>
              </w:rPr>
            </w:pPr>
            <w:r w:rsidRPr="00726DCD">
              <w:rPr>
                <w:sz w:val="18"/>
              </w:rPr>
              <w:t>-</w:t>
            </w:r>
          </w:p>
        </w:tc>
      </w:tr>
      <w:tr w:rsidR="00CE552A" w:rsidRPr="00726DCD" w:rsidTr="000E399D">
        <w:tc>
          <w:tcPr>
            <w:cnfStyle w:val="001000000000"/>
            <w:tcW w:w="2023" w:type="pct"/>
          </w:tcPr>
          <w:p w:rsidR="00CE552A" w:rsidRPr="00726DCD" w:rsidRDefault="00CE552A" w:rsidP="000E399D">
            <w:pPr>
              <w:ind w:left="426"/>
              <w:jc w:val="both"/>
              <w:rPr>
                <w:b w:val="0"/>
                <w:i/>
                <w:smallCaps/>
                <w:sz w:val="18"/>
              </w:rPr>
            </w:pPr>
            <w:r w:rsidRPr="00726DCD">
              <w:rPr>
                <w:b w:val="0"/>
                <w:i/>
                <w:smallCaps/>
                <w:sz w:val="18"/>
              </w:rPr>
              <w:t>férfi</w:t>
            </w:r>
          </w:p>
        </w:tc>
        <w:tc>
          <w:tcPr>
            <w:tcW w:w="605" w:type="pct"/>
            <w:vAlign w:val="center"/>
          </w:tcPr>
          <w:p w:rsidR="00CE552A" w:rsidRPr="00726DCD" w:rsidRDefault="00CE552A" w:rsidP="000E399D">
            <w:pPr>
              <w:jc w:val="center"/>
              <w:cnfStyle w:val="000000000000"/>
              <w:rPr>
                <w:sz w:val="18"/>
              </w:rPr>
            </w:pPr>
            <w:r w:rsidRPr="00726DCD">
              <w:rPr>
                <w:sz w:val="18"/>
              </w:rPr>
              <w:t>15 063</w:t>
            </w:r>
          </w:p>
        </w:tc>
        <w:tc>
          <w:tcPr>
            <w:tcW w:w="529" w:type="pct"/>
            <w:vAlign w:val="center"/>
          </w:tcPr>
          <w:p w:rsidR="00CE552A" w:rsidRPr="00726DCD" w:rsidRDefault="00CE552A" w:rsidP="000E399D">
            <w:pPr>
              <w:jc w:val="center"/>
              <w:cnfStyle w:val="000000000000"/>
              <w:rPr>
                <w:sz w:val="18"/>
              </w:rPr>
            </w:pPr>
            <w:r w:rsidRPr="00726DCD">
              <w:rPr>
                <w:sz w:val="18"/>
              </w:rPr>
              <w:t>13 595</w:t>
            </w:r>
          </w:p>
        </w:tc>
        <w:tc>
          <w:tcPr>
            <w:tcW w:w="605" w:type="pct"/>
            <w:vAlign w:val="center"/>
          </w:tcPr>
          <w:p w:rsidR="00CE552A" w:rsidRPr="00726DCD" w:rsidRDefault="00CE552A" w:rsidP="000E399D">
            <w:pPr>
              <w:jc w:val="center"/>
              <w:cnfStyle w:val="000000000000"/>
              <w:rPr>
                <w:sz w:val="18"/>
              </w:rPr>
            </w:pPr>
            <w:r w:rsidRPr="00726DCD">
              <w:rPr>
                <w:sz w:val="18"/>
              </w:rPr>
              <w:t>1 310</w:t>
            </w:r>
          </w:p>
        </w:tc>
        <w:tc>
          <w:tcPr>
            <w:tcW w:w="605" w:type="pct"/>
            <w:vAlign w:val="center"/>
          </w:tcPr>
          <w:p w:rsidR="00CE552A" w:rsidRPr="00726DCD" w:rsidRDefault="00CE552A" w:rsidP="000E399D">
            <w:pPr>
              <w:jc w:val="center"/>
              <w:cnfStyle w:val="000000000000"/>
              <w:rPr>
                <w:sz w:val="18"/>
              </w:rPr>
            </w:pPr>
            <w:r w:rsidRPr="00726DCD">
              <w:rPr>
                <w:sz w:val="18"/>
              </w:rPr>
              <w:t>158</w:t>
            </w:r>
          </w:p>
        </w:tc>
        <w:tc>
          <w:tcPr>
            <w:tcW w:w="634" w:type="pct"/>
            <w:vAlign w:val="center"/>
          </w:tcPr>
          <w:p w:rsidR="00CE552A" w:rsidRPr="00726DCD" w:rsidRDefault="00CE552A" w:rsidP="000E399D">
            <w:pPr>
              <w:jc w:val="center"/>
              <w:cnfStyle w:val="000000000000"/>
              <w:rPr>
                <w:sz w:val="18"/>
              </w:rPr>
            </w:pPr>
            <w:r w:rsidRPr="00726DCD">
              <w:rPr>
                <w:sz w:val="18"/>
              </w:rPr>
              <w:t>-</w:t>
            </w:r>
          </w:p>
        </w:tc>
      </w:tr>
      <w:tr w:rsidR="00CE552A" w:rsidRPr="00726DCD" w:rsidTr="000E399D">
        <w:trPr>
          <w:cnfStyle w:val="000000100000"/>
        </w:trPr>
        <w:tc>
          <w:tcPr>
            <w:cnfStyle w:val="001000000000"/>
            <w:tcW w:w="2023" w:type="pct"/>
          </w:tcPr>
          <w:p w:rsidR="00CE552A" w:rsidRPr="00726DCD" w:rsidRDefault="00CE552A" w:rsidP="000E399D">
            <w:pPr>
              <w:ind w:left="426"/>
              <w:jc w:val="both"/>
              <w:rPr>
                <w:b w:val="0"/>
                <w:i/>
                <w:smallCaps/>
                <w:sz w:val="18"/>
              </w:rPr>
            </w:pPr>
            <w:r w:rsidRPr="00726DCD">
              <w:rPr>
                <w:b w:val="0"/>
                <w:i/>
                <w:smallCaps/>
                <w:sz w:val="18"/>
              </w:rPr>
              <w:t>nő</w:t>
            </w:r>
          </w:p>
        </w:tc>
        <w:tc>
          <w:tcPr>
            <w:tcW w:w="605" w:type="pct"/>
            <w:vAlign w:val="center"/>
          </w:tcPr>
          <w:p w:rsidR="00CE552A" w:rsidRPr="00726DCD" w:rsidRDefault="00CE552A" w:rsidP="000E399D">
            <w:pPr>
              <w:jc w:val="center"/>
              <w:cnfStyle w:val="000000100000"/>
              <w:rPr>
                <w:sz w:val="18"/>
              </w:rPr>
            </w:pPr>
            <w:r w:rsidRPr="00726DCD">
              <w:rPr>
                <w:sz w:val="18"/>
              </w:rPr>
              <w:t>4 466</w:t>
            </w:r>
          </w:p>
        </w:tc>
        <w:tc>
          <w:tcPr>
            <w:tcW w:w="529" w:type="pct"/>
            <w:vAlign w:val="center"/>
          </w:tcPr>
          <w:p w:rsidR="00CE552A" w:rsidRPr="00726DCD" w:rsidRDefault="00CE552A" w:rsidP="000E399D">
            <w:pPr>
              <w:jc w:val="center"/>
              <w:cnfStyle w:val="000000100000"/>
              <w:rPr>
                <w:sz w:val="18"/>
              </w:rPr>
            </w:pPr>
            <w:r w:rsidRPr="00726DCD">
              <w:rPr>
                <w:sz w:val="18"/>
              </w:rPr>
              <w:t>3 934</w:t>
            </w:r>
          </w:p>
        </w:tc>
        <w:tc>
          <w:tcPr>
            <w:tcW w:w="605" w:type="pct"/>
            <w:vAlign w:val="center"/>
          </w:tcPr>
          <w:p w:rsidR="00CE552A" w:rsidRPr="00726DCD" w:rsidRDefault="00CE552A" w:rsidP="000E399D">
            <w:pPr>
              <w:jc w:val="center"/>
              <w:cnfStyle w:val="000000100000"/>
              <w:rPr>
                <w:sz w:val="18"/>
              </w:rPr>
            </w:pPr>
            <w:r w:rsidRPr="00726DCD">
              <w:rPr>
                <w:sz w:val="18"/>
              </w:rPr>
              <w:t>422</w:t>
            </w:r>
          </w:p>
        </w:tc>
        <w:tc>
          <w:tcPr>
            <w:tcW w:w="605" w:type="pct"/>
            <w:vAlign w:val="center"/>
          </w:tcPr>
          <w:p w:rsidR="00CE552A" w:rsidRPr="00726DCD" w:rsidRDefault="00CE552A" w:rsidP="000E399D">
            <w:pPr>
              <w:jc w:val="center"/>
              <w:cnfStyle w:val="000000100000"/>
              <w:rPr>
                <w:sz w:val="18"/>
              </w:rPr>
            </w:pPr>
            <w:r w:rsidRPr="00726DCD">
              <w:rPr>
                <w:sz w:val="18"/>
              </w:rPr>
              <w:t>110</w:t>
            </w:r>
          </w:p>
        </w:tc>
        <w:tc>
          <w:tcPr>
            <w:tcW w:w="634" w:type="pct"/>
            <w:vAlign w:val="center"/>
          </w:tcPr>
          <w:p w:rsidR="00CE552A" w:rsidRPr="00726DCD" w:rsidRDefault="00CE552A" w:rsidP="000E399D">
            <w:pPr>
              <w:jc w:val="center"/>
              <w:cnfStyle w:val="000000100000"/>
              <w:rPr>
                <w:sz w:val="18"/>
              </w:rPr>
            </w:pPr>
            <w:r w:rsidRPr="00726DCD">
              <w:rPr>
                <w:sz w:val="18"/>
              </w:rPr>
              <w:t>-</w:t>
            </w:r>
          </w:p>
        </w:tc>
      </w:tr>
      <w:tr w:rsidR="00CE552A" w:rsidRPr="00726DCD" w:rsidTr="000E399D">
        <w:tc>
          <w:tcPr>
            <w:cnfStyle w:val="001000000000"/>
            <w:tcW w:w="2023" w:type="pct"/>
          </w:tcPr>
          <w:p w:rsidR="00CE552A" w:rsidRPr="00726DCD" w:rsidRDefault="00CE552A" w:rsidP="000E399D">
            <w:pPr>
              <w:ind w:left="426"/>
              <w:jc w:val="both"/>
              <w:rPr>
                <w:b w:val="0"/>
                <w:i/>
                <w:smallCaps/>
                <w:sz w:val="18"/>
              </w:rPr>
            </w:pPr>
            <w:r w:rsidRPr="00726DCD">
              <w:rPr>
                <w:b w:val="0"/>
                <w:i/>
                <w:smallCaps/>
                <w:sz w:val="18"/>
              </w:rPr>
              <w:t>nincs adat</w:t>
            </w:r>
          </w:p>
        </w:tc>
        <w:tc>
          <w:tcPr>
            <w:tcW w:w="605" w:type="pct"/>
            <w:vAlign w:val="center"/>
          </w:tcPr>
          <w:p w:rsidR="00CE552A" w:rsidRPr="00726DCD" w:rsidRDefault="00CE552A" w:rsidP="000E399D">
            <w:pPr>
              <w:jc w:val="center"/>
              <w:cnfStyle w:val="000000000000"/>
              <w:rPr>
                <w:sz w:val="18"/>
              </w:rPr>
            </w:pPr>
            <w:r w:rsidRPr="00726DCD">
              <w:rPr>
                <w:sz w:val="18"/>
              </w:rPr>
              <w:t>5 297</w:t>
            </w:r>
          </w:p>
        </w:tc>
        <w:tc>
          <w:tcPr>
            <w:tcW w:w="529" w:type="pct"/>
            <w:vAlign w:val="center"/>
          </w:tcPr>
          <w:p w:rsidR="00CE552A" w:rsidRPr="00726DCD" w:rsidRDefault="00CE552A" w:rsidP="000E399D">
            <w:pPr>
              <w:jc w:val="center"/>
              <w:cnfStyle w:val="000000000000"/>
              <w:rPr>
                <w:sz w:val="18"/>
              </w:rPr>
            </w:pPr>
            <w:r w:rsidRPr="00726DCD">
              <w:rPr>
                <w:sz w:val="18"/>
              </w:rPr>
              <w:t>4 824</w:t>
            </w:r>
          </w:p>
        </w:tc>
        <w:tc>
          <w:tcPr>
            <w:tcW w:w="605" w:type="pct"/>
            <w:vAlign w:val="center"/>
          </w:tcPr>
          <w:p w:rsidR="00CE552A" w:rsidRPr="00726DCD" w:rsidRDefault="00CE552A" w:rsidP="000E399D">
            <w:pPr>
              <w:jc w:val="center"/>
              <w:cnfStyle w:val="000000000000"/>
              <w:rPr>
                <w:sz w:val="18"/>
              </w:rPr>
            </w:pPr>
            <w:r w:rsidRPr="00726DCD">
              <w:rPr>
                <w:sz w:val="18"/>
              </w:rPr>
              <w:t>123</w:t>
            </w:r>
          </w:p>
        </w:tc>
        <w:tc>
          <w:tcPr>
            <w:tcW w:w="605" w:type="pct"/>
            <w:vAlign w:val="center"/>
          </w:tcPr>
          <w:p w:rsidR="00CE552A" w:rsidRPr="00726DCD" w:rsidRDefault="00CE552A" w:rsidP="000E399D">
            <w:pPr>
              <w:jc w:val="center"/>
              <w:cnfStyle w:val="000000000000"/>
              <w:rPr>
                <w:sz w:val="18"/>
              </w:rPr>
            </w:pPr>
            <w:r w:rsidRPr="00726DCD">
              <w:rPr>
                <w:sz w:val="18"/>
              </w:rPr>
              <w:t>350</w:t>
            </w:r>
          </w:p>
        </w:tc>
        <w:tc>
          <w:tcPr>
            <w:tcW w:w="634" w:type="pct"/>
            <w:vAlign w:val="center"/>
          </w:tcPr>
          <w:p w:rsidR="00CE552A" w:rsidRPr="00726DCD" w:rsidRDefault="00CE552A" w:rsidP="000E399D">
            <w:pPr>
              <w:jc w:val="center"/>
              <w:cnfStyle w:val="000000000000"/>
              <w:rPr>
                <w:sz w:val="18"/>
              </w:rPr>
            </w:pPr>
            <w:r w:rsidRPr="00726DCD">
              <w:rPr>
                <w:sz w:val="18"/>
              </w:rPr>
              <w:t>-</w:t>
            </w:r>
          </w:p>
        </w:tc>
      </w:tr>
    </w:tbl>
    <w:bookmarkStart w:id="12" w:name="_Ref279556272"/>
    <w:p w:rsidR="00CE552A" w:rsidRPr="00F0588C" w:rsidRDefault="00CF0DD4" w:rsidP="00CE552A">
      <w:pPr>
        <w:pStyle w:val="Caption"/>
        <w:spacing w:before="60" w:after="120" w:line="280" w:lineRule="atLeast"/>
        <w:jc w:val="center"/>
        <w:rPr>
          <w:color w:val="auto"/>
        </w:rPr>
      </w:pPr>
      <w:r w:rsidRPr="00F0588C">
        <w:rPr>
          <w:color w:val="auto"/>
        </w:rPr>
        <w:fldChar w:fldCharType="begin"/>
      </w:r>
      <w:r w:rsidR="00CE552A" w:rsidRPr="00F0588C">
        <w:rPr>
          <w:color w:val="auto"/>
        </w:rPr>
        <w:instrText xml:space="preserve"> SEQ táblázat \* ARABIC </w:instrText>
      </w:r>
      <w:r w:rsidRPr="00F0588C">
        <w:rPr>
          <w:color w:val="auto"/>
        </w:rPr>
        <w:fldChar w:fldCharType="separate"/>
      </w:r>
      <w:r w:rsidR="00EF0D1C">
        <w:rPr>
          <w:noProof/>
          <w:color w:val="auto"/>
        </w:rPr>
        <w:t>6</w:t>
      </w:r>
      <w:r w:rsidRPr="00F0588C">
        <w:rPr>
          <w:color w:val="auto"/>
        </w:rPr>
        <w:fldChar w:fldCharType="end"/>
      </w:r>
      <w:r w:rsidR="00CE552A" w:rsidRPr="00F0588C">
        <w:rPr>
          <w:color w:val="auto"/>
        </w:rPr>
        <w:t>. táblázat</w:t>
      </w:r>
      <w:bookmarkEnd w:id="12"/>
      <w:r w:rsidR="00CE552A" w:rsidRPr="00F0588C">
        <w:rPr>
          <w:color w:val="auto"/>
        </w:rPr>
        <w:t>: E-monitoring adatok - nemek szerinti megoszlás</w:t>
      </w:r>
    </w:p>
    <w:p w:rsidR="00CE552A" w:rsidRDefault="00CE552A" w:rsidP="00FE1385">
      <w:pPr>
        <w:jc w:val="both"/>
      </w:pPr>
    </w:p>
    <w:p w:rsidR="00FE1385" w:rsidRDefault="00FE1385" w:rsidP="00FE1385">
      <w:pPr>
        <w:jc w:val="both"/>
      </w:pPr>
      <w:r>
        <w:t>A roma támogatottak arányáról az e-monitoring adatszolgáltatás nem tartalmaz információt, a támogatási kérelmeken szereplő adat</w:t>
      </w:r>
      <w:r w:rsidR="0090471E">
        <w:t>ok megbízhatósága pedig kérdéses, ezért a preferencia érvényesülését nem jav</w:t>
      </w:r>
      <w:r w:rsidR="0090471E">
        <w:t>a</w:t>
      </w:r>
      <w:r w:rsidR="0090471E">
        <w:t>solt ezen adatok alapján vizsgálni. Célszerű a valós hatást további, specifikus értékelésekkel feltárni.</w:t>
      </w:r>
    </w:p>
    <w:p w:rsidR="00447BB8" w:rsidRPr="00E03E1D" w:rsidRDefault="00447BB8" w:rsidP="00FE1385">
      <w:pPr>
        <w:jc w:val="both"/>
      </w:pPr>
      <w:r>
        <w:t>A fent elemzett területeken az ex-ante értékelés sem várt jelentős előrelépést: „</w:t>
      </w:r>
      <w:r w:rsidRPr="0098221A">
        <w:rPr>
          <w:i/>
        </w:rPr>
        <w:t>Nem számítunk jelentős előrelépésre a vidéki nők, romák és más hátrányos helyzetű csoportok helyzetében</w:t>
      </w:r>
      <w:r>
        <w:rPr>
          <w:i/>
        </w:rPr>
        <w:t>”.</w:t>
      </w:r>
    </w:p>
    <w:p w:rsidR="00FE1385" w:rsidRDefault="00FE1385" w:rsidP="00FE1385">
      <w:pPr>
        <w:jc w:val="both"/>
      </w:pPr>
      <w:r w:rsidRPr="00E03E1D">
        <w:t>A II. tengelyben a KAT intézkedés hat az esélyegyenlőség csökkentésére, hiszen kompenzációt kínál a hátr</w:t>
      </w:r>
      <w:r w:rsidRPr="00E03E1D">
        <w:t>á</w:t>
      </w:r>
      <w:r w:rsidRPr="00E03E1D">
        <w:t>nyos területen gazdálkodóknak. A KAT lehatárolás sikeressége ebből a szempontból sajnos vitatható (ez azonban EU szintű közös metodikán alapul)</w:t>
      </w:r>
      <w:r w:rsidR="0091368E">
        <w:t>. A lehatárolás felülvizsgálata a felmerült problémák alapján f</w:t>
      </w:r>
      <w:r w:rsidR="0091368E">
        <w:t>o</w:t>
      </w:r>
      <w:r w:rsidR="0091368E">
        <w:t>lyamatban van</w:t>
      </w:r>
      <w:r w:rsidRPr="00E03E1D">
        <w:t>.</w:t>
      </w:r>
    </w:p>
    <w:p w:rsidR="00FE1385" w:rsidRPr="00E03E1D" w:rsidRDefault="00FE1385" w:rsidP="00FE1385">
      <w:pPr>
        <w:jc w:val="both"/>
      </w:pPr>
      <w:proofErr w:type="gramStart"/>
      <w:r w:rsidRPr="00E03E1D">
        <w:t>Ami a megítélt támogatások kistérségi megoszlását illeti, megállapítható volt, hogy a hátrányos helyzetű, LHH, illetve komplex LHH kistérségek aránya – örvendetes módon – viszonylag magas: a I. és II. tengely es</w:t>
      </w:r>
      <w:r w:rsidRPr="00E03E1D">
        <w:t>e</w:t>
      </w:r>
      <w:r w:rsidRPr="00E03E1D">
        <w:t>tében ez az arány 60% fölötti, de még az I. tengelyben is több mint 50%</w:t>
      </w:r>
      <w:r>
        <w:rPr>
          <w:rStyle w:val="FootnoteReference"/>
        </w:rPr>
        <w:footnoteReference w:id="16"/>
      </w:r>
      <w:r w:rsidRPr="00E03E1D">
        <w:t>. A legkisebb (42% körüli) rés</w:t>
      </w:r>
      <w:r w:rsidRPr="00E03E1D">
        <w:t>z</w:t>
      </w:r>
      <w:r w:rsidRPr="00E03E1D">
        <w:t>aránnyal a LEADER tengely bírt, ennek azonban az alacsony pénzügyi előrehaladottság fényében nem sz</w:t>
      </w:r>
      <w:r w:rsidRPr="00E03E1D">
        <w:t>a</w:t>
      </w:r>
      <w:r w:rsidRPr="00E03E1D">
        <w:t xml:space="preserve">bad jelentőséget tulajdonítani, mert csak a </w:t>
      </w:r>
      <w:proofErr w:type="spellStart"/>
      <w:r w:rsidRPr="00E03E1D">
        <w:t>HACS-ok</w:t>
      </w:r>
      <w:proofErr w:type="spellEnd"/>
      <w:r w:rsidRPr="00E03E1D">
        <w:t xml:space="preserve"> eltérő aktivitásáról tanúskodik, ami idővel kiegyenlítődik majd.</w:t>
      </w:r>
      <w:proofErr w:type="gramEnd"/>
    </w:p>
    <w:p w:rsidR="00FE1385" w:rsidRPr="00E03E1D" w:rsidRDefault="00E02425" w:rsidP="00FE1385">
      <w:pPr>
        <w:keepNext/>
        <w:jc w:val="center"/>
      </w:pPr>
      <w:r w:rsidRPr="00E02425">
        <w:rPr>
          <w:noProof/>
        </w:rPr>
        <w:lastRenderedPageBreak/>
        <w:drawing>
          <wp:inline distT="0" distB="0" distL="0" distR="0">
            <wp:extent cx="4900062" cy="3224231"/>
            <wp:effectExtent l="19050" t="0" r="0" b="0"/>
            <wp:docPr id="26" name="Picture 7" descr="cid:image001.png@01CB92FD.B13C6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B92FD.B13C6EA0"/>
                    <pic:cNvPicPr>
                      <a:picLocks noChangeAspect="1" noChangeArrowheads="1"/>
                    </pic:cNvPicPr>
                  </pic:nvPicPr>
                  <pic:blipFill>
                    <a:blip r:embed="rId16" r:link="rId17" cstate="print"/>
                    <a:srcRect/>
                    <a:stretch>
                      <a:fillRect/>
                    </a:stretch>
                  </pic:blipFill>
                  <pic:spPr bwMode="auto">
                    <a:xfrm>
                      <a:off x="0" y="0"/>
                      <a:ext cx="4905932" cy="3228094"/>
                    </a:xfrm>
                    <a:prstGeom prst="rect">
                      <a:avLst/>
                    </a:prstGeom>
                    <a:noFill/>
                    <a:ln w="9525">
                      <a:noFill/>
                      <a:miter lim="800000"/>
                      <a:headEnd/>
                      <a:tailEnd/>
                    </a:ln>
                  </pic:spPr>
                </pic:pic>
              </a:graphicData>
            </a:graphic>
          </wp:inline>
        </w:drawing>
      </w:r>
    </w:p>
    <w:bookmarkStart w:id="13" w:name="_Ref278892901"/>
    <w:p w:rsidR="00FE1385" w:rsidRPr="00E03E1D" w:rsidRDefault="00CF0DD4" w:rsidP="00FE1385">
      <w:pPr>
        <w:pStyle w:val="Caption"/>
        <w:jc w:val="center"/>
        <w:rPr>
          <w:color w:val="auto"/>
        </w:rPr>
      </w:pPr>
      <w:r w:rsidRPr="00E03E1D">
        <w:rPr>
          <w:color w:val="auto"/>
        </w:rPr>
        <w:fldChar w:fldCharType="begin"/>
      </w:r>
      <w:r w:rsidR="00FE1385" w:rsidRPr="00E03E1D">
        <w:rPr>
          <w:color w:val="auto"/>
        </w:rPr>
        <w:instrText xml:space="preserve"> SEQ ábra \* ARABIC </w:instrText>
      </w:r>
      <w:r w:rsidRPr="00E03E1D">
        <w:rPr>
          <w:color w:val="auto"/>
        </w:rPr>
        <w:fldChar w:fldCharType="separate"/>
      </w:r>
      <w:r w:rsidR="0091368E">
        <w:rPr>
          <w:noProof/>
          <w:color w:val="auto"/>
        </w:rPr>
        <w:t>5</w:t>
      </w:r>
      <w:r w:rsidRPr="00E03E1D">
        <w:rPr>
          <w:color w:val="auto"/>
        </w:rPr>
        <w:fldChar w:fldCharType="end"/>
      </w:r>
      <w:r w:rsidR="00FE1385" w:rsidRPr="00E03E1D">
        <w:rPr>
          <w:color w:val="auto"/>
        </w:rPr>
        <w:t>. ábra</w:t>
      </w:r>
      <w:bookmarkEnd w:id="13"/>
      <w:r w:rsidR="00FE1385" w:rsidRPr="00E03E1D">
        <w:rPr>
          <w:color w:val="auto"/>
        </w:rPr>
        <w:t>: Hátrányos helyzetű térségekbe irányuló megítélt támogatások</w:t>
      </w:r>
      <w:r w:rsidR="00FE1385" w:rsidRPr="00E03E1D">
        <w:rPr>
          <w:rStyle w:val="FootnoteReference"/>
          <w:color w:val="auto"/>
        </w:rPr>
        <w:footnoteReference w:id="17"/>
      </w:r>
    </w:p>
    <w:p w:rsidR="0090471E" w:rsidRPr="0090471E" w:rsidRDefault="0090471E" w:rsidP="0090471E">
      <w:pPr>
        <w:jc w:val="both"/>
        <w:rPr>
          <w:i/>
        </w:rPr>
      </w:pPr>
      <w:bookmarkStart w:id="14" w:name="_Ref278878213"/>
      <w:r>
        <w:t xml:space="preserve">További CMEF kérdés vizsgálja, hogy </w:t>
      </w:r>
      <w:r w:rsidRPr="0090471E">
        <w:rPr>
          <w:i/>
        </w:rPr>
        <w:t>a program milyen mértékben tartalmaz környezeti célkitűzéseket és milyen mértékben járult hozzá a közösségi prioritások megvalósításához a következőket illetően</w:t>
      </w:r>
      <w:bookmarkEnd w:id="14"/>
    </w:p>
    <w:p w:rsidR="0090471E" w:rsidRPr="0090471E" w:rsidRDefault="0090471E" w:rsidP="00D5521F">
      <w:pPr>
        <w:pStyle w:val="HUNNormal"/>
        <w:numPr>
          <w:ilvl w:val="0"/>
          <w:numId w:val="30"/>
        </w:numPr>
        <w:rPr>
          <w:i/>
        </w:rPr>
      </w:pPr>
      <w:r w:rsidRPr="0090471E">
        <w:rPr>
          <w:i/>
        </w:rPr>
        <w:t xml:space="preserve">a biológiai sokféleség hanyatlásának visszafordítására vonatkozó göteborgi kötelezettségvállalás? </w:t>
      </w:r>
    </w:p>
    <w:p w:rsidR="0090471E" w:rsidRPr="0090471E" w:rsidRDefault="0090471E" w:rsidP="00D5521F">
      <w:pPr>
        <w:pStyle w:val="HUNNormal"/>
        <w:numPr>
          <w:ilvl w:val="0"/>
          <w:numId w:val="30"/>
        </w:numPr>
        <w:rPr>
          <w:i/>
        </w:rPr>
      </w:pPr>
      <w:r w:rsidRPr="0090471E">
        <w:rPr>
          <w:i/>
        </w:rPr>
        <w:t>a vízpolitika terén a közösségi fellépés kereteinek meghatározásáról szóló 2000/60/EK irányel</w:t>
      </w:r>
      <w:r w:rsidRPr="0090471E">
        <w:rPr>
          <w:i/>
        </w:rPr>
        <w:t>v</w:t>
      </w:r>
      <w:r w:rsidRPr="0090471E">
        <w:rPr>
          <w:i/>
        </w:rPr>
        <w:t xml:space="preserve">ben meghatározott célkitűzések? </w:t>
      </w:r>
    </w:p>
    <w:p w:rsidR="0090471E" w:rsidRPr="0090471E" w:rsidRDefault="0090471E" w:rsidP="00D5521F">
      <w:pPr>
        <w:pStyle w:val="HUNNormal"/>
        <w:numPr>
          <w:ilvl w:val="0"/>
          <w:numId w:val="30"/>
        </w:numPr>
        <w:rPr>
          <w:i/>
        </w:rPr>
      </w:pPr>
      <w:r w:rsidRPr="0090471E">
        <w:rPr>
          <w:i/>
        </w:rPr>
        <w:t xml:space="preserve">a kiotói jegyzőkönyv éghajlatváltozás enyhítésére vonatkozó céljai? </w:t>
      </w:r>
    </w:p>
    <w:p w:rsidR="0090471E" w:rsidRDefault="0090471E" w:rsidP="0090471E">
      <w:pPr>
        <w:pStyle w:val="HUNNormal"/>
        <w:tabs>
          <w:tab w:val="left" w:pos="709"/>
        </w:tabs>
      </w:pPr>
      <w:r w:rsidRPr="00E03E1D">
        <w:t xml:space="preserve">A </w:t>
      </w:r>
      <w:proofErr w:type="spellStart"/>
      <w:r w:rsidRPr="00E03E1D">
        <w:rPr>
          <w:b/>
        </w:rPr>
        <w:t>biodiverzitás</w:t>
      </w:r>
      <w:proofErr w:type="spellEnd"/>
      <w:r w:rsidRPr="00E03E1D">
        <w:t xml:space="preserve"> hanyatlásának visszafordítás</w:t>
      </w:r>
      <w:r w:rsidR="009F67C5">
        <w:t xml:space="preserve">a célként az </w:t>
      </w:r>
      <w:proofErr w:type="spellStart"/>
      <w:r w:rsidR="009F67C5">
        <w:t>ÚMST-ben</w:t>
      </w:r>
      <w:proofErr w:type="spellEnd"/>
      <w:r w:rsidRPr="00E03E1D">
        <w:t xml:space="preserve">, valamint az egyes intézkedések </w:t>
      </w:r>
      <w:r w:rsidR="009F67C5">
        <w:t>cé</w:t>
      </w:r>
      <w:r w:rsidR="009F67C5">
        <w:t>l</w:t>
      </w:r>
      <w:r w:rsidR="009F67C5">
        <w:t>rendszerében is megjelenik.</w:t>
      </w:r>
      <w:r w:rsidRPr="00E03E1D">
        <w:t xml:space="preserve"> A Göteborgi Minisztertanács (2001) munkáját követően a Lisszaboni stratégi</w:t>
      </w:r>
      <w:r w:rsidRPr="00E03E1D">
        <w:t>á</w:t>
      </w:r>
      <w:r w:rsidRPr="00E03E1D">
        <w:t xml:space="preserve">ba (Európai Fenntartható Fejlődés Stratégia) is beépült célkitűzés az élőhelyek és természetes rendszerek védelmét és helyreállítását, valamint a </w:t>
      </w:r>
      <w:proofErr w:type="spellStart"/>
      <w:r w:rsidRPr="00E03E1D">
        <w:t>biodiverzitás</w:t>
      </w:r>
      <w:proofErr w:type="spellEnd"/>
      <w:r w:rsidRPr="00E03E1D">
        <w:t xml:space="preserve"> csökkenésének 2010-ig történő megállítását irányozza elő</w:t>
      </w:r>
      <w:r w:rsidRPr="00E03E1D">
        <w:rPr>
          <w:rStyle w:val="FootnoteReference"/>
        </w:rPr>
        <w:footnoteReference w:id="18"/>
      </w:r>
      <w:r w:rsidRPr="00E03E1D">
        <w:t xml:space="preserve">. </w:t>
      </w:r>
      <w:proofErr w:type="gramStart"/>
      <w:r w:rsidRPr="00E03E1D">
        <w:t>A</w:t>
      </w:r>
      <w:proofErr w:type="gramEnd"/>
      <w:r w:rsidRPr="00E03E1D">
        <w:t xml:space="preserve"> cél szempontjából releváns intézkedésnek tekintjük a II. tengely NATURA 2000 és AKG, továbbá erdészeti jogcímeit</w:t>
      </w:r>
      <w:r w:rsidR="009F67C5">
        <w:t xml:space="preserve">, továbbá </w:t>
      </w:r>
      <w:r w:rsidRPr="00E03E1D">
        <w:t>a mezőgazda</w:t>
      </w:r>
      <w:r w:rsidR="009F67C5">
        <w:t>sági területek első erdősítését (MGTE) is</w:t>
      </w:r>
      <w:r w:rsidRPr="00E03E1D">
        <w:t xml:space="preserve">. Ezen intézkedések közül az AKG </w:t>
      </w:r>
      <w:r w:rsidR="009F67C5">
        <w:t xml:space="preserve">és az MGTE </w:t>
      </w:r>
      <w:r w:rsidRPr="00E03E1D">
        <w:t xml:space="preserve">kötött le jelentős mértékű forrást, ezért </w:t>
      </w:r>
      <w:r w:rsidR="009F67C5">
        <w:t>ezektől</w:t>
      </w:r>
      <w:r w:rsidRPr="00E03E1D">
        <w:t xml:space="preserve"> várható markáns hatás. </w:t>
      </w:r>
    </w:p>
    <w:p w:rsidR="008A065B" w:rsidRDefault="009F67C5" w:rsidP="008A065B">
      <w:pPr>
        <w:jc w:val="both"/>
      </w:pPr>
      <w:r>
        <w:t xml:space="preserve">A </w:t>
      </w:r>
      <w:proofErr w:type="spellStart"/>
      <w:r>
        <w:t>biodiverzitással</w:t>
      </w:r>
      <w:proofErr w:type="spellEnd"/>
      <w:r>
        <w:t xml:space="preserve"> kapcsolatos</w:t>
      </w:r>
      <w:r w:rsidR="008A065B">
        <w:t xml:space="preserve"> célszintek</w:t>
      </w:r>
      <w:r>
        <w:t>et</w:t>
      </w:r>
      <w:r w:rsidR="008A065B">
        <w:t xml:space="preserve"> a Program 2</w:t>
      </w:r>
      <w:r>
        <w:t xml:space="preserve">6. számú mellékletében </w:t>
      </w:r>
      <w:r w:rsidR="008A065B">
        <w:t xml:space="preserve">6 indikátor </w:t>
      </w:r>
      <w:r>
        <w:t>definiálja</w:t>
      </w:r>
      <w:r w:rsidR="008A065B">
        <w:rPr>
          <w:rStyle w:val="FootnoteReference"/>
        </w:rPr>
        <w:footnoteReference w:id="19"/>
      </w:r>
      <w:r w:rsidR="008A065B">
        <w:t>. Megállapítható, hogy az intézkedések hatásaként minden indikátor tekintetében pozitív irányú változásra számítottak a programalkotók (indikátor értékének növekedése)</w:t>
      </w:r>
      <w:proofErr w:type="gramStart"/>
      <w:r>
        <w:t>.</w:t>
      </w:r>
      <w:r w:rsidR="008A065B">
        <w:t>.</w:t>
      </w:r>
      <w:proofErr w:type="gramEnd"/>
    </w:p>
    <w:p w:rsidR="0090471E" w:rsidRDefault="0090471E" w:rsidP="0090471E">
      <w:pPr>
        <w:jc w:val="both"/>
      </w:pPr>
      <w:r w:rsidRPr="00E03E1D">
        <w:t xml:space="preserve">A </w:t>
      </w:r>
      <w:r w:rsidRPr="00E03E1D">
        <w:rPr>
          <w:b/>
        </w:rPr>
        <w:t>Kiotó</w:t>
      </w:r>
      <w:r w:rsidRPr="00E03E1D">
        <w:t xml:space="preserve"> </w:t>
      </w:r>
      <w:r w:rsidRPr="00E03E1D">
        <w:rPr>
          <w:b/>
        </w:rPr>
        <w:t>Jegyzőkönyv</w:t>
      </w:r>
      <w:r w:rsidRPr="00E03E1D">
        <w:t xml:space="preserve"> szellemében az üvegház hatású gázok kibocsátásának csökkentése kiemelt szempon</w:t>
      </w:r>
      <w:r w:rsidRPr="00E03E1D">
        <w:t>t</w:t>
      </w:r>
      <w:r w:rsidRPr="00E03E1D">
        <w:t>ként jelent meg az ÚMVP dokumentumban, annak ellenére, hogy az általános stratégia leírásban megállap</w:t>
      </w:r>
      <w:r w:rsidRPr="00E03E1D">
        <w:t>í</w:t>
      </w:r>
      <w:r w:rsidRPr="00E03E1D">
        <w:t xml:space="preserve">tásra kerül, hogy hazánk már teljesítette a vállalt kötelezettségeket, továbbá nem szükséges különösebb </w:t>
      </w:r>
      <w:r w:rsidRPr="00E03E1D">
        <w:lastRenderedPageBreak/>
        <w:t xml:space="preserve">erőfeszítés az eredmények megőrzéséhez. Az üvegház hatású gázok kibocsátása </w:t>
      </w:r>
      <w:r w:rsidR="000B7A47">
        <w:t xml:space="preserve">kapcsán </w:t>
      </w:r>
      <w:r w:rsidRPr="00E03E1D">
        <w:t>relevánsnak az Állattartó Telepek Korszerűsítése, az Önálló, építéssel nem járó gépek, technológiai berendezések beszerz</w:t>
      </w:r>
      <w:r w:rsidRPr="00E03E1D">
        <w:t>é</w:t>
      </w:r>
      <w:r w:rsidRPr="00E03E1D">
        <w:t>se, a Mezőgazdasági energiafelhasználás megújuló erőforrásokból történő előállítása jogcímek és az AKG, valamint a</w:t>
      </w:r>
      <w:r w:rsidR="00F13698">
        <w:t>z MGTE</w:t>
      </w:r>
      <w:r w:rsidRPr="00E03E1D">
        <w:t xml:space="preserve"> intézkedések</w:t>
      </w:r>
      <w:r w:rsidR="00F13698">
        <w:t>et</w:t>
      </w:r>
      <w:r w:rsidRPr="00E03E1D">
        <w:t xml:space="preserve"> </w:t>
      </w:r>
      <w:r w:rsidR="00F13698">
        <w:t>találtuk</w:t>
      </w:r>
      <w:r w:rsidRPr="00E03E1D">
        <w:t>, a többi jogcím forrásfelhasználása és jellege miatt nem fog ma</w:t>
      </w:r>
      <w:r w:rsidRPr="00E03E1D">
        <w:t>r</w:t>
      </w:r>
      <w:r w:rsidRPr="00E03E1D">
        <w:t xml:space="preserve">káns hatást kifejteni az ÜHG kibocsátásra. </w:t>
      </w:r>
    </w:p>
    <w:p w:rsidR="000B7A47" w:rsidRPr="00E03E1D" w:rsidRDefault="000B7A47" w:rsidP="000B7A47">
      <w:pPr>
        <w:jc w:val="both"/>
      </w:pPr>
      <w:r>
        <w:t>Az éghajlatváltozással kapcsolatosan 4 tengely szintű indikátort határoz meg a Program</w:t>
      </w:r>
      <w:r>
        <w:rPr>
          <w:rStyle w:val="FootnoteReference"/>
        </w:rPr>
        <w:footnoteReference w:id="20"/>
      </w:r>
      <w:r>
        <w:t>. A mutatók ala</w:t>
      </w:r>
      <w:r>
        <w:t>p</w:t>
      </w:r>
      <w:r>
        <w:t xml:space="preserve">ján a Program elvárt hatása az üvegházhatású gázok emissziójának csökkenése, valamint a megújuló </w:t>
      </w:r>
      <w:proofErr w:type="gramStart"/>
      <w:r>
        <w:t>ene</w:t>
      </w:r>
      <w:r>
        <w:t>r</w:t>
      </w:r>
      <w:r>
        <w:t>gia termelés</w:t>
      </w:r>
      <w:proofErr w:type="gramEnd"/>
      <w:r>
        <w:t xml:space="preserve"> részarányának növelése (energianövények termelésén keresztül).</w:t>
      </w:r>
    </w:p>
    <w:p w:rsidR="0090471E" w:rsidRPr="00E03E1D" w:rsidRDefault="0090471E" w:rsidP="0090471E">
      <w:pPr>
        <w:pStyle w:val="HUNNormal"/>
        <w:tabs>
          <w:tab w:val="left" w:pos="709"/>
        </w:tabs>
      </w:pPr>
      <w:r w:rsidRPr="00E03E1D">
        <w:t>Az Európai Parlament és Tanács 2000. október 23-i 2000/60/EK Irányelve az európai közösségi intézked</w:t>
      </w:r>
      <w:r w:rsidRPr="00E03E1D">
        <w:t>é</w:t>
      </w:r>
      <w:r w:rsidRPr="00E03E1D">
        <w:t xml:space="preserve">sek kereteinek meghatározásáról a </w:t>
      </w:r>
      <w:r w:rsidRPr="00E03E1D">
        <w:rPr>
          <w:b/>
        </w:rPr>
        <w:t>víz</w:t>
      </w:r>
      <w:r w:rsidRPr="00E03E1D">
        <w:t xml:space="preserve"> </w:t>
      </w:r>
      <w:r w:rsidRPr="00E03E1D">
        <w:rPr>
          <w:b/>
        </w:rPr>
        <w:t>politika</w:t>
      </w:r>
      <w:r w:rsidRPr="00E03E1D">
        <w:t xml:space="preserve"> területén (Víz Keretirányelv, továbbiakban: VKI) megteremti a jogi kereteket a vízkészletek (felszíni vizek, az átmeneti vizek, a tengerparti vizek és a felszín alatti vizek) védelmének megvalósításához. Mint azt a hazai állapotfelmérés leírja, a felszíni vizek esetében a szenny</w:t>
      </w:r>
      <w:r w:rsidRPr="00E03E1D">
        <w:t>e</w:t>
      </w:r>
      <w:r w:rsidRPr="00E03E1D">
        <w:t xml:space="preserve">zési problémákat az esetek túlnyomó többségében a vizek szerves anyag és tápanyag terhelése okozza. A túlzott tápanyagterhelés 71%-a diffúz eredetű, melyből a mezőgazdaság közelítőleg 85% arányt képvisel. A felszín alatti vizeink nitrát </w:t>
      </w:r>
      <w:proofErr w:type="spellStart"/>
      <w:r w:rsidRPr="00E03E1D">
        <w:t>szennyezettségi</w:t>
      </w:r>
      <w:proofErr w:type="spellEnd"/>
      <w:r w:rsidRPr="00E03E1D">
        <w:t xml:space="preserve"> állapota - országos átlagban – jónak mondható, azonban a mez</w:t>
      </w:r>
      <w:r w:rsidRPr="00E03E1D">
        <w:t>ő</w:t>
      </w:r>
      <w:r w:rsidRPr="00E03E1D">
        <w:t xml:space="preserve">gazdasági területeket </w:t>
      </w:r>
      <w:proofErr w:type="gramStart"/>
      <w:r w:rsidRPr="00E03E1D">
        <w:t>elkülönítve</w:t>
      </w:r>
      <w:proofErr w:type="gramEnd"/>
      <w:r w:rsidRPr="00E03E1D">
        <w:t xml:space="preserve"> vizsgálva megállapítható, hogy a leáramlási területeken a legnagyobb a </w:t>
      </w:r>
      <w:proofErr w:type="spellStart"/>
      <w:r w:rsidRPr="00E03E1D">
        <w:t>szennyezettségi</w:t>
      </w:r>
      <w:proofErr w:type="spellEnd"/>
      <w:r w:rsidRPr="00E03E1D">
        <w:t xml:space="preserve"> arány.</w:t>
      </w:r>
    </w:p>
    <w:p w:rsidR="0090471E" w:rsidRDefault="0090471E" w:rsidP="0090471E">
      <w:pPr>
        <w:pStyle w:val="HUNNormal"/>
        <w:tabs>
          <w:tab w:val="left" w:pos="709"/>
        </w:tabs>
      </w:pPr>
      <w:r w:rsidRPr="00E03E1D">
        <w:t xml:space="preserve">Az ÚMVP több intézkedése támogatja a vízpolitika terén </w:t>
      </w:r>
      <w:r w:rsidR="000B7A47">
        <w:t>tett vállalások teljesítését</w:t>
      </w:r>
      <w:r w:rsidRPr="00E03E1D">
        <w:t>. Az öntözés, melioráció, területi vízgazdálkodási jogcím, az Állattartó telepek fejlesztése, valamint a II. tengely intézkedései egyérte</w:t>
      </w:r>
      <w:r w:rsidRPr="00E03E1D">
        <w:t>l</w:t>
      </w:r>
      <w:r w:rsidRPr="00E03E1D">
        <w:t>műen pozitív potenciális hatással rendelkeznek, amennyiben a megvalósítás során a támogatottak az el</w:t>
      </w:r>
      <w:r w:rsidRPr="00E03E1D">
        <w:t>ő</w:t>
      </w:r>
      <w:r w:rsidRPr="00E03E1D">
        <w:t>írásoknak megfelelően járnak el. A hatásokat, mivel azok hosszabb időtávon jelentkeznek egyelőre mérni nem lehetséges.</w:t>
      </w:r>
    </w:p>
    <w:p w:rsidR="008A065B" w:rsidRDefault="008A065B" w:rsidP="0090471E">
      <w:pPr>
        <w:pStyle w:val="HUNNormal"/>
        <w:tabs>
          <w:tab w:val="left" w:pos="709"/>
        </w:tabs>
      </w:pPr>
      <w:r>
        <w:t>A vízminőséggel kapcsolatosan a Program 26. számú melléklete összesen 5 indikátort alkalmaz a célszintek meghatározására</w:t>
      </w:r>
      <w:r>
        <w:rPr>
          <w:rStyle w:val="FootnoteReference"/>
        </w:rPr>
        <w:footnoteReference w:id="21"/>
      </w:r>
      <w:r>
        <w:t xml:space="preserve">. </w:t>
      </w:r>
      <w:proofErr w:type="gramStart"/>
      <w:r>
        <w:t>A</w:t>
      </w:r>
      <w:proofErr w:type="gramEnd"/>
      <w:r>
        <w:t xml:space="preserve"> mutatók közül egy esetében (öntözött terület aránya) növekedésre, egy esetében vá</w:t>
      </w:r>
      <w:r>
        <w:t>l</w:t>
      </w:r>
      <w:r>
        <w:t>tozatlan állapotra (nitrát érzékenyként lehatárolt területek aránya) számított a programalkotó, míg a többiek esetében csökkenő értékekre (a csökkenés ez esetben javulást jelez a környezeti feltételekben). Bár közve</w:t>
      </w:r>
      <w:r>
        <w:t>t</w:t>
      </w:r>
      <w:r>
        <w:t>lenül nem kapcsolódik a vízminőség kérdésköréhez, nem kerülhetők meg a talajminőséggel kapcsolatos indikátorok sem, mivel a felszín alatti vízkészletek minőségére a talaj állapotának döntő jelentősége van. A Program 6 tengely szintű indikátort jelöl meg a talajminőséggel kapcsolatosan</w:t>
      </w:r>
      <w:r>
        <w:rPr>
          <w:rStyle w:val="FootnoteReference"/>
        </w:rPr>
        <w:footnoteReference w:id="22"/>
      </w:r>
      <w:r>
        <w:t xml:space="preserve">: megállapítható, hogy – összhangban a </w:t>
      </w:r>
      <w:proofErr w:type="gramStart"/>
      <w:r>
        <w:t>vízminőséggel</w:t>
      </w:r>
      <w:proofErr w:type="gramEnd"/>
      <w:r>
        <w:t xml:space="preserve"> kapcsolatos indikátorokkal – általános cél a műtrágya-felhasználás (és sze</w:t>
      </w:r>
      <w:r>
        <w:t>n</w:t>
      </w:r>
      <w:r>
        <w:t>nyezés) csökkentése, a szervestrágya-használat javára, továbbá a talajminőséget pozitívan befolyásoló m</w:t>
      </w:r>
      <w:r>
        <w:t>ű</w:t>
      </w:r>
      <w:r>
        <w:t>velési ágak arányának növelése.</w:t>
      </w:r>
    </w:p>
    <w:p w:rsidR="0090471E" w:rsidRPr="00E03E1D" w:rsidRDefault="0090471E" w:rsidP="0090471E">
      <w:pPr>
        <w:pStyle w:val="HUNNormal"/>
        <w:tabs>
          <w:tab w:val="left" w:pos="709"/>
        </w:tabs>
      </w:pPr>
      <w:r>
        <w:t>A fenti környezeti célkitűzések megvalósításához kapcsolódóan nehéz egyértelműen megállapítani, pont</w:t>
      </w:r>
      <w:r>
        <w:t>o</w:t>
      </w:r>
      <w:r>
        <w:t xml:space="preserve">san mennyi forrást rendelt a Program. A </w:t>
      </w:r>
      <w:proofErr w:type="spellStart"/>
      <w:r>
        <w:t>biodiverzitáshoz</w:t>
      </w:r>
      <w:proofErr w:type="spellEnd"/>
      <w:r>
        <w:t>, a talaj- és vízvédelemhez a Program teljes keret</w:t>
      </w:r>
      <w:r>
        <w:t>é</w:t>
      </w:r>
      <w:r>
        <w:t>nek hozzávetőleg 40%-a</w:t>
      </w:r>
      <w:r>
        <w:rPr>
          <w:rStyle w:val="FootnoteReference"/>
        </w:rPr>
        <w:footnoteReference w:id="23"/>
      </w:r>
      <w:r>
        <w:t xml:space="preserve"> kapcsolható, míg az éghajlatváltozás esetében nem tehetünk még becslést </w:t>
      </w:r>
      <w:r w:rsidR="000B7A47">
        <w:t xml:space="preserve">sem: </w:t>
      </w:r>
      <w:r>
        <w:lastRenderedPageBreak/>
        <w:t xml:space="preserve">célját tekintve egy </w:t>
      </w:r>
      <w:proofErr w:type="gramStart"/>
      <w:r>
        <w:t>sor intézkedés</w:t>
      </w:r>
      <w:proofErr w:type="gramEnd"/>
      <w:r>
        <w:t xml:space="preserve"> sorolható ide, azonban ezek töredéke irányult vélhetően valós </w:t>
      </w:r>
      <w:proofErr w:type="spellStart"/>
      <w:r>
        <w:t>mitigációs</w:t>
      </w:r>
      <w:proofErr w:type="spellEnd"/>
      <w:r>
        <w:t xml:space="preserve"> és/vagy adaptációs tevékenységekre. </w:t>
      </w:r>
    </w:p>
    <w:p w:rsidR="00972141" w:rsidRPr="00972141" w:rsidRDefault="00972141" w:rsidP="00972141">
      <w:pPr>
        <w:pStyle w:val="AAMNormal"/>
        <w:rPr>
          <w:b/>
          <w:i/>
        </w:rPr>
      </w:pPr>
      <w:r w:rsidRPr="00972141">
        <w:rPr>
          <w:b/>
          <w:i/>
        </w:rPr>
        <w:t>Multiplikáció</w:t>
      </w:r>
    </w:p>
    <w:p w:rsidR="00972141" w:rsidRPr="00972141" w:rsidRDefault="00972141" w:rsidP="00972141">
      <w:pPr>
        <w:pStyle w:val="StyleHUNHeading3Justified"/>
        <w:numPr>
          <w:ilvl w:val="0"/>
          <w:numId w:val="0"/>
        </w:numPr>
        <w:rPr>
          <w:rFonts w:ascii="Franklin Gothic Book" w:hAnsi="Franklin Gothic Book"/>
          <w:smallCaps w:val="0"/>
          <w:sz w:val="20"/>
        </w:rPr>
      </w:pPr>
      <w:r>
        <w:rPr>
          <w:rFonts w:ascii="Franklin Gothic Book" w:hAnsi="Franklin Gothic Book"/>
          <w:smallCaps w:val="0"/>
          <w:sz w:val="20"/>
        </w:rPr>
        <w:t xml:space="preserve">A CMEF vonatkozó értékelési kérdése alapján szintén vizsgálni kell azt, hogy </w:t>
      </w:r>
      <w:r w:rsidRPr="00972141">
        <w:rPr>
          <w:rFonts w:ascii="Franklin Gothic Book" w:hAnsi="Franklin Gothic Book"/>
          <w:i/>
          <w:smallCaps w:val="0"/>
          <w:sz w:val="20"/>
        </w:rPr>
        <w:t>a program-terv milyen mérté</w:t>
      </w:r>
      <w:r w:rsidRPr="00972141">
        <w:rPr>
          <w:rFonts w:ascii="Franklin Gothic Book" w:hAnsi="Franklin Gothic Book"/>
          <w:i/>
          <w:smallCaps w:val="0"/>
          <w:sz w:val="20"/>
        </w:rPr>
        <w:t>k</w:t>
      </w:r>
      <w:r w:rsidRPr="00972141">
        <w:rPr>
          <w:rFonts w:ascii="Franklin Gothic Book" w:hAnsi="Franklin Gothic Book"/>
          <w:i/>
          <w:smallCaps w:val="0"/>
          <w:sz w:val="20"/>
        </w:rPr>
        <w:t>ben volt sikeres a megsokszorozó hatások ösztönzése tekintetében</w:t>
      </w:r>
      <w:r>
        <w:rPr>
          <w:rFonts w:ascii="Franklin Gothic Book" w:hAnsi="Franklin Gothic Book"/>
          <w:i/>
          <w:smallCaps w:val="0"/>
          <w:sz w:val="20"/>
        </w:rPr>
        <w:t>.</w:t>
      </w:r>
    </w:p>
    <w:p w:rsidR="00972141" w:rsidRPr="00906361" w:rsidRDefault="005A1177" w:rsidP="00972141">
      <w:pPr>
        <w:jc w:val="both"/>
      </w:pPr>
      <w:r>
        <w:t xml:space="preserve">A megsokszorozó hatásokat a kérdés kapcsán a gazdasági multiplikációs hatással közelítettük. </w:t>
      </w:r>
      <w:r w:rsidR="00972141" w:rsidRPr="00E03E1D">
        <w:t>A gazdasá</w:t>
      </w:r>
      <w:r w:rsidR="00972141" w:rsidRPr="00E03E1D">
        <w:t>g</w:t>
      </w:r>
      <w:r w:rsidR="00972141" w:rsidRPr="00E03E1D">
        <w:t xml:space="preserve">ban </w:t>
      </w:r>
      <w:proofErr w:type="spellStart"/>
      <w:r w:rsidR="00972141" w:rsidRPr="00E03E1D">
        <w:t>multiplikatív</w:t>
      </w:r>
      <w:proofErr w:type="spellEnd"/>
      <w:r w:rsidR="00972141" w:rsidRPr="00E03E1D">
        <w:t xml:space="preserve"> hatással a hozzáadott értéket növelő (vagy vélelmezhetően növelő) jogcímek nyomán tö</w:t>
      </w:r>
      <w:r w:rsidR="00972141" w:rsidRPr="00E03E1D">
        <w:t>r</w:t>
      </w:r>
      <w:r w:rsidR="00972141" w:rsidRPr="00E03E1D">
        <w:t>tént beruházások jelenhetnek meg, mint az élelmiszeripari beruházások (ÉLIP, Kertészeti üzem fejlesztése jogcímek), gépesítés (Önálló gépbeszerzés, Erdészeti gépbeszerzés, Kertészeti gépbeszerzés) vagy új állatf</w:t>
      </w:r>
      <w:r w:rsidR="00972141" w:rsidRPr="00E03E1D">
        <w:t>é</w:t>
      </w:r>
      <w:r w:rsidR="00972141" w:rsidRPr="00E03E1D">
        <w:t>rőhelyek létrehozása (Állattartó telepek korszerűsítése jogcím). Ezek a fejlesztési támogatások összesség</w:t>
      </w:r>
      <w:r w:rsidR="00972141" w:rsidRPr="00E03E1D">
        <w:t>é</w:t>
      </w:r>
      <w:r w:rsidR="00972141" w:rsidRPr="00E03E1D">
        <w:t>ben 234 Mrd forint</w:t>
      </w:r>
      <w:r w:rsidR="00972141" w:rsidRPr="00E03E1D">
        <w:rPr>
          <w:rStyle w:val="FootnoteReference"/>
        </w:rPr>
        <w:footnoteReference w:id="24"/>
      </w:r>
      <w:r w:rsidR="00972141" w:rsidRPr="00E03E1D">
        <w:t xml:space="preserve"> megítélt támogatási összeget jelentenek. Ez az I. (versenyképességi) tengelyben lek</w:t>
      </w:r>
      <w:r w:rsidR="00972141" w:rsidRPr="00E03E1D">
        <w:t>ö</w:t>
      </w:r>
      <w:r w:rsidR="00972141" w:rsidRPr="00E03E1D">
        <w:t>tött 476 Mrd forint megközelítően 50%-</w:t>
      </w:r>
      <w:proofErr w:type="gramStart"/>
      <w:r w:rsidR="00972141" w:rsidRPr="00E03E1D">
        <w:t>a.</w:t>
      </w:r>
      <w:proofErr w:type="gramEnd"/>
      <w:r w:rsidR="00972141" w:rsidRPr="00E03E1D">
        <w:t xml:space="preserve"> E beruházások output-növelő hatását (új állatok, nagyobb termény betakarítási hányad stb.), és megnövekedett input igényét (vetőmag, műtrágya, növényvédő szer igény) figy</w:t>
      </w:r>
      <w:r w:rsidR="00972141" w:rsidRPr="00E03E1D">
        <w:t>e</w:t>
      </w:r>
      <w:r w:rsidR="00972141" w:rsidRPr="00E03E1D">
        <w:t>lembe véve beszélhetünk arról, hogy a támogatási összegek további többlet gazdasági tranzakciót vonnak maguk után, amiből végső soron a bruttó hazai termékben tükröződő eredményhez jutunk. Ennek egy közel</w:t>
      </w:r>
      <w:r w:rsidR="00972141" w:rsidRPr="00E03E1D">
        <w:t>í</w:t>
      </w:r>
      <w:r w:rsidR="00972141" w:rsidRPr="00E03E1D">
        <w:t xml:space="preserve">tő becslését a módszertani kötetünk </w:t>
      </w:r>
      <w:proofErr w:type="spellStart"/>
      <w:r w:rsidR="00972141" w:rsidRPr="00E03E1D">
        <w:t>ökonometriai</w:t>
      </w:r>
      <w:proofErr w:type="spellEnd"/>
      <w:r w:rsidR="00972141" w:rsidRPr="00E03E1D">
        <w:t xml:space="preserve"> modellezést taglaló részében mutatjuk be: a modell ala</w:t>
      </w:r>
      <w:r w:rsidR="00972141" w:rsidRPr="00E03E1D">
        <w:t>p</w:t>
      </w:r>
      <w:r w:rsidR="00972141" w:rsidRPr="00E03E1D">
        <w:t xml:space="preserve">ján, hozzávetőlegesen 46 Mrd forintra tehető optimista forgatókönyv szerint a </w:t>
      </w:r>
      <w:proofErr w:type="spellStart"/>
      <w:r w:rsidR="00972141" w:rsidRPr="00E03E1D">
        <w:t>multiplikatív</w:t>
      </w:r>
      <w:proofErr w:type="spellEnd"/>
      <w:r w:rsidR="00972141" w:rsidRPr="00E03E1D">
        <w:t xml:space="preserve"> „többlet”.</w:t>
      </w:r>
    </w:p>
    <w:p w:rsidR="00972141" w:rsidRDefault="00972141" w:rsidP="00972141">
      <w:pPr>
        <w:jc w:val="both"/>
        <w:rPr>
          <w:b/>
        </w:rPr>
      </w:pPr>
      <w:r>
        <w:rPr>
          <w:b/>
        </w:rPr>
        <w:t>Hatékonyság</w:t>
      </w:r>
    </w:p>
    <w:p w:rsidR="00972141" w:rsidRPr="00972141" w:rsidRDefault="00972141" w:rsidP="00A817A4">
      <w:pPr>
        <w:pStyle w:val="AAMNormal"/>
      </w:pPr>
      <w:r>
        <w:t>Programszinten a hatékonyság témakörében leginkább a holt</w:t>
      </w:r>
      <w:r w:rsidR="00E02425">
        <w:t>t</w:t>
      </w:r>
      <w:r>
        <w:t>eher és az eltolódás elkerülésének sikeress</w:t>
      </w:r>
      <w:r>
        <w:t>é</w:t>
      </w:r>
      <w:r>
        <w:t>gét érdemes vizsgálni (összhangban a CMEF vonatkozó értékelési kérdésével).</w:t>
      </w:r>
    </w:p>
    <w:p w:rsidR="00EB5F94" w:rsidRPr="00E03E1D" w:rsidRDefault="00EB5F94" w:rsidP="00EB5F94">
      <w:pPr>
        <w:jc w:val="both"/>
      </w:pPr>
      <w:r w:rsidRPr="00E03E1D">
        <w:t>A holtteher hatások jelenléte, valamint azok csökkentésére irányuló törekvés minden támogatáspolitikai mechanizmus számára alapvető kérdés. Az ÚMVP esetében kiemelt jelentősége lehet a kérdésnek, hiszen a döntési eljárás jellemzően normatív volt: a jogosultsági feltételeknek megfelelő kérelmező, szubjektív mérl</w:t>
      </w:r>
      <w:r w:rsidRPr="00E03E1D">
        <w:t>e</w:t>
      </w:r>
      <w:r w:rsidRPr="00E03E1D">
        <w:t>gelés, valamint a projekt konkrét nemzetgazdasági relevanciáját vizsgáló elemzés nélkül támogatást nyerh</w:t>
      </w:r>
      <w:r w:rsidRPr="00E03E1D">
        <w:t>e</w:t>
      </w:r>
      <w:r w:rsidRPr="00E03E1D">
        <w:t>tett. Mindez – elméletileg – egyszerűsítette a döntési eljárást, azonban vélelmezhetően jelentősebb holtt</w:t>
      </w:r>
      <w:r w:rsidRPr="00E03E1D">
        <w:t>e</w:t>
      </w:r>
      <w:r w:rsidRPr="00E03E1D">
        <w:t xml:space="preserve">her veszteséget okozott, mint ha a döntéshozók </w:t>
      </w:r>
      <w:r w:rsidR="005A1177">
        <w:t xml:space="preserve">több szempont segítségével </w:t>
      </w:r>
      <w:r w:rsidRPr="00E03E1D">
        <w:t>mérlegelhették volna a proje</w:t>
      </w:r>
      <w:r w:rsidRPr="00E03E1D">
        <w:t>k</w:t>
      </w:r>
      <w:r w:rsidRPr="00E03E1D">
        <w:t xml:space="preserve">tek </w:t>
      </w:r>
      <w:r w:rsidR="005A1177">
        <w:t>támogatási igényeit</w:t>
      </w:r>
      <w:r w:rsidRPr="00E03E1D">
        <w:t>.</w:t>
      </w:r>
    </w:p>
    <w:p w:rsidR="00EB5F94" w:rsidRPr="00E03E1D" w:rsidRDefault="00EB5F94" w:rsidP="00EB5F94">
      <w:pPr>
        <w:jc w:val="both"/>
      </w:pPr>
      <w:r w:rsidRPr="00E03E1D">
        <w:t>A holtteher veszteség</w:t>
      </w:r>
      <w:r w:rsidR="005A1177">
        <w:t xml:space="preserve">nek egy elemét igyekeztünk számszerűsíthető módon is közelíteni. Azt vizsgáltuk, hogy a beruházási támogatásokat igénybevevő vállalkozások mennyire tudták volna megvalósítani a beruházást támogatás nélkül. </w:t>
      </w:r>
      <w:proofErr w:type="gramStart"/>
      <w:r w:rsidR="005A1177">
        <w:t>A</w:t>
      </w:r>
      <w:r w:rsidRPr="00E03E1D">
        <w:t xml:space="preserve"> vizsgálatához az I. (versenyképességi) tengely kiemelt jogcímeire (intézkedéseire) b</w:t>
      </w:r>
      <w:r w:rsidRPr="00E03E1D">
        <w:t>e</w:t>
      </w:r>
      <w:r w:rsidRPr="00E03E1D">
        <w:t xml:space="preserve">adott támogatási kérelem adatokat használtuk fel: ahol az </w:t>
      </w:r>
      <w:proofErr w:type="spellStart"/>
      <w:r w:rsidRPr="00E03E1D">
        <w:t>az</w:t>
      </w:r>
      <w:proofErr w:type="spellEnd"/>
      <w:r w:rsidRPr="00E03E1D">
        <w:t xml:space="preserve"> IIER rendszerből elérhető volt, megvizsgáltuk a kérelem mellékleteként benyújtott Standard Fedezeti Hányad (SFH) táblázatokat</w:t>
      </w:r>
      <w:r w:rsidRPr="00E03E1D">
        <w:rPr>
          <w:rStyle w:val="FootnoteReference"/>
        </w:rPr>
        <w:footnoteReference w:id="25"/>
      </w:r>
      <w:r w:rsidRPr="00E03E1D">
        <w:t>. Az SFH értékek alapján számításokat végeztünk a kérelmezők gazdasági erejére vonatkozóan (</w:t>
      </w:r>
      <w:proofErr w:type="spellStart"/>
      <w:r w:rsidRPr="00E03E1D">
        <w:t>kvartilisek</w:t>
      </w:r>
      <w:proofErr w:type="spellEnd"/>
      <w:r w:rsidRPr="00E03E1D">
        <w:t xml:space="preserve"> képzésén keresztül), mely során megállapítható volt, hogy a támogatások közel 50%-a olyan </w:t>
      </w:r>
      <w:r w:rsidR="005A1177">
        <w:t xml:space="preserve">vállalkozásokhoz </w:t>
      </w:r>
      <w:r w:rsidRPr="00E03E1D">
        <w:t>került, akik egyébként is tőkeerősek, finanszírozási potenciáljuk pedig valószínűleg kielégítő lett volna beruházásaik</w:t>
      </w:r>
      <w:proofErr w:type="gramEnd"/>
      <w:r w:rsidRPr="00E03E1D">
        <w:t xml:space="preserve"> </w:t>
      </w:r>
      <w:proofErr w:type="gramStart"/>
      <w:r w:rsidRPr="00E03E1D">
        <w:t>végrehajtásához</w:t>
      </w:r>
      <w:proofErr w:type="gramEnd"/>
      <w:r w:rsidRPr="00E03E1D">
        <w:t>.</w:t>
      </w:r>
    </w:p>
    <w:p w:rsidR="00EB5F94" w:rsidRPr="00E03E1D" w:rsidRDefault="00EB5F94" w:rsidP="00EB5F94">
      <w:pPr>
        <w:jc w:val="both"/>
      </w:pPr>
      <w:r w:rsidRPr="00E03E1D">
        <w:t>A programalkotók megítélésünk szerint sikerrel oldották fel az „eltolódás” problematikáját, vagyis azt, hogy a támogatottak a fejlesztési forrásokat a fejlesztéspolitikai célokhoz vélelmezhetően leginkább illeszkedő b</w:t>
      </w:r>
      <w:r w:rsidRPr="00E03E1D">
        <w:t>e</w:t>
      </w:r>
      <w:r w:rsidRPr="00E03E1D">
        <w:t>szerzéseket végezzenek el. A jogcímrendeletek ugyanis pontosan meghatározták a támogatható tevéken</w:t>
      </w:r>
      <w:r w:rsidRPr="00E03E1D">
        <w:t>y</w:t>
      </w:r>
      <w:r w:rsidRPr="00E03E1D">
        <w:lastRenderedPageBreak/>
        <w:t>ségek körét, valamint a beszerezhető technológiai eszközöket, gépeket (Gépkatalógus), továbbá a beépített műtárgyakat, létesítményeket (Építési Normagyűjtemény).</w:t>
      </w:r>
    </w:p>
    <w:p w:rsidR="00EB5F94" w:rsidRPr="00EB5F94" w:rsidRDefault="00EB5F94" w:rsidP="00A817A4">
      <w:pPr>
        <w:pStyle w:val="AAMNormal"/>
        <w:rPr>
          <w:b/>
        </w:rPr>
      </w:pPr>
      <w:r w:rsidRPr="00EB5F94">
        <w:rPr>
          <w:b/>
        </w:rPr>
        <w:t>Kiemelt hatások elemzése</w:t>
      </w:r>
    </w:p>
    <w:p w:rsidR="00EB5F94" w:rsidRDefault="00EB5F94" w:rsidP="00A817A4">
      <w:pPr>
        <w:pStyle w:val="AAMNormal"/>
      </w:pPr>
      <w:r>
        <w:t>A CMEF értékelési kérdései alapján néhány kiemelt hatást program</w:t>
      </w:r>
      <w:r w:rsidR="00FE1385">
        <w:t>szinten is szükséges vizsgálni.</w:t>
      </w:r>
    </w:p>
    <w:p w:rsidR="00EB5F94" w:rsidRPr="00FE1385" w:rsidRDefault="00EB5F94" w:rsidP="00FE1385">
      <w:pPr>
        <w:pStyle w:val="AAMNormal"/>
        <w:rPr>
          <w:i/>
        </w:rPr>
      </w:pPr>
      <w:r w:rsidRPr="00FE1385">
        <w:rPr>
          <w:i/>
        </w:rPr>
        <w:t xml:space="preserve">A program milyen mértékben célozta meg sikerrel a programozási terület különös helyzeteit, </w:t>
      </w:r>
      <w:r w:rsidR="00FE1385">
        <w:rPr>
          <w:i/>
        </w:rPr>
        <w:t>különösen</w:t>
      </w:r>
      <w:r w:rsidRPr="00FE1385">
        <w:rPr>
          <w:i/>
        </w:rPr>
        <w:t xml:space="preserve"> az elnéptelenedést vagy a városi központok nyomását?</w:t>
      </w:r>
    </w:p>
    <w:p w:rsidR="00EB5F94" w:rsidRPr="00E03E1D" w:rsidRDefault="00EB5F94" w:rsidP="00EB5F94">
      <w:pPr>
        <w:jc w:val="both"/>
        <w:rPr>
          <w:iCs/>
        </w:rPr>
      </w:pPr>
      <w:r w:rsidRPr="00E03E1D">
        <w:rPr>
          <w:iCs/>
        </w:rPr>
        <w:t xml:space="preserve">Az </w:t>
      </w:r>
      <w:r>
        <w:rPr>
          <w:iCs/>
        </w:rPr>
        <w:t>I.</w:t>
      </w:r>
      <w:r w:rsidRPr="00E03E1D">
        <w:rPr>
          <w:iCs/>
        </w:rPr>
        <w:t xml:space="preserve"> tengely hatása vegyes az elvándorlás szempontjából. Bár a támogatások többsége itt is a hátrányos helyzetű településekre jutott (hátrányos helyzetű, LHH és komplex LHH kistérségek aránya 55% a támogatott fejlesztések között), de a nyertes projektek egyenlege a foglalkoztatás szempontjából negatív, ami inkább az elvándorlást erősíti.</w:t>
      </w:r>
    </w:p>
    <w:p w:rsidR="00EB5F94" w:rsidRPr="00E03E1D" w:rsidRDefault="00EB5F94" w:rsidP="00EB5F94">
      <w:pPr>
        <w:jc w:val="both"/>
        <w:rPr>
          <w:iCs/>
        </w:rPr>
      </w:pPr>
      <w:r w:rsidRPr="00707418">
        <w:rPr>
          <w:iCs/>
        </w:rPr>
        <w:t xml:space="preserve">A II. tengely intézkedései közül a KAT, illetve az erdészeti jogcímek hathatnak az elvándorlás ellen, hiszen az AKG, NATURA 2000 jogcímek </w:t>
      </w:r>
      <w:r w:rsidR="00707418" w:rsidRPr="00707418">
        <w:rPr>
          <w:iCs/>
        </w:rPr>
        <w:t>környezeti teljesítményt kompenzálnak, nem területi hátrányt</w:t>
      </w:r>
      <w:r w:rsidRPr="00707418">
        <w:rPr>
          <w:iCs/>
        </w:rPr>
        <w:t xml:space="preserve">. A KAT és az erdészeti jogcímek esetében a felhasznált forrás kis mértéke miatt csak </w:t>
      </w:r>
      <w:r w:rsidR="00707418">
        <w:rPr>
          <w:iCs/>
        </w:rPr>
        <w:t xml:space="preserve">országos szinten egyelőre nem mérhető </w:t>
      </w:r>
      <w:r w:rsidRPr="00707418">
        <w:rPr>
          <w:iCs/>
        </w:rPr>
        <w:t>mértékű hatás várható.</w:t>
      </w:r>
    </w:p>
    <w:p w:rsidR="00EB5F94" w:rsidRPr="00E03E1D" w:rsidRDefault="00EB5F94" w:rsidP="00EB5F94">
      <w:pPr>
        <w:jc w:val="both"/>
        <w:rPr>
          <w:iCs/>
        </w:rPr>
      </w:pPr>
      <w:r w:rsidRPr="00E03E1D">
        <w:rPr>
          <w:iCs/>
        </w:rPr>
        <w:t xml:space="preserve">Megítélésünk szerint a III-IV. </w:t>
      </w:r>
      <w:proofErr w:type="gramStart"/>
      <w:r w:rsidRPr="00E03E1D">
        <w:rPr>
          <w:iCs/>
        </w:rPr>
        <w:t>tengely</w:t>
      </w:r>
      <w:proofErr w:type="gramEnd"/>
      <w:r w:rsidRPr="00E03E1D">
        <w:rPr>
          <w:iCs/>
        </w:rPr>
        <w:t xml:space="preserve"> intézkedéseihez kapcsolódhatnak olyan jellegű fejlesztési projektek, melyek célja elsősorban a vidéki népesség megtartásának elősegítése, így a következőkben ezen intézked</w:t>
      </w:r>
      <w:r w:rsidRPr="00E03E1D">
        <w:rPr>
          <w:iCs/>
        </w:rPr>
        <w:t>é</w:t>
      </w:r>
      <w:r w:rsidRPr="00E03E1D">
        <w:rPr>
          <w:iCs/>
        </w:rPr>
        <w:t xml:space="preserve">seket elemezzük részletesen. A III-IV. </w:t>
      </w:r>
      <w:proofErr w:type="gramStart"/>
      <w:r w:rsidRPr="00E03E1D">
        <w:rPr>
          <w:iCs/>
        </w:rPr>
        <w:t>tengely</w:t>
      </w:r>
      <w:proofErr w:type="gramEnd"/>
      <w:r w:rsidRPr="00E03E1D">
        <w:rPr>
          <w:iCs/>
        </w:rPr>
        <w:t xml:space="preserve"> támogatásai csökkentik </w:t>
      </w:r>
      <w:r w:rsidR="00684D30">
        <w:rPr>
          <w:iCs/>
        </w:rPr>
        <w:t>a területi egyenlőtlenségeket, mert</w:t>
      </w:r>
      <w:r w:rsidRPr="00E03E1D">
        <w:rPr>
          <w:iCs/>
        </w:rPr>
        <w:t xml:space="preserve"> a legfejletlenebb régiókat lakossági arányukat meghaladó mértékben kedvezményezik. A támogatások területi eloszlásának legnagyobb nyertesei a dél-dunántúli és az észak-magyarországi régiók. Mindkét téregységben a fejletlenség egyik, bár nem a legfontosabb oka az elaprózott település szerkezet, ezért a kistelepülésekre irányuló fejlesztések növelték abszorpciós kapacitásukat (előbbi régió támogatásokból való részesedése 17%, utóbbié 20%, miközben az állandó népességnek csupán, sorrendben  10%-</w:t>
      </w:r>
      <w:proofErr w:type="gramStart"/>
      <w:r w:rsidRPr="00E03E1D">
        <w:rPr>
          <w:iCs/>
        </w:rPr>
        <w:t>a</w:t>
      </w:r>
      <w:proofErr w:type="gramEnd"/>
      <w:r w:rsidRPr="00E03E1D">
        <w:rPr>
          <w:iCs/>
        </w:rPr>
        <w:t xml:space="preserve"> ill. 13%-a él e két régi</w:t>
      </w:r>
      <w:r w:rsidRPr="00E03E1D">
        <w:rPr>
          <w:iCs/>
        </w:rPr>
        <w:t>ó</w:t>
      </w:r>
      <w:r w:rsidRPr="00E03E1D">
        <w:rPr>
          <w:iCs/>
        </w:rPr>
        <w:t>ban). Kisebb mértékben, de a népességaránynál magasabb a támogatásokból való részesedés a nyugat-dunántúli és az észak-alföldi régióban (a régiók említett sorrendjében 13% és 19% a támogatásokból, 10% és 15% a népességből). A két arányszám nagyjából megegyezik a közép-dunántúli és a dél-alföldi régióban (10% és 14% a támogatásokból, 11% és 13% a népességből), míg mélyen a népességarány alatt marad a közép-magyarországi régióban (6%-os részesedés a támogatásokból, 28%-os népességből).</w:t>
      </w:r>
    </w:p>
    <w:p w:rsidR="00EB5F94" w:rsidRPr="00E03E1D" w:rsidRDefault="00EB5F94" w:rsidP="00EB5F94">
      <w:pPr>
        <w:jc w:val="both"/>
        <w:rPr>
          <w:iCs/>
        </w:rPr>
      </w:pPr>
      <w:r w:rsidRPr="00E03E1D">
        <w:rPr>
          <w:iCs/>
        </w:rPr>
        <w:t>Ugyanez, vagyis a markáns területkiegyenlítő hatás állapítható meg, ha a leghátrányosabb helyzetű kistérs</w:t>
      </w:r>
      <w:r w:rsidRPr="00E03E1D">
        <w:rPr>
          <w:iCs/>
        </w:rPr>
        <w:t>é</w:t>
      </w:r>
      <w:r w:rsidRPr="00E03E1D">
        <w:rPr>
          <w:iCs/>
        </w:rPr>
        <w:t>gek két csoportjának részesedését nézzük a támogatásokból: a 33 komplex programmal segített kistérsé</w:t>
      </w:r>
      <w:r w:rsidRPr="00E03E1D">
        <w:rPr>
          <w:iCs/>
        </w:rPr>
        <w:t>g</w:t>
      </w:r>
      <w:r w:rsidRPr="00E03E1D">
        <w:rPr>
          <w:iCs/>
        </w:rPr>
        <w:t>ben valósul meg a jóváhagyott fejlesztések 22%-</w:t>
      </w:r>
      <w:proofErr w:type="gramStart"/>
      <w:r w:rsidRPr="00E03E1D">
        <w:rPr>
          <w:iCs/>
        </w:rPr>
        <w:t>a</w:t>
      </w:r>
      <w:proofErr w:type="gramEnd"/>
      <w:r w:rsidRPr="00E03E1D">
        <w:rPr>
          <w:iCs/>
        </w:rPr>
        <w:t>, ami több, mint kétszerese a szóban forgó kistérségek népességarányának (10%). Az ugyancsak halmozott hátrányokkal sújtott 14 kistérség esetében kisebb a pozitív eltérés, de így is jelentős (9% elnyert támogatás-arány és 5% népességarány).</w:t>
      </w:r>
    </w:p>
    <w:p w:rsidR="00EB5F94" w:rsidRPr="00E03E1D" w:rsidRDefault="00EB5F94" w:rsidP="00EB5F94">
      <w:pPr>
        <w:jc w:val="both"/>
        <w:rPr>
          <w:iCs/>
        </w:rPr>
      </w:pPr>
      <w:r w:rsidRPr="00E03E1D">
        <w:rPr>
          <w:iCs/>
        </w:rPr>
        <w:t xml:space="preserve">A támogatások kedvezményezési mértékét településméret szerint vizsgálva azt mondhatjuk, hogy csak a legkisebb településkategória, az </w:t>
      </w:r>
      <w:proofErr w:type="gramStart"/>
      <w:r w:rsidRPr="00E03E1D">
        <w:rPr>
          <w:iCs/>
        </w:rPr>
        <w:t>ezer fősnél</w:t>
      </w:r>
      <w:proofErr w:type="gramEnd"/>
      <w:r w:rsidRPr="00E03E1D">
        <w:rPr>
          <w:iCs/>
        </w:rPr>
        <w:t xml:space="preserve"> kisebb települések részesedtek kisebb mértékben a megítélt támogatásokból (30%), mint amekkora a települési rendszerben elfoglalt részarányuk (54%). Ha viszont támogatottságukat népességarányukhoz viszonyítjuk (8%), négyszeres mértékről beszélhetünk. </w:t>
      </w:r>
    </w:p>
    <w:p w:rsidR="00EB5F94" w:rsidRPr="00E03E1D" w:rsidRDefault="00EB5F94" w:rsidP="00EB5F94">
      <w:pPr>
        <w:jc w:val="both"/>
        <w:rPr>
          <w:iCs/>
        </w:rPr>
      </w:pPr>
      <w:r w:rsidRPr="00E03E1D">
        <w:rPr>
          <w:iCs/>
        </w:rPr>
        <w:t xml:space="preserve">Az ÚMVP III.-IV. </w:t>
      </w:r>
      <w:proofErr w:type="gramStart"/>
      <w:r w:rsidRPr="00E03E1D">
        <w:rPr>
          <w:iCs/>
        </w:rPr>
        <w:t>tengelyeinek</w:t>
      </w:r>
      <w:proofErr w:type="gramEnd"/>
      <w:r w:rsidRPr="00E03E1D">
        <w:rPr>
          <w:iCs/>
        </w:rPr>
        <w:t xml:space="preserve"> támogatásai a vizsgált periódusban a kistelepüléseket és a hátrányos helyzetű térkategóriákat népességarányuknál lényegesen nagyobb arányban kedvezményezték, ily módon felzárkó</w:t>
      </w:r>
      <w:r w:rsidRPr="00E03E1D">
        <w:rPr>
          <w:iCs/>
        </w:rPr>
        <w:t>z</w:t>
      </w:r>
      <w:r w:rsidRPr="00E03E1D">
        <w:rPr>
          <w:iCs/>
        </w:rPr>
        <w:t>tató hatásuk nem vitatható.</w:t>
      </w:r>
    </w:p>
    <w:p w:rsidR="00285223" w:rsidRPr="00285223" w:rsidRDefault="00285223" w:rsidP="00285223">
      <w:pPr>
        <w:jc w:val="both"/>
        <w:rPr>
          <w:i/>
          <w:iCs/>
        </w:rPr>
      </w:pPr>
      <w:bookmarkStart w:id="15" w:name="_Ref278884719"/>
      <w:r>
        <w:rPr>
          <w:iCs/>
        </w:rPr>
        <w:t>A CMEF szintén rákérdez arra, hogy a</w:t>
      </w:r>
      <w:r w:rsidRPr="00285223">
        <w:rPr>
          <w:i/>
          <w:iCs/>
        </w:rPr>
        <w:t xml:space="preserve"> program milyen mértékben járult hozzá a vidéki területeken a fen</w:t>
      </w:r>
      <w:r w:rsidRPr="00285223">
        <w:rPr>
          <w:i/>
          <w:iCs/>
        </w:rPr>
        <w:t>n</w:t>
      </w:r>
      <w:r w:rsidRPr="00285223">
        <w:rPr>
          <w:i/>
          <w:iCs/>
        </w:rPr>
        <w:t>tartható fejlődés elősegítéséhez, különös tekintettel a vidéki területeken a természeti erőforrások és a táj védelme és növelése terén a három prioritási területhez:</w:t>
      </w:r>
      <w:bookmarkEnd w:id="15"/>
    </w:p>
    <w:p w:rsidR="00285223" w:rsidRPr="00285223" w:rsidRDefault="00285223" w:rsidP="00D5521F">
      <w:pPr>
        <w:pStyle w:val="HUNNormal"/>
        <w:numPr>
          <w:ilvl w:val="0"/>
          <w:numId w:val="30"/>
        </w:numPr>
        <w:rPr>
          <w:i/>
        </w:rPr>
      </w:pPr>
      <w:r w:rsidRPr="00285223">
        <w:rPr>
          <w:i/>
        </w:rPr>
        <w:lastRenderedPageBreak/>
        <w:t xml:space="preserve">biológiai sokféleség, valamint a magas természeti értékű mezőgazdasági és erdészeti rendszerek, illetve a tradicionális mezőgazdasági táj megőrzése és fejlesztése? </w:t>
      </w:r>
    </w:p>
    <w:p w:rsidR="00285223" w:rsidRPr="00285223" w:rsidRDefault="00285223" w:rsidP="00D5521F">
      <w:pPr>
        <w:pStyle w:val="HUNNormal"/>
        <w:numPr>
          <w:ilvl w:val="0"/>
          <w:numId w:val="30"/>
        </w:numPr>
        <w:rPr>
          <w:i/>
        </w:rPr>
      </w:pPr>
      <w:r w:rsidRPr="00285223">
        <w:rPr>
          <w:i/>
        </w:rPr>
        <w:t xml:space="preserve">víz? </w:t>
      </w:r>
    </w:p>
    <w:p w:rsidR="00285223" w:rsidRPr="00285223" w:rsidRDefault="00285223" w:rsidP="00D5521F">
      <w:pPr>
        <w:pStyle w:val="HUNNormal"/>
        <w:numPr>
          <w:ilvl w:val="0"/>
          <w:numId w:val="30"/>
        </w:numPr>
        <w:rPr>
          <w:i/>
        </w:rPr>
      </w:pPr>
      <w:r w:rsidRPr="00285223">
        <w:rPr>
          <w:i/>
        </w:rPr>
        <w:t>éghajlatváltozás?</w:t>
      </w:r>
    </w:p>
    <w:p w:rsidR="00285223" w:rsidRDefault="00285223" w:rsidP="00285223">
      <w:pPr>
        <w:jc w:val="both"/>
      </w:pPr>
      <w:r w:rsidRPr="0045441B">
        <w:t xml:space="preserve">A </w:t>
      </w:r>
      <w:proofErr w:type="spellStart"/>
      <w:r w:rsidRPr="0045441B">
        <w:rPr>
          <w:b/>
        </w:rPr>
        <w:t>biodiverzitás</w:t>
      </w:r>
      <w:proofErr w:type="spellEnd"/>
      <w:r w:rsidRPr="0045441B">
        <w:t xml:space="preserve">, valamint az MTÉT területekre gyakorolt potenciális hatás tekintetében elsősorban a </w:t>
      </w:r>
      <w:proofErr w:type="spellStart"/>
      <w:r w:rsidRPr="0045441B">
        <w:rPr>
          <w:i/>
        </w:rPr>
        <w:t>Natura</w:t>
      </w:r>
      <w:proofErr w:type="spellEnd"/>
      <w:r w:rsidRPr="0045441B">
        <w:rPr>
          <w:i/>
        </w:rPr>
        <w:t xml:space="preserve"> 2000,</w:t>
      </w:r>
      <w:r w:rsidRPr="0045441B">
        <w:t xml:space="preserve"> az </w:t>
      </w:r>
      <w:r w:rsidRPr="0045441B">
        <w:rPr>
          <w:i/>
        </w:rPr>
        <w:t xml:space="preserve">AKG, </w:t>
      </w:r>
      <w:r w:rsidR="0045441B">
        <w:rPr>
          <w:i/>
        </w:rPr>
        <w:t xml:space="preserve">az MGTE </w:t>
      </w:r>
      <w:r w:rsidRPr="0045441B">
        <w:t xml:space="preserve">valamint a </w:t>
      </w:r>
      <w:r w:rsidRPr="0045441B">
        <w:rPr>
          <w:i/>
        </w:rPr>
        <w:t>Gyümölcsültetvények</w:t>
      </w:r>
      <w:r w:rsidRPr="0045441B">
        <w:t xml:space="preserve"> korszerűsítése, telepítése jogcímeket találtuk rel</w:t>
      </w:r>
      <w:r w:rsidRPr="0045441B">
        <w:t>e</w:t>
      </w:r>
      <w:r w:rsidRPr="0045441B">
        <w:t xml:space="preserve">vánsnak. A </w:t>
      </w:r>
      <w:proofErr w:type="spellStart"/>
      <w:r w:rsidRPr="0045441B">
        <w:t>Natura</w:t>
      </w:r>
      <w:proofErr w:type="spellEnd"/>
      <w:r w:rsidRPr="0045441B">
        <w:t xml:space="preserve"> 2000 intézkedés előírásai, az értékelés megállapításai alapján alkalmasak a célok elér</w:t>
      </w:r>
      <w:r w:rsidRPr="0045441B">
        <w:t>é</w:t>
      </w:r>
      <w:r w:rsidRPr="0045441B">
        <w:t>sére, az intézkedés által kezelt terület nagysága</w:t>
      </w:r>
      <w:r w:rsidRPr="0045441B">
        <w:rPr>
          <w:rStyle w:val="FootnoteReference"/>
        </w:rPr>
        <w:footnoteReference w:id="26"/>
      </w:r>
      <w:r w:rsidRPr="0045441B">
        <w:t xml:space="preserve"> miatt azonban nem várható jelentős hatás. Az AKG inté</w:t>
      </w:r>
      <w:r w:rsidRPr="0045441B">
        <w:t>z</w:t>
      </w:r>
      <w:r w:rsidRPr="0045441B">
        <w:t xml:space="preserve">kedésben a legnagyobb jelentőségű (az intézkedésben támogatott területek 53%-ával, a megítélt támogatás hozzávetőleg 70%-ával) célprogram, az </w:t>
      </w:r>
      <w:r w:rsidRPr="0045441B">
        <w:rPr>
          <w:i/>
        </w:rPr>
        <w:t>integrált szántó célprogram</w:t>
      </w:r>
      <w:r w:rsidRPr="0045441B">
        <w:t>, az értékelés megállapításai szerint v</w:t>
      </w:r>
      <w:r w:rsidRPr="0045441B">
        <w:t>é</w:t>
      </w:r>
      <w:r w:rsidRPr="0045441B">
        <w:t>lelmezhetően közepes mértékben járul hozzá a célok eléréséhez, köszönhetően az előírások viszonylagos „</w:t>
      </w:r>
      <w:r w:rsidR="0045441B">
        <w:t>gyengeségének</w:t>
      </w:r>
      <w:r w:rsidRPr="0045441B">
        <w:t xml:space="preserve">”. Az AKG intézkedés többi célprogramja, bár magasabb prioritásként kezeli a </w:t>
      </w:r>
      <w:proofErr w:type="spellStart"/>
      <w:r w:rsidRPr="0045441B">
        <w:t>biodiverzitás</w:t>
      </w:r>
      <w:proofErr w:type="spellEnd"/>
      <w:r w:rsidRPr="0045441B">
        <w:t xml:space="preserve"> kérdését, a támogatottak számának „csekély” volta miatt valószínűleg szintén nem fog markáns hatást el</w:t>
      </w:r>
      <w:r w:rsidRPr="0045441B">
        <w:t>ő</w:t>
      </w:r>
      <w:r w:rsidRPr="0045441B">
        <w:t xml:space="preserve">idézni. </w:t>
      </w:r>
      <w:r w:rsidR="0045441B">
        <w:t xml:space="preserve">Az MGTE intézkedés várhatóan kedvező hatású a </w:t>
      </w:r>
      <w:proofErr w:type="spellStart"/>
      <w:r w:rsidR="0045441B">
        <w:t>biodiverzítás</w:t>
      </w:r>
      <w:proofErr w:type="spellEnd"/>
      <w:r w:rsidR="0045441B">
        <w:t xml:space="preserve"> szempontjából azokban az esetekben, amikor intenzíven művelt szántók fásítása történik meg. Kiemelten kedvező hatás az aljnövényzet szempon</w:t>
      </w:r>
      <w:r w:rsidR="0045441B">
        <w:t>t</w:t>
      </w:r>
      <w:r w:rsidR="0045441B">
        <w:t xml:space="preserve">jából kedvezőbb őshonos fafajok esetében várható. </w:t>
      </w:r>
      <w:r w:rsidRPr="0045441B">
        <w:t>A gyümölcsültetvények esetében fenntarthatósági szempontból csak az integrált és az ökológiai gazdálkodási formák lehetnek kedvező hatásúak, azonban a támogatott projektek kis száma</w:t>
      </w:r>
      <w:r w:rsidRPr="0045441B">
        <w:rPr>
          <w:rStyle w:val="FootnoteReference"/>
        </w:rPr>
        <w:footnoteReference w:id="27"/>
      </w:r>
      <w:r w:rsidRPr="0045441B">
        <w:t xml:space="preserve"> – jelenleg – nem gyakorolt kimutatható hatást a biológiai sokféleségre.</w:t>
      </w:r>
    </w:p>
    <w:p w:rsidR="00285223" w:rsidRPr="0045441B" w:rsidRDefault="00285223" w:rsidP="00285223">
      <w:pPr>
        <w:jc w:val="both"/>
      </w:pPr>
      <w:r w:rsidRPr="0045441B">
        <w:t xml:space="preserve">A </w:t>
      </w:r>
      <w:r w:rsidRPr="0045441B">
        <w:rPr>
          <w:b/>
        </w:rPr>
        <w:t>vízminőségre</w:t>
      </w:r>
      <w:r w:rsidRPr="0045441B">
        <w:t xml:space="preserve"> alapvetően az </w:t>
      </w:r>
      <w:r w:rsidRPr="0045441B">
        <w:rPr>
          <w:i/>
        </w:rPr>
        <w:t>Állattartó telepek</w:t>
      </w:r>
      <w:r w:rsidRPr="0045441B">
        <w:t xml:space="preserve"> korszerűsítése, az </w:t>
      </w:r>
      <w:r w:rsidRPr="0045441B">
        <w:rPr>
          <w:i/>
        </w:rPr>
        <w:t>Öntözés</w:t>
      </w:r>
      <w:r w:rsidRPr="0045441B">
        <w:t>, melioráció, területi vízgazdálk</w:t>
      </w:r>
      <w:r w:rsidRPr="0045441B">
        <w:t>o</w:t>
      </w:r>
      <w:r w:rsidRPr="0045441B">
        <w:t xml:space="preserve">dás, a </w:t>
      </w:r>
      <w:r w:rsidRPr="0045441B">
        <w:rPr>
          <w:i/>
        </w:rPr>
        <w:t>Gyümölcsültetvények</w:t>
      </w:r>
      <w:r w:rsidRPr="0045441B">
        <w:t xml:space="preserve"> korszerűsítése, telepítése jogcímek,</w:t>
      </w:r>
      <w:r w:rsidRPr="0045441B" w:rsidDel="00FE073A">
        <w:t xml:space="preserve"> </w:t>
      </w:r>
      <w:r w:rsidRPr="0045441B">
        <w:t xml:space="preserve">és az </w:t>
      </w:r>
      <w:r w:rsidRPr="0045441B">
        <w:rPr>
          <w:i/>
        </w:rPr>
        <w:t>AKG</w:t>
      </w:r>
      <w:r w:rsidRPr="0045441B">
        <w:t xml:space="preserve"> célprogramok</w:t>
      </w:r>
      <w:r w:rsidR="0045441B">
        <w:t xml:space="preserve"> és az MGTE inté</w:t>
      </w:r>
      <w:r w:rsidR="0045441B">
        <w:t>z</w:t>
      </w:r>
      <w:r w:rsidR="0045441B">
        <w:t>kedés</w:t>
      </w:r>
      <w:r w:rsidRPr="0045441B">
        <w:t xml:space="preserve"> fejthetnek ki hatást. Az ÁTK jogcím esetében a környezeti megfelelést szolgáló technológiák a vízm</w:t>
      </w:r>
      <w:r w:rsidRPr="0045441B">
        <w:t>i</w:t>
      </w:r>
      <w:r w:rsidRPr="0045441B">
        <w:t xml:space="preserve">nőségre várhatóan pozitív hatással bírnak. Megjegyzendő, hogy ezen intézkedés kimagaslóan sok forrást kötött le, így joggal várható a pozitív vízminőségi hatás. Az Öntözés jogcím hatása nem dönthető el, azt csak a konkrét projektek részletes </w:t>
      </w:r>
      <w:proofErr w:type="spellStart"/>
      <w:r w:rsidRPr="0045441B">
        <w:t>hatásmonitoringja</w:t>
      </w:r>
      <w:proofErr w:type="spellEnd"/>
      <w:r w:rsidRPr="0045441B">
        <w:t xml:space="preserve"> alapján állapítható majd meg, mert a beszerzett eszközök használati módjától és az adott területek adottságaitól is függenek a hatások. Az integrált szántó (AKG) cé</w:t>
      </w:r>
      <w:r w:rsidRPr="0045441B">
        <w:t>l</w:t>
      </w:r>
      <w:r w:rsidRPr="0045441B">
        <w:t>program viszonylag enyhe előírásai vélelmezhetően nem teszik majd lehetővé a</w:t>
      </w:r>
      <w:r w:rsidR="0045441B">
        <w:t>z AKG</w:t>
      </w:r>
      <w:r w:rsidRPr="0045441B">
        <w:t xml:space="preserve"> vízminőség javítási cél</w:t>
      </w:r>
      <w:r w:rsidR="0045441B">
        <w:t>jainak</w:t>
      </w:r>
      <w:r w:rsidRPr="0045441B">
        <w:t xml:space="preserve"> elérését.</w:t>
      </w:r>
      <w:r w:rsidR="0045441B">
        <w:t xml:space="preserve"> Az MGTE intézkedés esetében kiemelten az őshonos fafajok tekinthetőek igazán pozití</w:t>
      </w:r>
      <w:r w:rsidR="0045441B">
        <w:t>v</w:t>
      </w:r>
      <w:r w:rsidR="0045441B">
        <w:t>nak a vízháztartás szempontjából.</w:t>
      </w:r>
      <w:r w:rsidRPr="0045441B">
        <w:t xml:space="preserve"> A Gyümölcs ültetvények jogcím esetében a magas vegyszerezési és önt</w:t>
      </w:r>
      <w:r w:rsidRPr="0045441B">
        <w:t>ö</w:t>
      </w:r>
      <w:r w:rsidRPr="0045441B">
        <w:t xml:space="preserve">zési igény miatt várhatóan nem számolhatunk pozitív irányú változással. </w:t>
      </w:r>
    </w:p>
    <w:p w:rsidR="00285223" w:rsidRPr="0045441B" w:rsidRDefault="00285223" w:rsidP="00285223">
      <w:pPr>
        <w:jc w:val="both"/>
      </w:pPr>
      <w:r w:rsidRPr="0045441B">
        <w:t>A félidei értékelés, jellegéből fakadóan nem alkalmas arra, hogy a vízminőségben történő változást értéke</w:t>
      </w:r>
      <w:r w:rsidRPr="0045441B">
        <w:t>l</w:t>
      </w:r>
      <w:r w:rsidRPr="0045441B">
        <w:t xml:space="preserve">hesse: egyrészt a mérési adatok hiánya miatt (a megvalósítástól eltelt idő rövidsége okán), másrészt még nem valósult meg olyan </w:t>
      </w:r>
      <w:proofErr w:type="spellStart"/>
      <w:r w:rsidRPr="0045441B">
        <w:t>számosságú</w:t>
      </w:r>
      <w:proofErr w:type="spellEnd"/>
      <w:r w:rsidRPr="0045441B">
        <w:t xml:space="preserve"> fejlesztés, mely markáns, mérhető javulást okozott volna a mérési eredményekben.</w:t>
      </w:r>
    </w:p>
    <w:p w:rsidR="00285223" w:rsidRPr="005A130D" w:rsidRDefault="00285223" w:rsidP="00285223">
      <w:pPr>
        <w:jc w:val="both"/>
      </w:pPr>
      <w:r w:rsidRPr="005A130D">
        <w:t xml:space="preserve">Az </w:t>
      </w:r>
      <w:r w:rsidRPr="005A130D">
        <w:rPr>
          <w:b/>
        </w:rPr>
        <w:t>éghajlatváltozásra</w:t>
      </w:r>
      <w:r w:rsidRPr="005A130D">
        <w:t xml:space="preserve"> gyakorolt hatás vizsgálata során </w:t>
      </w:r>
      <w:proofErr w:type="spellStart"/>
      <w:r w:rsidRPr="005A130D">
        <w:t>mitigációs</w:t>
      </w:r>
      <w:proofErr w:type="spellEnd"/>
      <w:r w:rsidRPr="005A130D">
        <w:t xml:space="preserve"> és adaptációs vizsgálatokat végeztünk. </w:t>
      </w:r>
      <w:proofErr w:type="spellStart"/>
      <w:r w:rsidRPr="005A130D">
        <w:rPr>
          <w:i/>
        </w:rPr>
        <w:t>Mitigáció</w:t>
      </w:r>
      <w:proofErr w:type="spellEnd"/>
      <w:r w:rsidRPr="005A130D">
        <w:t xml:space="preserve"> tekintetében az ÁTK biogáz technológiát megvalósító beruházásait tekinthetjük jelentősnek a me</w:t>
      </w:r>
      <w:r w:rsidRPr="005A130D">
        <w:t>g</w:t>
      </w:r>
      <w:r w:rsidRPr="005A130D">
        <w:t>ítélt támogatások tükrében (lekötött a 212 Mrd Ft 30%-</w:t>
      </w:r>
      <w:proofErr w:type="gramStart"/>
      <w:r w:rsidRPr="005A130D">
        <w:t>a</w:t>
      </w:r>
      <w:proofErr w:type="gramEnd"/>
      <w:r w:rsidRPr="005A130D">
        <w:t xml:space="preserve">, vagyis összesen mintegy 63,6 Mrd Ft irányult a biogáz technológia fejlesztésére), míg az AKG intézkedésnél a nitrogén-dioxid kibocsátás csökkenését és a szénmegkötő képesség enyhe növekedését várjuk. Utóbbi hatás várható a Mezőgazdasági területek első erdősítése intézkedéstől is. Az ÁTK intézkedéstől pozitív változás várható, azonban ezt számszerűsíteni a </w:t>
      </w:r>
      <w:r w:rsidRPr="005A130D">
        <w:lastRenderedPageBreak/>
        <w:t>kapacitás adatok hiányában nem lehetett. A mezőgazdasági és erdészeti gépbeszerzések hatására a Pro</w:t>
      </w:r>
      <w:r w:rsidRPr="005A130D">
        <w:t>g</w:t>
      </w:r>
      <w:r w:rsidRPr="005A130D">
        <w:t>ram megvalósításának jelenlegi fázisában nem lehet még egyértelmű választ adni, elsősorban a géphaszn</w:t>
      </w:r>
      <w:r w:rsidRPr="005A130D">
        <w:t>á</w:t>
      </w:r>
      <w:r w:rsidRPr="005A130D">
        <w:t>lati szokások, valamint az emissziós adatok ismeretének hiányában. A Mezőgazdasági területek első erdős</w:t>
      </w:r>
      <w:r w:rsidRPr="005A130D">
        <w:t>í</w:t>
      </w:r>
      <w:r w:rsidRPr="005A130D">
        <w:t xml:space="preserve">tése jogcím esetében </w:t>
      </w:r>
      <w:r w:rsidR="0045441B" w:rsidRPr="005A130D">
        <w:t>a</w:t>
      </w:r>
      <w:r w:rsidRPr="005A130D">
        <w:t xml:space="preserve"> szénmegkötő képesség</w:t>
      </w:r>
      <w:r w:rsidR="0045441B" w:rsidRPr="005A130D">
        <w:t xml:space="preserve"> jelentős javulása várható lokálisan, azonban ennek mértéke az országos kibocsátáshoz mérve </w:t>
      </w:r>
      <w:r w:rsidR="005A130D" w:rsidRPr="005A130D">
        <w:t xml:space="preserve">még nem jelentős </w:t>
      </w:r>
      <w:r w:rsidRPr="005A130D">
        <w:t>az új telepítések relatív kis mértéke miatt. Mivel az AKG intézkedésben magas volt az integrált szántóföldi növénytermesztés célprogram aránya (az intézkedésben támogatott területek 53%-ával, a megítélt támogatás hozzávetőleg 70%-ával) és ettől a gazdálkodási gyako</w:t>
      </w:r>
      <w:r w:rsidRPr="005A130D">
        <w:t>r</w:t>
      </w:r>
      <w:r w:rsidRPr="005A130D">
        <w:t xml:space="preserve">lat megváltoztatása csak kisebb mértékben várható, ezért a nitrogén-dioxid kibocsátás csökkenését is csak kis mértékben valószínűsítjük. A kérdéskör részletes vizsgálata a további értékelésekben is indokolt. </w:t>
      </w:r>
    </w:p>
    <w:p w:rsidR="00285223" w:rsidRPr="005A130D" w:rsidRDefault="00285223" w:rsidP="00285223">
      <w:pPr>
        <w:jc w:val="both"/>
      </w:pPr>
      <w:r w:rsidRPr="005A130D">
        <w:t xml:space="preserve">Az </w:t>
      </w:r>
      <w:r w:rsidRPr="005A130D">
        <w:rPr>
          <w:i/>
        </w:rPr>
        <w:t>adaptáció</w:t>
      </w:r>
      <w:r w:rsidRPr="005A130D">
        <w:t xml:space="preserve"> tekintetében, a szakképzési és szaktanácsadási intézkedések (111-es intézkedés: 5 568 113 634 Ft, 114-es intézkedés: 1 867 991 357 Ft megítélt támogatás) esetében vélelmezhető poz</w:t>
      </w:r>
      <w:r w:rsidRPr="005A130D">
        <w:t>i</w:t>
      </w:r>
      <w:r w:rsidRPr="005A130D">
        <w:t xml:space="preserve">tív irányú változás, azonban vizsgálatunk feltárta, hogy </w:t>
      </w:r>
      <w:proofErr w:type="gramStart"/>
      <w:r w:rsidRPr="005A130D">
        <w:t>ezen</w:t>
      </w:r>
      <w:proofErr w:type="gramEnd"/>
      <w:r w:rsidRPr="005A130D">
        <w:t xml:space="preserve"> programok tematikájában sajnálatos módon viszonylag kis hangsúllyal szerepeltek az éghajlatváltozással kapcsolatos ismeretek. A Fiatal gazdák támog</w:t>
      </w:r>
      <w:r w:rsidRPr="005A130D">
        <w:t>a</w:t>
      </w:r>
      <w:r w:rsidRPr="005A130D">
        <w:t>tása (2373 támogatott gazda, 24 455 969 000 Ft megítélt támogatás) és a Gazdaságátadás (37 támogatott gazda, 307 533 492 Ft megítélt támogatás) intézkedések várhatóan szintén alacsony hatással bírnak, lévén a források kis része irányult az adaptáció szempontjából pozitív extenzív gazdálkodási formák támogatására. A Gyümölcsültetvények támogatása jogcím, a magas beruházási igény, valamint a magas vegyszer- és ene</w:t>
      </w:r>
      <w:r w:rsidRPr="005A130D">
        <w:t>r</w:t>
      </w:r>
      <w:r w:rsidRPr="005A130D">
        <w:t>gia-felhasználás miatt kedvezőtlen hatásúnak mondható.</w:t>
      </w:r>
    </w:p>
    <w:p w:rsidR="00285223" w:rsidRPr="005A130D" w:rsidRDefault="00285223" w:rsidP="00285223">
      <w:pPr>
        <w:jc w:val="both"/>
      </w:pPr>
      <w:r w:rsidRPr="005A130D">
        <w:t xml:space="preserve">A </w:t>
      </w:r>
      <w:r w:rsidRPr="005A130D">
        <w:rPr>
          <w:b/>
          <w:i/>
        </w:rPr>
        <w:t>táj védelme</w:t>
      </w:r>
      <w:r w:rsidRPr="005A130D">
        <w:t xml:space="preserve"> szempontjából elsősorban a II. tengely KAT és AKG, valamint erdészeti jogcímei relevánsak. Az elkészített elemzések és esettanulmányok alapján úgy látjuk, hogy a KAT intézkedés kevéssé volt releváns a táj védelme szempontjából, mert csak kisebb mértékben érte el a termelési szerkezet megváltoztatását. Ráadásul mivel horizontális intézkedésről van szó (a lehatároláson belül), ezért a kérelmezőkre bízza az adott tájhoz illeszkedő művelési módok megválasztását, így az illeszkedés rendszerszinten nem biztosított. Ugyanez igaz az AKG horizontális célprogramjaira is, vagyis a tájhoz való illeszkedés itt sem biztosított, ezt a szempontot ezek a célprogramok a kérelmező egyéni mérlegelésére bízzák. Ez sajnos több esetben inkább negatív hatású, mert ha a támogatás előírása az adott tájon pont nem releváns (pl.: a támogatott gyümölc</w:t>
      </w:r>
      <w:r w:rsidRPr="005A130D">
        <w:t>s</w:t>
      </w:r>
      <w:r w:rsidRPr="005A130D">
        <w:t>fajta), még rossz irányú tájhasználati változást is eredményezhet. További probléma ezekkel a jogcímekkel, célprogramokkal kapcsolatban, hogy a döntési folyamat nem tartalmaz mérlegelési lehetőséget, és szake</w:t>
      </w:r>
      <w:r w:rsidRPr="005A130D">
        <w:t>m</w:t>
      </w:r>
      <w:r w:rsidRPr="005A130D">
        <w:t>berek nem vesznek benne részt, noha a tájhoz való illeszkedés nem képezhető le objektív szempontokkal. Ezzel ellentétben az AKG zonális célprogramjai jellemzően pozitív hatásúak, mert egy adott tájegységre sz</w:t>
      </w:r>
      <w:r w:rsidRPr="005A130D">
        <w:t>a</w:t>
      </w:r>
      <w:r w:rsidRPr="005A130D">
        <w:t>bott előíráskészlettel rendelkeznek, és lebonyolításukban az adott tájat jól ismerő Nemzeti Parkok munk</w:t>
      </w:r>
      <w:r w:rsidRPr="005A130D">
        <w:t>a</w:t>
      </w:r>
      <w:r w:rsidRPr="005A130D">
        <w:t>társai is aktívabban bekapcsolódtak.</w:t>
      </w:r>
    </w:p>
    <w:p w:rsidR="00285223" w:rsidRPr="00E03E1D" w:rsidRDefault="00285223" w:rsidP="00285223">
      <w:pPr>
        <w:jc w:val="both"/>
      </w:pPr>
      <w:r w:rsidRPr="005A130D">
        <w:t xml:space="preserve">A II. tengely erdészeti jogcímeinél vegyes a kép a táj védelme szempontjából. A Mezőgazdasági Területek Első Erdősítése intézkedés </w:t>
      </w:r>
      <w:r w:rsidR="005A130D" w:rsidRPr="005A130D">
        <w:t xml:space="preserve">bírálati szempontjai </w:t>
      </w:r>
      <w:r w:rsidR="005A130D">
        <w:t xml:space="preserve">pozitív módon </w:t>
      </w:r>
      <w:r w:rsidR="005A130D" w:rsidRPr="005A130D">
        <w:t>ösztönözték a tájhoz illeszkedő fafajok telep</w:t>
      </w:r>
      <w:r w:rsidR="005A130D" w:rsidRPr="005A130D">
        <w:t>í</w:t>
      </w:r>
      <w:r w:rsidR="005A130D" w:rsidRPr="005A130D">
        <w:t xml:space="preserve">tését, ugyanakkor az intézkedés keretében továbbra is történtek </w:t>
      </w:r>
      <w:proofErr w:type="spellStart"/>
      <w:r w:rsidR="005A130D" w:rsidRPr="005A130D">
        <w:t>invazív</w:t>
      </w:r>
      <w:proofErr w:type="spellEnd"/>
      <w:r w:rsidR="005A130D" w:rsidRPr="005A130D">
        <w:t xml:space="preserve"> fafajokkal telepítések, amely gy</w:t>
      </w:r>
      <w:r w:rsidR="005A130D" w:rsidRPr="005A130D">
        <w:t>a</w:t>
      </w:r>
      <w:r w:rsidR="005A130D" w:rsidRPr="005A130D">
        <w:t xml:space="preserve">korlat a táj szempontjából nem kedvező. Meg kell természetesen jegyezni, hogy a támogatás hatására az </w:t>
      </w:r>
      <w:proofErr w:type="spellStart"/>
      <w:r w:rsidR="005A130D" w:rsidRPr="005A130D">
        <w:t>öshonos</w:t>
      </w:r>
      <w:proofErr w:type="spellEnd"/>
      <w:r w:rsidR="005A130D" w:rsidRPr="005A130D">
        <w:t xml:space="preserve"> fafajok aránya magasabb volt a telepítésben, mint az egyébként szokásos és a bírálati szempontok a monokultúrás telepítés ellen </w:t>
      </w:r>
      <w:r w:rsidR="005A130D">
        <w:t xml:space="preserve">is </w:t>
      </w:r>
      <w:r w:rsidR="005A130D" w:rsidRPr="005A130D">
        <w:t xml:space="preserve">hatottak. Ugyanakkor nagyon magas a gazdasági </w:t>
      </w:r>
      <w:r w:rsidR="005A130D">
        <w:t xml:space="preserve">rendeltetésű </w:t>
      </w:r>
      <w:r w:rsidR="005A130D" w:rsidRPr="005A130D">
        <w:t>erdők ar</w:t>
      </w:r>
      <w:r w:rsidR="005A130D" w:rsidRPr="005A130D">
        <w:t>á</w:t>
      </w:r>
      <w:r w:rsidR="005A130D" w:rsidRPr="005A130D">
        <w:t xml:space="preserve">nya </w:t>
      </w:r>
      <w:r w:rsidR="005A130D">
        <w:t>a telepítésekben</w:t>
      </w:r>
      <w:r w:rsidR="005A130D" w:rsidRPr="005A130D">
        <w:t xml:space="preserve">, míg a táj szempontjából a többi hasznosítási mód lenne a kedvezőbb. </w:t>
      </w:r>
      <w:r w:rsidRPr="005A130D">
        <w:t xml:space="preserve">A többi erdészeti intézkedés, jogcím hatása </w:t>
      </w:r>
      <w:r w:rsidR="005A130D" w:rsidRPr="005A130D">
        <w:t>egyértelműen</w:t>
      </w:r>
      <w:r w:rsidRPr="005A130D">
        <w:t xml:space="preserve"> pozitív (mert például lehetővé teszik az állomány javítását, ezáltal természetesebb tájkép visszaállítását szolgálják), de a tényleges hatás a projektek csekély előrehaladotts</w:t>
      </w:r>
      <w:r w:rsidRPr="005A130D">
        <w:t>á</w:t>
      </w:r>
      <w:r w:rsidRPr="005A130D">
        <w:t xml:space="preserve">ga miatt még nem ítélhető meg. </w:t>
      </w:r>
    </w:p>
    <w:p w:rsidR="00A817A4" w:rsidRPr="008A065B" w:rsidRDefault="00A817A4" w:rsidP="00D5521F">
      <w:pPr>
        <w:pStyle w:val="HUNHeading2"/>
        <w:numPr>
          <w:ilvl w:val="1"/>
          <w:numId w:val="32"/>
        </w:numPr>
        <w:ind w:hanging="792"/>
      </w:pPr>
      <w:bookmarkStart w:id="16" w:name="_Toc278535733"/>
      <w:bookmarkStart w:id="17" w:name="_Toc280788350"/>
      <w:r w:rsidRPr="008A065B">
        <w:lastRenderedPageBreak/>
        <w:t>Az I. tengely értékelése</w:t>
      </w:r>
      <w:bookmarkEnd w:id="16"/>
      <w:bookmarkEnd w:id="17"/>
    </w:p>
    <w:p w:rsidR="00A817A4" w:rsidRDefault="00A817A4" w:rsidP="00A817A4">
      <w:pPr>
        <w:pStyle w:val="AAMNormal"/>
      </w:pPr>
      <w:r w:rsidRPr="00E03E1D">
        <w:t xml:space="preserve">Az ÚMVP I. tengelye (A mezőgazdasági és erdészeti ágazat versenyképességének javítása) szolgál az </w:t>
      </w:r>
      <w:proofErr w:type="spellStart"/>
      <w:r w:rsidRPr="00E03E1D">
        <w:t>ÚMVST-ben</w:t>
      </w:r>
      <w:proofErr w:type="spellEnd"/>
      <w:r w:rsidRPr="00E03E1D">
        <w:t xml:space="preserve"> foglalt versenyképességi és szerkezetátalakítási célok elérésének támogatására.</w:t>
      </w:r>
    </w:p>
    <w:p w:rsidR="00A817A4" w:rsidRDefault="00A817A4" w:rsidP="00A817A4">
      <w:pPr>
        <w:pStyle w:val="AAMNormal"/>
      </w:pPr>
      <w:r w:rsidRPr="00E03E1D">
        <w:t>Ennek érdekében tíz intézkedésre allokált forrást az ÚMVP, amelyek közül a vizsgált időszakban kilenc me</w:t>
      </w:r>
      <w:r w:rsidRPr="00E03E1D">
        <w:t>g</w:t>
      </w:r>
      <w:r w:rsidRPr="00E03E1D">
        <w:t>nyitására került sor.</w:t>
      </w:r>
    </w:p>
    <w:p w:rsidR="00EE692B" w:rsidRPr="00E03E1D" w:rsidRDefault="00780946" w:rsidP="00A817A4">
      <w:pPr>
        <w:pStyle w:val="AAMNormal"/>
      </w:pPr>
      <w:r>
        <w:t>A hatásvizsgálatok eredményeinek megalapozása érdekében röviden jellemezzük az egyes intézkedések forrásfelhasználását és legfontosabb output mutatóit. Az egyes intézkedéseket eltérő részletezettséggel mutatjuk be, koncentrálva azokra, amelyek a hatásvizsgálatok szempontjából meghatározóak voltak.</w:t>
      </w:r>
    </w:p>
    <w:p w:rsidR="00A817A4" w:rsidRPr="00E03E1D" w:rsidRDefault="00A817A4" w:rsidP="00A817A4">
      <w:pPr>
        <w:pStyle w:val="AAMNormal"/>
      </w:pPr>
      <w:r w:rsidRPr="00E03E1D">
        <w:t xml:space="preserve">A </w:t>
      </w:r>
      <w:r w:rsidRPr="00E03E1D">
        <w:rPr>
          <w:b/>
        </w:rPr>
        <w:t>Humán tőke fejlesztését és a tudás támogatását</w:t>
      </w:r>
      <w:r w:rsidRPr="00E03E1D">
        <w:t xml:space="preserve"> szolgáló intézkedéscsoporttal a Program a gazdálkodók üzleti, piaci informáltságának bővítését, és a szakmai tudás fejlesztését, valamint a szektorra jellemző ke</w:t>
      </w:r>
      <w:r w:rsidRPr="00E03E1D">
        <w:t>d</w:t>
      </w:r>
      <w:r w:rsidRPr="00E03E1D">
        <w:t>vezőtlen korszerkezet javítását célozta meg.</w:t>
      </w:r>
    </w:p>
    <w:p w:rsidR="00A817A4" w:rsidRPr="00E03E1D" w:rsidRDefault="00A817A4" w:rsidP="00A817A4">
      <w:pPr>
        <w:pStyle w:val="AAMNormal"/>
        <w:ind w:left="567"/>
      </w:pPr>
      <w:r w:rsidRPr="00E03E1D">
        <w:t xml:space="preserve">Az üzleti, piaci informáltság bővítését a 111. Szakképzési és tájékoztatási tevékenységek </w:t>
      </w:r>
      <w:r w:rsidRPr="00E03E1D">
        <w:rPr>
          <w:b/>
        </w:rPr>
        <w:t>111.1 Komplex tájékoztatási tevékenység: gazdálkodói információs szolgálat</w:t>
      </w:r>
      <w:r w:rsidRPr="00E03E1D">
        <w:t xml:space="preserve"> jogcím szolgálta, 202 agrá</w:t>
      </w:r>
      <w:r w:rsidRPr="00E03E1D">
        <w:t>r</w:t>
      </w:r>
      <w:r w:rsidRPr="00E03E1D">
        <w:t>kamarai tanácsadó szolgáltatásán keresztül. Az agrárkamarai tanácsadók korszerű infrastruktúra fe</w:t>
      </w:r>
      <w:r w:rsidRPr="00E03E1D">
        <w:t>l</w:t>
      </w:r>
      <w:r w:rsidRPr="00E03E1D">
        <w:t>használásával segítették a támogatási kérelmek benyújtását és látták el a jogszabályokkal, támog</w:t>
      </w:r>
      <w:r w:rsidRPr="00E03E1D">
        <w:t>a</w:t>
      </w:r>
      <w:r w:rsidRPr="00E03E1D">
        <w:t xml:space="preserve">tásokkal, üzleti </w:t>
      </w:r>
      <w:proofErr w:type="gramStart"/>
      <w:r w:rsidRPr="00E03E1D">
        <w:t>lehetőségekkel</w:t>
      </w:r>
      <w:proofErr w:type="gramEnd"/>
      <w:r w:rsidRPr="00E03E1D">
        <w:t xml:space="preserve"> kapcsolatos információkkal a hozzájuk forduló, illetve megkeresett ügyfeleket, 2009-ben számszerűleg 64 038 gazdálkodót. </w:t>
      </w:r>
    </w:p>
    <w:p w:rsidR="00A817A4" w:rsidRPr="00E03E1D" w:rsidRDefault="00A817A4" w:rsidP="00A817A4">
      <w:pPr>
        <w:pStyle w:val="AAMNormal"/>
        <w:ind w:left="567"/>
      </w:pPr>
      <w:r w:rsidRPr="00E03E1D">
        <w:t xml:space="preserve">Hasonló célt töltött be </w:t>
      </w:r>
      <w:r w:rsidRPr="00E03E1D">
        <w:rPr>
          <w:b/>
        </w:rPr>
        <w:t>a 114-es</w:t>
      </w:r>
      <w:r w:rsidRPr="00E03E1D">
        <w:t xml:space="preserve"> </w:t>
      </w:r>
      <w:r w:rsidRPr="00E03E1D">
        <w:rPr>
          <w:b/>
        </w:rPr>
        <w:t>szaktanácsadás</w:t>
      </w:r>
      <w:r w:rsidRPr="00E03E1D">
        <w:t xml:space="preserve"> intézkedés, amelynek révén a gazdálkodók speciális szakértői segítséget vehettek igénybe a kölcsönös megfeleltetés előírásaival, a munkahelyi biztonsági előírások betartatásával, továbbá tevékenységük eredményességének növelésével kapcsolatban. Az intézkedés a szaktanácsadás költségét finanszírozta összesen 16 069 esetben, 1 867 991 357 Ft kötelezettségvállalással.</w:t>
      </w:r>
    </w:p>
    <w:p w:rsidR="00A817A4" w:rsidRPr="00E03E1D" w:rsidRDefault="00A817A4" w:rsidP="00A817A4">
      <w:pPr>
        <w:pStyle w:val="AAMNormal"/>
        <w:ind w:left="567"/>
      </w:pPr>
      <w:r w:rsidRPr="00E03E1D">
        <w:t xml:space="preserve">A szakmai tudás fejlesztését a </w:t>
      </w:r>
      <w:r w:rsidRPr="00E03E1D">
        <w:rPr>
          <w:b/>
        </w:rPr>
        <w:t>111.3 Mezőgazdasághoz és erdőgazdálkodáshoz kapcsolódó képz</w:t>
      </w:r>
      <w:r w:rsidRPr="00E03E1D">
        <w:rPr>
          <w:b/>
        </w:rPr>
        <w:t>é</w:t>
      </w:r>
      <w:r w:rsidRPr="00E03E1D">
        <w:rPr>
          <w:b/>
        </w:rPr>
        <w:t>sek</w:t>
      </w:r>
      <w:r w:rsidRPr="00E03E1D">
        <w:t xml:space="preserve"> </w:t>
      </w:r>
      <w:proofErr w:type="spellStart"/>
      <w:r w:rsidRPr="00E03E1D">
        <w:t>alintézkedés</w:t>
      </w:r>
      <w:proofErr w:type="spellEnd"/>
      <w:r w:rsidRPr="00E03E1D">
        <w:t xml:space="preserve"> szolgálta, </w:t>
      </w:r>
      <w:r w:rsidR="00990C68" w:rsidRPr="00E03E1D">
        <w:t>amely</w:t>
      </w:r>
      <w:r w:rsidR="00990C68">
        <w:t>nek keretében a képzéseket</w:t>
      </w:r>
      <w:r w:rsidR="00990C68" w:rsidRPr="00E03E1D">
        <w:t xml:space="preserve"> a Vidékfejlesztési, Képzési és Szakt</w:t>
      </w:r>
      <w:r w:rsidR="00990C68" w:rsidRPr="00E03E1D">
        <w:t>a</w:t>
      </w:r>
      <w:r w:rsidR="00990C68" w:rsidRPr="00E03E1D">
        <w:t>nácsadási Intézet (VKSZI) által koordinált képzési közpo</w:t>
      </w:r>
      <w:r w:rsidR="00990C68">
        <w:t>ntok bonyolítottá</w:t>
      </w:r>
      <w:r w:rsidR="00990C68" w:rsidRPr="00E03E1D">
        <w:t xml:space="preserve">k le. </w:t>
      </w:r>
      <w:r w:rsidRPr="00E03E1D">
        <w:t>Összesen 39 képző i</w:t>
      </w:r>
      <w:r w:rsidRPr="00E03E1D">
        <w:t>n</w:t>
      </w:r>
      <w:r w:rsidRPr="00E03E1D">
        <w:t>tézmény képzéseiből választhattak a támogattak, akik 6001 esetben vettek igénybe képzést.</w:t>
      </w:r>
    </w:p>
    <w:p w:rsidR="00A817A4" w:rsidRPr="00E03E1D" w:rsidRDefault="00A817A4" w:rsidP="00A817A4">
      <w:pPr>
        <w:pStyle w:val="AAMNormal"/>
        <w:ind w:left="567"/>
      </w:pPr>
      <w:r w:rsidRPr="00E03E1D">
        <w:t xml:space="preserve">A korszerkezet javítását szolgálta a </w:t>
      </w:r>
      <w:r w:rsidRPr="00E03E1D">
        <w:rPr>
          <w:b/>
        </w:rPr>
        <w:t>112</w:t>
      </w:r>
      <w:r w:rsidRPr="00E03E1D">
        <w:t xml:space="preserve"> </w:t>
      </w:r>
      <w:r w:rsidRPr="00E03E1D">
        <w:rPr>
          <w:b/>
        </w:rPr>
        <w:t>Fiatal gazdálkodók tevékenységének megkezdését</w:t>
      </w:r>
      <w:r w:rsidRPr="00E03E1D">
        <w:t xml:space="preserve"> támogató intézkedés illetve a </w:t>
      </w:r>
      <w:r w:rsidRPr="00E03E1D">
        <w:rPr>
          <w:b/>
        </w:rPr>
        <w:t>Korengedményes nyugdíjazás</w:t>
      </w:r>
      <w:r w:rsidRPr="00E03E1D">
        <w:t xml:space="preserve"> (113 intézkedés). Előbbi 24 455 969 000 Ft köt</w:t>
      </w:r>
      <w:r w:rsidRPr="00E03E1D">
        <w:t>e</w:t>
      </w:r>
      <w:r w:rsidRPr="00E03E1D">
        <w:t>lezettségvállalást vállalt 2 373 kedvezményezett gazdálkodó beruházásaira, míg utóbbi 307 533 492 Ft támogatást jelentett 37 magánszemély felé.</w:t>
      </w:r>
      <w:r w:rsidR="0007181A" w:rsidRPr="00E03E1D">
        <w:t xml:space="preserve"> </w:t>
      </w:r>
      <w:r w:rsidR="005711D1" w:rsidRPr="005711D1">
        <w:t>Fiatal gazdálkodók tevékenységének megkezdését a 67/2007 (VII. 26.) FVM és a 113/2009 (VIII. 29) FVM rendelet hirdette meg jövedelempótló támog</w:t>
      </w:r>
      <w:r w:rsidR="005711D1" w:rsidRPr="005711D1">
        <w:t>a</w:t>
      </w:r>
      <w:r w:rsidR="005711D1" w:rsidRPr="005711D1">
        <w:t>tásként.</w:t>
      </w:r>
      <w:r w:rsidR="0007181A" w:rsidRPr="00E03E1D">
        <w:t xml:space="preserve"> A támogatás összege a négy éven belül elérni kívánt üzem méretre vonatkozó vállalástól fü</w:t>
      </w:r>
      <w:r w:rsidR="0007181A" w:rsidRPr="00E03E1D">
        <w:t>g</w:t>
      </w:r>
      <w:r w:rsidR="0007181A" w:rsidRPr="00E03E1D">
        <w:t>gő összeg volt 20.000 EUR-tól (4-7 EUME) 40.000 EUR-ig (10 EUME feletti érték). A támogatást a jo</w:t>
      </w:r>
      <w:r w:rsidR="0007181A" w:rsidRPr="00E03E1D">
        <w:t>g</w:t>
      </w:r>
      <w:r w:rsidR="0007181A" w:rsidRPr="00E03E1D">
        <w:t>címrendeletben előírt agrár-végzettségű, 40 évnél fiatalabb magánszemélyek vehették igénybe, amennyiben a támogatással először váltak mezőgazdasági üzem vezetőjévé, illetve alapítottak, vagy vettek át. gazdaságot. A kérelmek száma mindkét benyújtási körben (2008, 2009) jelentős érdekl</w:t>
      </w:r>
      <w:r w:rsidR="0007181A" w:rsidRPr="00E03E1D">
        <w:t>ő</w:t>
      </w:r>
      <w:r w:rsidR="0007181A" w:rsidRPr="00E03E1D">
        <w:t>désről adott számot. Az első körben a kérelmezők 58%-</w:t>
      </w:r>
      <w:proofErr w:type="gramStart"/>
      <w:r w:rsidR="0007181A" w:rsidRPr="00E03E1D">
        <w:t>a</w:t>
      </w:r>
      <w:proofErr w:type="gramEnd"/>
      <w:r w:rsidR="0007181A" w:rsidRPr="00E03E1D">
        <w:t>, a másodikban 14%</w:t>
      </w:r>
      <w:r w:rsidR="00990C68">
        <w:t xml:space="preserve"> nyert</w:t>
      </w:r>
      <w:r w:rsidR="0007181A" w:rsidRPr="00E03E1D">
        <w:t>. Az e-monitoring adatszolgáltatás adatai alapján az 1423 válaszadó kedvezményezett összesen 12 435 hektár saját tulajdonú, míg 21 367 hektár bérelt földet kezelt összesen. Az intézkedés output indikátora már meghaladta a tervezett értéket (</w:t>
      </w:r>
      <w:r w:rsidR="00780946">
        <w:t>2000</w:t>
      </w:r>
      <w:r w:rsidR="0007181A" w:rsidRPr="00E03E1D">
        <w:t xml:space="preserve"> támogatott fiatal gazda), megnyitása mégis indokolt a jövőben is, mert a korszerkezet érdemi módosítása további fiatal gazdálkodók bevonását igényli. Az eddigi j</w:t>
      </w:r>
      <w:r w:rsidR="0007181A" w:rsidRPr="00E03E1D">
        <w:t>e</w:t>
      </w:r>
      <w:r w:rsidR="0007181A" w:rsidRPr="00E03E1D">
        <w:t>lentkezési számok alapján igény is van a támogatás iránt.</w:t>
      </w:r>
    </w:p>
    <w:p w:rsidR="00A817A4" w:rsidRPr="00E03E1D" w:rsidRDefault="00A817A4" w:rsidP="00A817A4">
      <w:pPr>
        <w:pStyle w:val="AAMNormal"/>
      </w:pPr>
      <w:r w:rsidRPr="00E03E1D">
        <w:lastRenderedPageBreak/>
        <w:t xml:space="preserve">A </w:t>
      </w:r>
      <w:r w:rsidRPr="00E03E1D">
        <w:rPr>
          <w:b/>
        </w:rPr>
        <w:t>Humán tőke fejlesztését és a tudás támogatását</w:t>
      </w:r>
      <w:r w:rsidRPr="00E03E1D">
        <w:t xml:space="preserve"> szolgáló intézkedéscsoportra összesen 41 693 893 849 Ft kötelezettségvállalás született a vizsgált időszakban és összesen 88 518 gazdálkodót értek el a különb</w:t>
      </w:r>
      <w:r w:rsidRPr="00E03E1D">
        <w:t>ö</w:t>
      </w:r>
      <w:r w:rsidRPr="00E03E1D">
        <w:t>ző intézkedések. Az intézkedéscsoport az intézkedések egyedi értékelése alapján releváns és szükséges.</w:t>
      </w:r>
    </w:p>
    <w:p w:rsidR="00A817A4" w:rsidRPr="00E03E1D" w:rsidRDefault="00A817A4" w:rsidP="00A817A4">
      <w:pPr>
        <w:pStyle w:val="AAMNormal"/>
      </w:pPr>
      <w:r w:rsidRPr="00E03E1D">
        <w:t>Az intézkedéscsoport a gazdálkodók jövedelmezőségéhez, a gazdasági növekedéshez csak közvetetten j</w:t>
      </w:r>
      <w:r w:rsidRPr="00E03E1D">
        <w:t>á</w:t>
      </w:r>
      <w:r w:rsidRPr="00E03E1D">
        <w:t xml:space="preserve">rult hozzá, a munka termelékenységre az előzetes hatások becslésére alapozva pozitívan hatott, azonban ez a programvégrehajtás jelenlegi szakaszában még nem </w:t>
      </w:r>
      <w:proofErr w:type="spellStart"/>
      <w:r w:rsidRPr="00E03E1D">
        <w:t>kvantifikálható</w:t>
      </w:r>
      <w:proofErr w:type="spellEnd"/>
      <w:r w:rsidRPr="00E03E1D">
        <w:t>. Az Éghajlatváltozás elleni küzdele</w:t>
      </w:r>
      <w:r w:rsidRPr="00E03E1D">
        <w:t>m</w:t>
      </w:r>
      <w:r w:rsidRPr="00E03E1D">
        <w:t xml:space="preserve">ben ez az intézkedéscsoport nem képviselt hangsúlyos szerepet, mert nem célozta meg sem a képzések, sem a tanácsadáson keresztül a gazdálkodók felkészítését a változásra. A biológiai sokféléség csökkenése elleni küzdelem, a magas természeti értékű területek fenntartására, a vízminőség, a talajminőség javítására az intézkedéscsoporton belül a képzések, illetve az agrárkamarai ügyfélszolgálat tevékenysége hatott. Előbbi az </w:t>
      </w:r>
      <w:proofErr w:type="spellStart"/>
      <w:r w:rsidRPr="00E03E1D">
        <w:t>Agrár-Környezetgazdálkodási</w:t>
      </w:r>
      <w:proofErr w:type="spellEnd"/>
      <w:r w:rsidRPr="00E03E1D">
        <w:t xml:space="preserve"> Programban (AKG) résztvevők kötelező képzésén, utóbbi a tanácsadók, szintén az </w:t>
      </w:r>
      <w:proofErr w:type="spellStart"/>
      <w:r w:rsidRPr="00E03E1D">
        <w:t>AKG-val</w:t>
      </w:r>
      <w:proofErr w:type="spellEnd"/>
      <w:r w:rsidRPr="00E03E1D">
        <w:t xml:space="preserve"> kapcsolatos tanácsadási tevékenységén keresztül valósult meg.</w:t>
      </w:r>
    </w:p>
    <w:p w:rsidR="00A817A4" w:rsidRPr="00E03E1D" w:rsidRDefault="00A817A4" w:rsidP="00A817A4">
      <w:pPr>
        <w:pStyle w:val="AAMNormal"/>
      </w:pPr>
      <w:r w:rsidRPr="00E03E1D">
        <w:t xml:space="preserve">Az egyértelműen kedvező összkép mellett ugyanakkor meg kell állapítani, hogy a képzések tartalma sok esetben </w:t>
      </w:r>
      <w:r w:rsidR="0007181A" w:rsidRPr="00E03E1D">
        <w:t>felújításra szorul</w:t>
      </w:r>
      <w:r w:rsidRPr="00E03E1D">
        <w:t xml:space="preserve"> és sem a képzések, sem a tanácsadási hálózatok, sem a korszerkezet váltást t</w:t>
      </w:r>
      <w:r w:rsidRPr="00E03E1D">
        <w:t>á</w:t>
      </w:r>
      <w:r w:rsidRPr="00E03E1D">
        <w:t>mogató intézkedések nem szolgálták hangsúlyosan a Stratégia által meg</w:t>
      </w:r>
      <w:r w:rsidR="0007181A" w:rsidRPr="00E03E1D">
        <w:t>célzott termék-szerkezetváltást,</w:t>
      </w:r>
      <w:r w:rsidR="005D152B">
        <w:t xml:space="preserve"> illetve az értéklánc mentén megvalósuló </w:t>
      </w:r>
      <w:proofErr w:type="gramStart"/>
      <w:r w:rsidR="005D152B">
        <w:t>integrációt</w:t>
      </w:r>
      <w:proofErr w:type="gramEnd"/>
      <w:r w:rsidR="0007181A" w:rsidRPr="00E03E1D">
        <w:t xml:space="preserve"> mert kevés üzleti orientációs elemet tartalmaztak.</w:t>
      </w:r>
    </w:p>
    <w:p w:rsidR="00A817A4" w:rsidRPr="00E03E1D" w:rsidRDefault="00A817A4" w:rsidP="00A817A4">
      <w:pPr>
        <w:pStyle w:val="AAMNormal"/>
      </w:pPr>
      <w:r w:rsidRPr="00E03E1D">
        <w:t xml:space="preserve">A </w:t>
      </w:r>
      <w:r w:rsidRPr="00E03E1D">
        <w:rPr>
          <w:b/>
        </w:rPr>
        <w:t>Fizikai tőke fejlesztését, szerkezetváltását célzó intézkedéscsoport</w:t>
      </w:r>
      <w:r w:rsidRPr="00E03E1D">
        <w:t xml:space="preserve"> a vidéki térségek gazdaságának me</w:t>
      </w:r>
      <w:r w:rsidRPr="00E03E1D">
        <w:t>g</w:t>
      </w:r>
      <w:r w:rsidRPr="00E03E1D">
        <w:t>erősítését szolgálta. Ehhez kapcsolódva a Program három, egymásnak részben ellentmondó célt is kitűz</w:t>
      </w:r>
      <w:r w:rsidR="005D152B">
        <w:t>ött</w:t>
      </w:r>
      <w:r w:rsidRPr="00E03E1D">
        <w:t>, amikor a versenyképes mezőgazdasági üzemek támogatását, a családi gazdálkodók, kisebb gazdaságok támogatását is felvállalja úgy, hogy közben a Program fő feladatának a vidéki lakosság alacsony foglalkozt</w:t>
      </w:r>
      <w:r w:rsidRPr="00E03E1D">
        <w:t>a</w:t>
      </w:r>
      <w:r w:rsidRPr="00E03E1D">
        <w:t>tottságából adódó társadalmi feszültség kezelését tekinti. A fizikai tőke fejlesztését a Mezőgazdasági üz</w:t>
      </w:r>
      <w:r w:rsidRPr="00E03E1D">
        <w:t>e</w:t>
      </w:r>
      <w:r w:rsidRPr="00E03E1D">
        <w:t>mek korszerűsítése (121), Erdők gazdasági értékének javítása (122), Mezőgazdasági és erdészeti termékek értéknövelése (123), Mezőgazdasági és erdészeti infrastruktúra (125) intézkedések keretében meghird</w:t>
      </w:r>
      <w:r w:rsidRPr="00E03E1D">
        <w:t>e</w:t>
      </w:r>
      <w:r w:rsidRPr="00E03E1D">
        <w:t xml:space="preserve">tett, összesen 14 </w:t>
      </w:r>
      <w:r w:rsidR="0007181A" w:rsidRPr="00E03E1D">
        <w:t>jogcím</w:t>
      </w:r>
      <w:r w:rsidRPr="00E03E1D">
        <w:t xml:space="preserve"> szolgálja.</w:t>
      </w:r>
    </w:p>
    <w:p w:rsidR="00A817A4" w:rsidRPr="00E03E1D" w:rsidRDefault="00A817A4" w:rsidP="00A817A4">
      <w:pPr>
        <w:pStyle w:val="AAMNormal"/>
      </w:pPr>
      <w:r w:rsidRPr="00E03E1D">
        <w:t xml:space="preserve">Az intézkedéscsoporton és az egész I. tengelyen belül meghatározó volt a </w:t>
      </w:r>
      <w:r w:rsidRPr="00E03E1D">
        <w:rPr>
          <w:b/>
        </w:rPr>
        <w:t xml:space="preserve">121-es (Mezőgazdasági üzemek korszerűsítése) </w:t>
      </w:r>
      <w:r w:rsidRPr="00E03E1D">
        <w:t>intézkedés szerepe, amely 76%-át teszi ki a tengelyen belül megítélt támogatásoknak.</w:t>
      </w:r>
    </w:p>
    <w:p w:rsidR="00A817A4" w:rsidRPr="00E03E1D" w:rsidRDefault="00A817A4" w:rsidP="00A817A4">
      <w:pPr>
        <w:pStyle w:val="AAMNormal"/>
        <w:ind w:left="567"/>
      </w:pPr>
      <w:r w:rsidRPr="00E03E1D">
        <w:t xml:space="preserve">Az intézkedésen belül </w:t>
      </w:r>
      <w:r w:rsidR="005D152B">
        <w:t>kiemelt</w:t>
      </w:r>
      <w:r w:rsidRPr="00E03E1D">
        <w:t xml:space="preserve"> szerepe volt az </w:t>
      </w:r>
      <w:r w:rsidRPr="00E03E1D">
        <w:rPr>
          <w:b/>
        </w:rPr>
        <w:t>Állattartó Telepek Korszerűsítése (ÁTK)</w:t>
      </w:r>
      <w:r w:rsidRPr="00E03E1D">
        <w:t xml:space="preserve"> jogcímnek, amelyre három alkalommal is lehetett kérelmet benyújtani. Összesen 212 042 027 803 Ft kötel</w:t>
      </w:r>
      <w:r w:rsidRPr="00E03E1D">
        <w:t>e</w:t>
      </w:r>
      <w:r w:rsidRPr="00E03E1D">
        <w:t>zettségvállalás született 1761 nyertes felé. A kapott támogatás 24%-át a kedvezményezettek fér</w:t>
      </w:r>
      <w:r w:rsidRPr="00E03E1D">
        <w:t>ő</w:t>
      </w:r>
      <w:r w:rsidRPr="00E03E1D">
        <w:t>helybővítésre, míg 34%-át környezetvédelmi célú beruházásra, többit pedig egyéb fejlesztésre fordíto</w:t>
      </w:r>
      <w:r w:rsidRPr="00E03E1D">
        <w:t>t</w:t>
      </w:r>
      <w:r w:rsidRPr="00E03E1D">
        <w:t>ták. A megvalósított beruházások hatására ezek a vállalkozások teljesítik a vonatkozó EU-s környeze</w:t>
      </w:r>
      <w:r w:rsidRPr="00E03E1D">
        <w:t>t</w:t>
      </w:r>
      <w:r w:rsidRPr="00E03E1D">
        <w:t>védelmi normákat és a férőhelybővítés hatására árbevételük várhatóan növekedni fog. Azonban e</w:t>
      </w:r>
      <w:r w:rsidRPr="00E03E1D">
        <w:t>n</w:t>
      </w:r>
      <w:r w:rsidRPr="00E03E1D">
        <w:t xml:space="preserve">nek </w:t>
      </w:r>
      <w:r w:rsidR="00903E41" w:rsidRPr="00E03E1D">
        <w:t xml:space="preserve">valószínűleg </w:t>
      </w:r>
      <w:r w:rsidRPr="00E03E1D">
        <w:t xml:space="preserve">ára van, mert versenyképességük növekedését </w:t>
      </w:r>
      <w:r w:rsidR="00903E41" w:rsidRPr="00E03E1D">
        <w:t xml:space="preserve">üzleti </w:t>
      </w:r>
      <w:r w:rsidRPr="00E03E1D">
        <w:t>terveik szerint a nyertesek 1634 fő leépítésével fogják elérni. Érdemes ezeket a számokat szegmensek mentén külön is vizsgá</w:t>
      </w:r>
      <w:r w:rsidRPr="00E03E1D">
        <w:t>l</w:t>
      </w:r>
      <w:r w:rsidRPr="00E03E1D">
        <w:t>ni. Ha a vállalkozásokat gazdasági teljesítményük alapján méretkategóriákba soroljuk, akkor azt t</w:t>
      </w:r>
      <w:r w:rsidRPr="00E03E1D">
        <w:t>a</w:t>
      </w:r>
      <w:r w:rsidRPr="00E03E1D">
        <w:t>pasztaljuk, hogy míg a mikro</w:t>
      </w:r>
      <w:r w:rsidR="002804D2" w:rsidRPr="00E03E1D">
        <w:t>-</w:t>
      </w:r>
      <w:r w:rsidRPr="00E03E1D">
        <w:t>, kis</w:t>
      </w:r>
      <w:r w:rsidR="002804D2" w:rsidRPr="00E03E1D">
        <w:t>-</w:t>
      </w:r>
      <w:r w:rsidRPr="00E03E1D">
        <w:t xml:space="preserve"> és közepes méretű vállalkozások létszámbővítést (1283 fő), a nagy gazdálkodók létszámcsökkentést (-2917 fő) terveztek. A kettő eredője teszi ki a jogcím összesség</w:t>
      </w:r>
      <w:r w:rsidRPr="00E03E1D">
        <w:t>é</w:t>
      </w:r>
      <w:r w:rsidRPr="00E03E1D">
        <w:t xml:space="preserve">ben várható negatív </w:t>
      </w:r>
      <w:proofErr w:type="spellStart"/>
      <w:r w:rsidRPr="00E03E1D">
        <w:t>munkaerőpiaci</w:t>
      </w:r>
      <w:proofErr w:type="spellEnd"/>
      <w:r w:rsidRPr="00E03E1D">
        <w:t xml:space="preserve"> hatását. Fontos még megjegyezni, hogy a már lezárt projektek vizsgálata a tervekkel ellentétes hatást (létszámbővítést) mutatott ki, igaz egy a teljes támogatott s</w:t>
      </w:r>
      <w:r w:rsidRPr="00E03E1D">
        <w:t>o</w:t>
      </w:r>
      <w:r w:rsidRPr="00E03E1D">
        <w:t>kaságot nem jel</w:t>
      </w:r>
      <w:r w:rsidR="005D152B">
        <w:t>lemző mintán, továbbá a kérelmek egy részét a vállalkozások már a gazdasági válság időszakában nyújtották be.</w:t>
      </w:r>
      <w:r w:rsidRPr="00E03E1D">
        <w:t xml:space="preserve"> A jogcím további hatásának tekinthetjük a vízminőség közvetett javítását a trágyakezelés fejlesztésén keresztül és kismértékben az üvegházhatású gázok kibocsátásának csö</w:t>
      </w:r>
      <w:r w:rsidRPr="00E03E1D">
        <w:t>k</w:t>
      </w:r>
      <w:r w:rsidRPr="00E03E1D">
        <w:t xml:space="preserve">kentését a biogáz beruházások megvalósításán keresztül (1382 támogatott, 72 </w:t>
      </w:r>
      <w:proofErr w:type="spellStart"/>
      <w:r w:rsidRPr="00E03E1D">
        <w:t>mrd</w:t>
      </w:r>
      <w:proofErr w:type="spellEnd"/>
      <w:r w:rsidRPr="00E03E1D">
        <w:t xml:space="preserve"> Ft értékű tám</w:t>
      </w:r>
      <w:r w:rsidRPr="00E03E1D">
        <w:t>o</w:t>
      </w:r>
      <w:r w:rsidRPr="00E03E1D">
        <w:t>gatást igényelt ezekre a tevékenységekre).</w:t>
      </w:r>
    </w:p>
    <w:p w:rsidR="00A817A4" w:rsidRPr="00E03E1D" w:rsidRDefault="00A817A4" w:rsidP="00A817A4">
      <w:pPr>
        <w:pStyle w:val="AAMNormal"/>
        <w:ind w:left="567"/>
      </w:pPr>
      <w:r w:rsidRPr="00E03E1D">
        <w:lastRenderedPageBreak/>
        <w:t xml:space="preserve">Az ÁTK jogcím mellett a </w:t>
      </w:r>
      <w:r w:rsidRPr="00E03E1D">
        <w:rPr>
          <w:b/>
        </w:rPr>
        <w:t>Gépbeszerzés</w:t>
      </w:r>
      <w:r w:rsidRPr="00E03E1D">
        <w:t xml:space="preserve"> jogcím kapott még jelentős támogatást (76,7 </w:t>
      </w:r>
      <w:proofErr w:type="spellStart"/>
      <w:r w:rsidRPr="00E03E1D">
        <w:t>mrd</w:t>
      </w:r>
      <w:proofErr w:type="spellEnd"/>
      <w:r w:rsidRPr="00E03E1D">
        <w:t xml:space="preserve"> Ft támog</w:t>
      </w:r>
      <w:r w:rsidRPr="00E03E1D">
        <w:t>a</w:t>
      </w:r>
      <w:r w:rsidRPr="00E03E1D">
        <w:t xml:space="preserve">tás, 7256 támogatott). Itt meghatározó volt az önjáró erőgépek beszerzése a támogatottak részéről (31,5%), amit a magajáró betakarító (20%) követett gyakoriságban. A támogatás révén korszerűsödött a gazdálkodók műszaki háttere, ugyanakkor ez is a foglalkoztatás rovására </w:t>
      </w:r>
      <w:r w:rsidR="00903E41" w:rsidRPr="00E03E1D">
        <w:t>fog várhatóan történni,</w:t>
      </w:r>
      <w:r w:rsidRPr="00E03E1D">
        <w:t xml:space="preserve"> a benyújtott tervek szerint 3211 fős negatív egyenleggel (a nagygazdaságok 5412 fő leépítés, mikro, kis, középvállalkozások 1601</w:t>
      </w:r>
      <w:r w:rsidRPr="00E03E1D">
        <w:rPr>
          <w:rStyle w:val="FootnoteReference"/>
        </w:rPr>
        <w:footnoteReference w:id="28"/>
      </w:r>
      <w:r w:rsidRPr="00E03E1D">
        <w:t xml:space="preserve"> fő bővítés). A jogcímnek </w:t>
      </w:r>
      <w:r w:rsidR="00903E41" w:rsidRPr="00E03E1D">
        <w:t>lehet hatása az</w:t>
      </w:r>
      <w:r w:rsidRPr="00E03E1D">
        <w:t xml:space="preserve"> energiafelhasználásra és ezen keresztül az üvegházhatású gázok kibocsátásá</w:t>
      </w:r>
      <w:r w:rsidR="00903E41" w:rsidRPr="00E03E1D">
        <w:t>nak mértékére, ennek mértékét</w:t>
      </w:r>
      <w:r w:rsidRPr="00E03E1D">
        <w:t xml:space="preserve"> azonban </w:t>
      </w:r>
      <w:r w:rsidR="00903E41" w:rsidRPr="00E03E1D">
        <w:t>kapac</w:t>
      </w:r>
      <w:r w:rsidR="00903E41" w:rsidRPr="00E03E1D">
        <w:t>i</w:t>
      </w:r>
      <w:r w:rsidR="00903E41" w:rsidRPr="00E03E1D">
        <w:t xml:space="preserve">táskihasználtságot jellemző </w:t>
      </w:r>
      <w:r w:rsidRPr="00E03E1D">
        <w:t>adatok hiányában ma még becsülni sem lehet.</w:t>
      </w:r>
    </w:p>
    <w:p w:rsidR="00A817A4" w:rsidRPr="00E03E1D" w:rsidRDefault="00A817A4" w:rsidP="00A817A4">
      <w:pPr>
        <w:pStyle w:val="AAMNormal"/>
        <w:ind w:left="567"/>
      </w:pPr>
      <w:r w:rsidRPr="00E03E1D">
        <w:t xml:space="preserve">Az intézkedés további jogcímei kisebb forrást használtak fel. A </w:t>
      </w:r>
      <w:r w:rsidRPr="00E03E1D">
        <w:rPr>
          <w:b/>
        </w:rPr>
        <w:t>Szárítók támogatása</w:t>
      </w:r>
      <w:r w:rsidRPr="00E03E1D">
        <w:t xml:space="preserve"> 30,4 </w:t>
      </w:r>
      <w:proofErr w:type="spellStart"/>
      <w:r w:rsidRPr="00E03E1D">
        <w:t>mrd</w:t>
      </w:r>
      <w:proofErr w:type="spellEnd"/>
      <w:r w:rsidRPr="00E03E1D">
        <w:t xml:space="preserve"> Ft fo</w:t>
      </w:r>
      <w:r w:rsidRPr="00E03E1D">
        <w:t>r</w:t>
      </w:r>
      <w:r w:rsidRPr="00E03E1D">
        <w:t xml:space="preserve">rást kötött le. Ezen beruházások révén </w:t>
      </w:r>
      <w:r w:rsidR="005D152B" w:rsidRPr="005D152B">
        <w:t>a munkaegészségügyi és környezeti feltételek javulása mellett</w:t>
      </w:r>
      <w:r w:rsidR="005D152B" w:rsidRPr="00645E52">
        <w:t xml:space="preserve"> </w:t>
      </w:r>
      <w:r w:rsidRPr="00E03E1D">
        <w:t>691 gazdálkodó értékesítési lehetőségei bővültek a termények szárít</w:t>
      </w:r>
      <w:r w:rsidR="00903E41" w:rsidRPr="00E03E1D">
        <w:t>ásával, 1299 fő létszámleépít</w:t>
      </w:r>
      <w:r w:rsidR="00903E41" w:rsidRPr="00E03E1D">
        <w:t>é</w:t>
      </w:r>
      <w:r w:rsidR="00903E41" w:rsidRPr="00E03E1D">
        <w:t>sét tervezve</w:t>
      </w:r>
      <w:r w:rsidRPr="00E03E1D">
        <w:t xml:space="preserve">. A </w:t>
      </w:r>
      <w:r w:rsidRPr="00E03E1D">
        <w:rPr>
          <w:b/>
        </w:rPr>
        <w:t>Kertészeti üzemek korszerűsítése</w:t>
      </w:r>
      <w:r w:rsidRPr="00E03E1D">
        <w:t xml:space="preserve"> 14,6 </w:t>
      </w:r>
      <w:proofErr w:type="spellStart"/>
      <w:r w:rsidRPr="00E03E1D">
        <w:t>mrd</w:t>
      </w:r>
      <w:proofErr w:type="spellEnd"/>
      <w:r w:rsidRPr="00E03E1D">
        <w:t xml:space="preserve"> Ft forrással 178 támogatott kérelemmel szolgálta a technológiai fejlesztést, ebben az esetben </w:t>
      </w:r>
      <w:r w:rsidR="00903E41" w:rsidRPr="00E03E1D">
        <w:t xml:space="preserve">várhatóan </w:t>
      </w:r>
      <w:r w:rsidRPr="00E03E1D">
        <w:t>létszámbővítést generálva (434 fő</w:t>
      </w:r>
      <w:r w:rsidR="00903E41" w:rsidRPr="00E03E1D">
        <w:t xml:space="preserve"> az üzleti tervek alapján</w:t>
      </w:r>
      <w:r w:rsidRPr="00E03E1D">
        <w:t>). Az</w:t>
      </w:r>
      <w:r w:rsidRPr="00E03E1D">
        <w:rPr>
          <w:b/>
        </w:rPr>
        <w:t xml:space="preserve"> Öntözés, meliorizáció, vízgazdálkodás</w:t>
      </w:r>
      <w:r w:rsidRPr="00E03E1D">
        <w:t xml:space="preserve"> 8,3 </w:t>
      </w:r>
      <w:proofErr w:type="spellStart"/>
      <w:r w:rsidRPr="00E03E1D">
        <w:t>mrd</w:t>
      </w:r>
      <w:proofErr w:type="spellEnd"/>
      <w:r w:rsidRPr="00E03E1D">
        <w:t xml:space="preserve"> Ft értékben támogatott 268 projektet, 230 fős létszám</w:t>
      </w:r>
      <w:r w:rsidR="00903E41" w:rsidRPr="00E03E1D">
        <w:t>-</w:t>
      </w:r>
      <w:r w:rsidRPr="00E03E1D">
        <w:t>leépítés</w:t>
      </w:r>
      <w:r w:rsidR="00903E41" w:rsidRPr="00E03E1D">
        <w:t>i terv</w:t>
      </w:r>
      <w:r w:rsidRPr="00E03E1D">
        <w:t xml:space="preserve"> mellett.</w:t>
      </w:r>
    </w:p>
    <w:p w:rsidR="00A817A4" w:rsidRPr="00E03E1D" w:rsidRDefault="00A817A4" w:rsidP="00A817A4">
      <w:pPr>
        <w:pStyle w:val="AAMNormal"/>
        <w:ind w:left="567"/>
      </w:pPr>
      <w:r w:rsidRPr="00E03E1D">
        <w:t xml:space="preserve">A </w:t>
      </w:r>
      <w:r w:rsidRPr="00E03E1D">
        <w:rPr>
          <w:b/>
        </w:rPr>
        <w:t>biomassza kazánok</w:t>
      </w:r>
      <w:r w:rsidRPr="00E03E1D">
        <w:t xml:space="preserve"> támogatása (151 m Ft, 5 támogatott), az </w:t>
      </w:r>
      <w:r w:rsidRPr="00E03E1D">
        <w:rPr>
          <w:b/>
        </w:rPr>
        <w:t>Évelő, lágy és fás szárú energiaülte</w:t>
      </w:r>
      <w:r w:rsidRPr="00E03E1D">
        <w:rPr>
          <w:b/>
        </w:rPr>
        <w:t>t</w:t>
      </w:r>
      <w:r w:rsidRPr="00E03E1D">
        <w:rPr>
          <w:b/>
        </w:rPr>
        <w:t>vények telepítéséhez nyújtandó támogatás</w:t>
      </w:r>
      <w:r w:rsidRPr="00E03E1D">
        <w:t xml:space="preserve"> (487 m Ft, 72 támogatott), </w:t>
      </w:r>
      <w:r w:rsidRPr="00E03E1D">
        <w:rPr>
          <w:b/>
        </w:rPr>
        <w:t>(Gyümölcs</w:t>
      </w:r>
      <w:proofErr w:type="gramStart"/>
      <w:r w:rsidRPr="00E03E1D">
        <w:rPr>
          <w:b/>
        </w:rPr>
        <w:t>)ültetvények</w:t>
      </w:r>
      <w:proofErr w:type="gramEnd"/>
      <w:r w:rsidRPr="00E03E1D">
        <w:rPr>
          <w:b/>
        </w:rPr>
        <w:t xml:space="preserve"> korsz</w:t>
      </w:r>
      <w:r w:rsidRPr="00E03E1D">
        <w:rPr>
          <w:b/>
        </w:rPr>
        <w:t>e</w:t>
      </w:r>
      <w:r w:rsidRPr="00E03E1D">
        <w:rPr>
          <w:b/>
        </w:rPr>
        <w:t>rűsítéséhez, telepítéséhez nyújtott támogatások</w:t>
      </w:r>
      <w:r w:rsidRPr="00E03E1D">
        <w:t xml:space="preserve"> (1,945 </w:t>
      </w:r>
      <w:proofErr w:type="spellStart"/>
      <w:r w:rsidRPr="00E03E1D">
        <w:t>mrd</w:t>
      </w:r>
      <w:proofErr w:type="spellEnd"/>
      <w:r w:rsidRPr="00E03E1D">
        <w:t xml:space="preserve"> Ft, 110 támogatott) jogcímek olyan k</w:t>
      </w:r>
      <w:r w:rsidRPr="00E03E1D">
        <w:t>e</w:t>
      </w:r>
      <w:r w:rsidRPr="00E03E1D">
        <w:t>vés támogatást kötöttek le, hogy hatásuk tengelyszinten elenyésző, inkább csak pilot jelleggel lehet azokat értelmezni.</w:t>
      </w:r>
    </w:p>
    <w:p w:rsidR="00A817A4" w:rsidRPr="00E03E1D" w:rsidRDefault="00A817A4" w:rsidP="00A817A4">
      <w:pPr>
        <w:pStyle w:val="AAMNormal"/>
        <w:ind w:left="567"/>
      </w:pPr>
      <w:r w:rsidRPr="00E03E1D">
        <w:rPr>
          <w:b/>
        </w:rPr>
        <w:t>Az intézkedésen belül meghatározó ÁTK és Gépbeszerzés jogcímek hatásai mellett a további jogc</w:t>
      </w:r>
      <w:r w:rsidRPr="00E03E1D">
        <w:rPr>
          <w:b/>
        </w:rPr>
        <w:t>í</w:t>
      </w:r>
      <w:r w:rsidRPr="00E03E1D">
        <w:rPr>
          <w:b/>
        </w:rPr>
        <w:t>mek hatásai elenyésznek</w:t>
      </w:r>
      <w:r w:rsidRPr="00E03E1D">
        <w:t>. Ezt figyelembe véve az</w:t>
      </w:r>
      <w:r w:rsidR="00903E41" w:rsidRPr="00E03E1D">
        <w:t xml:space="preserve"> állapítható meg, hogy az</w:t>
      </w:r>
      <w:r w:rsidRPr="00E03E1D">
        <w:t xml:space="preserve"> intézkedést a műszaki k</w:t>
      </w:r>
      <w:r w:rsidRPr="00E03E1D">
        <w:t>a</w:t>
      </w:r>
      <w:r w:rsidRPr="00E03E1D">
        <w:t>pacitások intenzív fejlesztése jellemezte, amely azonban jelentős létszámleépítéshez vezethet</w:t>
      </w:r>
      <w:r w:rsidR="005D152B">
        <w:t xml:space="preserve"> a n</w:t>
      </w:r>
      <w:r w:rsidR="005D152B">
        <w:t>a</w:t>
      </w:r>
      <w:r w:rsidR="005D152B">
        <w:t>gyobb vállalkozásoknál</w:t>
      </w:r>
      <w:r w:rsidRPr="00E03E1D">
        <w:t>, mert az állattartó telepeknél</w:t>
      </w:r>
      <w:r w:rsidR="00903E41" w:rsidRPr="00E03E1D">
        <w:t>,</w:t>
      </w:r>
      <w:r w:rsidRPr="00E03E1D">
        <w:t xml:space="preserve"> </w:t>
      </w:r>
      <w:r w:rsidR="00903E41" w:rsidRPr="00E03E1D">
        <w:t>illetve</w:t>
      </w:r>
      <w:r w:rsidRPr="00E03E1D">
        <w:t xml:space="preserve"> a gépbeszerzésben magasan repreze</w:t>
      </w:r>
      <w:r w:rsidRPr="00E03E1D">
        <w:t>n</w:t>
      </w:r>
      <w:r w:rsidRPr="00E03E1D">
        <w:t>tált szántóföldi termesztésben a technológia-korszerűsítés létszámleépítést indukált. Ez akkor lesz igaz, hogy ha a támogatottak a</w:t>
      </w:r>
      <w:r w:rsidR="00903E41" w:rsidRPr="00E03E1D">
        <w:t xml:space="preserve"> benyújtott üzleti</w:t>
      </w:r>
      <w:r w:rsidRPr="00E03E1D">
        <w:t xml:space="preserve"> terveik szeri</w:t>
      </w:r>
      <w:r w:rsidR="00903E41" w:rsidRPr="00E03E1D">
        <w:t>nt valósítják meg a projekteket. A már l</w:t>
      </w:r>
      <w:r w:rsidR="00903E41" w:rsidRPr="00E03E1D">
        <w:t>e</w:t>
      </w:r>
      <w:r w:rsidR="00903E41" w:rsidRPr="00E03E1D">
        <w:t xml:space="preserve">zárt </w:t>
      </w:r>
      <w:proofErr w:type="spellStart"/>
      <w:r w:rsidR="00903E41" w:rsidRPr="00E03E1D">
        <w:t>ÁTK-s</w:t>
      </w:r>
      <w:proofErr w:type="spellEnd"/>
      <w:r w:rsidR="00903E41" w:rsidRPr="00E03E1D">
        <w:t xml:space="preserve"> projektekre lefolytatott, illetve az összes beruházási projektre elvégzett </w:t>
      </w:r>
      <w:proofErr w:type="spellStart"/>
      <w:r w:rsidR="00903E41" w:rsidRPr="00E03E1D">
        <w:t>ökonometriai</w:t>
      </w:r>
      <w:proofErr w:type="spellEnd"/>
      <w:r w:rsidR="00903E41" w:rsidRPr="00E03E1D">
        <w:t xml:space="preserve"> viz</w:t>
      </w:r>
      <w:r w:rsidR="00903E41" w:rsidRPr="00E03E1D">
        <w:t>s</w:t>
      </w:r>
      <w:r w:rsidR="00903E41" w:rsidRPr="00E03E1D">
        <w:t>gálataink nem mutattak ki változást a munkaerő-felhasználásban.</w:t>
      </w:r>
      <w:r w:rsidRPr="00E03E1D">
        <w:t xml:space="preserve"> A támogatott projektekben kisebb arányban található meg a kapacitás-bővítés, amelynek várható létszámbővítő hatását ellensúlyozza a technológia korszerűsítés várható foglalkoztatást csökkentő hatása. Meghatározó még az ÁTK ber</w:t>
      </w:r>
      <w:r w:rsidRPr="00E03E1D">
        <w:t>u</w:t>
      </w:r>
      <w:r w:rsidRPr="00E03E1D">
        <w:t>házásoknak a vízbázisok védelmében kifejtett pozitív hatása és valószínűsíthető, hogy az üvegházh</w:t>
      </w:r>
      <w:r w:rsidRPr="00E03E1D">
        <w:t>a</w:t>
      </w:r>
      <w:r w:rsidRPr="00E03E1D">
        <w:t>tású gázok kibocsátását is csökkenti az intézkedés, az ÁTK biogáz fejlesztéseken keresztül. Az inté</w:t>
      </w:r>
      <w:r w:rsidRPr="00E03E1D">
        <w:t>z</w:t>
      </w:r>
      <w:r w:rsidRPr="00E03E1D">
        <w:t xml:space="preserve">kedés releváns volt a jövedelmezőség növekedésében, bár a kapcsolódó </w:t>
      </w:r>
      <w:proofErr w:type="spellStart"/>
      <w:r w:rsidRPr="00E03E1D">
        <w:t>ökonometriai</w:t>
      </w:r>
      <w:proofErr w:type="spellEnd"/>
      <w:r w:rsidRPr="00E03E1D">
        <w:t xml:space="preserve"> modellek itt a már lezárt fejlesztések rövid működési időszaka miatt még jelentős bizonytalansággal tudják interpr</w:t>
      </w:r>
      <w:r w:rsidRPr="00E03E1D">
        <w:t>e</w:t>
      </w:r>
      <w:r w:rsidRPr="00E03E1D">
        <w:t>tálni az eredményeket. Az intézkedés szintén releváns volt a munkaerő-termelékenység növekedés</w:t>
      </w:r>
      <w:r w:rsidRPr="00E03E1D">
        <w:t>é</w:t>
      </w:r>
      <w:r w:rsidRPr="00E03E1D">
        <w:t xml:space="preserve">ben a bővülő bevétel és a csökkenő munkaerő-felhasználás eredőjeként. A </w:t>
      </w:r>
      <w:proofErr w:type="spellStart"/>
      <w:r w:rsidRPr="00E03E1D">
        <w:t>biodiverzítás</w:t>
      </w:r>
      <w:proofErr w:type="spellEnd"/>
      <w:r w:rsidRPr="00E03E1D">
        <w:t xml:space="preserve"> tekintetében az intézkedés fejlesztései semlegesnek tekinthetőek.</w:t>
      </w:r>
    </w:p>
    <w:p w:rsidR="00A817A4" w:rsidRPr="00E03E1D" w:rsidRDefault="00A817A4" w:rsidP="00A817A4">
      <w:pPr>
        <w:pStyle w:val="AAMNormal"/>
      </w:pPr>
      <w:r w:rsidRPr="00E03E1D">
        <w:t xml:space="preserve">Az erdészeti </w:t>
      </w:r>
      <w:proofErr w:type="spellStart"/>
      <w:r w:rsidRPr="00E03E1D">
        <w:t>alágazat</w:t>
      </w:r>
      <w:proofErr w:type="spellEnd"/>
      <w:r w:rsidRPr="00E03E1D">
        <w:t xml:space="preserve"> fejlesztését célozta az </w:t>
      </w:r>
      <w:r w:rsidRPr="00E03E1D">
        <w:rPr>
          <w:b/>
        </w:rPr>
        <w:t>Erdők gazdasági értékének javítása</w:t>
      </w:r>
      <w:r w:rsidRPr="00E03E1D">
        <w:t xml:space="preserve"> </w:t>
      </w:r>
      <w:r w:rsidRPr="00E03E1D">
        <w:rPr>
          <w:b/>
        </w:rPr>
        <w:t>(122)</w:t>
      </w:r>
      <w:r w:rsidRPr="00E03E1D">
        <w:t xml:space="preserve"> intézkedés, amelyben a félidei értékelésig </w:t>
      </w:r>
      <w:r w:rsidRPr="00E03E1D">
        <w:rPr>
          <w:b/>
        </w:rPr>
        <w:t>Az erdészeti célra használt géppark fejlesztéséhez és korszerűsítéséhez nyújtandó t</w:t>
      </w:r>
      <w:r w:rsidRPr="00E03E1D">
        <w:rPr>
          <w:b/>
        </w:rPr>
        <w:t>á</w:t>
      </w:r>
      <w:r w:rsidRPr="00E03E1D">
        <w:rPr>
          <w:b/>
        </w:rPr>
        <w:t xml:space="preserve">mogatás jogcím </w:t>
      </w:r>
      <w:r w:rsidRPr="00E03E1D">
        <w:t xml:space="preserve">indult el. Ebben 4 586 432 127 Ft értékben történt kötelezettségvállalás </w:t>
      </w:r>
      <w:r w:rsidRPr="00E03E1D">
        <w:rPr>
          <w:iCs/>
          <w:szCs w:val="22"/>
        </w:rPr>
        <w:t>139</w:t>
      </w:r>
      <w:r w:rsidRPr="00E03E1D">
        <w:t xml:space="preserve"> kedvezm</w:t>
      </w:r>
      <w:r w:rsidRPr="00E03E1D">
        <w:t>é</w:t>
      </w:r>
      <w:r w:rsidRPr="00E03E1D">
        <w:t>nyezett felé, a többi gépbeszerzési támogatásra jellemző hatások mellett.</w:t>
      </w:r>
    </w:p>
    <w:p w:rsidR="00A817A4" w:rsidRPr="00E03E1D" w:rsidRDefault="00A817A4" w:rsidP="00A817A4">
      <w:pPr>
        <w:pStyle w:val="AAMNormal"/>
      </w:pPr>
      <w:r w:rsidRPr="00E03E1D">
        <w:lastRenderedPageBreak/>
        <w:t xml:space="preserve">Az intézkedéscsoport másik meghatározó intézkedése a </w:t>
      </w:r>
      <w:r w:rsidRPr="00E03E1D">
        <w:rPr>
          <w:b/>
        </w:rPr>
        <w:t>Mezőgazdasági és erdészeti termékek értéknövel</w:t>
      </w:r>
      <w:r w:rsidRPr="00E03E1D">
        <w:rPr>
          <w:b/>
        </w:rPr>
        <w:t>é</w:t>
      </w:r>
      <w:r w:rsidRPr="00E03E1D">
        <w:rPr>
          <w:b/>
        </w:rPr>
        <w:t>se (123)</w:t>
      </w:r>
      <w:r w:rsidRPr="00E03E1D">
        <w:t xml:space="preserve">. Ennek keretében 624 kérelmező 78 623 586 645 Ft támogatást használt fel a mezőgazdasági termékek </w:t>
      </w:r>
      <w:proofErr w:type="spellStart"/>
      <w:r w:rsidRPr="00E03E1D">
        <w:t>feldolgozottsági</w:t>
      </w:r>
      <w:proofErr w:type="spellEnd"/>
      <w:r w:rsidRPr="00E03E1D">
        <w:t xml:space="preserve"> szintjét növelő beruházásokra két jogcímben (Mezőgazdasági termékek értékn</w:t>
      </w:r>
      <w:r w:rsidRPr="00E03E1D">
        <w:t>ö</w:t>
      </w:r>
      <w:r w:rsidRPr="00E03E1D">
        <w:t>velése és a Mezőgazdasági termékek értéknövelése félkész vagy végtermékek energiatermelési célú fe</w:t>
      </w:r>
      <w:r w:rsidRPr="00E03E1D">
        <w:t>l</w:t>
      </w:r>
      <w:r w:rsidRPr="00E03E1D">
        <w:t>használásra való előállításával). A beruházások összesen 446 fős munkahelybővítést mutatnak egyenle</w:t>
      </w:r>
      <w:r w:rsidRPr="00E03E1D">
        <w:t>g</w:t>
      </w:r>
      <w:r w:rsidRPr="00E03E1D">
        <w:t xml:space="preserve">ként a tervek alapján. A projektek vegyesen terveztek létszámbővítést, vagy csökkentést, mert ez támogatási sikerességüket csak kis mértékben befolyásolta. A már lezárt beruházások </w:t>
      </w:r>
      <w:proofErr w:type="spellStart"/>
      <w:r w:rsidRPr="00E03E1D">
        <w:t>ökonometriai</w:t>
      </w:r>
      <w:proofErr w:type="spellEnd"/>
      <w:r w:rsidRPr="00E03E1D">
        <w:t xml:space="preserve"> vizsgálata nem mutatott szignifikáns növekedést az értékesítés nettó árbevételében. Az eredmény egyelőre az alacsony mintaszám és a rövid működési időszak miatt csak erős korlátozással értelmezhető.</w:t>
      </w:r>
    </w:p>
    <w:p w:rsidR="00A817A4" w:rsidRPr="00E03E1D" w:rsidRDefault="00A817A4" w:rsidP="00A817A4">
      <w:pPr>
        <w:pStyle w:val="AAMNormal"/>
      </w:pPr>
      <w:r w:rsidRPr="00E03E1D">
        <w:t xml:space="preserve">A </w:t>
      </w:r>
      <w:r w:rsidRPr="00E03E1D">
        <w:rPr>
          <w:b/>
        </w:rPr>
        <w:t xml:space="preserve">Mezőgazdasági és erdészeti infrastruktúra (125) </w:t>
      </w:r>
      <w:r w:rsidRPr="00E03E1D">
        <w:t>intézkedés a 121 intézkedés keretében meghirdetett Öntözés, meliorizáció, vízgazdálkodás jogcímet finanszírozta.</w:t>
      </w:r>
    </w:p>
    <w:p w:rsidR="00A817A4" w:rsidRPr="00E03E1D" w:rsidRDefault="00A817A4" w:rsidP="00A817A4">
      <w:pPr>
        <w:pStyle w:val="AAMNormal"/>
      </w:pPr>
      <w:r w:rsidRPr="00E03E1D">
        <w:t>Az I. tengely harmadik intézkedéscsoportját az Átmeneti intézkedések képezték. A tervezett két intézkedé</w:t>
      </w:r>
      <w:r w:rsidRPr="00E03E1D">
        <w:t>s</w:t>
      </w:r>
      <w:r w:rsidRPr="00E03E1D">
        <w:t xml:space="preserve">ből a </w:t>
      </w:r>
      <w:r w:rsidRPr="00E03E1D">
        <w:rPr>
          <w:b/>
        </w:rPr>
        <w:t>Termelői csoportok létrehozásához és működéséhez nyújtandó támogatások (142)</w:t>
      </w:r>
      <w:r w:rsidRPr="00E03E1D">
        <w:t xml:space="preserve"> intézkedés megny</w:t>
      </w:r>
      <w:r w:rsidRPr="00E03E1D">
        <w:t>i</w:t>
      </w:r>
      <w:r w:rsidRPr="00E03E1D">
        <w:t xml:space="preserve">tása történt meg, amelynek keretében 59 termelői csoport részesült </w:t>
      </w:r>
      <w:r w:rsidRPr="00E03E1D">
        <w:rPr>
          <w:iCs/>
          <w:szCs w:val="22"/>
        </w:rPr>
        <w:t xml:space="preserve">1 740 000 000 </w:t>
      </w:r>
      <w:r w:rsidRPr="00E03E1D">
        <w:t>Ft támogatásban. A működtetési támogatás hozzájárult a résztvevő gazdálkodók értékesítési lehetőségeinek bővítéséhez, ezen keresztül a jövedelmezőség javításához.</w:t>
      </w:r>
    </w:p>
    <w:p w:rsidR="00A817A4" w:rsidRPr="00E03E1D" w:rsidRDefault="00A817A4" w:rsidP="00A817A4">
      <w:pPr>
        <w:pStyle w:val="AAMNormal"/>
      </w:pPr>
    </w:p>
    <w:p w:rsidR="00A817A4" w:rsidRPr="00E03E1D" w:rsidRDefault="00A817A4" w:rsidP="00A817A4">
      <w:pPr>
        <w:pStyle w:val="AAMNormal"/>
      </w:pPr>
      <w:r w:rsidRPr="00E03E1D">
        <w:t>A teljes tengely értékeléséhez fontos még bemutatni a támogatások koncentrációjának mértékét: a támog</w:t>
      </w:r>
      <w:r w:rsidRPr="00E03E1D">
        <w:t>a</w:t>
      </w:r>
      <w:r w:rsidRPr="00E03E1D">
        <w:t>tottak 5%-a kapta a támogatások 69%-</w:t>
      </w:r>
      <w:proofErr w:type="gramStart"/>
      <w:r w:rsidRPr="00E03E1D">
        <w:t>át</w:t>
      </w:r>
      <w:r w:rsidRPr="00E03E1D">
        <w:rPr>
          <w:rStyle w:val="FootnoteReference"/>
        </w:rPr>
        <w:footnoteReference w:id="29"/>
      </w:r>
      <w:r w:rsidRPr="00E03E1D">
        <w:t>.</w:t>
      </w:r>
      <w:proofErr w:type="gramEnd"/>
      <w:r w:rsidRPr="00E03E1D">
        <w:t xml:space="preserve"> Ez az eredmény a 121-es intézkedés hatása (5% nyert el 60% támogatást), amit a 111 intézkedésből az Agrárkamarának megítélt támogatás torzít tovább.</w:t>
      </w:r>
    </w:p>
    <w:p w:rsidR="008A065B" w:rsidRPr="008A065B" w:rsidRDefault="008A065B" w:rsidP="00A817A4">
      <w:pPr>
        <w:pStyle w:val="AAMNormal"/>
        <w:rPr>
          <w:b/>
        </w:rPr>
      </w:pPr>
      <w:r w:rsidRPr="008A065B">
        <w:rPr>
          <w:b/>
        </w:rPr>
        <w:t>Hatáselemzés</w:t>
      </w:r>
    </w:p>
    <w:p w:rsidR="00A817A4" w:rsidRPr="00E03E1D" w:rsidRDefault="00A817A4" w:rsidP="00A817A4">
      <w:pPr>
        <w:pStyle w:val="AAMNormal"/>
      </w:pPr>
      <w:r w:rsidRPr="00E03E1D">
        <w:t>Az I. tengely a Közös Értékelési Módszertani Keret (CMEF) hét fő hatásindikátora mentén a következőkkel jellemezhető:</w:t>
      </w:r>
    </w:p>
    <w:p w:rsidR="00A817A4" w:rsidRPr="00E03E1D" w:rsidRDefault="00A817A4" w:rsidP="00D5521F">
      <w:pPr>
        <w:pStyle w:val="AAMNormal"/>
        <w:numPr>
          <w:ilvl w:val="0"/>
          <w:numId w:val="19"/>
        </w:numPr>
      </w:pPr>
      <w:r w:rsidRPr="00E03E1D">
        <w:t xml:space="preserve">a tesztüzemi rendszer (FADN) adataival végzett </w:t>
      </w:r>
      <w:proofErr w:type="spellStart"/>
      <w:r w:rsidRPr="00E03E1D">
        <w:t>ökonometriai</w:t>
      </w:r>
      <w:proofErr w:type="spellEnd"/>
      <w:r w:rsidRPr="00E03E1D">
        <w:t xml:space="preserve"> panelvizsgálat eredménye alapján, </w:t>
      </w:r>
      <w:r w:rsidRPr="00E03E1D">
        <w:rPr>
          <w:b/>
        </w:rPr>
        <w:t xml:space="preserve">az I. tengelyben nyertes mezőgazdasági üzemek számára már megítélt 355 </w:t>
      </w:r>
      <w:proofErr w:type="spellStart"/>
      <w:r w:rsidRPr="00E03E1D">
        <w:rPr>
          <w:b/>
        </w:rPr>
        <w:t>mrd</w:t>
      </w:r>
      <w:proofErr w:type="spellEnd"/>
      <w:r w:rsidRPr="00E03E1D">
        <w:rPr>
          <w:b/>
        </w:rPr>
        <w:t xml:space="preserve"> Ft kötelezettségváll</w:t>
      </w:r>
      <w:r w:rsidRPr="00E03E1D">
        <w:rPr>
          <w:b/>
        </w:rPr>
        <w:t>a</w:t>
      </w:r>
      <w:r w:rsidRPr="00E03E1D">
        <w:rPr>
          <w:b/>
        </w:rPr>
        <w:t xml:space="preserve">lás legfeljebb 46,15 </w:t>
      </w:r>
      <w:proofErr w:type="spellStart"/>
      <w:r w:rsidRPr="00E03E1D">
        <w:rPr>
          <w:b/>
        </w:rPr>
        <w:t>mrd</w:t>
      </w:r>
      <w:proofErr w:type="spellEnd"/>
      <w:r w:rsidRPr="00E03E1D">
        <w:rPr>
          <w:b/>
        </w:rPr>
        <w:t xml:space="preserve"> Ft gazdasági növekedést (nettó hozzáadott érték növekedést) indukál vá</w:t>
      </w:r>
      <w:r w:rsidRPr="00E03E1D">
        <w:rPr>
          <w:b/>
        </w:rPr>
        <w:t>r</w:t>
      </w:r>
      <w:r w:rsidRPr="00E03E1D">
        <w:rPr>
          <w:b/>
        </w:rPr>
        <w:t>hatóan a fejlesztések lezárását követően évente</w:t>
      </w:r>
      <w:r w:rsidR="005D152B">
        <w:rPr>
          <w:b/>
        </w:rPr>
        <w:t xml:space="preserve">. </w:t>
      </w:r>
      <w:r w:rsidR="005D152B">
        <w:t xml:space="preserve">Az eredményt a </w:t>
      </w:r>
      <w:proofErr w:type="spellStart"/>
      <w:r w:rsidR="005D152B">
        <w:t>FADN-ban</w:t>
      </w:r>
      <w:proofErr w:type="spellEnd"/>
      <w:r w:rsidR="005D152B">
        <w:t xml:space="preserve"> szereplő, az </w:t>
      </w:r>
      <w:proofErr w:type="spellStart"/>
      <w:r w:rsidR="005D152B">
        <w:t>ÚMVP-ből</w:t>
      </w:r>
      <w:proofErr w:type="spellEnd"/>
      <w:r w:rsidR="005D152B">
        <w:t xml:space="preserve"> beruházást megvalósító gazdaságok jövedelmezőségének vizsgálata alapján határoztuk meg</w:t>
      </w:r>
      <w:r w:rsidRPr="00E03E1D">
        <w:rPr>
          <w:b/>
        </w:rPr>
        <w:t>;</w:t>
      </w:r>
    </w:p>
    <w:p w:rsidR="00A817A4" w:rsidRPr="00E03E1D" w:rsidRDefault="00A817A4" w:rsidP="00D5521F">
      <w:pPr>
        <w:pStyle w:val="AAMNormal"/>
        <w:numPr>
          <w:ilvl w:val="0"/>
          <w:numId w:val="19"/>
        </w:numPr>
      </w:pPr>
      <w:r w:rsidRPr="00E03E1D">
        <w:t xml:space="preserve">a munkaerő változása szempontjából releváns </w:t>
      </w:r>
      <w:r w:rsidR="005D152B">
        <w:t xml:space="preserve">beruházási </w:t>
      </w:r>
      <w:r w:rsidRPr="00E03E1D">
        <w:t xml:space="preserve">jogcímek tervezett létszámváltozásának összesítése alapján </w:t>
      </w:r>
      <w:r w:rsidR="00BA1C58">
        <w:rPr>
          <w:b/>
        </w:rPr>
        <w:t>5097</w:t>
      </w:r>
      <w:r w:rsidRPr="00E03E1D">
        <w:rPr>
          <w:b/>
        </w:rPr>
        <w:t xml:space="preserve"> fő létszámcsökkenés várható a tengely beruházásai nyomán, ha a tám</w:t>
      </w:r>
      <w:r w:rsidRPr="00E03E1D">
        <w:rPr>
          <w:b/>
        </w:rPr>
        <w:t>o</w:t>
      </w:r>
      <w:r w:rsidRPr="00E03E1D">
        <w:rPr>
          <w:b/>
        </w:rPr>
        <w:t>gatottak a projekteket a terveik szerint valósítják meg</w:t>
      </w:r>
      <w:r w:rsidR="00B04DD5" w:rsidRPr="00E03E1D">
        <w:rPr>
          <w:b/>
        </w:rPr>
        <w:t xml:space="preserve">. </w:t>
      </w:r>
      <w:r w:rsidR="000613F1" w:rsidRPr="000613F1">
        <w:t>Ez egybecseng az ex-ante értékelés előreje</w:t>
      </w:r>
      <w:r w:rsidR="000613F1" w:rsidRPr="000613F1">
        <w:t>l</w:t>
      </w:r>
      <w:r w:rsidR="000613F1" w:rsidRPr="000613F1">
        <w:t xml:space="preserve">zésével, miszerint: </w:t>
      </w:r>
      <w:r w:rsidR="000613F1" w:rsidRPr="000613F1">
        <w:rPr>
          <w:i/>
        </w:rPr>
        <w:t>A várhatóan csökkenő és örege</w:t>
      </w:r>
      <w:r w:rsidR="000613F1" w:rsidRPr="00E74FC1">
        <w:rPr>
          <w:i/>
        </w:rPr>
        <w:t xml:space="preserve">dő vidéki népességen belül a foglalkoztatás csökkenését csak részben ellensúlyozza program, növekedés csak a nem-mezőgazdasági (tercier) foglalkoztatottságban várható. </w:t>
      </w:r>
      <w:r w:rsidR="00B04DD5" w:rsidRPr="00E03E1D">
        <w:t xml:space="preserve">Egyelőre az </w:t>
      </w:r>
      <w:proofErr w:type="spellStart"/>
      <w:r w:rsidR="00B04DD5" w:rsidRPr="00E03E1D">
        <w:t>ökonometriai</w:t>
      </w:r>
      <w:proofErr w:type="spellEnd"/>
      <w:r w:rsidR="00B04DD5" w:rsidRPr="00E03E1D">
        <w:t xml:space="preserve"> vizsgálatok valós hatásként nem igazolták vissza a munkaerő-felhasználás csökkenését</w:t>
      </w:r>
      <w:r w:rsidR="00E01015">
        <w:t xml:space="preserve">, ehelyett </w:t>
      </w:r>
      <w:r w:rsidR="00E01015" w:rsidRPr="00E01015">
        <w:rPr>
          <w:b/>
        </w:rPr>
        <w:t>változatlan munkaerő-felhasználást mutatott a hatásvizsgálat eredménye a lezárt projektek esetében</w:t>
      </w:r>
      <w:r w:rsidRPr="00E03E1D">
        <w:t>;</w:t>
      </w:r>
    </w:p>
    <w:p w:rsidR="00A817A4" w:rsidRPr="00E03E1D" w:rsidRDefault="00A817A4" w:rsidP="00D5521F">
      <w:pPr>
        <w:pStyle w:val="AAMNormal"/>
        <w:numPr>
          <w:ilvl w:val="0"/>
          <w:numId w:val="19"/>
        </w:numPr>
      </w:pPr>
      <w:r w:rsidRPr="00E03E1D">
        <w:rPr>
          <w:b/>
        </w:rPr>
        <w:t>a munkaerő termelékenysége a tengely fejlesztései hatására várhatóan növekedni fog a létszá</w:t>
      </w:r>
      <w:r w:rsidRPr="00E03E1D">
        <w:rPr>
          <w:b/>
        </w:rPr>
        <w:t>m</w:t>
      </w:r>
      <w:r w:rsidRPr="00E03E1D">
        <w:rPr>
          <w:b/>
        </w:rPr>
        <w:t>csökkenés miatt</w:t>
      </w:r>
      <w:r w:rsidRPr="00E03E1D">
        <w:t xml:space="preserve">, de ezt a már lezárt projektek </w:t>
      </w:r>
      <w:proofErr w:type="spellStart"/>
      <w:r w:rsidRPr="00E03E1D">
        <w:t>ökonometriai</w:t>
      </w:r>
      <w:proofErr w:type="spellEnd"/>
      <w:r w:rsidRPr="00E03E1D">
        <w:t xml:space="preserve"> vizsgálata egyelőre nem tudta meger</w:t>
      </w:r>
      <w:r w:rsidRPr="00E03E1D">
        <w:t>ő</w:t>
      </w:r>
      <w:r w:rsidRPr="00E03E1D">
        <w:t>síteni;</w:t>
      </w:r>
    </w:p>
    <w:p w:rsidR="00A817A4" w:rsidRPr="00E03E1D" w:rsidRDefault="00A817A4" w:rsidP="00D5521F">
      <w:pPr>
        <w:pStyle w:val="AAMNormal"/>
        <w:numPr>
          <w:ilvl w:val="0"/>
          <w:numId w:val="19"/>
        </w:numPr>
      </w:pPr>
      <w:r w:rsidRPr="00E03E1D">
        <w:rPr>
          <w:b/>
        </w:rPr>
        <w:lastRenderedPageBreak/>
        <w:t>a tengely intézkedései közül egyedül a 111 Szakképzési és tájékoztatási tevékenységek hatott a b</w:t>
      </w:r>
      <w:r w:rsidRPr="00E03E1D">
        <w:rPr>
          <w:b/>
        </w:rPr>
        <w:t>i</w:t>
      </w:r>
      <w:r w:rsidRPr="00E03E1D">
        <w:rPr>
          <w:b/>
        </w:rPr>
        <w:t>ológiai sokfélelég csökkenése ellen</w:t>
      </w:r>
      <w:r w:rsidRPr="00E03E1D">
        <w:t xml:space="preserve">, az AKG jogcímez kapcsolódó képzésekkel és tanácsadással, azonban ez a hatás közvetett jellege miatt nem </w:t>
      </w:r>
      <w:proofErr w:type="spellStart"/>
      <w:r w:rsidRPr="00E03E1D">
        <w:t>kvantifikálható</w:t>
      </w:r>
      <w:proofErr w:type="spellEnd"/>
      <w:r w:rsidRPr="00E03E1D">
        <w:t>;</w:t>
      </w:r>
    </w:p>
    <w:p w:rsidR="00A817A4" w:rsidRPr="00E03E1D" w:rsidRDefault="00A817A4" w:rsidP="00D5521F">
      <w:pPr>
        <w:pStyle w:val="AAMNormal"/>
        <w:numPr>
          <w:ilvl w:val="0"/>
          <w:numId w:val="19"/>
        </w:numPr>
      </w:pPr>
      <w:r w:rsidRPr="00E03E1D">
        <w:rPr>
          <w:b/>
        </w:rPr>
        <w:t>a tengely intézkedései nem relevánsak a Magas Természeti Értékű Területek fenntartása szempon</w:t>
      </w:r>
      <w:r w:rsidRPr="00E03E1D">
        <w:rPr>
          <w:b/>
        </w:rPr>
        <w:t>t</w:t>
      </w:r>
      <w:r w:rsidRPr="00E03E1D">
        <w:rPr>
          <w:b/>
        </w:rPr>
        <w:t>jából</w:t>
      </w:r>
      <w:r w:rsidRPr="00E03E1D">
        <w:t>, mert nem területek, hanem pontszerű fejlesztések támogatása volt a jellemző;</w:t>
      </w:r>
    </w:p>
    <w:p w:rsidR="00A817A4" w:rsidRPr="00E03E1D" w:rsidRDefault="00A817A4" w:rsidP="00D5521F">
      <w:pPr>
        <w:pStyle w:val="AAMNormal"/>
        <w:numPr>
          <w:ilvl w:val="0"/>
          <w:numId w:val="19"/>
        </w:numPr>
      </w:pPr>
      <w:r w:rsidRPr="00E03E1D">
        <w:rPr>
          <w:b/>
        </w:rPr>
        <w:t xml:space="preserve">a vízminőség javítását célozta a tengelyben 72 </w:t>
      </w:r>
      <w:proofErr w:type="spellStart"/>
      <w:r w:rsidRPr="00E03E1D">
        <w:rPr>
          <w:b/>
        </w:rPr>
        <w:t>mrd</w:t>
      </w:r>
      <w:proofErr w:type="spellEnd"/>
      <w:r w:rsidRPr="00E03E1D">
        <w:rPr>
          <w:b/>
        </w:rPr>
        <w:t xml:space="preserve"> Ft értékű beruházás az ÁTK jogcímen belül, de a valós hatás </w:t>
      </w:r>
      <w:r w:rsidR="00D11655">
        <w:rPr>
          <w:b/>
        </w:rPr>
        <w:t xml:space="preserve">csak majd a </w:t>
      </w:r>
      <w:proofErr w:type="spellStart"/>
      <w:r w:rsidR="00D11655">
        <w:rPr>
          <w:b/>
        </w:rPr>
        <w:t>hatásmonitoring</w:t>
      </w:r>
      <w:proofErr w:type="spellEnd"/>
      <w:r w:rsidR="00D11655">
        <w:rPr>
          <w:b/>
        </w:rPr>
        <w:t xml:space="preserve"> által feltárt adatok segítségével lesz visszaigazolható</w:t>
      </w:r>
      <w:r w:rsidRPr="00E03E1D">
        <w:t>.</w:t>
      </w:r>
    </w:p>
    <w:p w:rsidR="00A817A4" w:rsidRPr="00E03E1D" w:rsidRDefault="00A817A4" w:rsidP="00D5521F">
      <w:pPr>
        <w:pStyle w:val="AAMNormal"/>
        <w:numPr>
          <w:ilvl w:val="0"/>
          <w:numId w:val="19"/>
        </w:numPr>
      </w:pPr>
      <w:r w:rsidRPr="00E03E1D">
        <w:rPr>
          <w:b/>
        </w:rPr>
        <w:t xml:space="preserve">az éghajlatváltozás elleni küzdelmet elsősorban az ÁTK jogcím biogáz 72 </w:t>
      </w:r>
      <w:proofErr w:type="spellStart"/>
      <w:r w:rsidRPr="00E03E1D">
        <w:rPr>
          <w:b/>
        </w:rPr>
        <w:t>mrd</w:t>
      </w:r>
      <w:proofErr w:type="spellEnd"/>
      <w:r w:rsidRPr="00E03E1D">
        <w:rPr>
          <w:b/>
        </w:rPr>
        <w:t xml:space="preserve"> Ft értékű beruházásai szolgálták az üvegházhatású metán kibocsátásának csökkentésén és a fosszilis energiahordozók CO</w:t>
      </w:r>
      <w:r w:rsidRPr="00E03E1D">
        <w:rPr>
          <w:b/>
          <w:vertAlign w:val="subscript"/>
        </w:rPr>
        <w:t>2</w:t>
      </w:r>
      <w:r w:rsidRPr="00E03E1D">
        <w:rPr>
          <w:b/>
        </w:rPr>
        <w:t xml:space="preserve"> kibocsátásának kiváltása révén</w:t>
      </w:r>
      <w:r w:rsidRPr="00E03E1D">
        <w:t>.</w:t>
      </w:r>
    </w:p>
    <w:p w:rsidR="000E399D" w:rsidRPr="00E03E1D" w:rsidRDefault="000E399D" w:rsidP="000E399D">
      <w:pPr>
        <w:pStyle w:val="AAMNormal"/>
      </w:pPr>
      <w:r w:rsidRPr="00E03E1D">
        <w:t xml:space="preserve">A tengely értékeléséhez hozzátartozik a 2010.06.30-án már benyújtott kérelmek jellemzése is. A </w:t>
      </w:r>
      <w:fldSimple w:instr=" REF _Ref279368007  \* MERGEFORMAT ">
        <w:r w:rsidR="00987137">
          <w:rPr>
            <w:noProof/>
          </w:rPr>
          <w:t>2</w:t>
        </w:r>
      </w:fldSimple>
      <w:r w:rsidRPr="00E03E1D">
        <w:t xml:space="preserve">. tábla mutatja be a kérelmek megoszlását. Mint látható az I. tengelyben sorban álló 188 </w:t>
      </w:r>
      <w:proofErr w:type="spellStart"/>
      <w:r w:rsidRPr="00E03E1D">
        <w:t>mrd</w:t>
      </w:r>
      <w:proofErr w:type="spellEnd"/>
      <w:r w:rsidRPr="00E03E1D">
        <w:t xml:space="preserve"> Ft </w:t>
      </w:r>
      <w:proofErr w:type="gramStart"/>
      <w:r w:rsidRPr="00E03E1D">
        <w:t>kérelem jelentős</w:t>
      </w:r>
      <w:proofErr w:type="gramEnd"/>
      <w:r w:rsidRPr="00E03E1D">
        <w:t xml:space="preserve"> része (125 </w:t>
      </w:r>
      <w:proofErr w:type="spellStart"/>
      <w:r w:rsidRPr="00E03E1D">
        <w:t>mrd</w:t>
      </w:r>
      <w:proofErr w:type="spellEnd"/>
      <w:r w:rsidRPr="00E03E1D">
        <w:t xml:space="preserve"> Ft) az ÁTK III. jogcímhez kapcsolódik. A kérelmek adatainak összesítése alapján ezektől a fejlesztésektől is létszámcsökkentés (683 fő) várható, amennyiben minden </w:t>
      </w:r>
      <w:proofErr w:type="gramStart"/>
      <w:r w:rsidRPr="00E03E1D">
        <w:t>kérelem támogatást</w:t>
      </w:r>
      <w:proofErr w:type="gramEnd"/>
      <w:r w:rsidRPr="00E03E1D">
        <w:t xml:space="preserve"> nyer. A bír</w:t>
      </w:r>
      <w:r w:rsidRPr="00E03E1D">
        <w:t>á</w:t>
      </w:r>
      <w:r w:rsidRPr="00E03E1D">
        <w:t>lati folyamat hatására természetesen a várható hatás módosulhat, mert a bírálati szempontok a létszámb</w:t>
      </w:r>
      <w:r w:rsidRPr="00E03E1D">
        <w:t>ő</w:t>
      </w:r>
      <w:r w:rsidRPr="00E03E1D">
        <w:t>vítést preferálják. Az egyenleg a nagy gazdálkodók 1165 fős „vállalásából” és a mikro, kis, közepes gazdá</w:t>
      </w:r>
      <w:r w:rsidRPr="00E03E1D">
        <w:t>l</w:t>
      </w:r>
      <w:r w:rsidRPr="00E03E1D">
        <w:t>kodók létszámbővítési terveiből áll össze. Egyéb tekintetben az ÁTK III. jogcímtől is a korábbi ÁTK jogcímek hatásai várhatóak.</w:t>
      </w:r>
    </w:p>
    <w:p w:rsidR="000E399D" w:rsidRDefault="000E399D" w:rsidP="00A817A4">
      <w:pPr>
        <w:pStyle w:val="AAMNormal"/>
      </w:pPr>
    </w:p>
    <w:p w:rsidR="008A065B" w:rsidRDefault="008A065B" w:rsidP="00A817A4">
      <w:pPr>
        <w:pStyle w:val="AAMNormal"/>
      </w:pPr>
      <w:r>
        <w:t xml:space="preserve">A tengely értékelése kapcsán </w:t>
      </w:r>
      <w:r w:rsidR="008A5CF6">
        <w:t>válaszoljuk meg</w:t>
      </w:r>
      <w:r>
        <w:t xml:space="preserve"> a CMEF vonatkozó kérdéseit is.</w:t>
      </w:r>
    </w:p>
    <w:p w:rsidR="008A065B" w:rsidRPr="008A065B" w:rsidRDefault="008A065B" w:rsidP="008A065B">
      <w:pPr>
        <w:pStyle w:val="AAMNormal"/>
        <w:rPr>
          <w:i/>
        </w:rPr>
      </w:pPr>
      <w:r w:rsidRPr="008A065B">
        <w:rPr>
          <w:i/>
        </w:rPr>
        <w:t>A program milyen mértékben járult hozzá a mezőgazdasági ágazat szerkezetátalakításához és korszerűsít</w:t>
      </w:r>
      <w:r w:rsidRPr="008A065B">
        <w:rPr>
          <w:i/>
        </w:rPr>
        <w:t>é</w:t>
      </w:r>
      <w:r w:rsidRPr="008A065B">
        <w:rPr>
          <w:i/>
        </w:rPr>
        <w:t>séhez?</w:t>
      </w:r>
    </w:p>
    <w:p w:rsidR="008A065B" w:rsidRPr="00E03E1D" w:rsidRDefault="008A065B" w:rsidP="008A065B">
      <w:pPr>
        <w:jc w:val="both"/>
      </w:pPr>
      <w:r w:rsidRPr="00E03E1D">
        <w:t>Az értékelés megállapításai alapján, az intézkedések nagymértékben hozzájárultak a mezőgazdasági üz</w:t>
      </w:r>
      <w:r w:rsidRPr="00E03E1D">
        <w:t>e</w:t>
      </w:r>
      <w:r w:rsidRPr="00E03E1D">
        <w:t xml:space="preserve">mek korszerűsítéséhez. </w:t>
      </w:r>
      <w:proofErr w:type="gramStart"/>
      <w:r w:rsidRPr="00E03E1D">
        <w:t>Az IIER kötelezettségvállalási adatai azt mutatják, hogy a forráslekötések majdnem fele (355 Mrd Ft) a 121. intézkedést érintette, ezen belül is a környezeti előírásoknak és korszerű technol</w:t>
      </w:r>
      <w:r w:rsidRPr="00E03E1D">
        <w:t>ó</w:t>
      </w:r>
      <w:r w:rsidRPr="00E03E1D">
        <w:t>giáknak való megfelelést célul kitűző jogcímeket (pl.: Állattartó telepek korszerűsítése – 212 Mrd Ft, Gépb</w:t>
      </w:r>
      <w:r w:rsidRPr="00E03E1D">
        <w:t>e</w:t>
      </w:r>
      <w:r w:rsidRPr="00E03E1D">
        <w:t>szerzés – 76,7 Mrd Ft, Szárítók – 30 Mrd Ft, Kertészeti üzem fejlesztése – 14,6 Mrd Ft, Kertészeti gépek beszerzése – 10 Mrd Ft).</w:t>
      </w:r>
      <w:proofErr w:type="gramEnd"/>
      <w:r w:rsidRPr="00E03E1D">
        <w:t xml:space="preserve"> </w:t>
      </w:r>
    </w:p>
    <w:p w:rsidR="008A065B" w:rsidRPr="00E03E1D" w:rsidRDefault="00E02425" w:rsidP="008A065B">
      <w:pPr>
        <w:jc w:val="center"/>
      </w:pPr>
      <w:r w:rsidRPr="00E02425">
        <w:rPr>
          <w:noProof/>
        </w:rPr>
        <w:lastRenderedPageBreak/>
        <w:drawing>
          <wp:inline distT="0" distB="0" distL="0" distR="0">
            <wp:extent cx="4289153" cy="2748704"/>
            <wp:effectExtent l="19050" t="0" r="0" b="0"/>
            <wp:docPr id="27" name="Picture 1" descr="cid:image001.png@01CB92FF.25D6E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92FF.25D6EFF0"/>
                    <pic:cNvPicPr>
                      <a:picLocks noChangeAspect="1" noChangeArrowheads="1"/>
                    </pic:cNvPicPr>
                  </pic:nvPicPr>
                  <pic:blipFill>
                    <a:blip r:embed="rId18" r:link="rId19" cstate="print"/>
                    <a:srcRect/>
                    <a:stretch>
                      <a:fillRect/>
                    </a:stretch>
                  </pic:blipFill>
                  <pic:spPr bwMode="auto">
                    <a:xfrm>
                      <a:off x="0" y="0"/>
                      <a:ext cx="4315559" cy="2765626"/>
                    </a:xfrm>
                    <a:prstGeom prst="rect">
                      <a:avLst/>
                    </a:prstGeom>
                    <a:noFill/>
                    <a:ln w="9525">
                      <a:noFill/>
                      <a:miter lim="800000"/>
                      <a:headEnd/>
                      <a:tailEnd/>
                    </a:ln>
                  </pic:spPr>
                </pic:pic>
              </a:graphicData>
            </a:graphic>
          </wp:inline>
        </w:drawing>
      </w:r>
    </w:p>
    <w:p w:rsidR="008A065B" w:rsidRPr="00E03E1D" w:rsidRDefault="00CF0DD4" w:rsidP="008A065B">
      <w:pPr>
        <w:pStyle w:val="Caption"/>
        <w:spacing w:before="60" w:after="120" w:line="280" w:lineRule="atLeast"/>
        <w:jc w:val="center"/>
        <w:rPr>
          <w:color w:val="auto"/>
        </w:rPr>
      </w:pPr>
      <w:r w:rsidRPr="00E03E1D">
        <w:rPr>
          <w:color w:val="auto"/>
        </w:rPr>
        <w:fldChar w:fldCharType="begin"/>
      </w:r>
      <w:r w:rsidR="008A065B" w:rsidRPr="00E03E1D">
        <w:rPr>
          <w:color w:val="auto"/>
        </w:rPr>
        <w:instrText xml:space="preserve"> SEQ ábra \* ARABIC </w:instrText>
      </w:r>
      <w:r w:rsidRPr="00E03E1D">
        <w:rPr>
          <w:color w:val="auto"/>
        </w:rPr>
        <w:fldChar w:fldCharType="separate"/>
      </w:r>
      <w:r w:rsidR="0031770A">
        <w:rPr>
          <w:noProof/>
          <w:color w:val="auto"/>
        </w:rPr>
        <w:t>7</w:t>
      </w:r>
      <w:r w:rsidRPr="00E03E1D">
        <w:rPr>
          <w:color w:val="auto"/>
        </w:rPr>
        <w:fldChar w:fldCharType="end"/>
      </w:r>
      <w:r w:rsidR="008A065B" w:rsidRPr="00E03E1D">
        <w:rPr>
          <w:color w:val="auto"/>
        </w:rPr>
        <w:t>. ábra: Az I. tengely megítélt támogatásainak ágazati megoszlása</w:t>
      </w:r>
    </w:p>
    <w:p w:rsidR="008A065B" w:rsidRPr="00E03E1D" w:rsidRDefault="008A065B" w:rsidP="008A065B">
      <w:pPr>
        <w:jc w:val="both"/>
      </w:pPr>
      <w:r w:rsidRPr="00E03E1D">
        <w:t>Amint a fenti ábra is szemlélteti, a megítélt támogatások 53%-át lekötő I. (versenyképességi) tengely legn</w:t>
      </w:r>
      <w:r w:rsidRPr="00E03E1D">
        <w:t>a</w:t>
      </w:r>
      <w:r w:rsidRPr="00E03E1D">
        <w:t>gyobb támogatási összeget az állattenyésztésre nyújt (állattartó telepek korszerűsítése), míg a szerkezetvá</w:t>
      </w:r>
      <w:r w:rsidRPr="00E03E1D">
        <w:t>l</w:t>
      </w:r>
      <w:r w:rsidRPr="00E03E1D">
        <w:t>tást</w:t>
      </w:r>
      <w:r>
        <w:t xml:space="preserve"> még</w:t>
      </w:r>
      <w:r w:rsidRPr="00E03E1D">
        <w:t xml:space="preserve"> támogató kertészeti és élelmiszeripari szektor</w:t>
      </w:r>
      <w:r w:rsidR="008A5CF6">
        <w:t>ok</w:t>
      </w:r>
      <w:r w:rsidRPr="00E03E1D">
        <w:t xml:space="preserve"> a források egyharmadát birtokolják.</w:t>
      </w:r>
    </w:p>
    <w:p w:rsidR="008A065B" w:rsidRDefault="008A065B" w:rsidP="008A065B">
      <w:pPr>
        <w:jc w:val="both"/>
      </w:pPr>
      <w:r w:rsidRPr="00E03E1D">
        <w:t>A mezőgazdasági üzemek korszerűsítésére (121. intézkedés) kihelyezett nagymértékű forrás csak korlát</w:t>
      </w:r>
      <w:r w:rsidRPr="00E03E1D">
        <w:t>o</w:t>
      </w:r>
      <w:r w:rsidRPr="00E03E1D">
        <w:t xml:space="preserve">zott mértékben járult hozzá a szerkezetátalakításhoz. Ahogy korábban is jeleztük, az </w:t>
      </w:r>
      <w:r w:rsidR="009D0BC3">
        <w:t>állattenyésztés</w:t>
      </w:r>
      <w:r w:rsidRPr="00E03E1D">
        <w:t xml:space="preserve"> term</w:t>
      </w:r>
      <w:r w:rsidRPr="00E03E1D">
        <w:t>e</w:t>
      </w:r>
      <w:r w:rsidRPr="00E03E1D">
        <w:t>lési értékében inkább csak szinten tartás várható, mivel elsősorban környezetvédelmi és korszerűsítési b</w:t>
      </w:r>
      <w:r w:rsidRPr="00E03E1D">
        <w:t>e</w:t>
      </w:r>
      <w:r w:rsidRPr="00E03E1D">
        <w:t>ruházások valósultak meg, bővítés csak a felhasznált forrás 24%-ára jellemző. A kertészet, erdőgazdálkodás fejlesztésé</w:t>
      </w:r>
      <w:r>
        <w:t xml:space="preserve">re csak kisebb forrást jutott, ezért </w:t>
      </w:r>
      <w:r w:rsidRPr="00E03E1D">
        <w:t>ilyen irányban sem valószínű a termelési szerkezet elmozdul</w:t>
      </w:r>
      <w:r w:rsidRPr="00E03E1D">
        <w:t>á</w:t>
      </w:r>
      <w:r w:rsidRPr="00E03E1D">
        <w:t>sa.</w:t>
      </w:r>
    </w:p>
    <w:p w:rsidR="008A065B" w:rsidRPr="000E399D" w:rsidRDefault="008A065B" w:rsidP="000E399D">
      <w:pPr>
        <w:pStyle w:val="AAMNormal"/>
        <w:rPr>
          <w:i/>
        </w:rPr>
      </w:pPr>
      <w:r w:rsidRPr="000E399D">
        <w:rPr>
          <w:i/>
        </w:rPr>
        <w:t>A program milyen mértékben járult hozzá a magas minőségű és értéknövelt termékek továbbfejlesztéséhez?</w:t>
      </w:r>
    </w:p>
    <w:p w:rsidR="000E399D" w:rsidRDefault="008A065B" w:rsidP="008A065B">
      <w:pPr>
        <w:jc w:val="both"/>
      </w:pPr>
      <w:r w:rsidRPr="00E03E1D">
        <w:t>Az ÚMVP program elsődlegesen a fizikai erőforrások fejlesztését szolgáló intézkedéseivel célozta meg a m</w:t>
      </w:r>
      <w:r w:rsidRPr="00E03E1D">
        <w:t>a</w:t>
      </w:r>
      <w:r w:rsidRPr="00E03E1D">
        <w:t xml:space="preserve">gas </w:t>
      </w:r>
      <w:r w:rsidR="000E399D">
        <w:t>minőségű és értéknövelt termékportfólió kialakítását</w:t>
      </w:r>
      <w:r w:rsidRPr="00E03E1D">
        <w:t xml:space="preserve">. </w:t>
      </w:r>
    </w:p>
    <w:p w:rsidR="000E399D" w:rsidRDefault="008A065B" w:rsidP="008A065B">
      <w:pPr>
        <w:jc w:val="both"/>
      </w:pPr>
      <w:r w:rsidRPr="00E03E1D">
        <w:t>Az egyes intézkedések közül a 121. intézkedésen belül különösen a gépbeszerzés, az állattartó telepek ko</w:t>
      </w:r>
      <w:r w:rsidRPr="00E03E1D">
        <w:t>r</w:t>
      </w:r>
      <w:r w:rsidRPr="00E03E1D">
        <w:t xml:space="preserve">szerűsítése, az </w:t>
      </w:r>
      <w:proofErr w:type="gramStart"/>
      <w:r w:rsidRPr="00E03E1D">
        <w:t>ültetvénytele</w:t>
      </w:r>
      <w:r w:rsidR="000E399D">
        <w:t>pítés</w:t>
      </w:r>
      <w:r w:rsidR="000E399D">
        <w:rPr>
          <w:rStyle w:val="FootnoteReference"/>
        </w:rPr>
        <w:footnoteReference w:id="30"/>
      </w:r>
      <w:r w:rsidRPr="00E03E1D">
        <w:t>,</w:t>
      </w:r>
      <w:proofErr w:type="gramEnd"/>
      <w:r w:rsidRPr="00E03E1D">
        <w:t xml:space="preserve"> a 123. intézkedés (megítélt támogatás 78 623 586 645 Ft) célkitűzése kapcsolódik a minőség emeléséhez és az értéknöveléshez. </w:t>
      </w:r>
    </w:p>
    <w:p w:rsidR="000E399D" w:rsidRDefault="000E399D" w:rsidP="008A065B">
      <w:pPr>
        <w:jc w:val="both"/>
      </w:pPr>
      <w:r>
        <w:t>Továbbá a</w:t>
      </w:r>
      <w:r w:rsidR="008A065B" w:rsidRPr="00E03E1D">
        <w:t xml:space="preserve"> 142. intézkedés belső szabályozásában előírja a termelői csoportok számára, hogy működési programjuk határozza meg a termékminőség javításával kapcsolatos feladatukat. </w:t>
      </w:r>
    </w:p>
    <w:p w:rsidR="008A065B" w:rsidRDefault="008A065B" w:rsidP="008A065B">
      <w:pPr>
        <w:jc w:val="both"/>
      </w:pPr>
      <w:r w:rsidRPr="00E03E1D">
        <w:t xml:space="preserve">Az FVM (VM) által az 1997. évi CXIV tv. </w:t>
      </w:r>
      <w:proofErr w:type="gramStart"/>
      <w:r w:rsidRPr="00E03E1D">
        <w:t>előírása</w:t>
      </w:r>
      <w:proofErr w:type="gramEnd"/>
      <w:r w:rsidRPr="00E03E1D">
        <w:t xml:space="preserve"> szerint évente elkészítendő - az agrárgazdaság helyzetéről szóló, a Parlamenthez benyújtásra kerülő - éves jelentése évről évre megállapítja, hogy az ágazati árbevéte</w:t>
      </w:r>
      <w:r w:rsidRPr="00E03E1D">
        <w:t>l</w:t>
      </w:r>
      <w:r w:rsidRPr="00E03E1D">
        <w:t xml:space="preserve">ben az alacsony hozzáadott értékű termékek dominálnak. Azt, hogy e negatív tendenciát mennyiben képes megfordítani a program, a megvalósuló fejlesztések e szempont szerinti </w:t>
      </w:r>
      <w:proofErr w:type="spellStart"/>
      <w:r w:rsidRPr="00E03E1D">
        <w:t>monitoringja</w:t>
      </w:r>
      <w:proofErr w:type="spellEnd"/>
      <w:r w:rsidRPr="00E03E1D">
        <w:t>, adatszolgáltatása nélkül nehéz meghatározni. Tekintettel arra, hogy a monitoring adatszolgáltatás a fejlesztés ilyen jellegű hatásaira nem terjedt ki, a program hatása csak a jövőben, célirányosan gyűjtött és feldolgozott monitoring adatokkal állapítható meg.</w:t>
      </w:r>
    </w:p>
    <w:p w:rsidR="000E399D" w:rsidRDefault="000E399D" w:rsidP="008A065B">
      <w:pPr>
        <w:jc w:val="both"/>
      </w:pPr>
      <w:r>
        <w:lastRenderedPageBreak/>
        <w:t>Ugyanakkor megállapítható, hogy bár a</w:t>
      </w:r>
      <w:r w:rsidRPr="00E03E1D">
        <w:t xml:space="preserve"> termelési alapok és techno</w:t>
      </w:r>
      <w:r>
        <w:t xml:space="preserve">lógiák 121. intézkedésből megvalósuló </w:t>
      </w:r>
      <w:r w:rsidRPr="00E03E1D">
        <w:t>fejlesztése önmagában minőségjavulást és ezzel együtt értéknövelést eredményez</w:t>
      </w:r>
      <w:r>
        <w:t xml:space="preserve">, </w:t>
      </w:r>
      <w:r w:rsidRPr="00E03E1D">
        <w:t>tudatos ösztönzést, ille</w:t>
      </w:r>
      <w:r w:rsidRPr="00E03E1D">
        <w:t>t</w:t>
      </w:r>
      <w:r w:rsidRPr="00E03E1D">
        <w:t>ve preferenciát e szempont érvényesítése érdekében az adott intézkedést meghirdető FVM rendelet lény</w:t>
      </w:r>
      <w:r w:rsidRPr="00E03E1D">
        <w:t>e</w:t>
      </w:r>
      <w:r w:rsidRPr="00E03E1D">
        <w:t>gében nem tartalmaz. (Ugyan értékelési szempont volt az, hogy a beruházás, fejlesztés egy komplex strat</w:t>
      </w:r>
      <w:r w:rsidRPr="00E03E1D">
        <w:t>é</w:t>
      </w:r>
      <w:r w:rsidRPr="00E03E1D">
        <w:t>gia része, ám ez még önmagában nem jelent minőségfej</w:t>
      </w:r>
      <w:r>
        <w:t>lesztést vagy értéknövelést</w:t>
      </w:r>
      <w:r w:rsidRPr="00E03E1D">
        <w:t>)</w:t>
      </w:r>
      <w:r>
        <w:t>. Ez alapján a hatás mértéke kérdéses ezen intézkedés kapcsán.</w:t>
      </w:r>
    </w:p>
    <w:p w:rsidR="008A065B" w:rsidRPr="000E399D" w:rsidRDefault="008A065B" w:rsidP="000E399D">
      <w:pPr>
        <w:pStyle w:val="AAMNormal"/>
        <w:rPr>
          <w:i/>
        </w:rPr>
      </w:pPr>
      <w:r w:rsidRPr="000E399D">
        <w:rPr>
          <w:i/>
        </w:rPr>
        <w:t>A program milyen mértékben járult hozzá egy erős és dinamikus európai mezőgazdasági élelmiszeripari ágazat előmozdításához?</w:t>
      </w:r>
    </w:p>
    <w:p w:rsidR="008A065B" w:rsidRPr="00E03E1D" w:rsidRDefault="008A065B" w:rsidP="008A065B">
      <w:pPr>
        <w:jc w:val="both"/>
      </w:pPr>
      <w:r w:rsidRPr="00E03E1D">
        <w:t>A program elsősorban a mezőgazdasági termékek értéknövelése (123. intézkedés, illetve 121.5 intézkedés /diverzifikáció/, 78 623 586 645 Ft megítélt támogatás</w:t>
      </w:r>
      <w:r>
        <w:t xml:space="preserve"> – ez az I. tengely megítélt támogatásainak a 16%-a</w:t>
      </w:r>
      <w:r w:rsidRPr="00E03E1D">
        <w:t>) és a termelői csoportok támogatása (142. intézkedés 1 740 000 000 Ft megítélt támogatás) jogcímeken keresztül kívánta elősegíteni az erős és dinamikus mezőgazdasági élelmiszeripari ágazat kialakítását. A cél elérése a termékpálya mentén történő harmonikus együttműködést feltételezi, ennek kialakulását ugyana</w:t>
      </w:r>
      <w:r w:rsidRPr="00E03E1D">
        <w:t>k</w:t>
      </w:r>
      <w:r w:rsidRPr="00E03E1D">
        <w:t>kor az intézkedésekben foglalt preferenciák csak kevéssé voltak képesek ösztönözni.</w:t>
      </w:r>
    </w:p>
    <w:p w:rsidR="008A065B" w:rsidRPr="00E03E1D" w:rsidRDefault="008A065B" w:rsidP="008A065B">
      <w:pPr>
        <w:jc w:val="both"/>
      </w:pPr>
      <w:r w:rsidRPr="00E03E1D">
        <w:t>A mezőgazdasági termékek értéknövelése intézkedés 2008. évi indítása következtében a hatás mérésére kevés adat áll rendelkezésre. Az agrárágazat 2009. évi helyzetéről szóló VM jelentés tükrében a program hatása ellentmondásosnak tűnhet, hiszen a preferált ágazatok egy részében (bor, keverék-takarmány, hú</w:t>
      </w:r>
      <w:r w:rsidRPr="00E03E1D">
        <w:t>s</w:t>
      </w:r>
      <w:r w:rsidRPr="00E03E1D">
        <w:t>feldolgozás, malomipar) növekedés történt, más iparágakban (tej, baromfi- és húskészítmények, gyümölcs- és zöldségfeldolgozás) csökkenést regisztráltak. Ugyanakkor a jelentés a költségszerkezet elemzése során megállapítja, hogy a mezőgazdasági alapanyag költségek csökkenése az élelmiszeripar eredményének jav</w:t>
      </w:r>
      <w:r w:rsidRPr="00E03E1D">
        <w:t>u</w:t>
      </w:r>
      <w:r w:rsidRPr="00E03E1D">
        <w:t xml:space="preserve">lásában alapvető elem. Ez semmiképpen nem támasztja alá annak következetes érvényesülését, amit az intézkedés értékelési rendszere azzal sugallt, hogy a termékpálya mentén történő együttműködést az üzleti </w:t>
      </w:r>
      <w:proofErr w:type="gramStart"/>
      <w:r w:rsidRPr="00E03E1D">
        <w:t>terv jelentős</w:t>
      </w:r>
      <w:proofErr w:type="gramEnd"/>
      <w:r w:rsidRPr="00E03E1D">
        <w:t xml:space="preserve"> (9%-os) súllyal vette figyelembe, és a feldolgozónak az értékesítés árbevételével összhangban lévő mezőgazdasági alapanyag hátterének bemutatását a mezőgazdasági termelők piaci helyzetének javít</w:t>
      </w:r>
      <w:r w:rsidRPr="00E03E1D">
        <w:t>á</w:t>
      </w:r>
      <w:r w:rsidRPr="00E03E1D">
        <w:t xml:space="preserve">sával együtt kellett bemutatni. </w:t>
      </w:r>
    </w:p>
    <w:p w:rsidR="008A065B" w:rsidRDefault="008A065B" w:rsidP="008A065B">
      <w:pPr>
        <w:jc w:val="both"/>
      </w:pPr>
      <w:r w:rsidRPr="00E03E1D">
        <w:t>A 121.5 intézkedés a diverzifikációval, a 142. intézkedés pedig elvileg a termelői csoportok megerősítésén keresztül elősegítheti a mezőgazdasági érdekeltségen alapuló élelmiszeripari ágazat megerősödését. Az intézkedések ugyanakkor ezt a célt nem tudták előmozdítani, amiben egyfelől szerepet játszik az, hogy a diverzifikációs jogcímnél a termelői csoportok az értékelésnél hátrányban voltak a tagjaikkal szemben, illet</w:t>
      </w:r>
      <w:r w:rsidRPr="00E03E1D">
        <w:t>ő</w:t>
      </w:r>
      <w:r w:rsidRPr="00E03E1D">
        <w:t>leg a 142. intézkedés forrásai jelentősebb értéknövelést célzó beruházás önerejéhez kevés volt. Ezért a termelői csoportok meghatározó hányada a termény nagykereskedelmi funkció teljesítésére képes csak.</w:t>
      </w:r>
    </w:p>
    <w:p w:rsidR="008A065B" w:rsidRPr="000E399D" w:rsidRDefault="008A065B" w:rsidP="000E399D">
      <w:pPr>
        <w:jc w:val="both"/>
        <w:rPr>
          <w:i/>
        </w:rPr>
      </w:pPr>
      <w:r w:rsidRPr="000E399D">
        <w:rPr>
          <w:i/>
        </w:rPr>
        <w:t>A program milyen mértékben járult hozzá az európai mezőgazdasági-élelmiszeripari ágazatban az innováció elősegítéséhez?</w:t>
      </w:r>
    </w:p>
    <w:p w:rsidR="008A065B" w:rsidRDefault="008A065B" w:rsidP="008A065B">
      <w:pPr>
        <w:jc w:val="both"/>
      </w:pPr>
      <w:r w:rsidRPr="00E03E1D">
        <w:t>A program, általános céljaival, valamint az ÚMVST céljaival összhangban, a szellemi és fizikai erőforrások fejlesztése révén segítheti elő az innovációt. A fizikai erőforrások fejlesztése, a műszaki-technológiai fejles</w:t>
      </w:r>
      <w:r w:rsidRPr="00E03E1D">
        <w:t>z</w:t>
      </w:r>
      <w:r w:rsidRPr="00E03E1D">
        <w:t>tések mindenképpen a mezőgazdasági ágazat innovációját képviselik. Ugyanakkor a program intézkedése</w:t>
      </w:r>
      <w:r w:rsidRPr="00E03E1D">
        <w:t>i</w:t>
      </w:r>
      <w:r w:rsidRPr="00E03E1D">
        <w:t>ben elsősorban már meglévő, és máshol megvalósult gépek, berendezések beszerzésére, technológiai fe</w:t>
      </w:r>
      <w:r w:rsidRPr="00E03E1D">
        <w:t>j</w:t>
      </w:r>
      <w:r w:rsidRPr="00E03E1D">
        <w:t>lesztések megvalósulására, alkalmazására került sor. Ezt a jogcímeket meghirdető jogszabályok azzal is befolyásolták, hogy egyfelől az innováció és K+F hasznosítás a mezőgazdasági termékek értéknövelése és a nyersszesz intézkedéseket leszámítva egy intézkedésnél sem szerepelt szempontként, másfelől a többi b</w:t>
      </w:r>
      <w:r w:rsidRPr="00E03E1D">
        <w:t>e</w:t>
      </w:r>
      <w:r w:rsidRPr="00E03E1D">
        <w:t>ruházási intézkedésnél gépkatalógus alkalmazásával meglévő berendezések beszerzésére késztették a p</w:t>
      </w:r>
      <w:r w:rsidRPr="00E03E1D">
        <w:t>á</w:t>
      </w:r>
      <w:r w:rsidRPr="00E03E1D">
        <w:t>lyázókat, hiszen a gépkatalóguson kívüli eszközök elismertetése kockázatot jelentett a pályázónak.</w:t>
      </w:r>
    </w:p>
    <w:p w:rsidR="00A817A4" w:rsidRPr="008A5CF6" w:rsidRDefault="00A817A4" w:rsidP="00D5521F">
      <w:pPr>
        <w:pStyle w:val="HUNHeading2"/>
        <w:numPr>
          <w:ilvl w:val="1"/>
          <w:numId w:val="32"/>
        </w:numPr>
        <w:ind w:hanging="792"/>
      </w:pPr>
      <w:bookmarkStart w:id="18" w:name="_Toc278535734"/>
      <w:bookmarkStart w:id="19" w:name="_Toc280788351"/>
      <w:r w:rsidRPr="008A5CF6">
        <w:lastRenderedPageBreak/>
        <w:t>A II. tengely értékelése</w:t>
      </w:r>
      <w:bookmarkEnd w:id="18"/>
      <w:bookmarkEnd w:id="19"/>
    </w:p>
    <w:p w:rsidR="00A817A4" w:rsidRPr="00E03E1D" w:rsidRDefault="00A817A4" w:rsidP="00A817A4">
      <w:pPr>
        <w:pStyle w:val="AAMNormal"/>
        <w:rPr>
          <w:b/>
        </w:rPr>
      </w:pPr>
      <w:bookmarkStart w:id="20" w:name="OLE_LINK1"/>
      <w:bookmarkStart w:id="21" w:name="OLE_LINK2"/>
      <w:r w:rsidRPr="00E03E1D">
        <w:rPr>
          <w:b/>
        </w:rPr>
        <w:t>Az ÚMVP II. tengelye (A környezet és a vidék fejlesztése) a vidéki környezet javítását célozta a megfelelő földhasználat támogatásán keresztül.</w:t>
      </w:r>
    </w:p>
    <w:p w:rsidR="00A817A4" w:rsidRPr="00E03E1D" w:rsidRDefault="00A817A4" w:rsidP="00A817A4">
      <w:pPr>
        <w:pStyle w:val="AAMNormal"/>
      </w:pPr>
      <w:r w:rsidRPr="00E03E1D">
        <w:t>A tengely a fenntartható gazdálkodás elterjedését kívánta ösztönözni, amely alatt az ÚMVST szerint a term</w:t>
      </w:r>
      <w:r w:rsidRPr="00E03E1D">
        <w:t>é</w:t>
      </w:r>
      <w:r w:rsidRPr="00E03E1D">
        <w:t>szeti erőforrásokhoz, a tájhoz, az élőhelyekhez, a környezet adottságaihoz és korlátaihoz, minőségük javít</w:t>
      </w:r>
      <w:r w:rsidRPr="00E03E1D">
        <w:t>á</w:t>
      </w:r>
      <w:r w:rsidRPr="00E03E1D">
        <w:t>sához illeszkedő földhasználati rendszer megvalósítását kell érteni. A támogatások hatásaként a Stratégia a biológiai sokféleség, a kiemelt természeti értékek védelmének tovább erősítését, mindezeken keresztül p</w:t>
      </w:r>
      <w:r w:rsidRPr="00E03E1D">
        <w:t>e</w:t>
      </w:r>
      <w:r w:rsidRPr="00E03E1D">
        <w:t xml:space="preserve">dig a vidéki térségek vonzerejének növekedését is várja. </w:t>
      </w:r>
    </w:p>
    <w:p w:rsidR="00A817A4" w:rsidRPr="00E03E1D" w:rsidRDefault="00A817A4" w:rsidP="00A817A4">
      <w:pPr>
        <w:pStyle w:val="AAMNormal"/>
      </w:pPr>
      <w:r w:rsidRPr="00E03E1D">
        <w:t>A Stratégia továbbá kimondja, hogy „a Program biztosítja Víz Keretirányelv megvalósulását”.</w:t>
      </w:r>
    </w:p>
    <w:p w:rsidR="00A817A4" w:rsidRDefault="00A817A4" w:rsidP="00A817A4">
      <w:pPr>
        <w:pStyle w:val="AAMNormal"/>
      </w:pPr>
      <w:r w:rsidRPr="00E03E1D">
        <w:t>A célokat a Program 11 intézkedésen keresztül valósítja meg, amelyből 2010.06.30-ig kilenc intézkedésben nyíltak meg jogcímek.</w:t>
      </w:r>
    </w:p>
    <w:p w:rsidR="00EF0D1C" w:rsidRPr="00E03E1D" w:rsidRDefault="00EF0D1C" w:rsidP="00EF0D1C">
      <w:pPr>
        <w:pStyle w:val="AAMNormal"/>
      </w:pPr>
      <w:r>
        <w:t>A hatásvizsgálatok eredményeinek megalapozása érdekében röviden jellemezzük az egyes intézkedések forrásfelhasználását és legfontosabb output mutatóit. Az egyes intézkedéseket eltérő részletezettséggel mutatjuk be, koncentrálva azokra, amelyek a hatásvizsgálatok szempontjából meghatározóak voltak.</w:t>
      </w:r>
    </w:p>
    <w:p w:rsidR="00EF0D1C" w:rsidRPr="00E03E1D" w:rsidRDefault="00EF0D1C" w:rsidP="00A817A4">
      <w:pPr>
        <w:pStyle w:val="AAMNormal"/>
      </w:pPr>
    </w:p>
    <w:p w:rsidR="00A817A4" w:rsidRPr="00E03E1D" w:rsidRDefault="00A817A4" w:rsidP="00A817A4">
      <w:pPr>
        <w:pStyle w:val="AAMNormal"/>
      </w:pPr>
      <w:r w:rsidRPr="00E03E1D">
        <w:t xml:space="preserve">A II. tengelyben a legnagyobb forrást a </w:t>
      </w:r>
      <w:r w:rsidRPr="00E03E1D">
        <w:rPr>
          <w:b/>
        </w:rPr>
        <w:t>214 Agrár-környezetvédelmi kifizetések intézkedés</w:t>
      </w:r>
      <w:r w:rsidRPr="00E03E1D">
        <w:t xml:space="preserve"> kötötte le, 228 343 334 978 Ft kötelezettségvállalással. Ez meghaladja az intézkedés indikatív keretét, elsősorban azért, mert a kötelezettséget a 2009-ben induló intézkedés öt éves időtartamra vállalta. A különbözetet a 2014 </w:t>
      </w:r>
      <w:proofErr w:type="spellStart"/>
      <w:r w:rsidRPr="00E03E1D">
        <w:t>ben</w:t>
      </w:r>
      <w:proofErr w:type="spellEnd"/>
      <w:r w:rsidRPr="00E03E1D">
        <w:t xml:space="preserve"> induló új költségvetési időszak EU-s forrásai finanszírozhatják majd EMVA determinációként. Erre az előkészítési tárgyalások alapján remény van, sőt a környezeti, természeti értékek megőrzését szolgáló tám</w:t>
      </w:r>
      <w:r w:rsidRPr="00E03E1D">
        <w:t>o</w:t>
      </w:r>
      <w:r w:rsidRPr="00E03E1D">
        <w:t>gatási programok súlyának növekedése várható.</w:t>
      </w:r>
    </w:p>
    <w:p w:rsidR="00A817A4" w:rsidRPr="00E03E1D" w:rsidRDefault="00A817A4" w:rsidP="00A817A4">
      <w:pPr>
        <w:pStyle w:val="AAMNormal"/>
      </w:pPr>
      <w:r w:rsidRPr="00EF0D1C">
        <w:t>Az intézkedés 21 célprogramot hirdetett meg, amelyekből 9 az ország teljes területén (horizontális célpro</w:t>
      </w:r>
      <w:r w:rsidRPr="00EF0D1C">
        <w:t>g</w:t>
      </w:r>
      <w:r w:rsidRPr="00EF0D1C">
        <w:t>ram), 12 pedig csak kijelölt területeken volt elérhető (zonális célprogram). Az intézkedés összesen 1 151 100 hektárnyi területet támogatott. Látható, hogy az új program több mint 40%-os forrásle</w:t>
      </w:r>
      <w:r w:rsidR="00074882" w:rsidRPr="00EF0D1C">
        <w:t>bővítés</w:t>
      </w:r>
      <w:r w:rsidRPr="00EF0D1C">
        <w:t xml:space="preserve"> mellett 12 </w:t>
      </w:r>
      <w:proofErr w:type="spellStart"/>
      <w:r w:rsidRPr="00EF0D1C">
        <w:t>%-al</w:t>
      </w:r>
      <w:proofErr w:type="spellEnd"/>
      <w:r w:rsidRPr="00EF0D1C">
        <w:t xml:space="preserve"> kevesebb területi érintettséget, illetve 32%-al kevesebb gazdálkodó bevonását </w:t>
      </w:r>
      <w:proofErr w:type="gramStart"/>
      <w:r w:rsidRPr="00EF0D1C">
        <w:t>eredményezte</w:t>
      </w:r>
      <w:proofErr w:type="gramEnd"/>
      <w:r w:rsidRPr="00EF0D1C">
        <w:t xml:space="preserve"> mint a Nemzeti Vidékfejlesztési Terv (NVT) hasonló programja. Ezek az eredmények</w:t>
      </w:r>
      <w:r w:rsidR="00EF0D1C" w:rsidRPr="00EF0D1C">
        <w:t xml:space="preserve"> három</w:t>
      </w:r>
      <w:r w:rsidRPr="00EF0D1C">
        <w:t xml:space="preserve"> okból adódnak, </w:t>
      </w:r>
      <w:r w:rsidR="00EF0D1C" w:rsidRPr="00EF0D1C">
        <w:t xml:space="preserve">egyrészt egyes korábbi célprogramok más forrásból kerültek finanszírozásra, </w:t>
      </w:r>
      <w:proofErr w:type="spellStart"/>
      <w:r w:rsidR="00EF0D1C" w:rsidRPr="00EF0D1C">
        <w:t>más</w:t>
      </w:r>
      <w:r w:rsidRPr="00EF0D1C">
        <w:t>szről</w:t>
      </w:r>
      <w:proofErr w:type="spellEnd"/>
      <w:r w:rsidRPr="00EF0D1C">
        <w:t xml:space="preserve"> a támogatások mértéke fajl</w:t>
      </w:r>
      <w:r w:rsidRPr="00EF0D1C">
        <w:t>a</w:t>
      </w:r>
      <w:r w:rsidRPr="00EF0D1C">
        <w:t xml:space="preserve">gosan nőtt, </w:t>
      </w:r>
      <w:r w:rsidR="00EF0D1C" w:rsidRPr="00EF0D1C">
        <w:t>harmad</w:t>
      </w:r>
      <w:r w:rsidRPr="00EF0D1C">
        <w:t>részről pedig a támogatás egyértelműen koncentráltabban jelenik meg kevesebb gazdá</w:t>
      </w:r>
      <w:r w:rsidRPr="00EF0D1C">
        <w:t>l</w:t>
      </w:r>
      <w:r w:rsidRPr="00EF0D1C">
        <w:t>kodónál, vagyis jelentősen kisebb területen sokkal nagyobb forrás kerül felhasználásra. Ez részben a bi</w:t>
      </w:r>
      <w:r w:rsidRPr="00EF0D1C">
        <w:t>r</w:t>
      </w:r>
      <w:r w:rsidRPr="00EF0D1C">
        <w:t>tokméretek növekedésével, részben pedig a kisebb méretű gazdaságoknak - a komoly adminisztratív köte</w:t>
      </w:r>
      <w:r w:rsidRPr="00EF0D1C">
        <w:t>l</w:t>
      </w:r>
      <w:r w:rsidRPr="00EF0D1C">
        <w:t xml:space="preserve">mek miatti - kiesésével magyarázható. </w:t>
      </w:r>
      <w:r w:rsidR="00074882" w:rsidRPr="00EF0D1C">
        <w:t>A Program környezeti hatása – alapvetően amiatt, hogy 2010. 08.</w:t>
      </w:r>
      <w:r w:rsidR="00074882">
        <w:t xml:space="preserve"> 31-én zárult le az UMVP-AKG első éve – jelenleg még</w:t>
      </w:r>
      <w:r w:rsidR="00074882" w:rsidRPr="00E03E1D">
        <w:t xml:space="preserve"> </w:t>
      </w:r>
      <w:r w:rsidR="00074882">
        <w:t>nem értékelhető. Mindazonáltal a környezeti hatáso</w:t>
      </w:r>
      <w:r w:rsidR="00074882">
        <w:t>k</w:t>
      </w:r>
      <w:r w:rsidR="00074882">
        <w:t>nak a program befejezésekor történő értékelési lehetőségét meglehetősen problémásnak látjuk amiatt, hogy kifejezetten az AKG környezeti hatásait monitorozó rendszer még nem működik, és még a szükséges alapá</w:t>
      </w:r>
      <w:r w:rsidR="00074882">
        <w:t>l</w:t>
      </w:r>
      <w:r w:rsidR="00074882">
        <w:t xml:space="preserve">lapot-felvételezések sem történtek meg. </w:t>
      </w:r>
      <w:r w:rsidRPr="00EF0D1C">
        <w:t>A területek csökkenése abban az esetben mondható pozitív vált</w:t>
      </w:r>
      <w:r w:rsidRPr="00EF0D1C">
        <w:t>o</w:t>
      </w:r>
      <w:r w:rsidRPr="00EF0D1C">
        <w:t>zásnak, amennyiben mérhető lenne, hogy a kisebb területen hatékonyabb környezeti hasznosulást ér el a Program.</w:t>
      </w:r>
    </w:p>
    <w:p w:rsidR="00A817A4" w:rsidRPr="00E03E1D" w:rsidRDefault="00A817A4" w:rsidP="00A817A4">
      <w:pPr>
        <w:pStyle w:val="AAMNormal"/>
      </w:pPr>
      <w:r w:rsidRPr="00E03E1D">
        <w:t xml:space="preserve">Legmeghatározóbb az </w:t>
      </w:r>
      <w:r w:rsidR="00EF0D1C">
        <w:t xml:space="preserve">intézkedésen belül az </w:t>
      </w:r>
      <w:r w:rsidRPr="00E03E1D">
        <w:t xml:space="preserve">Integrált szántóföldi növénytermesztési célprogram volt, amely több mint 25,5 milliárd Ft forrást köt le évente és 615 328 hektárra terjed ki. Ez az intézkedés keretében támogatott területek 53,5%-ának felel meg. </w:t>
      </w:r>
      <w:proofErr w:type="gramStart"/>
      <w:r w:rsidRPr="00E03E1D">
        <w:t>Ezt követte méretben az extenzív Gyepgazdálkodási célprogram 4,4 milliárd Ft/év lekötött forrással, 169 041 hektárnyi területtel (14,7%), a Gyepgazdálkodás túzok élőhely-fejlesztési előírásokkal célprogram 3 milliárd Ft/év lekötött forrással 78 229 hektár területtel (6,8%), az I</w:t>
      </w:r>
      <w:r w:rsidRPr="00E03E1D">
        <w:t>n</w:t>
      </w:r>
      <w:r w:rsidRPr="00E03E1D">
        <w:lastRenderedPageBreak/>
        <w:t>tegrált gyümölcs és szőlőtermesztés célprogram 8,8 milliárd Ft/év kötelezettségvállalással (63 587 hektár, 5,52%), illetve a Szántóföldi növénytermesztés túzok élőhely-fejlesztési előírásokkal célprogram (60 594 hektár, 5,26%).</w:t>
      </w:r>
      <w:proofErr w:type="gramEnd"/>
      <w:r w:rsidRPr="00E03E1D">
        <w:t xml:space="preserve"> A többi célprogram által támogatott területek az intézkedés által támogatott területek 20%-ánál kisebb területét érintette, és részesedésük területben egyenként is 5% alatt maradt.</w:t>
      </w:r>
    </w:p>
    <w:p w:rsidR="00A817A4" w:rsidRPr="00E03E1D" w:rsidRDefault="00A817A4" w:rsidP="00A817A4">
      <w:pPr>
        <w:pStyle w:val="AAMNormal"/>
      </w:pPr>
      <w:r w:rsidRPr="00E03E1D">
        <w:t>A célprogramok által támogatott területek arányát a következő táblázat mutatja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701"/>
        <w:gridCol w:w="1559"/>
        <w:gridCol w:w="1616"/>
      </w:tblGrid>
      <w:tr w:rsidR="00A817A4" w:rsidRPr="00E03E1D" w:rsidTr="000759A6">
        <w:trPr>
          <w:cantSplit/>
          <w:tblHeader/>
        </w:trPr>
        <w:tc>
          <w:tcPr>
            <w:tcW w:w="4503" w:type="dxa"/>
            <w:shd w:val="clear" w:color="auto" w:fill="C0504D"/>
            <w:vAlign w:val="center"/>
          </w:tcPr>
          <w:p w:rsidR="00A817A4" w:rsidRPr="00E03E1D" w:rsidRDefault="00A817A4" w:rsidP="000759A6">
            <w:pPr>
              <w:pStyle w:val="AAMNormal"/>
              <w:jc w:val="center"/>
              <w:rPr>
                <w:b/>
                <w:bCs/>
                <w:color w:val="FFFFFF"/>
                <w:sz w:val="18"/>
                <w:szCs w:val="18"/>
              </w:rPr>
            </w:pPr>
            <w:r w:rsidRPr="00E03E1D">
              <w:rPr>
                <w:b/>
                <w:bCs/>
                <w:color w:val="FFFFFF"/>
                <w:sz w:val="18"/>
                <w:szCs w:val="18"/>
              </w:rPr>
              <w:t>Célprogram neve</w:t>
            </w:r>
          </w:p>
        </w:tc>
        <w:tc>
          <w:tcPr>
            <w:tcW w:w="1701" w:type="dxa"/>
            <w:shd w:val="clear" w:color="auto" w:fill="C0504D"/>
            <w:vAlign w:val="center"/>
          </w:tcPr>
          <w:p w:rsidR="00A817A4" w:rsidRPr="00E03E1D" w:rsidRDefault="00A817A4" w:rsidP="000759A6">
            <w:pPr>
              <w:pStyle w:val="AAMNormal"/>
              <w:jc w:val="center"/>
              <w:rPr>
                <w:b/>
                <w:bCs/>
                <w:color w:val="FFFFFF"/>
                <w:sz w:val="18"/>
                <w:szCs w:val="18"/>
              </w:rPr>
            </w:pPr>
            <w:r w:rsidRPr="00E03E1D">
              <w:rPr>
                <w:b/>
                <w:bCs/>
                <w:color w:val="FFFFFF"/>
                <w:sz w:val="18"/>
                <w:szCs w:val="18"/>
              </w:rPr>
              <w:t>A célprogram elé</w:t>
            </w:r>
            <w:r w:rsidRPr="00E03E1D">
              <w:rPr>
                <w:b/>
                <w:bCs/>
                <w:color w:val="FFFFFF"/>
                <w:sz w:val="18"/>
                <w:szCs w:val="18"/>
              </w:rPr>
              <w:t>r</w:t>
            </w:r>
            <w:r w:rsidRPr="00E03E1D">
              <w:rPr>
                <w:b/>
                <w:bCs/>
                <w:color w:val="FFFFFF"/>
                <w:sz w:val="18"/>
                <w:szCs w:val="18"/>
              </w:rPr>
              <w:t>hetősége</w:t>
            </w:r>
          </w:p>
        </w:tc>
        <w:tc>
          <w:tcPr>
            <w:tcW w:w="1559" w:type="dxa"/>
            <w:shd w:val="clear" w:color="auto" w:fill="C0504D"/>
            <w:vAlign w:val="center"/>
          </w:tcPr>
          <w:p w:rsidR="00A817A4" w:rsidRPr="00E03E1D" w:rsidRDefault="00A817A4" w:rsidP="000759A6">
            <w:pPr>
              <w:pStyle w:val="AAMNormal"/>
              <w:jc w:val="center"/>
              <w:rPr>
                <w:b/>
                <w:bCs/>
                <w:color w:val="FFFFFF"/>
                <w:sz w:val="18"/>
                <w:szCs w:val="18"/>
              </w:rPr>
            </w:pPr>
            <w:r w:rsidRPr="00E03E1D">
              <w:rPr>
                <w:b/>
                <w:bCs/>
                <w:color w:val="FFFFFF"/>
                <w:sz w:val="18"/>
                <w:szCs w:val="18"/>
              </w:rPr>
              <w:t>Támogatott ter</w:t>
            </w:r>
            <w:r w:rsidRPr="00E03E1D">
              <w:rPr>
                <w:b/>
                <w:bCs/>
                <w:color w:val="FFFFFF"/>
                <w:sz w:val="18"/>
                <w:szCs w:val="18"/>
              </w:rPr>
              <w:t>ü</w:t>
            </w:r>
            <w:r w:rsidRPr="00E03E1D">
              <w:rPr>
                <w:b/>
                <w:bCs/>
                <w:color w:val="FFFFFF"/>
                <w:sz w:val="18"/>
                <w:szCs w:val="18"/>
              </w:rPr>
              <w:t>let (hektár)</w:t>
            </w:r>
          </w:p>
        </w:tc>
        <w:tc>
          <w:tcPr>
            <w:tcW w:w="1616" w:type="dxa"/>
            <w:shd w:val="clear" w:color="auto" w:fill="C0504D"/>
            <w:vAlign w:val="center"/>
          </w:tcPr>
          <w:p w:rsidR="00A817A4" w:rsidRPr="00E03E1D" w:rsidRDefault="00A817A4" w:rsidP="000759A6">
            <w:pPr>
              <w:pStyle w:val="AAMNormal"/>
              <w:jc w:val="center"/>
              <w:rPr>
                <w:b/>
                <w:bCs/>
                <w:color w:val="FFFFFF"/>
                <w:sz w:val="18"/>
                <w:szCs w:val="18"/>
              </w:rPr>
            </w:pPr>
            <w:r w:rsidRPr="00E03E1D">
              <w:rPr>
                <w:b/>
                <w:bCs/>
                <w:color w:val="FFFFFF"/>
                <w:sz w:val="18"/>
                <w:szCs w:val="18"/>
              </w:rPr>
              <w:t>A támogatott terület aránya az intézkedésen belül.</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AA) Integrált szántóföldi növénytermesztési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horizontális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615 328</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53,46%</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BA) Extenzív gyepgazdálkodási célprogram</w:t>
            </w:r>
          </w:p>
        </w:tc>
        <w:tc>
          <w:tcPr>
            <w:tcW w:w="1701"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horizontális</w:t>
            </w:r>
          </w:p>
        </w:tc>
        <w:tc>
          <w:tcPr>
            <w:tcW w:w="1559"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169 041</w:t>
            </w:r>
          </w:p>
        </w:tc>
        <w:tc>
          <w:tcPr>
            <w:tcW w:w="1616"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14,69%</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BC1) Gyepgazdálkodás túzok élőhely-fejlesztési előír</w:t>
            </w:r>
            <w:r w:rsidRPr="00E03E1D">
              <w:rPr>
                <w:rFonts w:cs="Calibri"/>
                <w:bCs/>
                <w:color w:val="FFFFFF"/>
                <w:sz w:val="18"/>
                <w:szCs w:val="18"/>
              </w:rPr>
              <w:t>á</w:t>
            </w:r>
            <w:r w:rsidRPr="00E03E1D">
              <w:rPr>
                <w:rFonts w:cs="Calibri"/>
                <w:bCs/>
                <w:color w:val="FFFFFF"/>
                <w:sz w:val="18"/>
                <w:szCs w:val="18"/>
              </w:rPr>
              <w:t>sokkal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78 229</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6,80%</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CA) Integrált gyümölcs és szőlőtermesztés célprogram</w:t>
            </w:r>
          </w:p>
        </w:tc>
        <w:tc>
          <w:tcPr>
            <w:tcW w:w="1701"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horizontális</w:t>
            </w:r>
          </w:p>
        </w:tc>
        <w:tc>
          <w:tcPr>
            <w:tcW w:w="1559"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63 587</w:t>
            </w:r>
          </w:p>
        </w:tc>
        <w:tc>
          <w:tcPr>
            <w:tcW w:w="1616"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5,52%</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AD1) Szántóföldi növénytermesztés túzok élőhely-fejlesztési előírásokkal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60 594</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5,26%</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AC) Ökológiai szántóföldi növénytermesztési célprogram</w:t>
            </w:r>
          </w:p>
        </w:tc>
        <w:tc>
          <w:tcPr>
            <w:tcW w:w="1701"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horizontális</w:t>
            </w:r>
          </w:p>
        </w:tc>
        <w:tc>
          <w:tcPr>
            <w:tcW w:w="1559"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43 313</w:t>
            </w:r>
          </w:p>
        </w:tc>
        <w:tc>
          <w:tcPr>
            <w:tcW w:w="1616"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3,76%</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AD3) Szántóföldi növénytermesztés madár- és apróvad élőhely-fejlesztési előírásokkal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33 083</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2,87%</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BB) Ökológiai gyepgazdálkodási célprogram</w:t>
            </w:r>
          </w:p>
        </w:tc>
        <w:tc>
          <w:tcPr>
            <w:tcW w:w="1701"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horizontális</w:t>
            </w:r>
          </w:p>
        </w:tc>
        <w:tc>
          <w:tcPr>
            <w:tcW w:w="1559"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28 682</w:t>
            </w:r>
          </w:p>
        </w:tc>
        <w:tc>
          <w:tcPr>
            <w:tcW w:w="1616"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2,49%</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BC2) Gyepgazdálkodás élőhely-fejlesztési előírásokkal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26 154</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2,27%</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DA) Nádgazdálkodás célprogram</w:t>
            </w:r>
          </w:p>
        </w:tc>
        <w:tc>
          <w:tcPr>
            <w:tcW w:w="1701"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horizontális</w:t>
            </w:r>
          </w:p>
        </w:tc>
        <w:tc>
          <w:tcPr>
            <w:tcW w:w="1559"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7 302</w:t>
            </w:r>
          </w:p>
        </w:tc>
        <w:tc>
          <w:tcPr>
            <w:tcW w:w="1616"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0,63%</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AE2) Szélerózió elleni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6 485</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0,56%</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CB) Ökológiai gyümölcs és szőlőtermesztés célprogram</w:t>
            </w:r>
          </w:p>
        </w:tc>
        <w:tc>
          <w:tcPr>
            <w:tcW w:w="1701"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horizontális</w:t>
            </w:r>
          </w:p>
        </w:tc>
        <w:tc>
          <w:tcPr>
            <w:tcW w:w="1559"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4 617</w:t>
            </w:r>
          </w:p>
        </w:tc>
        <w:tc>
          <w:tcPr>
            <w:tcW w:w="1616"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0,40%</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BD2) Természetvédelmi célú gyeptelepítés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3 294</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0,29%</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BD1) Környezetvédelmi célú gyeptelepítés célprogram</w:t>
            </w:r>
          </w:p>
        </w:tc>
        <w:tc>
          <w:tcPr>
            <w:tcW w:w="1701"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3 188</w:t>
            </w:r>
          </w:p>
        </w:tc>
        <w:tc>
          <w:tcPr>
            <w:tcW w:w="1616"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0,28%</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AE1) Vízerózió elleni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2 804</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0,24%</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 xml:space="preserve">AD4) Szántóföldi növénytermesztés </w:t>
            </w:r>
            <w:proofErr w:type="gramStart"/>
            <w:r w:rsidRPr="00E03E1D">
              <w:rPr>
                <w:rFonts w:cs="Calibri"/>
                <w:bCs/>
                <w:color w:val="FFFFFF"/>
                <w:sz w:val="18"/>
                <w:szCs w:val="18"/>
              </w:rPr>
              <w:t>kék vércse</w:t>
            </w:r>
            <w:proofErr w:type="gramEnd"/>
            <w:r w:rsidRPr="00E03E1D">
              <w:rPr>
                <w:rFonts w:cs="Calibri"/>
                <w:bCs/>
                <w:color w:val="FFFFFF"/>
                <w:sz w:val="18"/>
                <w:szCs w:val="18"/>
              </w:rPr>
              <w:t xml:space="preserve"> </w:t>
            </w:r>
            <w:proofErr w:type="spellStart"/>
            <w:r w:rsidRPr="00E03E1D">
              <w:rPr>
                <w:rFonts w:cs="Calibri"/>
                <w:bCs/>
                <w:color w:val="FFFFFF"/>
                <w:sz w:val="18"/>
                <w:szCs w:val="18"/>
              </w:rPr>
              <w:t>élőhelyfejlesztési</w:t>
            </w:r>
            <w:proofErr w:type="spellEnd"/>
            <w:r w:rsidRPr="00E03E1D">
              <w:rPr>
                <w:rFonts w:cs="Calibri"/>
                <w:bCs/>
                <w:color w:val="FFFFFF"/>
                <w:sz w:val="18"/>
                <w:szCs w:val="18"/>
              </w:rPr>
              <w:t xml:space="preserve"> előírásokkal célprogram</w:t>
            </w:r>
          </w:p>
        </w:tc>
        <w:tc>
          <w:tcPr>
            <w:tcW w:w="1701"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2 168</w:t>
            </w:r>
          </w:p>
        </w:tc>
        <w:tc>
          <w:tcPr>
            <w:tcW w:w="1616"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0,19%</w:t>
            </w:r>
          </w:p>
        </w:tc>
      </w:tr>
      <w:tr w:rsidR="00A817A4" w:rsidRPr="00E03E1D" w:rsidTr="000759A6">
        <w:trPr>
          <w:cantSplit/>
          <w:trHeight w:val="425"/>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AB) Tanyás gazdálkodás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horizontális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1 711</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0,15%</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CC) Hagyományos gyümölcstermesztés célprogram</w:t>
            </w:r>
          </w:p>
        </w:tc>
        <w:tc>
          <w:tcPr>
            <w:tcW w:w="1701"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horizontális</w:t>
            </w:r>
          </w:p>
        </w:tc>
        <w:tc>
          <w:tcPr>
            <w:tcW w:w="1559"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1 201</w:t>
            </w:r>
          </w:p>
        </w:tc>
        <w:tc>
          <w:tcPr>
            <w:tcW w:w="1616"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0,10%</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lastRenderedPageBreak/>
              <w:t>AD2) Szántóföldi növénytermesztés vadlúd- és daruv</w:t>
            </w:r>
            <w:r w:rsidRPr="00E03E1D">
              <w:rPr>
                <w:rFonts w:cs="Calibri"/>
                <w:bCs/>
                <w:color w:val="FFFFFF"/>
                <w:sz w:val="18"/>
                <w:szCs w:val="18"/>
              </w:rPr>
              <w:t>é</w:t>
            </w:r>
            <w:r w:rsidRPr="00E03E1D">
              <w:rPr>
                <w:rFonts w:cs="Calibri"/>
                <w:bCs/>
                <w:color w:val="FFFFFF"/>
                <w:sz w:val="18"/>
                <w:szCs w:val="18"/>
              </w:rPr>
              <w:t>delmi előírásokkal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288</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0,03%</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DB) Természetes vizes élőhelyek mocsarak</w:t>
            </w:r>
            <w:proofErr w:type="gramStart"/>
            <w:r w:rsidRPr="00E03E1D">
              <w:rPr>
                <w:rFonts w:cs="Calibri"/>
                <w:bCs/>
                <w:color w:val="FFFFFF"/>
                <w:sz w:val="18"/>
                <w:szCs w:val="18"/>
              </w:rPr>
              <w:t>,  zsomb</w:t>
            </w:r>
            <w:r w:rsidRPr="00E03E1D">
              <w:rPr>
                <w:rFonts w:cs="Calibri"/>
                <w:bCs/>
                <w:color w:val="FFFFFF"/>
                <w:sz w:val="18"/>
                <w:szCs w:val="18"/>
              </w:rPr>
              <w:t>é</w:t>
            </w:r>
            <w:r w:rsidRPr="00E03E1D">
              <w:rPr>
                <w:rFonts w:cs="Calibri"/>
                <w:bCs/>
                <w:color w:val="FFFFFF"/>
                <w:sz w:val="18"/>
                <w:szCs w:val="18"/>
              </w:rPr>
              <w:t>kok</w:t>
            </w:r>
            <w:proofErr w:type="gramEnd"/>
            <w:r w:rsidRPr="00E03E1D">
              <w:rPr>
                <w:rFonts w:cs="Calibri"/>
                <w:bCs/>
                <w:color w:val="FFFFFF"/>
                <w:sz w:val="18"/>
                <w:szCs w:val="18"/>
              </w:rPr>
              <w:t>,  sásos területek gondozása célprogram</w:t>
            </w:r>
          </w:p>
        </w:tc>
        <w:tc>
          <w:tcPr>
            <w:tcW w:w="1701"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26</w:t>
            </w:r>
          </w:p>
        </w:tc>
        <w:tc>
          <w:tcPr>
            <w:tcW w:w="1616" w:type="dxa"/>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0,0022%</w:t>
            </w:r>
          </w:p>
        </w:tc>
      </w:tr>
      <w:tr w:rsidR="00A817A4" w:rsidRPr="00E03E1D" w:rsidTr="000759A6">
        <w:trPr>
          <w:cantSplit/>
        </w:trPr>
        <w:tc>
          <w:tcPr>
            <w:tcW w:w="4503" w:type="dxa"/>
            <w:shd w:val="clear" w:color="auto" w:fill="C0504D"/>
            <w:vAlign w:val="bottom"/>
          </w:tcPr>
          <w:p w:rsidR="00A817A4" w:rsidRPr="00E03E1D" w:rsidRDefault="00A817A4" w:rsidP="000759A6">
            <w:pPr>
              <w:rPr>
                <w:rFonts w:cs="Calibri"/>
                <w:b/>
                <w:bCs/>
                <w:color w:val="FFFFFF"/>
                <w:sz w:val="18"/>
                <w:szCs w:val="18"/>
              </w:rPr>
            </w:pPr>
            <w:r w:rsidRPr="00E03E1D">
              <w:rPr>
                <w:rFonts w:cs="Calibri"/>
                <w:bCs/>
                <w:color w:val="FFFFFF"/>
                <w:sz w:val="18"/>
                <w:szCs w:val="18"/>
              </w:rPr>
              <w:t>DC) Vizes élőhelyek létrehozása és kezelése célprogram</w:t>
            </w:r>
          </w:p>
        </w:tc>
        <w:tc>
          <w:tcPr>
            <w:tcW w:w="1701"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zonális</w:t>
            </w:r>
          </w:p>
        </w:tc>
        <w:tc>
          <w:tcPr>
            <w:tcW w:w="1559"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7</w:t>
            </w:r>
          </w:p>
        </w:tc>
        <w:tc>
          <w:tcPr>
            <w:tcW w:w="1616" w:type="dxa"/>
            <w:shd w:val="clear" w:color="auto" w:fill="D8D8D8"/>
            <w:vAlign w:val="center"/>
          </w:tcPr>
          <w:p w:rsidR="00A817A4" w:rsidRPr="00E03E1D" w:rsidRDefault="00A817A4" w:rsidP="000759A6">
            <w:pPr>
              <w:jc w:val="center"/>
              <w:rPr>
                <w:rFonts w:cs="Calibri"/>
                <w:color w:val="000000"/>
                <w:sz w:val="18"/>
                <w:szCs w:val="18"/>
              </w:rPr>
            </w:pPr>
            <w:r w:rsidRPr="00E03E1D">
              <w:rPr>
                <w:rFonts w:cs="Calibri"/>
                <w:color w:val="000000"/>
                <w:sz w:val="18"/>
                <w:szCs w:val="18"/>
              </w:rPr>
              <w:t>0,0006%</w:t>
            </w:r>
          </w:p>
        </w:tc>
      </w:tr>
    </w:tbl>
    <w:p w:rsidR="00EF0D1C" w:rsidRPr="00F0588C" w:rsidRDefault="00CF0DD4" w:rsidP="00EF0D1C">
      <w:pPr>
        <w:pStyle w:val="Caption"/>
        <w:spacing w:before="60" w:after="120" w:line="280" w:lineRule="atLeast"/>
        <w:jc w:val="center"/>
        <w:rPr>
          <w:color w:val="auto"/>
        </w:rPr>
      </w:pPr>
      <w:r w:rsidRPr="00F0588C">
        <w:rPr>
          <w:color w:val="auto"/>
        </w:rPr>
        <w:fldChar w:fldCharType="begin"/>
      </w:r>
      <w:r w:rsidR="00EF0D1C" w:rsidRPr="00F0588C">
        <w:rPr>
          <w:color w:val="auto"/>
        </w:rPr>
        <w:instrText xml:space="preserve"> SEQ táblázat \* ARABIC </w:instrText>
      </w:r>
      <w:r w:rsidRPr="00F0588C">
        <w:rPr>
          <w:color w:val="auto"/>
        </w:rPr>
        <w:fldChar w:fldCharType="separate"/>
      </w:r>
      <w:r w:rsidR="00EF0D1C">
        <w:rPr>
          <w:noProof/>
          <w:color w:val="auto"/>
        </w:rPr>
        <w:t>7</w:t>
      </w:r>
      <w:r w:rsidRPr="00F0588C">
        <w:rPr>
          <w:color w:val="auto"/>
        </w:rPr>
        <w:fldChar w:fldCharType="end"/>
      </w:r>
      <w:r w:rsidR="00EF0D1C" w:rsidRPr="00F0588C">
        <w:rPr>
          <w:color w:val="auto"/>
        </w:rPr>
        <w:t xml:space="preserve">. táblázat: </w:t>
      </w:r>
      <w:r w:rsidR="00EF0D1C" w:rsidRPr="00EF0D1C">
        <w:rPr>
          <w:color w:val="auto"/>
        </w:rPr>
        <w:t>Az AKG intézkedés célprogramjai</w:t>
      </w:r>
    </w:p>
    <w:p w:rsidR="00A817A4" w:rsidRPr="00E03E1D" w:rsidRDefault="00A817A4" w:rsidP="00A817A4">
      <w:pPr>
        <w:pStyle w:val="AAMNormal"/>
        <w:ind w:left="567"/>
      </w:pPr>
      <w:r w:rsidRPr="00E03E1D">
        <w:rPr>
          <w:b/>
        </w:rPr>
        <w:t>Az intézkedés legfőbb célja a környezeti állapot, a természeti értékek megőrzése, javítása volt.</w:t>
      </w:r>
      <w:r w:rsidRPr="00E03E1D">
        <w:t xml:space="preserve"> Ezt a mezőgazdasági földhasználat megváltoztatását célzó előírásokkal és a változások miatt kieső jöved</w:t>
      </w:r>
      <w:r w:rsidRPr="00E03E1D">
        <w:t>e</w:t>
      </w:r>
      <w:r w:rsidRPr="00E03E1D">
        <w:t>lem kompenzálásával igyekezett elérni. Mindehhez nyilvánvalóan szükséges feltétel a gazdálkodók együttműködése is, lévén önkéntes rendszerről van szó.</w:t>
      </w:r>
    </w:p>
    <w:p w:rsidR="00A817A4" w:rsidRPr="00E03E1D" w:rsidRDefault="00A817A4" w:rsidP="00A817A4">
      <w:pPr>
        <w:pStyle w:val="AAMNormal"/>
        <w:ind w:left="567"/>
        <w:rPr>
          <w:b/>
        </w:rPr>
      </w:pPr>
      <w:r w:rsidRPr="00E03E1D">
        <w:t xml:space="preserve">Az intézkedés keretében </w:t>
      </w:r>
      <w:proofErr w:type="gramStart"/>
      <w:r w:rsidRPr="00E03E1D">
        <w:t>két típusú</w:t>
      </w:r>
      <w:proofErr w:type="gramEnd"/>
      <w:r w:rsidRPr="00E03E1D">
        <w:t xml:space="preserve"> célprogram volt elérhető. Az első fő típust az úgynevezett horizo</w:t>
      </w:r>
      <w:r w:rsidRPr="00E03E1D">
        <w:t>n</w:t>
      </w:r>
      <w:r w:rsidRPr="00E03E1D">
        <w:t>tális vagy országos célprogramok alkotják, amelyek a hazai mezőgazdasági földhasználat teljes ter</w:t>
      </w:r>
      <w:r w:rsidRPr="00E03E1D">
        <w:t>ü</w:t>
      </w:r>
      <w:r w:rsidRPr="00E03E1D">
        <w:t>letére kiterjednek. Ezen programok célkitűzése az, hogy támogatást nyújtsanak a különféle földhas</w:t>
      </w:r>
      <w:r w:rsidRPr="00E03E1D">
        <w:t>z</w:t>
      </w:r>
      <w:r w:rsidRPr="00E03E1D">
        <w:t>nálati ágakban a környezetbarát termelési, gazdálkodási eljárásoknak, rendszereknek, elősegítve e</w:t>
      </w:r>
      <w:r w:rsidRPr="00E03E1D">
        <w:t>z</w:t>
      </w:r>
      <w:r w:rsidRPr="00E03E1D">
        <w:t>zel a magyar agrárgazdaság új, hosszú távon is fenntartható és versenyképes fejlődési modelljének kialakulását. Ennek érdekében különböző támogatási programok révén segíti a környezeti szempo</w:t>
      </w:r>
      <w:r w:rsidRPr="00E03E1D">
        <w:t>n</w:t>
      </w:r>
      <w:r w:rsidRPr="00E03E1D">
        <w:t>tokat is figyelembe vevő gazdálkodás elterjedését, az integrált növény- és gyümölcs</w:t>
      </w:r>
      <w:r w:rsidRPr="00E03E1D">
        <w:softHyphen/>
        <w:t xml:space="preserve">termesztés, az ökológiai gazdálkodás terjedését, a gyepterületek és vizes élőhelyek ökológiai feltételeknek megfelelő hasznosítását, valamint a környezetbarát </w:t>
      </w:r>
      <w:r w:rsidR="009D0BC3">
        <w:t>állattenyésztés</w:t>
      </w:r>
      <w:r w:rsidRPr="00E03E1D">
        <w:t xml:space="preserve"> kialakulását. Az új programban a területi k</w:t>
      </w:r>
      <w:r w:rsidRPr="00E03E1D">
        <w:t>i</w:t>
      </w:r>
      <w:r w:rsidRPr="00E03E1D">
        <w:t>terjedés vonatkozásában egyértelműen kijelenthető, hogy az integrált szántóföldi célprogram tekin</w:t>
      </w:r>
      <w:r w:rsidRPr="00E03E1D">
        <w:t>t</w:t>
      </w:r>
      <w:r w:rsidRPr="00E03E1D">
        <w:t xml:space="preserve">hető a legnagyobb sikerűnek, látható, hogy a várakozásoknak megfelelően a megszűnt alapszintű szántóföldi célprogram alternatívájának tekinthető. A szántóföldi </w:t>
      </w:r>
      <w:proofErr w:type="spellStart"/>
      <w:r w:rsidRPr="00E03E1D">
        <w:t>ökogazdálkodási</w:t>
      </w:r>
      <w:proofErr w:type="spellEnd"/>
      <w:r w:rsidRPr="00E03E1D">
        <w:t xml:space="preserve"> célprogram 40%-al, mintegy 12 000 hektárral nőtt az új program tekintetében. </w:t>
      </w:r>
      <w:r w:rsidRPr="00E03E1D">
        <w:rPr>
          <w:b/>
        </w:rPr>
        <w:t>Így is alig több mint 40 000 hektár van ökológiai ellenőrzés alatt a több mint 600 000 hektár integrált szántóhoz képest. Erre az eredményre valószínűleg a célprogramok kifizetési mértékeinek a vállalásokhoz mért aránytalansága vezetett (az ökológiai programok kifizetései csekély mértékben magasabbak csak).</w:t>
      </w:r>
    </w:p>
    <w:p w:rsidR="00A817A4" w:rsidRPr="00E03E1D" w:rsidRDefault="00A817A4" w:rsidP="00A817A4">
      <w:pPr>
        <w:ind w:left="567"/>
        <w:jc w:val="both"/>
      </w:pPr>
      <w:r w:rsidRPr="00E03E1D">
        <w:t>A célprogramok másik fő típusát a zonális vagy térségi célprogramok adják, amelyek az adott térség környezet- és természetvédelmi szempontú mezőgazdasági földhasználatát segítik, hozzájárulva az egyes térségek adottságaikhoz illeszkedő gazdálkodási formák elterjedéséhez, a tájgazdálkodás k</w:t>
      </w:r>
      <w:r w:rsidRPr="00E03E1D">
        <w:t>i</w:t>
      </w:r>
      <w:r w:rsidRPr="00E03E1D">
        <w:t>alakulásához, a terület környezeti, természeti értékeinek megőrzéséhez és fejlesztéséhez. Ezen pro</w:t>
      </w:r>
      <w:r w:rsidRPr="00E03E1D">
        <w:t>g</w:t>
      </w:r>
      <w:r w:rsidRPr="00E03E1D">
        <w:t>ramok célterületei közé olyan térségek tartozhatnak, amelyek első sorban természetvédelmi, fajv</w:t>
      </w:r>
      <w:r w:rsidRPr="00E03E1D">
        <w:t>é</w:t>
      </w:r>
      <w:r w:rsidRPr="00E03E1D">
        <w:t xml:space="preserve">delmi, vagy </w:t>
      </w:r>
      <w:proofErr w:type="spellStart"/>
      <w:r w:rsidRPr="00E03E1D">
        <w:t>élőhelyvédelmi</w:t>
      </w:r>
      <w:proofErr w:type="spellEnd"/>
      <w:r w:rsidRPr="00E03E1D">
        <w:t>, illetve talajvédelmi és/vagy vízvédelmi szempontok miatt valamilyen sp</w:t>
      </w:r>
      <w:r w:rsidRPr="00E03E1D">
        <w:t>e</w:t>
      </w:r>
      <w:r w:rsidRPr="00E03E1D">
        <w:t xml:space="preserve">ciális hasznosítást igényelnek. A térségenként kidolgozott földhasznosítási formák, gazdálkodási módszerek alkalmazását támogatják az egyes célprogramok. A Magas Természeti Értékű Területekre (MTÉT) kidolgozott célprogramok esetében elmondható, hogy a programba vont terület az UMVP alatt 210 000 hektárra bővült, ami az </w:t>
      </w:r>
      <w:proofErr w:type="spellStart"/>
      <w:r w:rsidRPr="00E03E1D">
        <w:t>NVT-ben</w:t>
      </w:r>
      <w:proofErr w:type="spellEnd"/>
      <w:r w:rsidRPr="00E03E1D">
        <w:t xml:space="preserve"> elért területnek közel a kétszerese.</w:t>
      </w:r>
    </w:p>
    <w:p w:rsidR="00A817A4" w:rsidRPr="00E03E1D" w:rsidRDefault="00A817A4" w:rsidP="00A817A4">
      <w:pPr>
        <w:pStyle w:val="AAMNormal"/>
        <w:ind w:left="567"/>
      </w:pPr>
      <w:r w:rsidRPr="00E03E1D">
        <w:t>Az AKG forrásainak legnagyobb része az integrált szántóföldi növénytermesztési célprogramhoz köt</w:t>
      </w:r>
      <w:r w:rsidRPr="00E03E1D">
        <w:t>ő</w:t>
      </w:r>
      <w:r w:rsidRPr="00E03E1D">
        <w:t>dik, mely alapvetően az NVT szántóföldi alapprogramját felváltva, egyfajta „belépő szintű” előírá</w:t>
      </w:r>
      <w:r w:rsidRPr="00E03E1D">
        <w:t>s</w:t>
      </w:r>
      <w:r w:rsidRPr="00E03E1D">
        <w:lastRenderedPageBreak/>
        <w:t>rendszer révén lehetőséget adott a gazdálkodóknak a földterület igényeihez és a természeti értéke</w:t>
      </w:r>
      <w:r w:rsidRPr="00E03E1D">
        <w:t>k</w:t>
      </w:r>
      <w:r w:rsidRPr="00E03E1D">
        <w:t xml:space="preserve">hez illeszkedő, korlátozott vegyszerhasználat mentén történő gazdálkodási mód kialakítására. </w:t>
      </w:r>
    </w:p>
    <w:p w:rsidR="00A817A4" w:rsidRPr="00E03E1D" w:rsidRDefault="00A817A4" w:rsidP="00A817A4">
      <w:pPr>
        <w:pStyle w:val="AAMNormal"/>
        <w:ind w:left="567"/>
      </w:pPr>
      <w:r w:rsidRPr="00E03E1D">
        <w:t xml:space="preserve">Az előírások szakértői elemzése és a támogatottak körében végzett kérdőíves felmérés eredménye alapján megállapítható, hogy </w:t>
      </w:r>
      <w:r w:rsidRPr="00E03E1D">
        <w:rPr>
          <w:b/>
        </w:rPr>
        <w:t xml:space="preserve">az Integrált szántóföldi növénytermesztési célprogram </w:t>
      </w:r>
      <w:r w:rsidR="00475BE9">
        <w:rPr>
          <w:b/>
        </w:rPr>
        <w:t>a tervezetnél k</w:t>
      </w:r>
      <w:r w:rsidR="00475BE9">
        <w:rPr>
          <w:b/>
        </w:rPr>
        <w:t>e</w:t>
      </w:r>
      <w:r w:rsidR="00475BE9">
        <w:rPr>
          <w:b/>
        </w:rPr>
        <w:t>vésbé jelentett</w:t>
      </w:r>
      <w:r w:rsidRPr="00E03E1D">
        <w:rPr>
          <w:b/>
        </w:rPr>
        <w:t xml:space="preserve"> valós korlátozást a gazdálkodók számára, ezzel szemben a zonális célprogramok</w:t>
      </w:r>
      <w:r w:rsidR="00475BE9">
        <w:rPr>
          <w:b/>
        </w:rPr>
        <w:t xml:space="preserve"> j</w:t>
      </w:r>
      <w:r w:rsidR="00475BE9">
        <w:rPr>
          <w:b/>
        </w:rPr>
        <w:t>e</w:t>
      </w:r>
      <w:r w:rsidR="00475BE9">
        <w:rPr>
          <w:b/>
        </w:rPr>
        <w:t>lentős korlátozást gyakorolnak</w:t>
      </w:r>
      <w:r w:rsidRPr="00E03E1D">
        <w:t xml:space="preserve">. </w:t>
      </w:r>
      <w:r w:rsidRPr="00E03E1D">
        <w:rPr>
          <w:b/>
        </w:rPr>
        <w:t>Ennek következtében az integrált szántóföldi növénytermesztési cé</w:t>
      </w:r>
      <w:r w:rsidRPr="00E03E1D">
        <w:rPr>
          <w:b/>
        </w:rPr>
        <w:t>l</w:t>
      </w:r>
      <w:r w:rsidRPr="00E03E1D">
        <w:rPr>
          <w:b/>
        </w:rPr>
        <w:t xml:space="preserve">programtól várt hatások a talajminőség, vízminőség javítása, a </w:t>
      </w:r>
      <w:proofErr w:type="spellStart"/>
      <w:r w:rsidRPr="00E03E1D">
        <w:rPr>
          <w:b/>
        </w:rPr>
        <w:t>biodiverzitás</w:t>
      </w:r>
      <w:proofErr w:type="spellEnd"/>
      <w:r w:rsidRPr="00E03E1D">
        <w:rPr>
          <w:b/>
        </w:rPr>
        <w:t xml:space="preserve"> megőrzése területén csak korlátozottan várhatóak</w:t>
      </w:r>
      <w:r w:rsidRPr="00E03E1D">
        <w:t xml:space="preserve">. A különböző szintű vállalásokkal alapvetően nincs szakmai probléma, viszont a </w:t>
      </w:r>
      <w:r w:rsidR="0043575F" w:rsidRPr="00E03E1D">
        <w:t>támogatott összterületek</w:t>
      </w:r>
      <w:r w:rsidRPr="00E03E1D">
        <w:t xml:space="preserve"> aránytalanságaiból adódóan egyértelműen érződik, hogy míg a magas környezeti vállalású célprogramokat elsősorban a vállalások tudatában igénylik a földhaszn</w:t>
      </w:r>
      <w:r w:rsidRPr="00E03E1D">
        <w:t>á</w:t>
      </w:r>
      <w:r w:rsidRPr="00E03E1D">
        <w:t>lók, addig az integrált célprogramot azért, mert plusz bevételt jelent a célprogram. Ennek a problém</w:t>
      </w:r>
      <w:r w:rsidRPr="00E03E1D">
        <w:t>á</w:t>
      </w:r>
      <w:r w:rsidRPr="00E03E1D">
        <w:t>nak a gyökere vélhetően a kompenzációs kifizetések számítási aránytalanságában rejlik.</w:t>
      </w:r>
    </w:p>
    <w:p w:rsidR="00A817A4" w:rsidRPr="00E03E1D" w:rsidRDefault="00A817A4" w:rsidP="00A817A4">
      <w:pPr>
        <w:pStyle w:val="AAMNormal"/>
        <w:ind w:left="567"/>
      </w:pPr>
      <w:r w:rsidRPr="00E03E1D">
        <w:t>A többi célprogram hatása a vizsgálatok alapján a tervezettnek megfelelően alakult, azonban e cé</w:t>
      </w:r>
      <w:r w:rsidRPr="00E03E1D">
        <w:t>l</w:t>
      </w:r>
      <w:r w:rsidRPr="00E03E1D">
        <w:t xml:space="preserve">programok iránt az érdeklődés kisebb volt a vártnál, így a támogatott területek arányában az Integrált szántóföldi növénytermesztési célprogram vált fajsúlyossá. Ezt az okozta, hogy a meghirdetéskor a célprogramok „versenyeztek egymással” (hiszen ugyanazon a területen többféle célprogramot is fel lehetett venni), emiatt sok esetben még MTÉT területen is az integrált </w:t>
      </w:r>
      <w:proofErr w:type="spellStart"/>
      <w:r w:rsidRPr="00E03E1D">
        <w:t>céprogram</w:t>
      </w:r>
      <w:proofErr w:type="spellEnd"/>
      <w:r w:rsidRPr="00E03E1D">
        <w:t xml:space="preserve"> lett a „nyertes”. Mindez annak ellenére történt, hogy a pontozási rendszer egyértelműen arra ösztönözte a gazdálk</w:t>
      </w:r>
      <w:r w:rsidRPr="00E03E1D">
        <w:t>o</w:t>
      </w:r>
      <w:r w:rsidRPr="00E03E1D">
        <w:t>dókat, hogy MTÉT területen MTÉT programokat vegyenek fel. Az, hogy ennek ellenére viszonylag s</w:t>
      </w:r>
      <w:r w:rsidRPr="00E03E1D">
        <w:t>o</w:t>
      </w:r>
      <w:r w:rsidRPr="00E03E1D">
        <w:t>kan nem a racionálisan elvárható döntést hozták, abban nagy szerepe lehetett a gazdák egyes cé</w:t>
      </w:r>
      <w:r w:rsidRPr="00E03E1D">
        <w:t>l</w:t>
      </w:r>
      <w:r w:rsidRPr="00E03E1D">
        <w:t>programokkal kapcsolatos téves informáltságnak is (nem tudhatták például, hogy a pontozás végül csak az integrált esetében fog működni, de ott – a tetemes túligénylés miatt – igen meghatározó m</w:t>
      </w:r>
      <w:r w:rsidRPr="00E03E1D">
        <w:t>ó</w:t>
      </w:r>
      <w:r w:rsidRPr="00E03E1D">
        <w:t>don).</w:t>
      </w:r>
    </w:p>
    <w:p w:rsidR="00A817A4" w:rsidRPr="00E03E1D" w:rsidRDefault="00A817A4" w:rsidP="00A817A4">
      <w:pPr>
        <w:pStyle w:val="AAMNormal"/>
        <w:ind w:left="567"/>
      </w:pPr>
      <w:r w:rsidRPr="00E03E1D">
        <w:t>Az ökológiai gazdálkodási célprogram esetében is – az elért környezeti teljesítményhez képest – al</w:t>
      </w:r>
      <w:r w:rsidRPr="00E03E1D">
        <w:t>a</w:t>
      </w:r>
      <w:r w:rsidRPr="00E03E1D">
        <w:t xml:space="preserve">csony a kifizetés nagysága, alapvetően </w:t>
      </w:r>
      <w:proofErr w:type="gramStart"/>
      <w:r w:rsidRPr="00E03E1D">
        <w:t>amiatt</w:t>
      </w:r>
      <w:proofErr w:type="gramEnd"/>
      <w:r w:rsidRPr="00E03E1D">
        <w:t>, mert a kifizetési összeg számításakor csak a jöved</w:t>
      </w:r>
      <w:r w:rsidRPr="00E03E1D">
        <w:t>e</w:t>
      </w:r>
      <w:r w:rsidRPr="00E03E1D">
        <w:t xml:space="preserve">lem-kiesést lehetett figyelembe venni, a környezetre gyakorolt pozitív </w:t>
      </w:r>
      <w:proofErr w:type="spellStart"/>
      <w:r w:rsidRPr="00E03E1D">
        <w:t>externális</w:t>
      </w:r>
      <w:proofErr w:type="spellEnd"/>
      <w:r w:rsidRPr="00E03E1D">
        <w:t xml:space="preserve"> hatásokkal azonban nem lehetett számolni. A jövőben ezért – különösen azoknál a célprogramoknál, melyektől nagyobb környezeti teljesítményt várunk - célszerű lenne </w:t>
      </w:r>
      <w:r w:rsidR="0043575F" w:rsidRPr="00E03E1D">
        <w:t>alkalmazni</w:t>
      </w:r>
      <w:r w:rsidRPr="00E03E1D">
        <w:t xml:space="preserve"> valamilyen mértékű ösztönzőt is</w:t>
      </w:r>
      <w:r w:rsidR="0043575F" w:rsidRPr="00E03E1D">
        <w:t xml:space="preserve"> (akár más tengely forrásából)</w:t>
      </w:r>
      <w:r w:rsidRPr="00E03E1D">
        <w:t xml:space="preserve">, mely a </w:t>
      </w:r>
      <w:proofErr w:type="spellStart"/>
      <w:r w:rsidRPr="00E03E1D">
        <w:t>célpogramok</w:t>
      </w:r>
      <w:proofErr w:type="spellEnd"/>
      <w:r w:rsidRPr="00E03E1D">
        <w:t xml:space="preserve"> közötti versenyzést a nagyobb környezeti hatással bíró célprogramok irányába mozdítaná el. Emellett természetesen a számítható jövedelem-kiesés megh</w:t>
      </w:r>
      <w:r w:rsidRPr="00E03E1D">
        <w:t>a</w:t>
      </w:r>
      <w:r w:rsidRPr="00E03E1D">
        <w:t>tározását is célszerű lenne az eddigieknél alaposabb számításokkal alátámasztani.</w:t>
      </w:r>
    </w:p>
    <w:p w:rsidR="00A817A4" w:rsidRPr="00E03E1D" w:rsidRDefault="00A817A4" w:rsidP="00A817A4">
      <w:pPr>
        <w:pStyle w:val="AAMNormal"/>
        <w:ind w:left="567"/>
      </w:pPr>
      <w:r w:rsidRPr="00E03E1D">
        <w:t xml:space="preserve">Előbbiekkel ellentétben sikeresnek mondható az MTÉT programok működése. Annak ellenére, hogy az MTÉT célprogramok nehéz, bonyolult előírássorokat tartalmaznak, a pályázóknak </w:t>
      </w:r>
      <w:proofErr w:type="gramStart"/>
      <w:r w:rsidRPr="00E03E1D">
        <w:t>több, mint</w:t>
      </w:r>
      <w:proofErr w:type="gramEnd"/>
      <w:r w:rsidRPr="00E03E1D">
        <w:t xml:space="preserve"> fele ezeket választotta. Elgondolkodtató ugyanakkor az a tény, miszerint a 340 </w:t>
      </w:r>
      <w:proofErr w:type="gramStart"/>
      <w:r w:rsidRPr="00E03E1D">
        <w:t>352</w:t>
      </w:r>
      <w:proofErr w:type="gramEnd"/>
      <w:r w:rsidRPr="00E03E1D">
        <w:t xml:space="preserve"> ha támogatható MTÉT területből 76 189 </w:t>
      </w:r>
      <w:proofErr w:type="spellStart"/>
      <w:r w:rsidRPr="00E03E1D">
        <w:t>ha-on</w:t>
      </w:r>
      <w:proofErr w:type="spellEnd"/>
      <w:r w:rsidRPr="00E03E1D">
        <w:t xml:space="preserve"> az </w:t>
      </w:r>
      <w:proofErr w:type="spellStart"/>
      <w:r w:rsidRPr="00E03E1D">
        <w:t>MTÉT-en</w:t>
      </w:r>
      <w:proofErr w:type="spellEnd"/>
      <w:r w:rsidRPr="00E03E1D">
        <w:t xml:space="preserve"> is felvehető Integrált szántóföldi növénytermesztési célprogramot igényelték, melynek környezeti hatása ezen kiemelten értékes területeken nyilvánvalóan nem ugya</w:t>
      </w:r>
      <w:r w:rsidRPr="00E03E1D">
        <w:t>n</w:t>
      </w:r>
      <w:r w:rsidRPr="00E03E1D">
        <w:t xml:space="preserve">akkora, mint az MTÉT célprogramoké. Ugyanakkor az sem kétséges, hogy a program önkéntességét sértené, ha az </w:t>
      </w:r>
      <w:proofErr w:type="spellStart"/>
      <w:r w:rsidRPr="00E03E1D">
        <w:t>MTÉT-eken</w:t>
      </w:r>
      <w:proofErr w:type="spellEnd"/>
      <w:r w:rsidRPr="00E03E1D">
        <w:t xml:space="preserve"> mindenki csak MTÉT célprogramot választhatna. </w:t>
      </w:r>
    </w:p>
    <w:p w:rsidR="00A817A4" w:rsidRPr="00E03E1D" w:rsidRDefault="00A817A4" w:rsidP="00A817A4">
      <w:pPr>
        <w:pStyle w:val="AAMNormal"/>
        <w:ind w:left="567"/>
      </w:pPr>
      <w:r w:rsidRPr="00E03E1D">
        <w:t xml:space="preserve">Sok esetben az intézkedés </w:t>
      </w:r>
      <w:proofErr w:type="gramStart"/>
      <w:r w:rsidRPr="00E03E1D">
        <w:t>amiatt</w:t>
      </w:r>
      <w:proofErr w:type="gramEnd"/>
      <w:r w:rsidRPr="00E03E1D">
        <w:t xml:space="preserve"> nem tud</w:t>
      </w:r>
      <w:r w:rsidR="00475BE9">
        <w:t xml:space="preserve"> jel</w:t>
      </w:r>
      <w:r w:rsidR="00074882">
        <w:t>entős</w:t>
      </w:r>
      <w:r w:rsidRPr="00E03E1D">
        <w:t xml:space="preserve"> pozitív hatást gyakorolni a talajminőségre és a vízminőség javítására, mert az előírások a szerhasználatban, műtrágya használatban nem jelentettek valódi kötöttséget. Azonban hazánkban a jelenlegi adatok mentén látható, hogy nem a tápanyag-kijuttatás további korlátozása lenne a cél, mivel sok területen a szükséges mérték sem kerül a tala</w:t>
      </w:r>
      <w:r w:rsidRPr="00E03E1D">
        <w:t>j</w:t>
      </w:r>
      <w:r w:rsidRPr="00E03E1D">
        <w:t>ba. Ez részben érezteti hatását a gyenge terméshozamokban, illetve hosszú távon a talajok termő h</w:t>
      </w:r>
      <w:r w:rsidRPr="00E03E1D">
        <w:t>i</w:t>
      </w:r>
      <w:r w:rsidRPr="00E03E1D">
        <w:t>ányossága az, hogy ennek a folyamatnak a megállításához nem biztosít megfelelő eszközt.</w:t>
      </w:r>
    </w:p>
    <w:p w:rsidR="00A817A4" w:rsidRPr="00E03E1D" w:rsidRDefault="00A817A4" w:rsidP="00A817A4">
      <w:pPr>
        <w:pStyle w:val="AAMNormal"/>
      </w:pPr>
      <w:r w:rsidRPr="00E03E1D">
        <w:lastRenderedPageBreak/>
        <w:t>Az intézkedés hatásosságát jelentős mértékben befolyásolták a lebonyolítás eljárásrendi és szervezési an</w:t>
      </w:r>
      <w:r w:rsidRPr="00E03E1D">
        <w:t>o</w:t>
      </w:r>
      <w:r w:rsidRPr="00E03E1D">
        <w:t>máliái. Az intézkedés támogatási logikája és a nehezen áttekinthető előírásrendszer elfedte a gazdálkodók előtt a valódi célokat és ezért - élve a lehetőségekkel - a gazdálkodók a bevétel-költség arány mentén mérl</w:t>
      </w:r>
      <w:r w:rsidRPr="00E03E1D">
        <w:t>e</w:t>
      </w:r>
      <w:r w:rsidRPr="00E03E1D">
        <w:t>gelve választották a számukra legkedvezőbb támogatási portfóliót. A természetvédelemi célok szempontj</w:t>
      </w:r>
      <w:r w:rsidRPr="00E03E1D">
        <w:t>á</w:t>
      </w:r>
      <w:r w:rsidRPr="00E03E1D">
        <w:t>ból kedvezőtlen hatású az, hogy az ellenőrzés során az egyedi mérlegelés lehetősége a konkrét természe</w:t>
      </w:r>
      <w:r w:rsidRPr="00E03E1D">
        <w:t>t</w:t>
      </w:r>
      <w:r w:rsidRPr="00E03E1D">
        <w:t xml:space="preserve">védelmi szempontok figyelembevétele tekintetében csekély, így a merev előírások sokszor </w:t>
      </w:r>
      <w:proofErr w:type="spellStart"/>
      <w:r w:rsidRPr="00E03E1D">
        <w:t>életszerűtlen</w:t>
      </w:r>
      <w:proofErr w:type="spellEnd"/>
      <w:r w:rsidRPr="00E03E1D">
        <w:t xml:space="preserve"> megoldásokhoz vezetnek. </w:t>
      </w:r>
      <w:r w:rsidR="00074882" w:rsidRPr="00745350">
        <w:t xml:space="preserve">A támogatható területek merev </w:t>
      </w:r>
      <w:proofErr w:type="spellStart"/>
      <w:r w:rsidR="00074882" w:rsidRPr="00745350">
        <w:t>definiciókészlete</w:t>
      </w:r>
      <w:proofErr w:type="spellEnd"/>
      <w:r w:rsidR="00074882" w:rsidRPr="00745350">
        <w:t xml:space="preserve"> is oda vezet, hogy a gazdálkodók inkább érdekelté válnak egy-egy, a </w:t>
      </w:r>
      <w:proofErr w:type="spellStart"/>
      <w:r w:rsidR="00074882" w:rsidRPr="00745350">
        <w:t>biodiverzitás</w:t>
      </w:r>
      <w:proofErr w:type="spellEnd"/>
      <w:r w:rsidR="00074882" w:rsidRPr="00745350">
        <w:t xml:space="preserve"> miatt értékes terület (pl.: mezsgyék, időszakos vizes élőh</w:t>
      </w:r>
      <w:r w:rsidR="00074882" w:rsidRPr="00745350">
        <w:t>e</w:t>
      </w:r>
      <w:r w:rsidR="00074882" w:rsidRPr="00745350">
        <w:t xml:space="preserve">lyek) „felszámolásában” annak elkerülése érdekében, hogy a helyszíni ellenőrzések során ne teremtődjön </w:t>
      </w:r>
      <w:r w:rsidR="00074882">
        <w:t>olyan helyzet, ami – a támogatott terület csökkenése miatt – a támogatási összeg csökkenését eredm</w:t>
      </w:r>
      <w:r w:rsidR="00074882">
        <w:t>é</w:t>
      </w:r>
      <w:r w:rsidR="00074882">
        <w:t xml:space="preserve">nyezné számukra. </w:t>
      </w:r>
      <w:r w:rsidRPr="00E03E1D">
        <w:t xml:space="preserve">Érdemes még megállapítani, hogy az intézkedés keretében a támogatottak 5%-a kapta meg a támogatások 52%-át. Ez </w:t>
      </w:r>
      <w:r w:rsidR="00475BE9">
        <w:t xml:space="preserve">jelentős </w:t>
      </w:r>
      <w:r w:rsidRPr="00E03E1D">
        <w:t>mértékű kifizetés koncentrációt jelent, vagyis látható, hogy a Pro</w:t>
      </w:r>
      <w:r w:rsidRPr="00E03E1D">
        <w:t>g</w:t>
      </w:r>
      <w:r w:rsidRPr="00E03E1D">
        <w:t>ramban való részvétel elsősorban a nagygazdálkodóknak kedvez. Ezt alátámasztják a bonyolult adminisztr</w:t>
      </w:r>
      <w:r w:rsidRPr="00E03E1D">
        <w:t>á</w:t>
      </w:r>
      <w:r w:rsidRPr="00E03E1D">
        <w:t>ciós terhek is, melyeken a kisgazdálkodók általában csak külső szakértő segítségével tudnak úrrá lenni, míg a nagygazdák saját alkalmazottaikra támaszkodhatnak.</w:t>
      </w:r>
    </w:p>
    <w:p w:rsidR="00A817A4" w:rsidRPr="00E03E1D" w:rsidRDefault="00A817A4" w:rsidP="00A817A4">
      <w:pPr>
        <w:pStyle w:val="AAMNormal"/>
      </w:pPr>
      <w:r w:rsidRPr="00E03E1D">
        <w:rPr>
          <w:b/>
        </w:rPr>
        <w:t>Összességében az AKG intézkedésről megállapítható, hogy – még kevésbé sikeres célprogramjai esetében is – jelentős mértékben hozzájárult ahhoz, hogy a környezeti szempontok fontossága széles körben elfog</w:t>
      </w:r>
      <w:r w:rsidRPr="00E03E1D">
        <w:rPr>
          <w:b/>
        </w:rPr>
        <w:t>a</w:t>
      </w:r>
      <w:r w:rsidRPr="00E03E1D">
        <w:rPr>
          <w:b/>
        </w:rPr>
        <w:t>dottá váljon.</w:t>
      </w:r>
      <w:r w:rsidRPr="00E03E1D">
        <w:t xml:space="preserve"> Tíz évvel az első agrár-környezetvédelmi program (NAKP) elindulása óta azt tapasztalhatjuk, hogy a környezet „ügye” immáron szinte minden gazdálkodó gondolkodásának részét képezi. Fontos lenne ugyanakkor a jövőben annak bemutatására törekedni, hogy a gazdálkodók által betartott előírások nem voltak hiábavalóak és legkevésbé sem csupán jogcímek arra, hogy támogatáshoz jussanak. Ehhez elsőso</w:t>
      </w:r>
      <w:r w:rsidRPr="00E03E1D">
        <w:t>r</w:t>
      </w:r>
      <w:r w:rsidRPr="00E03E1D">
        <w:t xml:space="preserve">ban a (terepi) monitoring rendszer mielőbbi elindítása szükséges, ami elengedhetetlen alapját képezi annak a szemléletváltásnak, hogy a Program nem a mezőgazdasági tevékenységekből származó jövedelem-hiányt, hanem a gazdák környezeti szolgáltatásait célozza és fizeti ki. </w:t>
      </w:r>
    </w:p>
    <w:p w:rsidR="00A817A4" w:rsidRPr="00E03E1D" w:rsidRDefault="00A817A4" w:rsidP="00A817A4">
      <w:pPr>
        <w:pStyle w:val="AAMNormal"/>
      </w:pPr>
      <w:r w:rsidRPr="00E03E1D">
        <w:t xml:space="preserve">Második legnagyobb forrást a II. tengelyben a </w:t>
      </w:r>
      <w:r w:rsidRPr="00E03E1D">
        <w:rPr>
          <w:b/>
        </w:rPr>
        <w:t>Kifizetés kedvezőtlen adottságú területen gazdálkodók rész</w:t>
      </w:r>
      <w:r w:rsidRPr="00E03E1D">
        <w:rPr>
          <w:b/>
        </w:rPr>
        <w:t>é</w:t>
      </w:r>
      <w:r w:rsidRPr="00E03E1D">
        <w:rPr>
          <w:b/>
        </w:rPr>
        <w:t xml:space="preserve">re </w:t>
      </w:r>
      <w:r w:rsidRPr="00E03E1D">
        <w:t>intézkedés igényelte 17 110 556 381 Ft lekötésével. Az intézkedés fő céljai a termőhelyi adottságoknak megfelelő termelési szerkezet kialakítása, az extenzív kultúrák (gyep- és takarmánynövények) termelésének előmozdítása az érzékeny természeti területeken, a környezettudatos gazdálkodás és fenntartható táj-használat erősítése. További célként jelöli meg az intézkedés a vidéki foglalkoztatási és jövedelemszerzési lehetőségek bővítését és javítását, új, alternatív, a környezetvédelem követelményeinek megfelelő vidéki gazdasági környezet kialakítását.</w:t>
      </w:r>
    </w:p>
    <w:p w:rsidR="00A817A4" w:rsidRPr="00E03E1D" w:rsidRDefault="00A817A4" w:rsidP="00A817A4">
      <w:pPr>
        <w:pStyle w:val="AAMNormal"/>
      </w:pPr>
      <w:r w:rsidRPr="00E03E1D">
        <w:t xml:space="preserve">Az intézkedés várható hatását leginkább az értékelési projekt keretében lebonyolított kérdőíves felmérés alapján lehet mérni. Eszerint </w:t>
      </w:r>
      <w:r w:rsidRPr="00E03E1D">
        <w:rPr>
          <w:b/>
        </w:rPr>
        <w:t>a termelési szerkezet megváltoztatásával kapcsolatos eredmények csak korl</w:t>
      </w:r>
      <w:r w:rsidRPr="00E03E1D">
        <w:rPr>
          <w:b/>
        </w:rPr>
        <w:t>á</w:t>
      </w:r>
      <w:r w:rsidRPr="00E03E1D">
        <w:rPr>
          <w:b/>
        </w:rPr>
        <w:t xml:space="preserve">tozottan várhatóak, mivel </w:t>
      </w:r>
      <w:r w:rsidR="00475BE9">
        <w:rPr>
          <w:b/>
        </w:rPr>
        <w:t xml:space="preserve">a válaszadók </w:t>
      </w:r>
      <w:r w:rsidRPr="00E03E1D">
        <w:rPr>
          <w:b/>
        </w:rPr>
        <w:t>többség azt válaszolta, hogy azért veszi fel a támogatást, mert annak előírásait eleve is teljesítette. A környezettudatos gazdálkodás erősítése sem igazolható vissza, mivel az intézkedés nem ír elő többet a SAPS támogatás által eleve megkövetelt helyes mezőgazdasági és környezeti állapotfenntartására vonatkozó előírásoknál</w:t>
      </w:r>
      <w:r w:rsidRPr="00E03E1D">
        <w:t>. A fenntartható tájhasználat erősítése és a vidéki jövedele</w:t>
      </w:r>
      <w:r w:rsidRPr="00E03E1D">
        <w:t>m</w:t>
      </w:r>
      <w:r w:rsidRPr="00E03E1D">
        <w:t>szerzési lehetőségek bővítése szempontjából pozitívumként értékelhető, hogy a támogatás hatására a ga</w:t>
      </w:r>
      <w:r w:rsidRPr="00E03E1D">
        <w:t>z</w:t>
      </w:r>
      <w:r w:rsidRPr="00E03E1D">
        <w:t>dálkodás olyan területeken is fennmaradt, ahol a gazdálkodók a termelés feladását tervezték. A válaszok alapján</w:t>
      </w:r>
      <w:r w:rsidR="00FC7139" w:rsidRPr="00E03E1D">
        <w:t>,</w:t>
      </w:r>
      <w:r w:rsidRPr="00E03E1D">
        <w:t xml:space="preserve"> a támogatott területek 30%-ában állt fent ez a helyzet, míg 10%-nál a támogatás hatására újították fel a művelést. </w:t>
      </w:r>
      <w:r w:rsidRPr="00475BE9">
        <w:t>Ugyanakkor az intézkedés forrásai markáns változást a vidéki jövedelemszerzés javításában nem tudtak elérni, amit mutat az intézkedés kötelezettségvállalási összege (17 110 556 381 Ft), továbbá az, hogy az igénylések csak a lehatárolt területek 25,8%-át érintették.</w:t>
      </w:r>
      <w:r w:rsidRPr="00E03E1D">
        <w:t xml:space="preserve"> </w:t>
      </w:r>
    </w:p>
    <w:p w:rsidR="00D76E66" w:rsidRPr="00E03E1D" w:rsidRDefault="00D76E66" w:rsidP="00A817A4">
      <w:pPr>
        <w:pStyle w:val="AAMNormal"/>
      </w:pPr>
      <w:r w:rsidRPr="00881F13">
        <w:t xml:space="preserve">A NATURA 2000 intézkedés 1 428 790 492 Ft forrást kötött le. A támogatást csak a NATURA 2000 </w:t>
      </w:r>
      <w:r w:rsidR="005E7E76" w:rsidRPr="00881F13">
        <w:t>gyep</w:t>
      </w:r>
      <w:r w:rsidRPr="00881F13">
        <w:t>ter</w:t>
      </w:r>
      <w:r w:rsidRPr="00881F13">
        <w:t>ü</w:t>
      </w:r>
      <w:r w:rsidRPr="00881F13">
        <w:t xml:space="preserve">leteken gazdálkodók vehették igénybe egyfajta többletkompenzációs jelleggel. </w:t>
      </w:r>
      <w:r w:rsidR="00FC7139" w:rsidRPr="00881F13">
        <w:t xml:space="preserve">Tekintettel arra, hogy </w:t>
      </w:r>
      <w:r w:rsidRPr="00881F13">
        <w:t xml:space="preserve">a </w:t>
      </w:r>
      <w:r w:rsidRPr="00881F13">
        <w:lastRenderedPageBreak/>
        <w:t>NATURA 2000-es területeken a vonatkozó előírásokat amúgy is be kell tartani, a támogatástól leginkább csak a természet tudatosság terén várunk hatásokat. Ezzel együtt releváns az intézkedés, hiszen az előír</w:t>
      </w:r>
      <w:r w:rsidRPr="00881F13">
        <w:t>á</w:t>
      </w:r>
      <w:r w:rsidRPr="00881F13">
        <w:t>sok jövedelem kiesést okozhatnak a közcél elérésre érdekében, amit érdemes kompenzálni.</w:t>
      </w:r>
    </w:p>
    <w:p w:rsidR="00D76E66" w:rsidRPr="00E03E1D" w:rsidRDefault="00D76E66" w:rsidP="00A817A4">
      <w:pPr>
        <w:pStyle w:val="AAMNormal"/>
      </w:pPr>
      <w:r w:rsidRPr="00E03E1D">
        <w:t xml:space="preserve">A Nem termelő beruházások intézkedésben </w:t>
      </w:r>
      <w:r w:rsidR="007C1186" w:rsidRPr="00E03E1D">
        <w:t xml:space="preserve">összesen </w:t>
      </w:r>
      <w:r w:rsidRPr="00E03E1D">
        <w:t>934 483 103 Ft</w:t>
      </w:r>
      <w:r w:rsidR="007C1186" w:rsidRPr="00E03E1D">
        <w:t xml:space="preserve"> kötelezettségvállalás történt kislé</w:t>
      </w:r>
      <w:r w:rsidR="007C1186" w:rsidRPr="00E03E1D">
        <w:t>p</w:t>
      </w:r>
      <w:r w:rsidR="007C1186" w:rsidRPr="00E03E1D">
        <w:t>tékű, elsősorban természetvédelmi célú fejlesztésekre. A kisebb forrásra tekintettel a jogcím részletes ért</w:t>
      </w:r>
      <w:r w:rsidR="007C1186" w:rsidRPr="00E03E1D">
        <w:t>é</w:t>
      </w:r>
      <w:r w:rsidR="007C1186" w:rsidRPr="00E03E1D">
        <w:t>kelésétől itt eltekintünk.</w:t>
      </w:r>
    </w:p>
    <w:p w:rsidR="00D76E66" w:rsidRPr="00E03E1D" w:rsidRDefault="00A817A4" w:rsidP="00A817A4">
      <w:pPr>
        <w:pStyle w:val="AAMNormal"/>
      </w:pPr>
      <w:r w:rsidRPr="0003253F">
        <w:t xml:space="preserve">Az erdészeti jogcímekben (221, 222, 225, 226, </w:t>
      </w:r>
      <w:proofErr w:type="gramStart"/>
      <w:r w:rsidRPr="0003253F">
        <w:t>227 )</w:t>
      </w:r>
      <w:proofErr w:type="gramEnd"/>
      <w:r w:rsidRPr="0003253F">
        <w:t xml:space="preserve"> 2010.06.30-ig 19 666 277 842 Ft kötelezettséget vállalt a Program. </w:t>
      </w:r>
      <w:r w:rsidR="007C1186" w:rsidRPr="0003253F">
        <w:t>Ezek közül a Mezőgazdasági területek első erdősítése (221) volt a legjelentősebb  17 226 077 899 Ft-os kötelezettségvállalásával</w:t>
      </w:r>
      <w:r w:rsidR="00074882" w:rsidRPr="0003253F">
        <w:rPr>
          <w:rStyle w:val="FootnoteReference"/>
        </w:rPr>
        <w:footnoteReference w:id="31"/>
      </w:r>
      <w:r w:rsidR="007C1186" w:rsidRPr="0003253F">
        <w:t xml:space="preserve">.  </w:t>
      </w:r>
      <w:proofErr w:type="gramStart"/>
      <w:r w:rsidR="00074882" w:rsidRPr="0003253F">
        <w:t>A</w:t>
      </w:r>
      <w:proofErr w:type="gramEnd"/>
      <w:r w:rsidR="00074882" w:rsidRPr="0003253F">
        <w:t xml:space="preserve"> </w:t>
      </w:r>
      <w:r w:rsidR="007C1186" w:rsidRPr="0003253F">
        <w:t>támogatás célja a mezőgazdasági szerkezet-átalakítás előseg</w:t>
      </w:r>
      <w:r w:rsidR="007C1186" w:rsidRPr="0003253F">
        <w:t>í</w:t>
      </w:r>
      <w:r w:rsidR="007C1186" w:rsidRPr="0003253F">
        <w:t>tése, az ország erdőterületének növelése, a vidéki térségek természeti és táji örökségének fenntartása, a lakosság életkörülményeinek, valamint a vidéki foglalkoztatottsági viszonyok javítása és az erdők közérdekű védelmi funkciójának fejlesztése. A támogatást telepítésre, ápolásra és jövedelempótlásként lehetett ig</w:t>
      </w:r>
      <w:r w:rsidR="007C1186" w:rsidRPr="0003253F">
        <w:t>é</w:t>
      </w:r>
      <w:r w:rsidR="007C1186" w:rsidRPr="0003253F">
        <w:t>nyelni. A jogcím keretében első három évében mintegy 2.500 támogatási kérelemben szereplő közel 20.</w:t>
      </w:r>
      <w:proofErr w:type="gramStart"/>
      <w:r w:rsidR="007C1186" w:rsidRPr="0003253F">
        <w:t>000</w:t>
      </w:r>
      <w:proofErr w:type="gramEnd"/>
      <w:r w:rsidR="007C1186" w:rsidRPr="0003253F">
        <w:t xml:space="preserve"> ha erdő telepítése került jóváhagyásra, melyből 2008 – 2009. években 12.000 ha erdő telepítése meg is történt (2010. évi adatok jelenleg feldolgozás alatt állnak). Az erdőtelepítések döntő többsége (több mint 80%) magánszemélyekhez köthető, a benyújtott támogatási kérelmek töredékét adják az egyéb gazdálkodó szervezetek, önkormányzatok, </w:t>
      </w:r>
      <w:proofErr w:type="spellStart"/>
      <w:r w:rsidR="007C1186" w:rsidRPr="0003253F">
        <w:t>erdőbirtokossági</w:t>
      </w:r>
      <w:proofErr w:type="spellEnd"/>
      <w:r w:rsidR="007C1186" w:rsidRPr="0003253F">
        <w:t xml:space="preserve"> társulatok. A leggyakoribb telepítésre tervezett fafaj az Akác (32,4%), amit követ a tölgy (29,5%) és a hazai nyár (21,9%). Örvendetes a tölgy magas aránya, ugyanakkor az akác további </w:t>
      </w:r>
      <w:r w:rsidR="0003253F" w:rsidRPr="0003253F">
        <w:t xml:space="preserve">telepítése </w:t>
      </w:r>
      <w:r w:rsidR="007C1186" w:rsidRPr="0003253F">
        <w:t xml:space="preserve">nem kedvező (a bírálati szempontrendszer se preferálta), mivel </w:t>
      </w:r>
      <w:proofErr w:type="spellStart"/>
      <w:r w:rsidR="007C1186" w:rsidRPr="0003253F">
        <w:t>invazív</w:t>
      </w:r>
      <w:proofErr w:type="spellEnd"/>
      <w:r w:rsidR="007C1186" w:rsidRPr="0003253F">
        <w:t xml:space="preserve"> fafajról van szó. </w:t>
      </w:r>
    </w:p>
    <w:p w:rsidR="00A817A4" w:rsidRDefault="00A817A4" w:rsidP="00A817A4">
      <w:pPr>
        <w:pStyle w:val="AAMNormal"/>
      </w:pPr>
      <w:r w:rsidRPr="00E03E1D">
        <w:t>A II. tengely hatásai tekintetében</w:t>
      </w:r>
      <w:r w:rsidR="00FC7139" w:rsidRPr="00E03E1D">
        <w:t>,</w:t>
      </w:r>
      <w:r w:rsidRPr="00E03E1D">
        <w:t xml:space="preserve"> az Agrár-környezetgazdálkodási kifizetések intézkedés célprogramjai </w:t>
      </w:r>
      <w:r w:rsidR="0003253F">
        <w:t xml:space="preserve">és az MGTE intézkedés </w:t>
      </w:r>
      <w:r w:rsidRPr="00E03E1D">
        <w:t>voltak a meghatározóak.</w:t>
      </w:r>
    </w:p>
    <w:p w:rsidR="00E02425" w:rsidRPr="00E02425" w:rsidRDefault="00E02425" w:rsidP="00A817A4">
      <w:pPr>
        <w:pStyle w:val="AAMNormal"/>
        <w:rPr>
          <w:b/>
        </w:rPr>
      </w:pPr>
      <w:r w:rsidRPr="00E02425">
        <w:rPr>
          <w:b/>
        </w:rPr>
        <w:t>Hatáselemzés</w:t>
      </w:r>
    </w:p>
    <w:p w:rsidR="00A817A4" w:rsidRPr="00E03E1D" w:rsidRDefault="00A817A4" w:rsidP="00A817A4">
      <w:pPr>
        <w:pStyle w:val="AAMNormal"/>
      </w:pPr>
      <w:r w:rsidRPr="00E03E1D">
        <w:t>Az II. tengely</w:t>
      </w:r>
      <w:r w:rsidR="00FC7139" w:rsidRPr="00E03E1D">
        <w:t>,</w:t>
      </w:r>
      <w:r w:rsidRPr="00E03E1D">
        <w:t xml:space="preserve"> a Közös Értékelési Módszertani Keret (CMEF) hét fő hatásindikátora mentén</w:t>
      </w:r>
      <w:r w:rsidR="00FC7139" w:rsidRPr="00E03E1D">
        <w:t>,</w:t>
      </w:r>
      <w:r w:rsidR="00ED2265">
        <w:t xml:space="preserve"> a következőkkel jellemezhető:</w:t>
      </w:r>
    </w:p>
    <w:p w:rsidR="00A817A4" w:rsidRPr="00E03E1D" w:rsidRDefault="00A817A4" w:rsidP="00D5521F">
      <w:pPr>
        <w:pStyle w:val="AAMNormal"/>
        <w:numPr>
          <w:ilvl w:val="0"/>
          <w:numId w:val="19"/>
        </w:numPr>
      </w:pPr>
      <w:r w:rsidRPr="00E03E1D">
        <w:t xml:space="preserve">A II. </w:t>
      </w:r>
      <w:r w:rsidR="009554F9" w:rsidRPr="00E03E1D">
        <w:t>tengely kompenzációs támogatásainak gazdasági jellegű hatásai</w:t>
      </w:r>
      <w:r w:rsidR="00D11655">
        <w:t xml:space="preserve"> (gazdasági növekedés)</w:t>
      </w:r>
      <w:r w:rsidR="00FC7139" w:rsidRPr="00E03E1D">
        <w:t>,</w:t>
      </w:r>
      <w:r w:rsidR="009554F9" w:rsidRPr="00E03E1D">
        <w:t xml:space="preserve"> a kif</w:t>
      </w:r>
      <w:r w:rsidR="009554F9" w:rsidRPr="00E03E1D">
        <w:t>i</w:t>
      </w:r>
      <w:r w:rsidR="009554F9" w:rsidRPr="00E03E1D">
        <w:t>zetések csekély előrehaladottsága miatt</w:t>
      </w:r>
      <w:r w:rsidR="00FC7139" w:rsidRPr="00E03E1D">
        <w:t>,</w:t>
      </w:r>
      <w:r w:rsidR="009554F9" w:rsidRPr="00E03E1D">
        <w:t xml:space="preserve"> egyelőre még nem értékelhetőek.</w:t>
      </w:r>
    </w:p>
    <w:p w:rsidR="00A817A4" w:rsidRPr="00E03E1D" w:rsidRDefault="00A817A4" w:rsidP="00D5521F">
      <w:pPr>
        <w:pStyle w:val="AAMNormal"/>
        <w:numPr>
          <w:ilvl w:val="0"/>
          <w:numId w:val="19"/>
        </w:numPr>
      </w:pPr>
      <w:r w:rsidRPr="00E03E1D">
        <w:rPr>
          <w:b/>
        </w:rPr>
        <w:t>A munkaerő-felhasználás és a munkaerő-termelékenység szempontjából a II. tengely intézkedései nem relevánsak</w:t>
      </w:r>
      <w:r w:rsidRPr="00E03E1D">
        <w:t>, ilyen célokat nem is fogalmaztak meg.</w:t>
      </w:r>
    </w:p>
    <w:p w:rsidR="00A817A4" w:rsidRPr="00E03E1D" w:rsidRDefault="00A817A4" w:rsidP="00D5521F">
      <w:pPr>
        <w:pStyle w:val="AAMNormal"/>
        <w:numPr>
          <w:ilvl w:val="0"/>
          <w:numId w:val="19"/>
        </w:numPr>
      </w:pPr>
      <w:r w:rsidRPr="00E03E1D">
        <w:t xml:space="preserve">A tengely intézkedései közül a </w:t>
      </w:r>
      <w:proofErr w:type="spellStart"/>
      <w:r w:rsidRPr="00E03E1D">
        <w:t>Natura</w:t>
      </w:r>
      <w:proofErr w:type="spellEnd"/>
      <w:r w:rsidRPr="00E03E1D">
        <w:t xml:space="preserve"> 2000, a nem termelő beruházások és az AKG</w:t>
      </w:r>
      <w:r w:rsidR="00813077">
        <w:t>, az MGTE</w:t>
      </w:r>
      <w:r w:rsidRPr="00E03E1D">
        <w:t xml:space="preserve"> vá</w:t>
      </w:r>
      <w:r w:rsidRPr="00E03E1D">
        <w:t>r</w:t>
      </w:r>
      <w:r w:rsidRPr="00E03E1D">
        <w:t xml:space="preserve">hatóan mind hatottak </w:t>
      </w:r>
      <w:r w:rsidRPr="00E03E1D">
        <w:rPr>
          <w:b/>
        </w:rPr>
        <w:t>a biológiai sokfélésségre. Az AKG zonális célprogramjai (216 319 hektár) es</w:t>
      </w:r>
      <w:r w:rsidRPr="00E03E1D">
        <w:rPr>
          <w:b/>
        </w:rPr>
        <w:t>e</w:t>
      </w:r>
      <w:r w:rsidRPr="00E03E1D">
        <w:rPr>
          <w:b/>
        </w:rPr>
        <w:t xml:space="preserve">tében markáns hatás </w:t>
      </w:r>
      <w:r w:rsidR="00813077">
        <w:rPr>
          <w:b/>
        </w:rPr>
        <w:t xml:space="preserve">pozitív </w:t>
      </w:r>
      <w:r w:rsidRPr="00E03E1D">
        <w:rPr>
          <w:b/>
        </w:rPr>
        <w:t>várható, míg az integrált szántóföldi növénytermesztés, ami a tengely legjelentősebb forrását lekötő célprogramja (615 327 hektár)</w:t>
      </w:r>
      <w:r w:rsidR="00FC7139" w:rsidRPr="00E03E1D">
        <w:rPr>
          <w:b/>
        </w:rPr>
        <w:t>,</w:t>
      </w:r>
      <w:r w:rsidRPr="00E03E1D">
        <w:rPr>
          <w:b/>
        </w:rPr>
        <w:t xml:space="preserve"> </w:t>
      </w:r>
      <w:r w:rsidR="00E01015">
        <w:rPr>
          <w:b/>
        </w:rPr>
        <w:t>várhatóan korlátozottan</w:t>
      </w:r>
      <w:r w:rsidRPr="00E03E1D">
        <w:rPr>
          <w:b/>
        </w:rPr>
        <w:t xml:space="preserve"> eredményez valóban mérhető pozitív hatást</w:t>
      </w:r>
      <w:r w:rsidR="0003253F">
        <w:rPr>
          <w:b/>
        </w:rPr>
        <w:t xml:space="preserve">, az előírások gyengesége miatt. </w:t>
      </w:r>
      <w:r w:rsidR="00813077">
        <w:rPr>
          <w:b/>
        </w:rPr>
        <w:t>Az MGTE intézkedés várhatóan szi</w:t>
      </w:r>
      <w:r w:rsidR="00813077">
        <w:rPr>
          <w:b/>
        </w:rPr>
        <w:t>n</w:t>
      </w:r>
      <w:r w:rsidR="00813077">
        <w:rPr>
          <w:b/>
        </w:rPr>
        <w:t xml:space="preserve">tén pozitív hatást gyakorol azokon a területeken, ahol intenzív szántóterületeket fásítottak. </w:t>
      </w:r>
      <w:r w:rsidR="0003253F" w:rsidRPr="0003253F">
        <w:t xml:space="preserve">A </w:t>
      </w:r>
      <w:proofErr w:type="spellStart"/>
      <w:r w:rsidR="0003253F">
        <w:t>biodiverzításra</w:t>
      </w:r>
      <w:proofErr w:type="spellEnd"/>
      <w:r w:rsidR="0003253F">
        <w:t xml:space="preserve"> gyakorolt hatást potenciálvizsgálatokkal is vizsgáltuk. Ezek alapján megállapítható, hogy a</w:t>
      </w:r>
      <w:r w:rsidR="00813077">
        <w:t>z AKG</w:t>
      </w:r>
      <w:r w:rsidR="0003253F">
        <w:t xml:space="preserve"> támogatás</w:t>
      </w:r>
      <w:r w:rsidR="00813077">
        <w:t>ai</w:t>
      </w:r>
      <w:r w:rsidR="0003253F">
        <w:t xml:space="preserve"> jól illeszkednek a </w:t>
      </w:r>
      <w:proofErr w:type="spellStart"/>
      <w:r w:rsidR="0003253F">
        <w:t>biodiverzítás</w:t>
      </w:r>
      <w:proofErr w:type="spellEnd"/>
      <w:r w:rsidR="0003253F">
        <w:t xml:space="preserve"> potenciálhoz, elsősorban a </w:t>
      </w:r>
      <w:proofErr w:type="spellStart"/>
      <w:r w:rsidR="0003253F">
        <w:t>zónális</w:t>
      </w:r>
      <w:proofErr w:type="spellEnd"/>
      <w:r w:rsidR="0003253F">
        <w:t xml:space="preserve"> célpro</w:t>
      </w:r>
      <w:r w:rsidR="0003253F">
        <w:t>g</w:t>
      </w:r>
      <w:r w:rsidR="0003253F">
        <w:t xml:space="preserve">ramok miatt. Amennyiben ezek aránya még magasabb lett volna, a </w:t>
      </w:r>
      <w:proofErr w:type="spellStart"/>
      <w:r w:rsidR="0003253F">
        <w:t>hatáspotenciális</w:t>
      </w:r>
      <w:proofErr w:type="spellEnd"/>
      <w:r w:rsidR="0003253F">
        <w:t xml:space="preserve"> is még n</w:t>
      </w:r>
      <w:r w:rsidR="0003253F">
        <w:t>a</w:t>
      </w:r>
      <w:r w:rsidR="0003253F">
        <w:t>gyobb lenne.</w:t>
      </w:r>
    </w:p>
    <w:p w:rsidR="00A817A4" w:rsidRPr="00E03E1D" w:rsidRDefault="00A817A4" w:rsidP="00D5521F">
      <w:pPr>
        <w:pStyle w:val="AAMNormal"/>
        <w:numPr>
          <w:ilvl w:val="0"/>
          <w:numId w:val="19"/>
        </w:numPr>
      </w:pPr>
      <w:r w:rsidRPr="00E03E1D">
        <w:rPr>
          <w:b/>
        </w:rPr>
        <w:lastRenderedPageBreak/>
        <w:t>A Magas Természeti Értékű Területekre gyakorolt hatás tekintetében</w:t>
      </w:r>
      <w:r w:rsidR="00FC7139" w:rsidRPr="00E03E1D">
        <w:rPr>
          <w:b/>
        </w:rPr>
        <w:t>,</w:t>
      </w:r>
      <w:r w:rsidRPr="00E03E1D">
        <w:rPr>
          <w:b/>
        </w:rPr>
        <w:t xml:space="preserve"> az előző programozási id</w:t>
      </w:r>
      <w:r w:rsidRPr="00E03E1D">
        <w:rPr>
          <w:b/>
        </w:rPr>
        <w:t>ő</w:t>
      </w:r>
      <w:r w:rsidRPr="00E03E1D">
        <w:rPr>
          <w:b/>
        </w:rPr>
        <w:t>szakhoz képest</w:t>
      </w:r>
      <w:r w:rsidR="00FC7139" w:rsidRPr="00E03E1D">
        <w:rPr>
          <w:b/>
        </w:rPr>
        <w:t>,</w:t>
      </w:r>
      <w:r w:rsidRPr="00E03E1D">
        <w:rPr>
          <w:b/>
        </w:rPr>
        <w:t xml:space="preserve"> jelentős pozitív előrelépés tapasztalható</w:t>
      </w:r>
      <w:r w:rsidRPr="00E03E1D">
        <w:t xml:space="preserve">. </w:t>
      </w:r>
      <w:r w:rsidR="00813077">
        <w:t xml:space="preserve">Az AKG </w:t>
      </w:r>
      <w:r w:rsidRPr="00E03E1D">
        <w:t xml:space="preserve">programba vont </w:t>
      </w:r>
      <w:r w:rsidR="00813077">
        <w:t xml:space="preserve">MTÉT </w:t>
      </w:r>
      <w:r w:rsidRPr="00E03E1D">
        <w:t xml:space="preserve">területek nagysága megkétszereződött, és megközelíti a 210 000 hektárt, a </w:t>
      </w:r>
      <w:proofErr w:type="spellStart"/>
      <w:r w:rsidRPr="00E03E1D">
        <w:t>Natura</w:t>
      </w:r>
      <w:proofErr w:type="spellEnd"/>
      <w:r w:rsidRPr="00E03E1D">
        <w:t xml:space="preserve"> 2000 program pedig b</w:t>
      </w:r>
      <w:r w:rsidRPr="00E03E1D">
        <w:t>e</w:t>
      </w:r>
      <w:r w:rsidRPr="00E03E1D">
        <w:t xml:space="preserve">indításra került, egyelőre </w:t>
      </w:r>
      <w:proofErr w:type="gramStart"/>
      <w:r w:rsidRPr="00E03E1D">
        <w:t>gyep művelésű</w:t>
      </w:r>
      <w:proofErr w:type="gramEnd"/>
      <w:r w:rsidRPr="00E03E1D">
        <w:t xml:space="preserve"> területeken. Az agrár-környezetgazdálkodási program t</w:t>
      </w:r>
      <w:r w:rsidRPr="00E03E1D">
        <w:t>o</w:t>
      </w:r>
      <w:r w:rsidRPr="00E03E1D">
        <w:t xml:space="preserve">vábbi fejlesztésével, illetve a </w:t>
      </w:r>
      <w:proofErr w:type="spellStart"/>
      <w:r w:rsidRPr="00E03E1D">
        <w:t>Natura</w:t>
      </w:r>
      <w:proofErr w:type="spellEnd"/>
      <w:r w:rsidRPr="00E03E1D">
        <w:t xml:space="preserve"> 2000 kifizetés kiterjesztésével úgy gondoljuk, hogy fontos le</w:t>
      </w:r>
      <w:r w:rsidRPr="00E03E1D">
        <w:t>n</w:t>
      </w:r>
      <w:r w:rsidRPr="00E03E1D">
        <w:t xml:space="preserve">ne a </w:t>
      </w:r>
      <w:proofErr w:type="spellStart"/>
      <w:r w:rsidRPr="00E03E1D">
        <w:t>biodiverzitás</w:t>
      </w:r>
      <w:proofErr w:type="spellEnd"/>
      <w:r w:rsidRPr="00E03E1D">
        <w:t xml:space="preserve"> védelmét a jelenleginél is hatékonyabban érvényesíteni a programban.</w:t>
      </w:r>
    </w:p>
    <w:p w:rsidR="00A817A4" w:rsidRPr="0003253F" w:rsidRDefault="00A817A4" w:rsidP="00D5521F">
      <w:pPr>
        <w:pStyle w:val="AAMNormal"/>
        <w:numPr>
          <w:ilvl w:val="0"/>
          <w:numId w:val="19"/>
        </w:numPr>
      </w:pPr>
      <w:r w:rsidRPr="0003253F">
        <w:t>A vízminőség javítását elsősorban vízgyűjtő-gazdálkodási terve</w:t>
      </w:r>
      <w:r w:rsidR="00AA5FFD">
        <w:t>ke</w:t>
      </w:r>
      <w:r w:rsidRPr="0003253F">
        <w:t xml:space="preserve">n keresztül lehetne érvényesíteni, azonban ez sem kidolgozva, sem integrálva nincs a jelenleg működő támogatásokba. </w:t>
      </w:r>
      <w:r w:rsidR="0003253F">
        <w:rPr>
          <w:b/>
        </w:rPr>
        <w:t>A vízminőség szempontjából kedvező hatású lenne az AKG, mert csökkenti a talajvízbe jutó mezőgazdasági er</w:t>
      </w:r>
      <w:r w:rsidR="0003253F">
        <w:rPr>
          <w:b/>
        </w:rPr>
        <w:t>e</w:t>
      </w:r>
      <w:r w:rsidR="0003253F">
        <w:rPr>
          <w:b/>
        </w:rPr>
        <w:t xml:space="preserve">detű </w:t>
      </w:r>
      <w:proofErr w:type="gramStart"/>
      <w:r w:rsidR="0003253F">
        <w:rPr>
          <w:b/>
        </w:rPr>
        <w:t>vegyszer szennyezést</w:t>
      </w:r>
      <w:proofErr w:type="gramEnd"/>
      <w:r w:rsidR="0003253F">
        <w:rPr>
          <w:b/>
        </w:rPr>
        <w:t xml:space="preserve">. </w:t>
      </w:r>
      <w:r w:rsidR="0003253F" w:rsidRPr="0003253F">
        <w:t>A hatás egyelőre még nem mérhető.</w:t>
      </w:r>
      <w:r w:rsidR="0003253F">
        <w:rPr>
          <w:b/>
        </w:rPr>
        <w:t xml:space="preserve"> A hatáspotenciállal az AKG eset</w:t>
      </w:r>
      <w:r w:rsidR="0003253F">
        <w:rPr>
          <w:b/>
        </w:rPr>
        <w:t>é</w:t>
      </w:r>
      <w:r w:rsidR="0003253F">
        <w:rPr>
          <w:b/>
        </w:rPr>
        <w:t>ben főleg az ökológiai gazdálkodást preferáló cé</w:t>
      </w:r>
      <w:r w:rsidR="00AA5FFD">
        <w:rPr>
          <w:b/>
        </w:rPr>
        <w:t>lprogramok rendelkeznek, mert a többi célprogram előírásai gyengék, vagy irrelevánsak ebből a szempontból.</w:t>
      </w:r>
      <w:r w:rsidR="0003253F">
        <w:rPr>
          <w:b/>
        </w:rPr>
        <w:t xml:space="preserve"> </w:t>
      </w:r>
      <w:r w:rsidR="0003253F">
        <w:t xml:space="preserve">A vízháztartásra </w:t>
      </w:r>
      <w:r w:rsidR="00AA5FFD">
        <w:t>még az MGTE intézk</w:t>
      </w:r>
      <w:r w:rsidR="00AA5FFD">
        <w:t>e</w:t>
      </w:r>
      <w:r w:rsidR="00AA5FFD">
        <w:t>dés gyakorolhat pozitív hatást a vízvisszatartó képesség növelésével. Ebből a szempontból is az ő</w:t>
      </w:r>
      <w:r w:rsidR="00AA5FFD">
        <w:t>s</w:t>
      </w:r>
      <w:r w:rsidR="00AA5FFD">
        <w:t>honos fafajok telepítése preferálandó.</w:t>
      </w:r>
    </w:p>
    <w:p w:rsidR="00A817A4" w:rsidRPr="00AA5FFD" w:rsidRDefault="00A817A4" w:rsidP="00D5521F">
      <w:pPr>
        <w:pStyle w:val="AAMNormal"/>
        <w:numPr>
          <w:ilvl w:val="0"/>
          <w:numId w:val="19"/>
        </w:numPr>
      </w:pPr>
      <w:r w:rsidRPr="00AA5FFD">
        <w:rPr>
          <w:b/>
        </w:rPr>
        <w:t>Az éghajlatváltozás elleni küzdelem szempontjából</w:t>
      </w:r>
      <w:r w:rsidR="00FC7139" w:rsidRPr="00AA5FFD">
        <w:rPr>
          <w:b/>
        </w:rPr>
        <w:t>,</w:t>
      </w:r>
      <w:r w:rsidRPr="00AA5FFD">
        <w:rPr>
          <w:b/>
        </w:rPr>
        <w:t xml:space="preserve"> szintén a szántóföldi művelést érintő célpro</w:t>
      </w:r>
      <w:r w:rsidRPr="00AA5FFD">
        <w:rPr>
          <w:b/>
        </w:rPr>
        <w:t>g</w:t>
      </w:r>
      <w:r w:rsidRPr="00AA5FFD">
        <w:rPr>
          <w:b/>
        </w:rPr>
        <w:t xml:space="preserve">ramok, továbbá területhasználati váltást előidéző jogcímek voltak relevánsak. </w:t>
      </w:r>
      <w:r w:rsidRPr="005F4984">
        <w:t>Előbbieknél a műtr</w:t>
      </w:r>
      <w:r w:rsidRPr="005F4984">
        <w:t>á</w:t>
      </w:r>
      <w:r w:rsidRPr="005F4984">
        <w:t>gya kihelyezés korlátozása okozhatna csökkenést az üvegházhatású gázok kibocsátásában, de m</w:t>
      </w:r>
      <w:r w:rsidRPr="005F4984">
        <w:t>i</w:t>
      </w:r>
      <w:r w:rsidRPr="005F4984">
        <w:t xml:space="preserve">vel ezen a területen ezek a célprogramok </w:t>
      </w:r>
      <w:r w:rsidR="00E01015" w:rsidRPr="005F4984">
        <w:t>csak gyenge</w:t>
      </w:r>
      <w:r w:rsidRPr="005F4984">
        <w:t xml:space="preserve"> korlátozást</w:t>
      </w:r>
      <w:r w:rsidR="00E01015" w:rsidRPr="005F4984">
        <w:t xml:space="preserve"> jelentettek</w:t>
      </w:r>
      <w:r w:rsidRPr="005F4984">
        <w:t>, a kibocsátás csökk</w:t>
      </w:r>
      <w:r w:rsidRPr="005F4984">
        <w:t>e</w:t>
      </w:r>
      <w:r w:rsidRPr="005F4984">
        <w:t>nése sem várható. A gyepesítést előidéző célprogramok miatt várható kibocsátás</w:t>
      </w:r>
      <w:r w:rsidRPr="00AA5FFD">
        <w:t xml:space="preserve"> csökkenés mért</w:t>
      </w:r>
      <w:r w:rsidRPr="00AA5FFD">
        <w:t>é</w:t>
      </w:r>
      <w:r w:rsidRPr="00AA5FFD">
        <w:t>ke</w:t>
      </w:r>
      <w:r w:rsidR="00FC7139" w:rsidRPr="00AA5FFD">
        <w:t>,</w:t>
      </w:r>
      <w:r w:rsidRPr="00AA5FFD">
        <w:t xml:space="preserve"> a becslési számítások szerint</w:t>
      </w:r>
      <w:r w:rsidR="00FC7139" w:rsidRPr="00AA5FFD">
        <w:t>,</w:t>
      </w:r>
      <w:r w:rsidRPr="00AA5FFD">
        <w:t xml:space="preserve"> a kis területi lépték miatt </w:t>
      </w:r>
      <w:r w:rsidR="00AA5FFD">
        <w:t>a becslési hibahatáron belül van</w:t>
      </w:r>
      <w:r w:rsidRPr="00AA5FFD">
        <w:t>.</w:t>
      </w:r>
      <w:r w:rsidR="00AA5FFD">
        <w:t xml:space="preserve"> Az MGTE intézkedés hatása ellenben becsülhető. A </w:t>
      </w:r>
      <w:r w:rsidR="005F4984">
        <w:t>már megítélt támogatásokból várhatóan telepített új erdőrészletek szénmegkötési potenciálja 2015-re meghaladja a 200.000 t CO2-t, míg 2035-re eléri az 1.400.000 t CO2-t. Ez jelentős mértékben növeli az agrárium szénmegkötő képességét.</w:t>
      </w:r>
    </w:p>
    <w:p w:rsidR="00D96A68" w:rsidRPr="00E03E1D" w:rsidRDefault="00D96A68" w:rsidP="00A817A4">
      <w:pPr>
        <w:pStyle w:val="AAMNormal"/>
      </w:pPr>
    </w:p>
    <w:p w:rsidR="00B7428A" w:rsidRDefault="00B7428A" w:rsidP="00D5521F">
      <w:pPr>
        <w:pStyle w:val="HUNHeading2"/>
        <w:numPr>
          <w:ilvl w:val="1"/>
          <w:numId w:val="32"/>
        </w:numPr>
        <w:ind w:hanging="792"/>
      </w:pPr>
      <w:bookmarkStart w:id="22" w:name="_Toc278535735"/>
      <w:bookmarkStart w:id="23" w:name="_Toc280020563"/>
      <w:bookmarkStart w:id="24" w:name="_Toc280788352"/>
      <w:bookmarkEnd w:id="20"/>
      <w:bookmarkEnd w:id="21"/>
      <w:r w:rsidRPr="00E03E1D">
        <w:t>A III. tengely értékelése</w:t>
      </w:r>
      <w:bookmarkEnd w:id="22"/>
      <w:bookmarkEnd w:id="23"/>
      <w:bookmarkEnd w:id="24"/>
    </w:p>
    <w:p w:rsidR="00B7428A" w:rsidRPr="00E03E1D" w:rsidRDefault="00B7428A" w:rsidP="00B7428A">
      <w:pPr>
        <w:pStyle w:val="AAMNormal"/>
        <w:rPr>
          <w:b/>
          <w:bCs/>
        </w:rPr>
      </w:pPr>
      <w:r w:rsidRPr="00E03E1D">
        <w:rPr>
          <w:b/>
          <w:bCs/>
        </w:rPr>
        <w:t>Az ÚMVP III. tengelye (A vidéki élet minősége és a vidéki gazdaság diverzifikálása) egyszerre tűzte ki célként a vidéki gazdaság diverzifikációját valamint a vidéki területeken az életminőség javítását.</w:t>
      </w:r>
    </w:p>
    <w:p w:rsidR="00B7428A" w:rsidRPr="00E03E1D" w:rsidRDefault="00B7428A" w:rsidP="00B7428A">
      <w:pPr>
        <w:pStyle w:val="AAMNormal"/>
      </w:pPr>
      <w:r w:rsidRPr="00E03E1D">
        <w:t>Az ÚMVST egyben azt is rögzíti, hogy „</w:t>
      </w:r>
      <w:r w:rsidRPr="00E03E1D">
        <w:rPr>
          <w:i/>
          <w:iCs/>
        </w:rPr>
        <w:t xml:space="preserve">A III. Intézkedéscsoport megvalósítása </w:t>
      </w:r>
      <w:proofErr w:type="gramStart"/>
      <w:r w:rsidRPr="00E03E1D">
        <w:rPr>
          <w:i/>
          <w:iCs/>
        </w:rPr>
        <w:t>során</w:t>
      </w:r>
      <w:proofErr w:type="gramEnd"/>
      <w:r w:rsidRPr="00E03E1D">
        <w:rPr>
          <w:i/>
          <w:iCs/>
        </w:rPr>
        <w:t xml:space="preserve"> a partnerségen alapuló LEADER megközelítés jelentős mértékben érvényesül majd</w:t>
      </w:r>
      <w:r w:rsidRPr="00E03E1D">
        <w:t>”, illetve a „</w:t>
      </w:r>
      <w:r w:rsidRPr="00E03E1D">
        <w:rPr>
          <w:i/>
          <w:iCs/>
        </w:rPr>
        <w:t>A cél, hogy integrált gazdaságfejles</w:t>
      </w:r>
      <w:r w:rsidRPr="00E03E1D">
        <w:rPr>
          <w:i/>
          <w:iCs/>
        </w:rPr>
        <w:t>z</w:t>
      </w:r>
      <w:r w:rsidRPr="00E03E1D">
        <w:rPr>
          <w:i/>
          <w:iCs/>
        </w:rPr>
        <w:t xml:space="preserve">tési tervekre alapozva megerősödjenek a vidéki vállalkozók összefogásán alapuló szerveződések, ún. </w:t>
      </w:r>
      <w:proofErr w:type="gramStart"/>
      <w:r w:rsidRPr="00E03E1D">
        <w:rPr>
          <w:i/>
          <w:iCs/>
        </w:rPr>
        <w:t>vidé</w:t>
      </w:r>
      <w:r w:rsidRPr="00E03E1D">
        <w:rPr>
          <w:i/>
          <w:iCs/>
        </w:rPr>
        <w:t>k</w:t>
      </w:r>
      <w:r w:rsidRPr="00E03E1D">
        <w:rPr>
          <w:i/>
          <w:iCs/>
        </w:rPr>
        <w:t>fejlesztési</w:t>
      </w:r>
      <w:proofErr w:type="gramEnd"/>
      <w:r w:rsidRPr="00E03E1D">
        <w:rPr>
          <w:i/>
          <w:iCs/>
        </w:rPr>
        <w:t xml:space="preserve"> klaszterek</w:t>
      </w:r>
      <w:r w:rsidRPr="00E03E1D">
        <w:t xml:space="preserve">” alakuljanak ki. </w:t>
      </w:r>
    </w:p>
    <w:p w:rsidR="00B7428A" w:rsidRPr="00E03E1D" w:rsidRDefault="00B7428A" w:rsidP="00B7428A">
      <w:pPr>
        <w:pStyle w:val="HUNNormal"/>
      </w:pPr>
      <w:r w:rsidRPr="00E03E1D">
        <w:t>A III. tengely intézkedéseinek megvalósítása az ÚMVP 22. sz. melléklete alapján két fő végrehajtási mech</w:t>
      </w:r>
      <w:r w:rsidRPr="00E03E1D">
        <w:t>a</w:t>
      </w:r>
      <w:r w:rsidRPr="00E03E1D">
        <w:t>nizmus mentén történt:</w:t>
      </w:r>
    </w:p>
    <w:p w:rsidR="00B7428A" w:rsidRPr="00E03E1D" w:rsidRDefault="00B7428A" w:rsidP="00B7428A">
      <w:pPr>
        <w:pStyle w:val="HUNNormal"/>
        <w:ind w:left="720"/>
      </w:pPr>
      <w:r w:rsidRPr="00E03E1D">
        <w:rPr>
          <w:b/>
          <w:bCs/>
        </w:rPr>
        <w:t>Horizontálisan megvalósított intézkedések</w:t>
      </w:r>
      <w:r w:rsidRPr="00E03E1D">
        <w:t xml:space="preserve"> a III. tengely azon intézkedései, amelyek nem szerepe</w:t>
      </w:r>
      <w:r w:rsidRPr="00E03E1D">
        <w:t>l</w:t>
      </w:r>
      <w:r w:rsidRPr="00E03E1D">
        <w:t xml:space="preserve">nek a helyi fejlesztési stratégiákban, végrehajtásuk a helyi programozási folyamattól </w:t>
      </w:r>
      <w:r>
        <w:t xml:space="preserve">függetlenül </w:t>
      </w:r>
      <w:r w:rsidRPr="00E03E1D">
        <w:t>és a LEADER helyi akciócsoportok bevonása nélkül, központi kérelemkezeléssel történik. A horizontális intézkedések csoportjába az alábbi intézkedések tartoznak:</w:t>
      </w:r>
    </w:p>
    <w:p w:rsidR="00B7428A" w:rsidRPr="00E03E1D" w:rsidRDefault="00B7428A" w:rsidP="00D5521F">
      <w:pPr>
        <w:pStyle w:val="HUNNormal"/>
        <w:numPr>
          <w:ilvl w:val="1"/>
          <w:numId w:val="20"/>
        </w:numPr>
      </w:pPr>
      <w:r w:rsidRPr="00E03E1D">
        <w:t>311 Nem mezőgazdasági tevékenységekké történő diverzifikálás (nem került még meghi</w:t>
      </w:r>
      <w:r w:rsidRPr="00E03E1D">
        <w:t>r</w:t>
      </w:r>
      <w:r w:rsidRPr="00E03E1D">
        <w:t>detésre);</w:t>
      </w:r>
    </w:p>
    <w:p w:rsidR="00B7428A" w:rsidRPr="00E03E1D" w:rsidRDefault="00B7428A" w:rsidP="00D5521F">
      <w:pPr>
        <w:pStyle w:val="HUNNormal"/>
        <w:numPr>
          <w:ilvl w:val="1"/>
          <w:numId w:val="20"/>
        </w:numPr>
      </w:pPr>
      <w:r w:rsidRPr="00E03E1D">
        <w:t>321 A gazdaság és a vidéki népesség számára nyújtott alapszolgáltatások;</w:t>
      </w:r>
    </w:p>
    <w:p w:rsidR="00B7428A" w:rsidRPr="00E03E1D" w:rsidRDefault="00B7428A" w:rsidP="00D5521F">
      <w:pPr>
        <w:pStyle w:val="HUNNormal"/>
        <w:numPr>
          <w:ilvl w:val="1"/>
          <w:numId w:val="20"/>
        </w:numPr>
      </w:pPr>
      <w:r w:rsidRPr="00E03E1D">
        <w:lastRenderedPageBreak/>
        <w:t xml:space="preserve">A 323-as intézkedés </w:t>
      </w:r>
      <w:proofErr w:type="spellStart"/>
      <w:r w:rsidRPr="00E03E1D">
        <w:t>Natura</w:t>
      </w:r>
      <w:proofErr w:type="spellEnd"/>
      <w:r w:rsidRPr="00E03E1D">
        <w:t xml:space="preserve"> 2000-es fenntartási/fejlesztési tervek elkészítését célzó </w:t>
      </w:r>
      <w:proofErr w:type="spellStart"/>
      <w:r w:rsidRPr="00E03E1D">
        <w:t>alintézkedése</w:t>
      </w:r>
      <w:proofErr w:type="spellEnd"/>
      <w:r w:rsidRPr="00E03E1D">
        <w:t xml:space="preserve"> (nem indult el);</w:t>
      </w:r>
    </w:p>
    <w:p w:rsidR="00B7428A" w:rsidRPr="00E03E1D" w:rsidRDefault="00B7428A" w:rsidP="00B7428A">
      <w:pPr>
        <w:pStyle w:val="HUNNormal"/>
        <w:ind w:left="720"/>
        <w:rPr>
          <w:b/>
          <w:bCs/>
        </w:rPr>
      </w:pPr>
      <w:r w:rsidRPr="00E03E1D">
        <w:rPr>
          <w:b/>
          <w:bCs/>
        </w:rPr>
        <w:t xml:space="preserve">A LEADER helyi akciócsoportok bevonásával valósulnak meg az alábbi </w:t>
      </w:r>
      <w:r>
        <w:rPr>
          <w:b/>
          <w:bCs/>
        </w:rPr>
        <w:t xml:space="preserve">III. tengelyes </w:t>
      </w:r>
      <w:r w:rsidRPr="00E03E1D">
        <w:rPr>
          <w:b/>
          <w:bCs/>
        </w:rPr>
        <w:t xml:space="preserve">intézkedések: </w:t>
      </w:r>
    </w:p>
    <w:p w:rsidR="00B7428A" w:rsidRPr="00E03E1D" w:rsidRDefault="00B7428A" w:rsidP="00D5521F">
      <w:pPr>
        <w:pStyle w:val="HUNNormal"/>
        <w:numPr>
          <w:ilvl w:val="1"/>
          <w:numId w:val="21"/>
        </w:numPr>
      </w:pPr>
      <w:r w:rsidRPr="00E03E1D">
        <w:t xml:space="preserve">312 </w:t>
      </w:r>
      <w:proofErr w:type="spellStart"/>
      <w:r w:rsidRPr="00E03E1D">
        <w:t>Mikrovállalkozások</w:t>
      </w:r>
      <w:proofErr w:type="spellEnd"/>
      <w:r w:rsidRPr="00E03E1D">
        <w:t xml:space="preserve"> létrehozásának és működtetésének támogatása;</w:t>
      </w:r>
    </w:p>
    <w:p w:rsidR="00B7428A" w:rsidRPr="00E03E1D" w:rsidRDefault="00B7428A" w:rsidP="00D5521F">
      <w:pPr>
        <w:pStyle w:val="HUNNormal"/>
        <w:numPr>
          <w:ilvl w:val="1"/>
          <w:numId w:val="21"/>
        </w:numPr>
      </w:pPr>
      <w:r w:rsidRPr="00E03E1D">
        <w:t>313 Turisztikai tevékenységek ösztönzése;</w:t>
      </w:r>
    </w:p>
    <w:p w:rsidR="00B7428A" w:rsidRPr="00E03E1D" w:rsidRDefault="00B7428A" w:rsidP="00D5521F">
      <w:pPr>
        <w:pStyle w:val="HUNNormal"/>
        <w:numPr>
          <w:ilvl w:val="1"/>
          <w:numId w:val="21"/>
        </w:numPr>
      </w:pPr>
      <w:r w:rsidRPr="00E03E1D">
        <w:t xml:space="preserve">331 Képzés és </w:t>
      </w:r>
      <w:proofErr w:type="gramStart"/>
      <w:r w:rsidRPr="00E03E1D">
        <w:t>tájékoztatás</w:t>
      </w:r>
      <w:r>
        <w:rPr>
          <w:rStyle w:val="FootnoteReference"/>
        </w:rPr>
        <w:footnoteReference w:id="32"/>
      </w:r>
      <w:r w:rsidRPr="00E03E1D">
        <w:t>;</w:t>
      </w:r>
      <w:proofErr w:type="gramEnd"/>
    </w:p>
    <w:p w:rsidR="00B7428A" w:rsidRPr="00E03E1D" w:rsidRDefault="00B7428A" w:rsidP="00D5521F">
      <w:pPr>
        <w:pStyle w:val="HUNNormal"/>
        <w:numPr>
          <w:ilvl w:val="1"/>
          <w:numId w:val="21"/>
        </w:numPr>
      </w:pPr>
      <w:r w:rsidRPr="00E03E1D">
        <w:t>322 A falvak megújítása és fejlesztése;</w:t>
      </w:r>
    </w:p>
    <w:p w:rsidR="00B7428A" w:rsidRPr="00E03E1D" w:rsidRDefault="00B7428A" w:rsidP="00D5521F">
      <w:pPr>
        <w:pStyle w:val="HUNNormal"/>
        <w:numPr>
          <w:ilvl w:val="1"/>
          <w:numId w:val="21"/>
        </w:numPr>
      </w:pPr>
      <w:r w:rsidRPr="00E03E1D">
        <w:t xml:space="preserve">323 A vidék örökségének védelme és fenntartható fejlesztése (kivéve a </w:t>
      </w:r>
      <w:proofErr w:type="spellStart"/>
      <w:r w:rsidRPr="00E03E1D">
        <w:t>Natura</w:t>
      </w:r>
      <w:proofErr w:type="spellEnd"/>
      <w:r w:rsidRPr="00E03E1D">
        <w:t xml:space="preserve"> 2000-es fenntartási/fejlesztési tervek elkészítését célzó </w:t>
      </w:r>
      <w:proofErr w:type="spellStart"/>
      <w:r w:rsidRPr="00E03E1D">
        <w:t>alintézkedés</w:t>
      </w:r>
      <w:proofErr w:type="spellEnd"/>
      <w:r w:rsidRPr="00E03E1D">
        <w:t>);</w:t>
      </w:r>
    </w:p>
    <w:p w:rsidR="00B7428A" w:rsidRPr="00E03E1D" w:rsidRDefault="00B7428A" w:rsidP="00B7428A">
      <w:pPr>
        <w:pStyle w:val="HUNNormal"/>
        <w:ind w:left="720"/>
      </w:pPr>
      <w:r w:rsidRPr="00E03E1D">
        <w:rPr>
          <w:b/>
          <w:bCs/>
        </w:rPr>
        <w:t>A 341 Készségek elsajátítása, ösztönzés és a helyi vidékfejlesztési stratégiák kidolgozása és végr</w:t>
      </w:r>
      <w:r w:rsidRPr="00E03E1D">
        <w:rPr>
          <w:b/>
          <w:bCs/>
        </w:rPr>
        <w:t>e</w:t>
      </w:r>
      <w:r w:rsidRPr="00E03E1D">
        <w:rPr>
          <w:b/>
          <w:bCs/>
        </w:rPr>
        <w:t>hajtása</w:t>
      </w:r>
      <w:r w:rsidRPr="00E03E1D">
        <w:t xml:space="preserve"> című intézkedés, mivel tartalmát tekintve épp a LEADER helyi akciócsoportok megalakul</w:t>
      </w:r>
      <w:r w:rsidRPr="00E03E1D">
        <w:t>á</w:t>
      </w:r>
      <w:r w:rsidRPr="00E03E1D">
        <w:t>sát és a tervezési folyamatot hivatott segíteni</w:t>
      </w:r>
      <w:r>
        <w:t xml:space="preserve"> (működési jellegű támogatás)</w:t>
      </w:r>
      <w:r w:rsidRPr="00E03E1D">
        <w:t>, nem tartozik egyik k</w:t>
      </w:r>
      <w:r w:rsidRPr="00E03E1D">
        <w:t>a</w:t>
      </w:r>
      <w:r w:rsidRPr="00E03E1D">
        <w:t xml:space="preserve">tegóriába sem. </w:t>
      </w:r>
    </w:p>
    <w:p w:rsidR="00624E89" w:rsidRPr="00E03E1D" w:rsidRDefault="00624E89" w:rsidP="00624E89">
      <w:pPr>
        <w:pStyle w:val="AAMNormal"/>
      </w:pPr>
      <w:r>
        <w:t>A hatásvizsgálatok eredményeinek megalapozása érdekében röviden jellemezzük az egyes intézkedések forrásfelhasználását és legfontosabb output mutatóit. Az egyes intézkedéseket eltérő részletezettséggel mutatjuk be, koncentrálva azokra, amelyek a hatásvizsgálatok szempontjából meghatározóak voltak.</w:t>
      </w:r>
    </w:p>
    <w:p w:rsidR="00B7428A" w:rsidRPr="00E03E1D" w:rsidRDefault="00B7428A" w:rsidP="00B7428A">
      <w:pPr>
        <w:pStyle w:val="AAMNormal"/>
      </w:pPr>
      <w:r w:rsidRPr="00E03E1D">
        <w:t xml:space="preserve">A horizontálisan megvalósított intézkedések közül a </w:t>
      </w:r>
      <w:r>
        <w:t xml:space="preserve">lekötött forrás tekintetében a </w:t>
      </w:r>
      <w:r w:rsidRPr="00E03E1D">
        <w:t xml:space="preserve">legjelentősebb </w:t>
      </w:r>
      <w:proofErr w:type="gramStart"/>
      <w:r w:rsidRPr="00E03E1D">
        <w:rPr>
          <w:b/>
          <w:bCs/>
        </w:rPr>
        <w:t>A</w:t>
      </w:r>
      <w:proofErr w:type="gramEnd"/>
      <w:r w:rsidRPr="00E03E1D">
        <w:rPr>
          <w:b/>
          <w:bCs/>
        </w:rPr>
        <w:t xml:space="preserve"> vidéki gazdaság és lakosság számára nyújtott alapszolgáltatások (321) </w:t>
      </w:r>
      <w:r w:rsidRPr="00E03E1D">
        <w:t xml:space="preserve">című </w:t>
      </w:r>
      <w:r>
        <w:t xml:space="preserve">intézkedés </w:t>
      </w:r>
      <w:r w:rsidRPr="00E03E1D">
        <w:t xml:space="preserve">, összesen 33 247 120 744 Ft összeggel. Az intézkedés keretében két </w:t>
      </w:r>
      <w:proofErr w:type="spellStart"/>
      <w:r>
        <w:t>al</w:t>
      </w:r>
      <w:r w:rsidRPr="00E03E1D">
        <w:t>jogcím</w:t>
      </w:r>
      <w:proofErr w:type="spellEnd"/>
      <w:r w:rsidRPr="00E03E1D">
        <w:t xml:space="preserve"> került meghirdetésre. </w:t>
      </w:r>
    </w:p>
    <w:p w:rsidR="00B7428A" w:rsidRPr="00E03E1D" w:rsidRDefault="00B7428A" w:rsidP="00B7428A">
      <w:pPr>
        <w:pStyle w:val="HUNNormal"/>
        <w:ind w:left="720"/>
      </w:pPr>
      <w:r w:rsidRPr="00E03E1D">
        <w:t xml:space="preserve">Az </w:t>
      </w:r>
      <w:r w:rsidRPr="00E03E1D">
        <w:rPr>
          <w:b/>
          <w:bCs/>
        </w:rPr>
        <w:t>„Integrált közösségi és szolgáltató tér”</w:t>
      </w:r>
      <w:r w:rsidRPr="00E03E1D">
        <w:t xml:space="preserve"> jogcím többfunkciós szolgáltató intézmények kialakítására és működtetésére nyújtott támogatást. A jogcím elsősorban </w:t>
      </w:r>
      <w:r>
        <w:t>felújításra szoruló</w:t>
      </w:r>
      <w:r w:rsidRPr="00E03E1D">
        <w:t xml:space="preserve"> épületek műszaki korszerűsítésével számolt és egy új szolgáltatásszervezési modellt valósít meg. Ennek keretében a helyi lakosság számára fontos (köz</w:t>
      </w:r>
      <w:proofErr w:type="gramStart"/>
      <w:r w:rsidRPr="00E03E1D">
        <w:t>)szolgáltatások</w:t>
      </w:r>
      <w:proofErr w:type="gramEnd"/>
      <w:r w:rsidRPr="00E03E1D">
        <w:t xml:space="preserve"> egy épületben való, költségkímélő működtetését tervezte a jogcím, a foglalkoztatási, vállalkozásfejlesztéshez kötődő, gyermek és ifjúsági, oktatási, képzési, közművelődési, szociális és lakossági, ügyfélszolgálati jellegű szolgáltatások összefogás</w:t>
      </w:r>
      <w:r w:rsidRPr="00E03E1D">
        <w:t>á</w:t>
      </w:r>
      <w:r w:rsidRPr="00E03E1D">
        <w:t>val.</w:t>
      </w:r>
    </w:p>
    <w:p w:rsidR="00B7428A" w:rsidRPr="00E03E1D" w:rsidRDefault="00B7428A" w:rsidP="00B7428A">
      <w:pPr>
        <w:pStyle w:val="HUNNormal"/>
        <w:ind w:left="720"/>
      </w:pPr>
      <w:r w:rsidRPr="00E03E1D">
        <w:t xml:space="preserve">Támogatott kategóriában 554 db, a függőben lévő, tartalmi ellenőrzésre illetve jogorvoslatra váró kategóriában 194 db projektet találtunk. A támogatott projektek 69%-át önkormányzatok, 26%-át civil szervezetek, 5%-át egyéb szervezetek jegyzik. </w:t>
      </w:r>
    </w:p>
    <w:p w:rsidR="00B7428A" w:rsidRPr="00E03E1D" w:rsidRDefault="00B7428A" w:rsidP="00B7428A">
      <w:pPr>
        <w:pStyle w:val="HUNNormal"/>
        <w:ind w:left="720"/>
      </w:pPr>
      <w:proofErr w:type="gramStart"/>
      <w:r w:rsidRPr="00E03E1D">
        <w:t>A kialakított szolgáltatások sorrendje (az infrastruktúra fejlesztést is végző szervezetek között): t</w:t>
      </w:r>
      <w:r w:rsidRPr="00E03E1D">
        <w:t>a</w:t>
      </w:r>
      <w:r w:rsidRPr="00E03E1D">
        <w:t>nácsadás (534 db), könyvtár (530 db), internet hozzáférés (475 db), ifjúsági programok (399 db), MNVH végpont (378 db), közösségi fejlesztés (310 db), egészség fejlesztés (299 db), Állami Fogla</w:t>
      </w:r>
      <w:r w:rsidRPr="00E03E1D">
        <w:t>l</w:t>
      </w:r>
      <w:r w:rsidRPr="00E03E1D">
        <w:t xml:space="preserve">koztatási Szolgálat végpont (263 db), </w:t>
      </w:r>
      <w:proofErr w:type="spellStart"/>
      <w:r w:rsidRPr="00E03E1D">
        <w:t>E-közigazgatás-közháló</w:t>
      </w:r>
      <w:proofErr w:type="spellEnd"/>
      <w:r w:rsidRPr="00E03E1D">
        <w:t xml:space="preserve"> (196 db), tanfolyam (152 db), üzleth</w:t>
      </w:r>
      <w:r w:rsidRPr="00E03E1D">
        <w:t>e</w:t>
      </w:r>
      <w:r w:rsidRPr="00E03E1D">
        <w:t>lyiségek (116 db), Biztos Kezdet Pont (100 db), falugazdász ügyfélszolgálat (95 db), tanoda program (52 db), posta (23 db), egyéb (24 db).</w:t>
      </w:r>
      <w:proofErr w:type="gramEnd"/>
    </w:p>
    <w:p w:rsidR="00B7428A" w:rsidRPr="00E03E1D" w:rsidRDefault="00B7428A" w:rsidP="00B7428A">
      <w:pPr>
        <w:pStyle w:val="HUNNormal"/>
        <w:ind w:left="720"/>
        <w:rPr>
          <w:b/>
          <w:bCs/>
        </w:rPr>
      </w:pPr>
      <w:r w:rsidRPr="00E03E1D">
        <w:rPr>
          <w:b/>
          <w:bCs/>
        </w:rPr>
        <w:t>A jóváhagyott kérelmek tartalmának háromnegyede meglévő épületek felújítását szolgálja, egyn</w:t>
      </w:r>
      <w:r w:rsidRPr="00E03E1D">
        <w:rPr>
          <w:b/>
          <w:bCs/>
        </w:rPr>
        <w:t>e</w:t>
      </w:r>
      <w:r w:rsidRPr="00E03E1D">
        <w:rPr>
          <w:b/>
          <w:bCs/>
        </w:rPr>
        <w:t xml:space="preserve">gyede bővítést támogat. Összesen 90 használaton kívül álló, s mintegy 460 (részlegesen) használt </w:t>
      </w:r>
      <w:r w:rsidRPr="00E03E1D">
        <w:rPr>
          <w:b/>
          <w:bCs/>
        </w:rPr>
        <w:lastRenderedPageBreak/>
        <w:t>épület bővülhet, újulhat meg a 2010 áprilisában elnyert támogatásokból, elsősorban közművel</w:t>
      </w:r>
      <w:r w:rsidRPr="00E03E1D">
        <w:rPr>
          <w:b/>
          <w:bCs/>
        </w:rPr>
        <w:t>ő</w:t>
      </w:r>
      <w:r w:rsidRPr="00E03E1D">
        <w:rPr>
          <w:b/>
          <w:bCs/>
        </w:rPr>
        <w:t>dést szolgáló intézmények, művelődési házak, könyvtárak, teleházak.</w:t>
      </w:r>
    </w:p>
    <w:p w:rsidR="00B7428A" w:rsidRPr="00E03E1D" w:rsidRDefault="00B7428A" w:rsidP="00B7428A">
      <w:pPr>
        <w:pStyle w:val="HUNNormal"/>
        <w:ind w:left="720"/>
      </w:pPr>
      <w:r w:rsidRPr="00E03E1D">
        <w:t>Az intézkedés az ÚMVP</w:t>
      </w:r>
      <w:r>
        <w:t xml:space="preserve"> fejlesztési jogcímei közül</w:t>
      </w:r>
      <w:r w:rsidRPr="00E03E1D">
        <w:t xml:space="preserve"> egyedüliként</w:t>
      </w:r>
      <w:r>
        <w:t>,</w:t>
      </w:r>
      <w:r w:rsidRPr="00E03E1D">
        <w:t xml:space="preserve"> </w:t>
      </w:r>
      <w:r>
        <w:t xml:space="preserve">a </w:t>
      </w:r>
      <w:r w:rsidR="00624E89">
        <w:t>szakértői mérlegelés érdemi leh</w:t>
      </w:r>
      <w:r w:rsidR="00624E89">
        <w:t>e</w:t>
      </w:r>
      <w:r w:rsidR="00624E89">
        <w:t>tőségének megteremtésével</w:t>
      </w:r>
      <w:r>
        <w:t>,</w:t>
      </w:r>
      <w:r w:rsidRPr="00E03E1D">
        <w:t xml:space="preserve"> kétfordulós </w:t>
      </w:r>
      <w:r>
        <w:t xml:space="preserve">pályáztatási </w:t>
      </w:r>
      <w:r w:rsidRPr="00E03E1D">
        <w:t>eljárással került lebonyolításra. Az első ford</w:t>
      </w:r>
      <w:r w:rsidRPr="00E03E1D">
        <w:t>u</w:t>
      </w:r>
      <w:r w:rsidRPr="00E03E1D">
        <w:t xml:space="preserve">lót a VKSZI bonyolította le, ekkor az IKSZT címet lehetett megszerezni, majd a címbirtokosok </w:t>
      </w:r>
      <w:r>
        <w:t>nyúj</w:t>
      </w:r>
      <w:r>
        <w:t>t</w:t>
      </w:r>
      <w:r>
        <w:t>hattak be támogatáskérelmet</w:t>
      </w:r>
      <w:r w:rsidRPr="00E03E1D">
        <w:t xml:space="preserve"> beruházási</w:t>
      </w:r>
      <w:r>
        <w:t>, illetve működési</w:t>
      </w:r>
      <w:r w:rsidRPr="00E03E1D">
        <w:t xml:space="preserve"> támogatásra. </w:t>
      </w:r>
      <w:r>
        <w:t>A támogatási kérelmek e</w:t>
      </w:r>
      <w:r>
        <w:t>l</w:t>
      </w:r>
      <w:r>
        <w:t>bírálásának folyamata</w:t>
      </w:r>
      <w:r w:rsidRPr="00E03E1D">
        <w:t xml:space="preserve"> csak 2010 áprilisában zárult le, ezért a beruházások a félidei értékeléssel együtt indultak meg. A várható hatásokat így csak becsülni lehet.</w:t>
      </w:r>
    </w:p>
    <w:p w:rsidR="00B7428A" w:rsidRPr="00E03E1D" w:rsidRDefault="00B7428A" w:rsidP="00B7428A">
      <w:pPr>
        <w:pStyle w:val="HUNNormal"/>
        <w:ind w:left="720"/>
      </w:pPr>
      <w:r w:rsidRPr="00E03E1D">
        <w:t>Vizsgálatunk szerint az intézkedés jó eséllyel hozzájárul a vidék vonzerejének erősítéséhez, mert e</w:t>
      </w:r>
      <w:r w:rsidRPr="00E03E1D">
        <w:t>l</w:t>
      </w:r>
      <w:r w:rsidRPr="00E03E1D">
        <w:t>sősorban a kétezer fő lélekszám alatti településeket preferálta (54%), amelyek esetében az inté</w:t>
      </w:r>
      <w:r w:rsidRPr="00E03E1D">
        <w:t>z</w:t>
      </w:r>
      <w:r w:rsidRPr="00E03E1D">
        <w:t xml:space="preserve">mények bezárása valós kockázatot jelent. Továbbá a területi kiegyenlítődés irányába is hatni fog, mert a hátrányos helyzetű régiók támogatási részesedése magas. </w:t>
      </w:r>
    </w:p>
    <w:p w:rsidR="00B7428A" w:rsidRPr="00E03E1D" w:rsidRDefault="00B7428A" w:rsidP="00B7428A">
      <w:pPr>
        <w:pStyle w:val="HUNNormal"/>
        <w:ind w:left="720"/>
        <w:rPr>
          <w:b/>
          <w:bCs/>
        </w:rPr>
      </w:pPr>
      <w:r w:rsidRPr="00E03E1D">
        <w:rPr>
          <w:b/>
          <w:bCs/>
        </w:rPr>
        <w:t xml:space="preserve">Szintén várható 300-350 munkahely megtartása és legalább 200-250 munkahely létrejötte, bár ezek többsége további támogatást fog igényelni a </w:t>
      </w:r>
      <w:r>
        <w:rPr>
          <w:b/>
          <w:bCs/>
        </w:rPr>
        <w:t>három éves, degresszív módon támogatott fen</w:t>
      </w:r>
      <w:r>
        <w:rPr>
          <w:b/>
          <w:bCs/>
        </w:rPr>
        <w:t>n</w:t>
      </w:r>
      <w:r>
        <w:rPr>
          <w:b/>
          <w:bCs/>
        </w:rPr>
        <w:t xml:space="preserve">tartási időszak utáni </w:t>
      </w:r>
      <w:r w:rsidRPr="00E03E1D">
        <w:rPr>
          <w:b/>
          <w:bCs/>
        </w:rPr>
        <w:t>fennmaradáshoz. A</w:t>
      </w:r>
      <w:r>
        <w:rPr>
          <w:b/>
          <w:bCs/>
        </w:rPr>
        <w:t>z</w:t>
      </w:r>
      <w:r w:rsidRPr="00E03E1D">
        <w:rPr>
          <w:b/>
          <w:bCs/>
        </w:rPr>
        <w:t xml:space="preserve"> </w:t>
      </w:r>
      <w:proofErr w:type="spellStart"/>
      <w:r>
        <w:rPr>
          <w:b/>
          <w:bCs/>
        </w:rPr>
        <w:t>al</w:t>
      </w:r>
      <w:r w:rsidRPr="00E03E1D">
        <w:rPr>
          <w:b/>
          <w:bCs/>
        </w:rPr>
        <w:t>jogcím</w:t>
      </w:r>
      <w:proofErr w:type="spellEnd"/>
      <w:r w:rsidRPr="00E03E1D">
        <w:rPr>
          <w:b/>
          <w:bCs/>
        </w:rPr>
        <w:t xml:space="preserve"> hozzájárul 100-120 üzlethelyiség létrehozásához is, ami a gazdaságfejlesztéshez tartozó eredmény lesz.</w:t>
      </w:r>
    </w:p>
    <w:p w:rsidR="00B7428A" w:rsidRDefault="00B7428A" w:rsidP="00B7428A">
      <w:pPr>
        <w:pStyle w:val="HUNNormal"/>
        <w:ind w:left="720"/>
      </w:pPr>
      <w:r w:rsidRPr="00E03E1D">
        <w:t xml:space="preserve">A nyertesek mellett </w:t>
      </w:r>
      <w:r>
        <w:t xml:space="preserve">kérdéses, hogy mi lesz </w:t>
      </w:r>
      <w:r w:rsidRPr="00E03E1D">
        <w:t>a támogatás nélkül maradt címbirtokosokkal. Mivel az i</w:t>
      </w:r>
      <w:r w:rsidRPr="00E03E1D">
        <w:t>n</w:t>
      </w:r>
      <w:r w:rsidRPr="00E03E1D">
        <w:t xml:space="preserve">tézkedésre allokált forrás 90%-ban lekötésre került, mintegy 400 címbirtokos </w:t>
      </w:r>
      <w:r>
        <w:t xml:space="preserve">vagy </w:t>
      </w:r>
      <w:r w:rsidRPr="00E03E1D">
        <w:t>beruházási t</w:t>
      </w:r>
      <w:r w:rsidRPr="00E03E1D">
        <w:t>á</w:t>
      </w:r>
      <w:r w:rsidRPr="00E03E1D">
        <w:t xml:space="preserve">mogatás nélkül </w:t>
      </w:r>
      <w:r>
        <w:t xml:space="preserve">fogja </w:t>
      </w:r>
      <w:r w:rsidRPr="00E03E1D">
        <w:t>megvalósítani szakmai programját</w:t>
      </w:r>
      <w:r>
        <w:t xml:space="preserve"> vagy </w:t>
      </w:r>
      <w:r w:rsidRPr="00E03E1D">
        <w:t xml:space="preserve">kénytelen </w:t>
      </w:r>
      <w:r>
        <w:t>lesz elállni attól</w:t>
      </w:r>
      <w:r w:rsidRPr="00E03E1D">
        <w:t xml:space="preserve">. </w:t>
      </w:r>
    </w:p>
    <w:p w:rsidR="00B7428A" w:rsidRPr="00E03E1D" w:rsidRDefault="00B7428A" w:rsidP="00B7428A">
      <w:pPr>
        <w:pStyle w:val="HUNNormal"/>
        <w:ind w:left="720"/>
      </w:pPr>
      <w:r w:rsidRPr="00E03E1D">
        <w:t xml:space="preserve">Az intézkedés másik </w:t>
      </w:r>
      <w:proofErr w:type="spellStart"/>
      <w:r>
        <w:t>al</w:t>
      </w:r>
      <w:r w:rsidRPr="00E03E1D">
        <w:t>jogcíme</w:t>
      </w:r>
      <w:proofErr w:type="spellEnd"/>
      <w:r w:rsidRPr="00E03E1D">
        <w:t xml:space="preserve"> a </w:t>
      </w:r>
      <w:r>
        <w:t>„</w:t>
      </w:r>
      <w:r w:rsidRPr="00E03E1D">
        <w:rPr>
          <w:b/>
          <w:bCs/>
        </w:rPr>
        <w:t>Kistérségi közlekedési szolgáltatások fejlesztése</w:t>
      </w:r>
      <w:r>
        <w:rPr>
          <w:b/>
          <w:bCs/>
        </w:rPr>
        <w:t xml:space="preserve">” </w:t>
      </w:r>
      <w:r w:rsidRPr="009E631D">
        <w:rPr>
          <w:rFonts w:cs="Franklin Gothic Book"/>
        </w:rPr>
        <w:t>címet viselte,</w:t>
      </w:r>
      <w:r w:rsidRPr="00E03E1D">
        <w:t xml:space="preserve"> amelynek célja a kistelepülések, külterületek vagy egyéb belterületek, lakott tanyák hátrányainak mérséklése, az életminőség és a közszolgáltatások elérhetőségének javítása, az alapvető szociális szolgáltatások fejlesztése</w:t>
      </w:r>
      <w:r>
        <w:t xml:space="preserve"> </w:t>
      </w:r>
      <w:r w:rsidRPr="00E03E1D">
        <w:t xml:space="preserve">volt. A jogcím a már működő </w:t>
      </w:r>
      <w:r>
        <w:t xml:space="preserve">tanya- és falugondnoki </w:t>
      </w:r>
      <w:r w:rsidRPr="00E03E1D">
        <w:t>szolgálatok járm</w:t>
      </w:r>
      <w:r w:rsidRPr="00E03E1D">
        <w:t>ű</w:t>
      </w:r>
      <w:r w:rsidRPr="00E03E1D">
        <w:t xml:space="preserve">parkjának korszerűsítését, új </w:t>
      </w:r>
      <w:r>
        <w:t xml:space="preserve">tanya- és falugondnoki </w:t>
      </w:r>
      <w:r w:rsidRPr="00E03E1D">
        <w:t xml:space="preserve">szolgálatok </w:t>
      </w:r>
      <w:r w:rsidRPr="00E03E1D">
        <w:rPr>
          <w:b/>
          <w:bCs/>
        </w:rPr>
        <w:t>indítását</w:t>
      </w:r>
      <w:r w:rsidRPr="00E03E1D">
        <w:t xml:space="preserve"> célozta, emellett – egyéni szakmai tervek alapján – teret adott olyan, „kistérségi” járműfejlesztéseknek is, amelyek</w:t>
      </w:r>
      <w:r>
        <w:t>kel</w:t>
      </w:r>
      <w:r w:rsidRPr="00E03E1D">
        <w:t xml:space="preserve"> </w:t>
      </w:r>
      <w:r>
        <w:t>önko</w:t>
      </w:r>
      <w:r>
        <w:t>r</w:t>
      </w:r>
      <w:r>
        <w:t>mányzatok vagy civil szervezetek végeznek a lakosság igényeit kielégítő, hiánypótló szolgáltatás</w:t>
      </w:r>
      <w:r>
        <w:t>o</w:t>
      </w:r>
      <w:r>
        <w:t>kat</w:t>
      </w:r>
      <w:r w:rsidRPr="00E03E1D">
        <w:t>.</w:t>
      </w:r>
    </w:p>
    <w:p w:rsidR="00B7428A" w:rsidRPr="00E03E1D" w:rsidRDefault="00B7428A" w:rsidP="00B7428A">
      <w:pPr>
        <w:pStyle w:val="HUNNormal"/>
        <w:ind w:left="720"/>
      </w:pPr>
      <w:r w:rsidRPr="00E03E1D">
        <w:t>Az intézkedés keretén belül jóváhagyott kérelmek 93%-</w:t>
      </w:r>
      <w:proofErr w:type="gramStart"/>
      <w:r w:rsidRPr="00E03E1D">
        <w:t>a</w:t>
      </w:r>
      <w:proofErr w:type="gramEnd"/>
      <w:r w:rsidRPr="00E03E1D">
        <w:t xml:space="preserve"> önkormányzatoktól vagy önkormányzati h</w:t>
      </w:r>
      <w:r w:rsidRPr="00E03E1D">
        <w:t>i</w:t>
      </w:r>
      <w:r w:rsidRPr="00E03E1D">
        <w:t>vataloktól érkezett, amely a támogatásokat 93%-os mértékben kötik le.</w:t>
      </w:r>
    </w:p>
    <w:p w:rsidR="00B7428A" w:rsidRPr="00E03E1D" w:rsidRDefault="00B7428A" w:rsidP="00B7428A">
      <w:pPr>
        <w:pStyle w:val="HUNNormal"/>
        <w:ind w:left="720"/>
      </w:pPr>
      <w:r w:rsidRPr="00E03E1D">
        <w:rPr>
          <w:b/>
          <w:bCs/>
        </w:rPr>
        <w:t>A támogatások eredményeképpen a tanya- és falugondnoki szolgálatok gépjármű állományának k</w:t>
      </w:r>
      <w:r w:rsidRPr="00E03E1D">
        <w:rPr>
          <w:b/>
          <w:bCs/>
        </w:rPr>
        <w:t>ö</w:t>
      </w:r>
      <w:r w:rsidRPr="00E03E1D">
        <w:rPr>
          <w:b/>
          <w:bCs/>
        </w:rPr>
        <w:t>zel fele megújult.</w:t>
      </w:r>
      <w:r w:rsidRPr="00E03E1D">
        <w:t xml:space="preserve"> Ezt szolgálta a finanszírozott gépjármű-vásárlások 50%-</w:t>
      </w:r>
      <w:proofErr w:type="gramStart"/>
      <w:r w:rsidRPr="00E03E1D">
        <w:t>a</w:t>
      </w:r>
      <w:proofErr w:type="gramEnd"/>
      <w:r w:rsidRPr="00E03E1D">
        <w:t>, összesen 549 új, ko</w:t>
      </w:r>
      <w:r w:rsidRPr="00E03E1D">
        <w:t>r</w:t>
      </w:r>
      <w:r w:rsidRPr="00E03E1D">
        <w:t>szerűen felszerelt jármű</w:t>
      </w:r>
      <w:r>
        <w:t>vet jelent</w:t>
      </w:r>
      <w:r w:rsidRPr="00E03E1D">
        <w:t xml:space="preserve">. </w:t>
      </w:r>
      <w:r w:rsidRPr="00E03E1D">
        <w:rPr>
          <w:b/>
          <w:bCs/>
        </w:rPr>
        <w:t xml:space="preserve">Ezen felül úgy becsüljük, hogy mintegy 200 új </w:t>
      </w:r>
      <w:r>
        <w:rPr>
          <w:b/>
          <w:bCs/>
        </w:rPr>
        <w:t>tanya- és fal</w:t>
      </w:r>
      <w:r>
        <w:rPr>
          <w:b/>
          <w:bCs/>
        </w:rPr>
        <w:t>u</w:t>
      </w:r>
      <w:r>
        <w:rPr>
          <w:b/>
          <w:bCs/>
        </w:rPr>
        <w:t xml:space="preserve">gondnoki </w:t>
      </w:r>
      <w:r w:rsidRPr="00E03E1D">
        <w:rPr>
          <w:b/>
          <w:bCs/>
        </w:rPr>
        <w:t>szolgálat indulhatott el</w:t>
      </w:r>
      <w:r w:rsidRPr="00E03E1D">
        <w:t>, ennyivel bővült azon települések köre, ahol a falu- és tanyagon</w:t>
      </w:r>
      <w:r w:rsidRPr="00E03E1D">
        <w:t>d</w:t>
      </w:r>
      <w:r w:rsidRPr="00E03E1D">
        <w:t>nokságra jellemző, rugalmas és személyre-, közösségre szabott módon, jól felszerelt gépjárműve</w:t>
      </w:r>
      <w:r w:rsidRPr="00E03E1D">
        <w:t>k</w:t>
      </w:r>
      <w:r w:rsidRPr="00E03E1D">
        <w:t xml:space="preserve">kel juthat a </w:t>
      </w:r>
      <w:r>
        <w:t xml:space="preserve">lakosság a </w:t>
      </w:r>
      <w:r w:rsidRPr="00E03E1D">
        <w:t>szolgáltatáshiányos településekről a vidéki (kis</w:t>
      </w:r>
      <w:proofErr w:type="gramStart"/>
      <w:r w:rsidRPr="00E03E1D">
        <w:t>)központokba</w:t>
      </w:r>
      <w:proofErr w:type="gramEnd"/>
      <w:r w:rsidRPr="00E03E1D">
        <w:t>, külterületről belterületre</w:t>
      </w:r>
      <w:r>
        <w:t>, illetve a lakosság mobilitása lényegesen javult, a kedvezményezett települések lakói könnyebben juthatnak a közösségi alap és egyéb szolgáltatásokhoz</w:t>
      </w:r>
      <w:r w:rsidRPr="00E03E1D">
        <w:t>.</w:t>
      </w:r>
    </w:p>
    <w:p w:rsidR="00B7428A" w:rsidRPr="00E03E1D" w:rsidRDefault="00B7428A" w:rsidP="00B7428A">
      <w:pPr>
        <w:pStyle w:val="HUNNormal"/>
        <w:ind w:left="720"/>
      </w:pPr>
      <w:r w:rsidRPr="00E03E1D">
        <w:t>A</w:t>
      </w:r>
      <w:r>
        <w:t>z</w:t>
      </w:r>
      <w:r w:rsidRPr="00E03E1D">
        <w:t xml:space="preserve"> </w:t>
      </w:r>
      <w:proofErr w:type="spellStart"/>
      <w:r>
        <w:t>al</w:t>
      </w:r>
      <w:r w:rsidRPr="00E03E1D">
        <w:t>jogcím</w:t>
      </w:r>
      <w:proofErr w:type="spellEnd"/>
      <w:r w:rsidRPr="00E03E1D">
        <w:t xml:space="preserve"> kedvezményezettjei az intézményekkel közepesen vagy rosszul ellátott - túlnyomórészt kisméretű </w:t>
      </w:r>
      <w:r>
        <w:t>–</w:t>
      </w:r>
      <w:r w:rsidRPr="00E03E1D">
        <w:t xml:space="preserve"> települések</w:t>
      </w:r>
      <w:r>
        <w:t xml:space="preserve"> önkormányzatai</w:t>
      </w:r>
      <w:r w:rsidRPr="00E03E1D">
        <w:t>, ezért a támogatásnak a területi és települések közötti egyenlőtlenségeket mérséklő hatása van. A támogatottak között a kedvezőtlen társadalmi helyzetű községek vannak többségben.</w:t>
      </w:r>
    </w:p>
    <w:p w:rsidR="00B7428A" w:rsidRPr="00E03E1D" w:rsidRDefault="00B7428A" w:rsidP="00B7428A">
      <w:pPr>
        <w:pStyle w:val="HUNNormal"/>
        <w:ind w:left="720"/>
      </w:pPr>
      <w:r w:rsidRPr="00E03E1D">
        <w:t xml:space="preserve">Ami a foglalkoztatást illeti, beszélhetünk közvetlen hatásról: a jogcím keretében nyújtott támogatás a </w:t>
      </w:r>
      <w:r>
        <w:t xml:space="preserve">tanya- és falugondnoki </w:t>
      </w:r>
      <w:r w:rsidRPr="00E03E1D">
        <w:t>szolgálatok mintegy harmadát mentette meg a működésképtelenné válá</w:t>
      </w:r>
      <w:r w:rsidRPr="00E03E1D">
        <w:t>s</w:t>
      </w:r>
      <w:r w:rsidRPr="00E03E1D">
        <w:lastRenderedPageBreak/>
        <w:t>tól, s ezzel 300-350 falugondnok munkahelyének megtartásához járult hozzá. Ezt tetézi a kétszázra becsült új szolgálat ugyanennyi munkába álló főállású falu- vagy tanyagondnokkal. A kistérségi kö</w:t>
      </w:r>
      <w:r w:rsidRPr="00E03E1D">
        <w:t>z</w:t>
      </w:r>
      <w:r w:rsidRPr="00E03E1D">
        <w:t>lekedési szolgáltatásokról nincs információnk, de ha a járműveket vezetők fele-harmada álláshoz jut</w:t>
      </w:r>
      <w:r w:rsidRPr="00E03E1D">
        <w:rPr>
          <w:b/>
          <w:bCs/>
        </w:rPr>
        <w:t xml:space="preserve">, a jogcím becsült közvetlen foglalkoztatási hatása körülbelül 600 közösségi álláshely. </w:t>
      </w:r>
    </w:p>
    <w:p w:rsidR="00B7428A" w:rsidRPr="00E03E1D" w:rsidRDefault="00B7428A" w:rsidP="00B7428A">
      <w:pPr>
        <w:pStyle w:val="HUNNormal"/>
        <w:ind w:left="720"/>
      </w:pPr>
      <w:r w:rsidRPr="00E03E1D">
        <w:t xml:space="preserve">Ugyanakkor a járművek működtetésének közvetett hatásai is rendkívül fontosak, hiszen a falu- és tanyagondnoki szolgálatok egy része </w:t>
      </w:r>
      <w:r>
        <w:t xml:space="preserve">a közösségi közlekedési útvonalakra </w:t>
      </w:r>
      <w:r w:rsidRPr="00E03E1D">
        <w:t>„ráhordó” feladatokat</w:t>
      </w:r>
      <w:r>
        <w:t xml:space="preserve"> is </w:t>
      </w:r>
      <w:r w:rsidRPr="00E03E1D">
        <w:t xml:space="preserve">teljesít, s az ilyen funkciót ellátó „járatok” a kistérségi </w:t>
      </w:r>
      <w:r>
        <w:t xml:space="preserve">közlekedési </w:t>
      </w:r>
      <w:r w:rsidRPr="00E03E1D">
        <w:t>szolgáltat</w:t>
      </w:r>
      <w:r>
        <w:t>ásokat nyújtók</w:t>
      </w:r>
      <w:r w:rsidRPr="00E03E1D">
        <w:t xml:space="preserve"> között is megjelennek. Ez a funkció azért különösen fontos, mert a kistelepülések foglalkoztatási kapacitása rendkívül gyenge, az ott élő aktív korú népesség túlnyomó többsége ingázik. A közösségi közlekedés azonban csak a főútvonalak/vasutak mentén elhelyezkedő települések lakói számára biztosít v</w:t>
      </w:r>
      <w:r w:rsidRPr="00E03E1D">
        <w:t>i</w:t>
      </w:r>
      <w:r w:rsidRPr="00E03E1D">
        <w:t>szonylag könnyű bejárást, az ezektől távolabbra elhelyezkedők számára nem. Ilyen körülmények k</w:t>
      </w:r>
      <w:r w:rsidRPr="00E03E1D">
        <w:t>ö</w:t>
      </w:r>
      <w:r w:rsidRPr="00E03E1D">
        <w:t>zött játszhatnak fontos, közvetve a foglalkoztatásra ható szerepet a „ráhordó” feladatokat teljesítő járművek, akár kistérségi szolgáltatás, akár tanya- vagy falugondnoki szolgálat keretében.</w:t>
      </w:r>
    </w:p>
    <w:p w:rsidR="00B7428A" w:rsidRPr="00E03E1D" w:rsidRDefault="00B7428A" w:rsidP="00B7428A">
      <w:pPr>
        <w:pStyle w:val="AAMNormal"/>
      </w:pPr>
      <w:r w:rsidRPr="00E03E1D">
        <w:t xml:space="preserve">A Helyi Akciócsoportok bevonásával végrehajtott intézkedések közül forrásban a </w:t>
      </w:r>
      <w:r w:rsidRPr="00E03E1D">
        <w:rPr>
          <w:b/>
          <w:bCs/>
        </w:rPr>
        <w:t xml:space="preserve">legjelentősebb a falvak megújítása fejlesztése (322) </w:t>
      </w:r>
      <w:r w:rsidRPr="00E03E1D">
        <w:t>című volt 15 308 214 323 Ft lekötött kerettel. Az intézkedés célja a települé</w:t>
      </w:r>
      <w:r w:rsidRPr="00E03E1D">
        <w:t>s</w:t>
      </w:r>
      <w:r w:rsidRPr="00E03E1D">
        <w:t>kép, a vidéki lakókörnyezet és a közösségi terek</w:t>
      </w:r>
      <w:r>
        <w:t xml:space="preserve"> (beleértve a játszótereket)</w:t>
      </w:r>
      <w:r w:rsidRPr="00E03E1D">
        <w:t>, közterületek állapotának javít</w:t>
      </w:r>
      <w:r w:rsidRPr="00E03E1D">
        <w:t>á</w:t>
      </w:r>
      <w:r w:rsidRPr="00E03E1D">
        <w:t xml:space="preserve">sa, valamint a helyi piacok létrehozásának és fejlesztésének támogatása volt. Mindezzel az intézkedés a vidéken élő emberek jobb életminőségéhez, ezáltal az elvándorlás, valamint a kedvezőtlen gazdasági és társadalmi tendenciák, illetve a vidék elnéptelenedésének visszafordításához kívánt hozzájárulni. </w:t>
      </w:r>
    </w:p>
    <w:p w:rsidR="00B7428A" w:rsidRPr="00E03E1D" w:rsidRDefault="00B7428A" w:rsidP="00B7428A">
      <w:pPr>
        <w:jc w:val="both"/>
      </w:pPr>
      <w:r w:rsidRPr="00E03E1D">
        <w:t>Az intézkedés keretén belül jóváhagyott kérelmek 71%-</w:t>
      </w:r>
      <w:proofErr w:type="gramStart"/>
      <w:r w:rsidRPr="00E03E1D">
        <w:t>a</w:t>
      </w:r>
      <w:proofErr w:type="gramEnd"/>
      <w:r w:rsidRPr="00E03E1D">
        <w:t xml:space="preserve"> önkormányzatok által kezdeményezett fejlesztés, amely a jóváhagyott támogatás 67%-át köti le. A támogatott beruházások 36%-a (450 db) parkosítás, 35%-a (437 db</w:t>
      </w:r>
      <w:proofErr w:type="gramStart"/>
      <w:r w:rsidRPr="00E03E1D">
        <w:t>)piactér</w:t>
      </w:r>
      <w:proofErr w:type="gramEnd"/>
      <w:r w:rsidRPr="00E03E1D">
        <w:t xml:space="preserve">, 31%-a (378 db) játszótér, míg 30%-a (366 db) épület külső felújítása. A kedvezményezettek többsége (71%) önkormányzat. A civil szervezetek (9%) és az egyház (5%) aránya jóval alacsonyabb. </w:t>
      </w:r>
    </w:p>
    <w:p w:rsidR="00B7428A" w:rsidRPr="00E03E1D" w:rsidRDefault="00B7428A" w:rsidP="00B7428A">
      <w:pPr>
        <w:jc w:val="both"/>
      </w:pPr>
      <w:r w:rsidRPr="00E03E1D">
        <w:t>Tekintettel arra, hogy a vizsgált időszak végéig csupán 71 db fejlesztés esetén történtek kifizetések, legi</w:t>
      </w:r>
      <w:r w:rsidRPr="00E03E1D">
        <w:t>n</w:t>
      </w:r>
      <w:r w:rsidRPr="00E03E1D">
        <w:t>kább az intézkedés várható hatásairól alakult ki kép a kedvezményezettek véleményének megismerésén keresztül. A félidei értékelés keretében végzett felmérés szerint a válaszadók 61%-</w:t>
      </w:r>
      <w:proofErr w:type="gramStart"/>
      <w:r w:rsidRPr="00E03E1D">
        <w:t>a</w:t>
      </w:r>
      <w:proofErr w:type="gramEnd"/>
      <w:r w:rsidRPr="00E03E1D">
        <w:t xml:space="preserve"> úgy vélte, hogy a fe</w:t>
      </w:r>
      <w:r w:rsidRPr="00E03E1D">
        <w:t>j</w:t>
      </w:r>
      <w:r w:rsidRPr="00E03E1D">
        <w:t>lesztés jelentős mértékben hozzájárul a helyben élő emberek életminőségének javulásához, 25%-a ugyanezt kis mértékűnek jelezte. Ugyancsak 61% szerint nőtt a település vonzereje mind a turisztikai</w:t>
      </w:r>
      <w:r>
        <w:t>,</w:t>
      </w:r>
      <w:r w:rsidRPr="00E03E1D">
        <w:t xml:space="preserve"> mind pedig a lakóhely funkció tekintetében. </w:t>
      </w:r>
    </w:p>
    <w:p w:rsidR="00B7428A" w:rsidRPr="00E03E1D" w:rsidRDefault="00B7428A" w:rsidP="00B7428A">
      <w:pPr>
        <w:jc w:val="both"/>
      </w:pPr>
      <w:r w:rsidRPr="00E03E1D">
        <w:t xml:space="preserve">Két intézkedés közvetlenül is szolgálta a gazdaságfejlesztési célokat. A </w:t>
      </w:r>
      <w:proofErr w:type="spellStart"/>
      <w:r w:rsidRPr="00E03E1D">
        <w:rPr>
          <w:b/>
          <w:bCs/>
        </w:rPr>
        <w:t>mikrovállalkozások</w:t>
      </w:r>
      <w:proofErr w:type="spellEnd"/>
      <w:r w:rsidRPr="00E03E1D">
        <w:rPr>
          <w:b/>
          <w:bCs/>
        </w:rPr>
        <w:t xml:space="preserve"> létrehozása és fejlesztése (312) </w:t>
      </w:r>
      <w:r w:rsidRPr="00E03E1D">
        <w:t>a vidéki területek vállalkozásainak fejlesztésén keresztül kívánt hozzájárulni a vidéki mu</w:t>
      </w:r>
      <w:r w:rsidRPr="00E03E1D">
        <w:t>n</w:t>
      </w:r>
      <w:r w:rsidRPr="00E03E1D">
        <w:t>kahelyteremtéshez, ezen keresztül pedig a vidéki területeket sújtó elvándorlás mérsékléséhez.</w:t>
      </w:r>
    </w:p>
    <w:p w:rsidR="00B7428A" w:rsidRPr="00E03E1D" w:rsidRDefault="00B7428A" w:rsidP="00B7428A">
      <w:pPr>
        <w:jc w:val="both"/>
      </w:pPr>
      <w:r w:rsidRPr="00E03E1D">
        <w:t xml:space="preserve">Az intézkedésre pályázók száma és a lekötött keret is nagy szórást mutatott a </w:t>
      </w:r>
      <w:proofErr w:type="spellStart"/>
      <w:r w:rsidRPr="00E03E1D">
        <w:t>HACS-ok</w:t>
      </w:r>
      <w:proofErr w:type="spellEnd"/>
      <w:r w:rsidRPr="00E03E1D">
        <w:t xml:space="preserve"> között. Az akciócs</w:t>
      </w:r>
      <w:r w:rsidRPr="00E03E1D">
        <w:t>o</w:t>
      </w:r>
      <w:r w:rsidRPr="00E03E1D">
        <w:t>portok által lekötött legalacsonyabb összeg mindössze 2,1 millió forint, a legmagasabb pedig 575,1 millió Ft. Az egyes akciócsoportok területén a jóváhagyott határozatok száma 1 és 36 db között alakul.</w:t>
      </w:r>
    </w:p>
    <w:p w:rsidR="00B7428A" w:rsidRPr="00E03E1D" w:rsidRDefault="00B7428A" w:rsidP="00B7428A">
      <w:pPr>
        <w:jc w:val="both"/>
      </w:pPr>
      <w:r w:rsidRPr="00E03E1D">
        <w:rPr>
          <w:b/>
          <w:bCs/>
        </w:rPr>
        <w:t>A támogatási összeg többsége (69,2%) nem a leghátrányosabb helyzetű kistérségekbe, hanem a jobb hel</w:t>
      </w:r>
      <w:r w:rsidRPr="00E03E1D">
        <w:rPr>
          <w:b/>
          <w:bCs/>
        </w:rPr>
        <w:t>y</w:t>
      </w:r>
      <w:r w:rsidRPr="00E03E1D">
        <w:rPr>
          <w:b/>
          <w:bCs/>
        </w:rPr>
        <w:t>zetűekbe érkezett, ahol mérsékeltebb a munkanélküliség</w:t>
      </w:r>
      <w:r w:rsidRPr="00E03E1D">
        <w:t xml:space="preserve">. </w:t>
      </w:r>
      <w:r>
        <w:t>Ennek valószínűsíthető oka, hogy ezekben a té</w:t>
      </w:r>
      <w:r>
        <w:t>r</w:t>
      </w:r>
      <w:r>
        <w:t xml:space="preserve">ségekben több olyan </w:t>
      </w:r>
      <w:proofErr w:type="spellStart"/>
      <w:r>
        <w:t>mikrovállalkozás</w:t>
      </w:r>
      <w:proofErr w:type="spellEnd"/>
      <w:r>
        <w:t xml:space="preserve"> működik, amelyeknél a fejlesztések előfinanszírozása és az önerő megteremtése nem jelent eleve kizáró feltételt. </w:t>
      </w:r>
      <w:r w:rsidRPr="00E03E1D">
        <w:t>Hozzá kell tenni, hogy az elutasított kérelmek nagyobb h</w:t>
      </w:r>
      <w:r w:rsidRPr="00E03E1D">
        <w:t>á</w:t>
      </w:r>
      <w:r w:rsidRPr="00E03E1D">
        <w:t>nyada (75,1%) is azon ügyfelektől érkezett, melyek székhelye nem hátrányos helyzetű térségben található, azaz a döntési folyamat során némileg jobb pozíciót értek el a hátrányos helyzetű térségek vállalkozásai. A pályázók közel fele (49%) korlátolt felelősségű társaság, 36%-a magánszemély, 12%-a betéti társaság, az összes többi együtt pedig 1,2%-ot tesz ki.</w:t>
      </w:r>
    </w:p>
    <w:p w:rsidR="00B7428A" w:rsidRPr="00E03E1D" w:rsidRDefault="00B7428A" w:rsidP="00B7428A">
      <w:pPr>
        <w:jc w:val="both"/>
        <w:rPr>
          <w:b/>
          <w:bCs/>
        </w:rPr>
      </w:pPr>
      <w:r w:rsidRPr="00E03E1D">
        <w:rPr>
          <w:b/>
          <w:bCs/>
        </w:rPr>
        <w:lastRenderedPageBreak/>
        <w:t>A támogatással megvalósult fejlesztések jellemzően kisléptékűek:</w:t>
      </w:r>
    </w:p>
    <w:p w:rsidR="00B7428A" w:rsidRPr="00E03E1D" w:rsidRDefault="00B7428A" w:rsidP="00D5521F">
      <w:pPr>
        <w:numPr>
          <w:ilvl w:val="0"/>
          <w:numId w:val="22"/>
        </w:numPr>
        <w:jc w:val="both"/>
      </w:pPr>
      <w:r w:rsidRPr="00E03E1D">
        <w:t xml:space="preserve">vendéglátó ipari létesítmények (cukrászdák, éttermek, falatozók, kocsmák); </w:t>
      </w:r>
    </w:p>
    <w:p w:rsidR="00B7428A" w:rsidRPr="00E03E1D" w:rsidRDefault="00B7428A" w:rsidP="00D5521F">
      <w:pPr>
        <w:numPr>
          <w:ilvl w:val="0"/>
          <w:numId w:val="22"/>
        </w:numPr>
        <w:jc w:val="both"/>
      </w:pPr>
      <w:r w:rsidRPr="00E03E1D">
        <w:t xml:space="preserve">szolgáltatók (fodrász, szépségszalon, egészségügy, járműjavító, villanyszerelő); </w:t>
      </w:r>
    </w:p>
    <w:p w:rsidR="00B7428A" w:rsidRPr="00E03E1D" w:rsidRDefault="00B7428A" w:rsidP="00D5521F">
      <w:pPr>
        <w:numPr>
          <w:ilvl w:val="0"/>
          <w:numId w:val="22"/>
        </w:numPr>
        <w:jc w:val="both"/>
      </w:pPr>
      <w:r w:rsidRPr="00E03E1D">
        <w:t xml:space="preserve">illetve kiskereskedelmi (vegyesbolt, </w:t>
      </w:r>
      <w:proofErr w:type="spellStart"/>
      <w:r w:rsidRPr="00E03E1D">
        <w:t>tüzép</w:t>
      </w:r>
      <w:proofErr w:type="spellEnd"/>
      <w:r w:rsidRPr="00E03E1D">
        <w:t>, szakboltok) egységek</w:t>
      </w:r>
    </w:p>
    <w:p w:rsidR="00B7428A" w:rsidRPr="00E03E1D" w:rsidRDefault="00B7428A" w:rsidP="00B7428A">
      <w:pPr>
        <w:jc w:val="both"/>
      </w:pPr>
      <w:proofErr w:type="gramStart"/>
      <w:r w:rsidRPr="00E03E1D">
        <w:t>megújulásához</w:t>
      </w:r>
      <w:proofErr w:type="gramEnd"/>
      <w:r w:rsidRPr="00E03E1D">
        <w:t>, fejlődéséhez kapcsolódnak, minimális foglalkoztatási hatás mellett. Jóval ritkábban, de megjelennek a munkahelyteremtő fejlesztések is, pl.: fémmegmunkáló cég üzemcsarnok építése, CNC megmunkáló központ beszerzése, vagy éppen varroda fejlesztése.</w:t>
      </w:r>
    </w:p>
    <w:p w:rsidR="00B7428A" w:rsidRPr="00E03E1D" w:rsidRDefault="00B7428A" w:rsidP="00B7428A">
      <w:pPr>
        <w:jc w:val="both"/>
      </w:pPr>
      <w:r w:rsidRPr="00E03E1D">
        <w:t xml:space="preserve">A támogatási kérelmek költségszerkezetének adatai alapján az intézkedés megvalósításához felhasznált támogatási összeg legnagyobb arányban építési tevékenységre (43,3%), illetve eszközbeszerzésre (38,7%) került felhasználásra. Ezen túlmenően fontos szerepet játszott a gépkatalógusból végzett gépbeszerzés, amelyre a felhasznált támogatási összeg 12,1%-át fordították. </w:t>
      </w:r>
    </w:p>
    <w:p w:rsidR="00B7428A" w:rsidRPr="005A00A0" w:rsidRDefault="00B7428A" w:rsidP="00B7428A">
      <w:pPr>
        <w:jc w:val="both"/>
      </w:pPr>
      <w:r w:rsidRPr="009E631D">
        <w:t xml:space="preserve">Az intézkedés foglalkoztatási hatásának megítélését nehezíti, hogy a már lezárt </w:t>
      </w:r>
      <w:r>
        <w:t>–</w:t>
      </w:r>
      <w:r w:rsidRPr="009E631D">
        <w:t xml:space="preserve"> fenntartási szakaszban lévő</w:t>
      </w:r>
      <w:r>
        <w:t>–</w:t>
      </w:r>
      <w:r w:rsidRPr="009E631D">
        <w:t xml:space="preserve"> projektek száma rendkívül alacsony (50 db) és a monitoring adatok is csupán az első körben támog</w:t>
      </w:r>
      <w:r w:rsidRPr="009E631D">
        <w:t>a</w:t>
      </w:r>
      <w:r w:rsidRPr="009E631D">
        <w:t>tott projektekre állnak rendelkezésre ezzel szemben támogatási döntések már a második körben is megsz</w:t>
      </w:r>
      <w:r w:rsidRPr="009E631D">
        <w:t>ü</w:t>
      </w:r>
      <w:r w:rsidRPr="009E631D">
        <w:t>lettek. Ebből adódóan az intézkedés átcsoportosítások utáni, csökkentett forráskeretének 38,4%-os a lek</w:t>
      </w:r>
      <w:r w:rsidRPr="009E631D">
        <w:t>ö</w:t>
      </w:r>
      <w:r w:rsidRPr="009E631D">
        <w:t>tése után, a célként megfogalmazott 3500 új munkahelyből a monitoring adatok szerint mindössze 318, azaz 9% jött létre. A jóváhagyott támogatási kérelmeket rögzítő adattábla alapján a helyzet ennél azért ke</w:t>
      </w:r>
      <w:r w:rsidRPr="009E631D">
        <w:t>d</w:t>
      </w:r>
      <w:r w:rsidRPr="009E631D">
        <w:t>vezőbb, a támogatási kérelemben az ügyfelek ugyanis 1563 fős létszámbővítést terveztek (44%), ami ala</w:t>
      </w:r>
      <w:r w:rsidRPr="009E631D">
        <w:t>p</w:t>
      </w:r>
      <w:r w:rsidRPr="009E631D">
        <w:t>ján a célérték teljesítése megvalósítható, bár a válság hatását nehéz előre jelezni.</w:t>
      </w:r>
    </w:p>
    <w:p w:rsidR="00B7428A" w:rsidRPr="00E03E1D" w:rsidRDefault="00B7428A" w:rsidP="00B7428A">
      <w:pPr>
        <w:jc w:val="both"/>
      </w:pPr>
    </w:p>
    <w:p w:rsidR="00B7428A" w:rsidRPr="00E03E1D" w:rsidRDefault="00B7428A" w:rsidP="00B7428A">
      <w:pPr>
        <w:jc w:val="both"/>
      </w:pPr>
      <w:r w:rsidRPr="00E03E1D">
        <w:t xml:space="preserve">A másik, a gazdaság fejlesztését célzó intézkedés </w:t>
      </w:r>
      <w:r w:rsidRPr="00E03E1D">
        <w:rPr>
          <w:b/>
          <w:bCs/>
        </w:rPr>
        <w:t xml:space="preserve">a turisztikai tevékenységek ösztönzése (313) </w:t>
      </w:r>
      <w:r w:rsidRPr="00E03E1D">
        <w:t>címet vise</w:t>
      </w:r>
      <w:r w:rsidRPr="00E03E1D">
        <w:t>l</w:t>
      </w:r>
      <w:r w:rsidRPr="00E03E1D">
        <w:t>te. Célja a falusi szálláshely, gyermek- és ifjúsági turizmushoz kapcsolódó minőségi szálláshelyek fejlesztése, kialakítása, a hozzá kötődő szolgáltatások, illetve a szálláshelyhez nem kötődő vonzerők fejlesztése volt a vidéki munkahelyek létrehozása vagy megőrzése érdekében. Utóbbiak esetében a vidéki települések term</w:t>
      </w:r>
      <w:r w:rsidRPr="00E03E1D">
        <w:t>é</w:t>
      </w:r>
      <w:r w:rsidRPr="00E03E1D">
        <w:t xml:space="preserve">szeti erőforrásaira, mezőgazdasági, erdő-, vad- és halgazdálkodási adottságaira, közösségi-kulturális és gasztronómiai örökségére, nemzeti tájházakra, skanzenekre, borpincékre, mint vonzerőre épülő - minőségi és komplex </w:t>
      </w:r>
      <w:proofErr w:type="spellStart"/>
      <w:r w:rsidRPr="00E03E1D">
        <w:t>agro-</w:t>
      </w:r>
      <w:proofErr w:type="spellEnd"/>
      <w:r w:rsidRPr="00E03E1D">
        <w:t xml:space="preserve"> és </w:t>
      </w:r>
      <w:proofErr w:type="spellStart"/>
      <w:r w:rsidRPr="00E03E1D">
        <w:t>ökoturisztikai</w:t>
      </w:r>
      <w:proofErr w:type="spellEnd"/>
      <w:r w:rsidRPr="00E03E1D">
        <w:t xml:space="preserve"> szolgáltatások kiépítése, a már működő szolgáltatások bővítése, korsz</w:t>
      </w:r>
      <w:r w:rsidRPr="00E03E1D">
        <w:t>e</w:t>
      </w:r>
      <w:r w:rsidRPr="00E03E1D">
        <w:t>rűsítése, marketingjének kialakítása, fejlesztése volt a cél.</w:t>
      </w:r>
    </w:p>
    <w:p w:rsidR="00B7428A" w:rsidRPr="00E03E1D" w:rsidRDefault="00B7428A" w:rsidP="00B7428A">
      <w:pPr>
        <w:jc w:val="both"/>
      </w:pPr>
      <w:r w:rsidRPr="00E03E1D">
        <w:t>A kiválasztott fejlesztésekre 14 247 490 414 Ft-ot kötött le az intézkedés.</w:t>
      </w:r>
    </w:p>
    <w:p w:rsidR="00B7428A" w:rsidRPr="00E03E1D" w:rsidRDefault="00B7428A" w:rsidP="00B7428A">
      <w:pPr>
        <w:jc w:val="both"/>
      </w:pPr>
      <w:r w:rsidRPr="00E03E1D">
        <w:rPr>
          <w:b/>
          <w:bCs/>
        </w:rPr>
        <w:t>A nyertes pályázatok közül 335 személy, és 343 szervezet volt.</w:t>
      </w:r>
      <w:r w:rsidRPr="00E03E1D">
        <w:t xml:space="preserve"> Szinte minden lehetséges szervezeti forma megjelent, de jellemezően </w:t>
      </w:r>
      <w:proofErr w:type="spellStart"/>
      <w:r w:rsidRPr="00E03E1D">
        <w:t>Kft.-k</w:t>
      </w:r>
      <w:proofErr w:type="spellEnd"/>
      <w:r w:rsidRPr="00E03E1D">
        <w:t xml:space="preserve"> (30%), egyesületek (12%), önkormányzatok (5%) pályáztak. Míg a magá</w:t>
      </w:r>
      <w:r w:rsidRPr="00E03E1D">
        <w:t>n</w:t>
      </w:r>
      <w:r w:rsidRPr="00E03E1D">
        <w:t>személyek átlagosan 16 millió forintos támogatást kaptak, a szervezetek esetében átlagosan 26 millió fori</w:t>
      </w:r>
      <w:r w:rsidRPr="00E03E1D">
        <w:t>n</w:t>
      </w:r>
      <w:r w:rsidRPr="00E03E1D">
        <w:t>tos hozzájárulás jutott egy-egy fejlesztésre. Több célterületre lehetett pályázni, akár egyszerre többet is me</w:t>
      </w:r>
      <w:r w:rsidRPr="00E03E1D">
        <w:t>g</w:t>
      </w:r>
      <w:r w:rsidRPr="00E03E1D">
        <w:t xml:space="preserve">jelölve. </w:t>
      </w:r>
      <w:r w:rsidRPr="00E03E1D">
        <w:rPr>
          <w:b/>
          <w:bCs/>
        </w:rPr>
        <w:t>A 3. célterületre, azaz a turisztikai szolgáltatások létesítésére érkezett a legtöbb pályázat. 603 kér</w:t>
      </w:r>
      <w:r w:rsidRPr="00E03E1D">
        <w:rPr>
          <w:b/>
          <w:bCs/>
        </w:rPr>
        <w:t>e</w:t>
      </w:r>
      <w:r w:rsidRPr="00E03E1D">
        <w:rPr>
          <w:b/>
          <w:bCs/>
        </w:rPr>
        <w:t>lemben szerepelt valamelyik szolgáltatási forma: falusi szálláshely létesítésére 574 esetben pályáztak, míg a gyermek és ifjúsági szálláshely létesítése 125 kérelemben szerepelt célterületként.</w:t>
      </w:r>
    </w:p>
    <w:p w:rsidR="00B7428A" w:rsidRPr="00E03E1D" w:rsidRDefault="00B7428A" w:rsidP="00B7428A">
      <w:pPr>
        <w:jc w:val="both"/>
      </w:pPr>
      <w:r w:rsidRPr="00E03E1D">
        <w:t>A kiadási tételek többsége valamilyen építéshez kötődő számla, de természetesen eszközbeszerzést is me</w:t>
      </w:r>
      <w:r w:rsidRPr="00E03E1D">
        <w:t>g</w:t>
      </w:r>
      <w:r w:rsidRPr="00E03E1D">
        <w:t>valósítottak a pályázók, valamint jelentős tételt fordítottak pályázatírókra.</w:t>
      </w:r>
    </w:p>
    <w:p w:rsidR="00B7428A" w:rsidRPr="00E03E1D" w:rsidRDefault="00B7428A" w:rsidP="00B7428A">
      <w:pPr>
        <w:jc w:val="both"/>
      </w:pPr>
      <w:r w:rsidRPr="00E03E1D">
        <w:t xml:space="preserve">A tengelyen belül a legkisebb forrást, 10 182 975 868 Ft-ot a </w:t>
      </w:r>
      <w:r w:rsidRPr="00E03E1D">
        <w:rPr>
          <w:b/>
          <w:bCs/>
        </w:rPr>
        <w:t>vidéki örökség megőrzése (323)</w:t>
      </w:r>
      <w:r w:rsidRPr="00E03E1D">
        <w:t xml:space="preserve"> intézkedés kötötte le. Az intézkedés célja a kulturális örökség fenntartása, helyreállítása, korszerűsítése a vidéki térség településein, ezen belül a településkép és a környezet állapotának javítása, az épített, természeti és kultur</w:t>
      </w:r>
      <w:r w:rsidRPr="00E03E1D">
        <w:t>á</w:t>
      </w:r>
      <w:r w:rsidRPr="00E03E1D">
        <w:lastRenderedPageBreak/>
        <w:t xml:space="preserve">lis örökség, valamint a helyi identitás megőrzése, megújítása, és </w:t>
      </w:r>
      <w:proofErr w:type="gramStart"/>
      <w:r w:rsidRPr="00E03E1D">
        <w:t>ezáltal</w:t>
      </w:r>
      <w:proofErr w:type="gramEnd"/>
      <w:r w:rsidRPr="00E03E1D">
        <w:t xml:space="preserve"> a települések vonzerejének növel</w:t>
      </w:r>
      <w:r w:rsidRPr="00E03E1D">
        <w:t>é</w:t>
      </w:r>
      <w:r w:rsidRPr="00E03E1D">
        <w:t>se volt.</w:t>
      </w:r>
    </w:p>
    <w:p w:rsidR="00B7428A" w:rsidRPr="00E03E1D" w:rsidRDefault="00B7428A" w:rsidP="00B7428A">
      <w:pPr>
        <w:jc w:val="both"/>
      </w:pPr>
      <w:r w:rsidRPr="00E03E1D">
        <w:t xml:space="preserve">Az intézkedés két jogcíme közül </w:t>
      </w:r>
      <w:r w:rsidRPr="00E03E1D">
        <w:rPr>
          <w:b/>
          <w:bCs/>
        </w:rPr>
        <w:t>a kulturális és természeti örökség támogatásának lehetősége</w:t>
      </w:r>
      <w:r w:rsidRPr="00E03E1D">
        <w:t xml:space="preserve"> nyílt meg e</w:t>
      </w:r>
      <w:r w:rsidRPr="00E03E1D">
        <w:t>d</w:t>
      </w:r>
      <w:r w:rsidRPr="00E03E1D">
        <w:t>dig a kedvezményezettek számára, a NATURA 2000 területek fenntartási tervei elkészítésének támogatását szolgáló jogcímet az Irányító Hatóság nem indította el.</w:t>
      </w:r>
    </w:p>
    <w:p w:rsidR="00B7428A" w:rsidRPr="00E03E1D" w:rsidRDefault="00B7428A" w:rsidP="00B7428A">
      <w:pPr>
        <w:jc w:val="both"/>
      </w:pPr>
      <w:r w:rsidRPr="00E03E1D">
        <w:t xml:space="preserve">Mind kérelemszámban, mind értékben </w:t>
      </w:r>
      <w:r w:rsidRPr="00E03E1D">
        <w:rPr>
          <w:b/>
          <w:bCs/>
        </w:rPr>
        <w:t>az egyházi szervezetek nyerték az intézkedésre eddig lekötött forr</w:t>
      </w:r>
      <w:r w:rsidRPr="00E03E1D">
        <w:rPr>
          <w:b/>
          <w:bCs/>
        </w:rPr>
        <w:t>á</w:t>
      </w:r>
      <w:r w:rsidRPr="00E03E1D">
        <w:rPr>
          <w:b/>
          <w:bCs/>
        </w:rPr>
        <w:t>sok több mint felét (57%), őket az önkormányzatok (23%) majd az egyéb kategória (12%) követi.</w:t>
      </w:r>
    </w:p>
    <w:p w:rsidR="00B7428A" w:rsidRPr="00E03E1D" w:rsidRDefault="00B7428A" w:rsidP="00B7428A">
      <w:pPr>
        <w:jc w:val="both"/>
      </w:pPr>
      <w:r w:rsidRPr="00E03E1D">
        <w:rPr>
          <w:b/>
          <w:bCs/>
        </w:rPr>
        <w:t>A fejlesztések hozzávetőlegesen 64%-a templomok, imaházak, haranglábak, parókiák, templomkertek és egyházi műemlékek felújítására irányul, míg 29%-ot képviselnek az egyéb épített örökségek</w:t>
      </w:r>
      <w:r w:rsidRPr="00E03E1D">
        <w:t>, pl.: malmok, kúriák, pincesor</w:t>
      </w:r>
      <w:r>
        <w:t>ok felújítása,</w:t>
      </w:r>
      <w:r w:rsidRPr="00E03E1D">
        <w:t xml:space="preserve"> közösségi házak, tájházak, múzeumok</w:t>
      </w:r>
      <w:r>
        <w:t xml:space="preserve"> </w:t>
      </w:r>
      <w:proofErr w:type="gramStart"/>
      <w:r>
        <w:t>kialakítása</w:t>
      </w:r>
      <w:r w:rsidRPr="00E03E1D">
        <w:t xml:space="preserve"> ,</w:t>
      </w:r>
      <w:proofErr w:type="gramEnd"/>
      <w:r w:rsidRPr="00E03E1D">
        <w:t xml:space="preserve"> de akár önkormányzati vagy egyéb hivatali funkciónak otthont adó védett épületek (óvoda, rendőrség stb.)</w:t>
      </w:r>
      <w:r>
        <w:t xml:space="preserve"> külső felújítása</w:t>
      </w:r>
      <w:r w:rsidRPr="00E03E1D">
        <w:t>. Csupán 7%-ot tesznek ki azok a fejlesztések, amelyek természeti értékek bemutatását szolgálják, pl.: tanösvények, kilátók, fasorok, kertek, vagy zöld területek rehabilitációját tartalmazzák.</w:t>
      </w:r>
    </w:p>
    <w:p w:rsidR="00B7428A" w:rsidRPr="00E03E1D" w:rsidRDefault="00B7428A" w:rsidP="00B7428A">
      <w:pPr>
        <w:jc w:val="both"/>
      </w:pPr>
      <w:r w:rsidRPr="00E03E1D">
        <w:t>A kedvezményezettek körében készített kérdőíves felmérés alátámasztja, hogy az intézkedésnek nincs jele</w:t>
      </w:r>
      <w:r w:rsidRPr="00E03E1D">
        <w:t>n</w:t>
      </w:r>
      <w:r w:rsidRPr="00E03E1D">
        <w:t>tős közvetlen munkahelyteremtő hatása. A válaszadóknak csak 19%-a remél jelentősebb továbbgyűrűző gazdasági hatást a felújításoktól. A válaszadók többsége (68%) úgy véli, hogy a fejlesztésnek a kulturális örökség megőrzésében volt leginkább jelentős szerepe.</w:t>
      </w:r>
    </w:p>
    <w:p w:rsidR="00B7428A" w:rsidRPr="00E03E1D" w:rsidRDefault="00B7428A" w:rsidP="00B7428A">
      <w:pPr>
        <w:jc w:val="both"/>
      </w:pPr>
      <w:r w:rsidRPr="00E03E1D">
        <w:rPr>
          <w:b/>
          <w:bCs/>
        </w:rPr>
        <w:t>A készségek elsajátítása és ösztönzése (341)</w:t>
      </w:r>
      <w:r w:rsidRPr="00E03E1D">
        <w:t xml:space="preserve"> intézkedés </w:t>
      </w:r>
      <w:r w:rsidRPr="00E03E1D">
        <w:rPr>
          <w:b/>
          <w:bCs/>
        </w:rPr>
        <w:t>célja a LEADER helyi akciócsoportok kialakítás</w:t>
      </w:r>
      <w:r w:rsidRPr="00E03E1D">
        <w:rPr>
          <w:b/>
          <w:bCs/>
        </w:rPr>
        <w:t>á</w:t>
      </w:r>
      <w:r w:rsidRPr="00E03E1D">
        <w:rPr>
          <w:b/>
          <w:bCs/>
        </w:rPr>
        <w:t xml:space="preserve">nak és az integrált vidékfejlesztési stratégiák kidolgozásának segítése </w:t>
      </w:r>
      <w:r w:rsidRPr="00E03E1D">
        <w:t>a helyi önkormányzati érdekeltek, illetve az üzleti és a civil szféra bevonásával. Ezt a programok megfelelő megalkotásához és végrehajtásához szükséges helyi erőforrások feltárásával és az együttműködési törekvések ösztönzésével kívánták elérni a tervezők.</w:t>
      </w:r>
    </w:p>
    <w:p w:rsidR="00B7428A" w:rsidRPr="00E03E1D" w:rsidRDefault="00B7428A" w:rsidP="00B7428A">
      <w:pPr>
        <w:jc w:val="both"/>
      </w:pPr>
      <w:r w:rsidRPr="00E03E1D">
        <w:t>A támogatásra jogosultak voltak:</w:t>
      </w:r>
    </w:p>
    <w:p w:rsidR="00B7428A" w:rsidRPr="00E03E1D" w:rsidRDefault="00B7428A" w:rsidP="00D5521F">
      <w:pPr>
        <w:numPr>
          <w:ilvl w:val="0"/>
          <w:numId w:val="23"/>
        </w:numPr>
        <w:jc w:val="both"/>
      </w:pPr>
      <w:r w:rsidRPr="00E03E1D">
        <w:t>az IH által pályázati úton kiválasztott ún. címbirtokos szervezetek;</w:t>
      </w:r>
    </w:p>
    <w:p w:rsidR="00B7428A" w:rsidRPr="00E03E1D" w:rsidRDefault="00B7428A" w:rsidP="00D5521F">
      <w:pPr>
        <w:pStyle w:val="ListParagraph"/>
        <w:numPr>
          <w:ilvl w:val="0"/>
          <w:numId w:val="23"/>
        </w:numPr>
        <w:contextualSpacing w:val="0"/>
        <w:jc w:val="both"/>
      </w:pPr>
      <w:r w:rsidRPr="00E03E1D">
        <w:t xml:space="preserve">az IH által kiadott elismerő határozattal és jogi személyiséggel rendelkező LEADER </w:t>
      </w:r>
      <w:proofErr w:type="spellStart"/>
      <w:r w:rsidRPr="00E03E1D">
        <w:t>HACS-ok</w:t>
      </w:r>
      <w:proofErr w:type="spellEnd"/>
      <w:r w:rsidRPr="00E03E1D">
        <w:t>. 2008. szeptember 26-án 96 akciócsoport kapott LEADER HACS minősítést.</w:t>
      </w:r>
    </w:p>
    <w:p w:rsidR="00B7428A" w:rsidRPr="00E03E1D" w:rsidRDefault="00B7428A" w:rsidP="00B7428A">
      <w:pPr>
        <w:jc w:val="both"/>
      </w:pPr>
    </w:p>
    <w:p w:rsidR="00B7428A" w:rsidRPr="00E03E1D" w:rsidRDefault="00B7428A" w:rsidP="00B7428A">
      <w:pPr>
        <w:jc w:val="both"/>
      </w:pPr>
      <w:r w:rsidRPr="00E03E1D">
        <w:t>A támogatható tevékenységek a következők voltak:</w:t>
      </w:r>
    </w:p>
    <w:p w:rsidR="00B7428A" w:rsidRPr="00E03E1D" w:rsidRDefault="00B7428A" w:rsidP="00D5521F">
      <w:pPr>
        <w:numPr>
          <w:ilvl w:val="0"/>
          <w:numId w:val="23"/>
        </w:numPr>
        <w:jc w:val="both"/>
      </w:pPr>
      <w:r w:rsidRPr="00E03E1D">
        <w:t>az érintett területre vonatkozó tanulmányok;</w:t>
      </w:r>
    </w:p>
    <w:p w:rsidR="00B7428A" w:rsidRPr="00E03E1D" w:rsidRDefault="00B7428A" w:rsidP="00D5521F">
      <w:pPr>
        <w:numPr>
          <w:ilvl w:val="0"/>
          <w:numId w:val="23"/>
        </w:numPr>
        <w:jc w:val="both"/>
      </w:pPr>
      <w:r w:rsidRPr="00E03E1D">
        <w:t>a területre és a helyi fejlesztési stratégiára vonatkozó tájékoztatásra irányuló intézkedések;</w:t>
      </w:r>
    </w:p>
    <w:p w:rsidR="00B7428A" w:rsidRPr="00E03E1D" w:rsidRDefault="00B7428A" w:rsidP="00D5521F">
      <w:pPr>
        <w:numPr>
          <w:ilvl w:val="0"/>
          <w:numId w:val="23"/>
        </w:numPr>
        <w:jc w:val="both"/>
      </w:pPr>
      <w:r w:rsidRPr="00E03E1D">
        <w:t>a helyi fejlesztési stratégia előkészítésében és végrehajtásában közreműködő személyzet képzése;</w:t>
      </w:r>
    </w:p>
    <w:p w:rsidR="00B7428A" w:rsidRPr="00E03E1D" w:rsidRDefault="00B7428A" w:rsidP="00D5521F">
      <w:pPr>
        <w:numPr>
          <w:ilvl w:val="0"/>
          <w:numId w:val="23"/>
        </w:numPr>
        <w:jc w:val="both"/>
      </w:pPr>
      <w:r w:rsidRPr="00E03E1D">
        <w:t>promóciós rendezvények és vezetőképzés;</w:t>
      </w:r>
    </w:p>
    <w:p w:rsidR="00B7428A" w:rsidRPr="00E03E1D" w:rsidRDefault="00B7428A" w:rsidP="00D5521F">
      <w:pPr>
        <w:numPr>
          <w:ilvl w:val="0"/>
          <w:numId w:val="23"/>
        </w:numPr>
        <w:jc w:val="both"/>
      </w:pPr>
      <w:r w:rsidRPr="00E03E1D">
        <w:t>egy vagy több intézkedést magában foglaló helyi fejlesztési stratégia köz- és magánszféra partne</w:t>
      </w:r>
      <w:r w:rsidRPr="00E03E1D">
        <w:t>r</w:t>
      </w:r>
      <w:r w:rsidRPr="00E03E1D">
        <w:t>sége révén történő végrehajtása.</w:t>
      </w:r>
    </w:p>
    <w:p w:rsidR="00B7428A" w:rsidRPr="00E03E1D" w:rsidRDefault="00B7428A" w:rsidP="00B7428A">
      <w:pPr>
        <w:jc w:val="both"/>
      </w:pPr>
      <w:r w:rsidRPr="00E03E1D">
        <w:t>Az Irányító Hatóság a fenti feladatok ellátását egy központilag létrehozott, irányított, ellenőrzött és finansz</w:t>
      </w:r>
      <w:r w:rsidRPr="00E03E1D">
        <w:t>í</w:t>
      </w:r>
      <w:r w:rsidRPr="00E03E1D">
        <w:t>rozott irodahálózat kialakításával kívánta biztosítani. A Helyi Vidékfejlesztési Irodák (HVI) hálózata 2007-ben jött létre.</w:t>
      </w:r>
    </w:p>
    <w:p w:rsidR="00B7428A" w:rsidRPr="00E03E1D" w:rsidRDefault="00B7428A" w:rsidP="00B7428A">
      <w:pPr>
        <w:pStyle w:val="HUNNormal"/>
      </w:pPr>
      <w:r w:rsidRPr="00E03E1D">
        <w:t xml:space="preserve">Az intézkedés a </w:t>
      </w:r>
      <w:proofErr w:type="spellStart"/>
      <w:r w:rsidRPr="00E03E1D">
        <w:t>HVI-k</w:t>
      </w:r>
      <w:proofErr w:type="spellEnd"/>
      <w:r w:rsidRPr="00E03E1D">
        <w:t xml:space="preserve"> és később a </w:t>
      </w:r>
      <w:proofErr w:type="spellStart"/>
      <w:r w:rsidRPr="00E03E1D">
        <w:t>HACS-ok</w:t>
      </w:r>
      <w:proofErr w:type="spellEnd"/>
      <w:r w:rsidRPr="00E03E1D">
        <w:t xml:space="preserve"> működésének finanszírozására szolgált.</w:t>
      </w:r>
    </w:p>
    <w:p w:rsidR="00B7428A" w:rsidRPr="00E03E1D" w:rsidRDefault="00B7428A" w:rsidP="00B7428A">
      <w:pPr>
        <w:pStyle w:val="HUNNormal"/>
      </w:pPr>
      <w:r w:rsidRPr="00E03E1D">
        <w:lastRenderedPageBreak/>
        <w:t xml:space="preserve">A </w:t>
      </w:r>
      <w:proofErr w:type="spellStart"/>
      <w:r w:rsidRPr="00E03E1D">
        <w:t>HVI-k</w:t>
      </w:r>
      <w:proofErr w:type="spellEnd"/>
      <w:r w:rsidRPr="00E03E1D">
        <w:t xml:space="preserve"> fő tevékenysége az akciócsoportok megalakulásával és a tervezéssel kapcsolatos tájékoztatás, f</w:t>
      </w:r>
      <w:r w:rsidRPr="00E03E1D">
        <w:t>ó</w:t>
      </w:r>
      <w:r w:rsidRPr="00E03E1D">
        <w:t>rumok tartása, a potenciális helyi akciócsoportok regisztrálása, majd a helyi vidékfejlesztési stratégia terv</w:t>
      </w:r>
      <w:r w:rsidRPr="00E03E1D">
        <w:t>e</w:t>
      </w:r>
      <w:r w:rsidRPr="00E03E1D">
        <w:t>zésének támogatása volt.</w:t>
      </w:r>
    </w:p>
    <w:p w:rsidR="00B7428A" w:rsidRPr="00E03E1D" w:rsidRDefault="00B7428A" w:rsidP="00B7428A">
      <w:pPr>
        <w:jc w:val="both"/>
      </w:pPr>
      <w:r w:rsidRPr="00E03E1D">
        <w:rPr>
          <w:b/>
          <w:bCs/>
        </w:rPr>
        <w:t>Az intézkedési keretből kerül finanszírozásra a helyi akciócsoportok III. tengelyes intézkedéseinek végreha</w:t>
      </w:r>
      <w:r w:rsidRPr="00E03E1D">
        <w:rPr>
          <w:b/>
          <w:bCs/>
        </w:rPr>
        <w:t>j</w:t>
      </w:r>
      <w:r w:rsidRPr="00E03E1D">
        <w:rPr>
          <w:b/>
          <w:bCs/>
        </w:rPr>
        <w:t>tására delegált feladatok működési költsége.</w:t>
      </w:r>
      <w:r w:rsidRPr="00E03E1D">
        <w:t xml:space="preserve"> Ennek mértéke </w:t>
      </w:r>
      <w:proofErr w:type="spellStart"/>
      <w:r w:rsidRPr="00E03E1D">
        <w:t>HACS-onként</w:t>
      </w:r>
      <w:proofErr w:type="spellEnd"/>
      <w:r w:rsidRPr="00E03E1D">
        <w:t xml:space="preserve"> és összességében nem haladha</w:t>
      </w:r>
      <w:r w:rsidRPr="00E03E1D">
        <w:t>t</w:t>
      </w:r>
      <w:r w:rsidRPr="00E03E1D">
        <w:t>ja meg a III. tengely jogcímeire allokált forrás 15%-át.</w:t>
      </w:r>
    </w:p>
    <w:p w:rsidR="00B7428A" w:rsidRPr="00E03E1D" w:rsidRDefault="00B7428A" w:rsidP="00B7428A">
      <w:pPr>
        <w:jc w:val="both"/>
      </w:pPr>
      <w:r w:rsidRPr="00E03E1D">
        <w:t xml:space="preserve">Mivel az intézkedés a felkészítés és ösztönzés keretén belül csupán a </w:t>
      </w:r>
      <w:proofErr w:type="spellStart"/>
      <w:r w:rsidRPr="00E03E1D">
        <w:t>HVI-k</w:t>
      </w:r>
      <w:proofErr w:type="spellEnd"/>
      <w:r w:rsidRPr="00E03E1D">
        <w:t xml:space="preserve"> működési költségeit finanszíro</w:t>
      </w:r>
      <w:r w:rsidRPr="00E03E1D">
        <w:t>z</w:t>
      </w:r>
      <w:r w:rsidRPr="00E03E1D">
        <w:t xml:space="preserve">ta, ezért a megalakuló félben lévő potenciális akciócsoportoknak </w:t>
      </w:r>
      <w:r>
        <w:t>az intézkedés nagyon korlátozott mérté</w:t>
      </w:r>
      <w:r>
        <w:t>k</w:t>
      </w:r>
      <w:r>
        <w:t>ben (400 ezer Ft) biztosított lehetőséget</w:t>
      </w:r>
      <w:r w:rsidRPr="00E03E1D">
        <w:t xml:space="preserve"> a </w:t>
      </w:r>
      <w:proofErr w:type="spellStart"/>
      <w:r w:rsidRPr="00E03E1D">
        <w:t>HVI-n</w:t>
      </w:r>
      <w:proofErr w:type="spellEnd"/>
      <w:r w:rsidRPr="00E03E1D">
        <w:t xml:space="preserve"> felül más külső szakértők bevonására, vagy olyan, adott problémára szabott szakértelem alkalmazására, amelyre az adott alakulófélben lévő akciócsoport a partne</w:t>
      </w:r>
      <w:r w:rsidRPr="00E03E1D">
        <w:t>r</w:t>
      </w:r>
      <w:r w:rsidRPr="00E03E1D">
        <w:t xml:space="preserve">ség kialakítása és a stratégia tervezése során igényt tartott volna. Sem a speciális körülmények kezelésére (pl.: konfliktuskezelés), sem pedig a speciális célok kidolgozásával kapcsolatos szakértelem bevonására (pl.: megújuló energiaforrásokkal kapcsolatos fejlesztések) nem volt mód. </w:t>
      </w:r>
    </w:p>
    <w:p w:rsidR="00B7428A" w:rsidRPr="00E03E1D" w:rsidRDefault="00B7428A" w:rsidP="00B7428A">
      <w:pPr>
        <w:jc w:val="both"/>
      </w:pPr>
      <w:r w:rsidRPr="00E03E1D">
        <w:t xml:space="preserve">A potenciális akciócsoportok felkészülését befolyásolta az illetékes HVI munkatársának felkészültsége, együttműködési készsége. A </w:t>
      </w:r>
      <w:proofErr w:type="spellStart"/>
      <w:r w:rsidRPr="00E03E1D">
        <w:t>HVI-s</w:t>
      </w:r>
      <w:proofErr w:type="spellEnd"/>
      <w:r w:rsidRPr="00E03E1D">
        <w:t xml:space="preserve"> munkatársak alkalmatlansága esetén a Tervezést Koordináló Csoportok maguk oldották meg a tervezési feladatot, vagy amennyiben módjukban állt (önerőből), piacról vásároltak külső segítséget. </w:t>
      </w:r>
    </w:p>
    <w:p w:rsidR="00B7428A" w:rsidRPr="00E03E1D" w:rsidRDefault="00B7428A" w:rsidP="00B7428A">
      <w:pPr>
        <w:jc w:val="both"/>
      </w:pPr>
      <w:r w:rsidRPr="00E03E1D">
        <w:t xml:space="preserve">A HVI volt a helyi vidékfejlesztési stratégia tervezésével és az akciócsoport megalakulásával kapcsolatos központi információk szinte egyetlen forrása. A </w:t>
      </w:r>
      <w:proofErr w:type="spellStart"/>
      <w:r w:rsidRPr="00E03E1D">
        <w:t>HVI-k</w:t>
      </w:r>
      <w:proofErr w:type="spellEnd"/>
      <w:r w:rsidRPr="00E03E1D">
        <w:t xml:space="preserve"> kistérségi szinten egyablakos ügyfélkapuként és info</w:t>
      </w:r>
      <w:r w:rsidRPr="00E03E1D">
        <w:t>r</w:t>
      </w:r>
      <w:r w:rsidRPr="00E03E1D">
        <w:t xml:space="preserve">mációs pontként szolgáltak az </w:t>
      </w:r>
      <w:proofErr w:type="spellStart"/>
      <w:r w:rsidRPr="00E03E1D">
        <w:t>ÚMVP-vel</w:t>
      </w:r>
      <w:proofErr w:type="spellEnd"/>
      <w:r w:rsidRPr="00E03E1D">
        <w:t xml:space="preserve"> kapcsolatos tájékoztatásban, és a helyi vidékfejlesztési stratégiák tervezésében egyaránt.</w:t>
      </w:r>
    </w:p>
    <w:p w:rsidR="00B7428A" w:rsidRPr="00E03E1D" w:rsidRDefault="00B7428A" w:rsidP="00B7428A">
      <w:pPr>
        <w:jc w:val="both"/>
      </w:pPr>
      <w:r w:rsidRPr="00E03E1D">
        <w:t xml:space="preserve">A </w:t>
      </w:r>
      <w:proofErr w:type="spellStart"/>
      <w:r w:rsidRPr="00E03E1D">
        <w:t>HVI-k</w:t>
      </w:r>
      <w:proofErr w:type="spellEnd"/>
      <w:r w:rsidRPr="00E03E1D">
        <w:t xml:space="preserve"> munkájának megítélése vegyes volt a megkérdezettek körében. Ennek oka, hogy a </w:t>
      </w:r>
      <w:proofErr w:type="spellStart"/>
      <w:r w:rsidRPr="00E03E1D">
        <w:t>HVI-k</w:t>
      </w:r>
      <w:proofErr w:type="spellEnd"/>
      <w:r w:rsidRPr="00E03E1D">
        <w:t xml:space="preserve"> felkészül</w:t>
      </w:r>
      <w:r w:rsidRPr="00E03E1D">
        <w:t>t</w:t>
      </w:r>
      <w:r w:rsidRPr="00E03E1D">
        <w:t>sége és hozzáállása is nagyon különböző volt. Annyi azonban bizonyos, hogy az irodák által végzett mozgós</w:t>
      </w:r>
      <w:r w:rsidRPr="00E03E1D">
        <w:t>í</w:t>
      </w:r>
      <w:r w:rsidRPr="00E03E1D">
        <w:t>tás és tájékoztatás sikeres volt. A LEADER akciócsoportok megalakulása és az, hogy ezek a partnerségek az ország csaknem teljes vidékinek minősülő részét lefedik, azt mutatják, hogy ez az intézkedés a mozgósítá</w:t>
      </w:r>
      <w:r w:rsidRPr="00E03E1D">
        <w:t>s</w:t>
      </w:r>
      <w:r w:rsidRPr="00E03E1D">
        <w:t xml:space="preserve">ban és tájékoztatásban elérte célját. </w:t>
      </w:r>
    </w:p>
    <w:p w:rsidR="00B7428A" w:rsidRPr="00E03E1D" w:rsidRDefault="00B7428A" w:rsidP="00B7428A">
      <w:pPr>
        <w:jc w:val="both"/>
      </w:pPr>
    </w:p>
    <w:p w:rsidR="00B7428A" w:rsidRPr="00E03E1D" w:rsidRDefault="00B7428A" w:rsidP="00B7428A">
      <w:pPr>
        <w:jc w:val="both"/>
        <w:rPr>
          <w:b/>
          <w:bCs/>
        </w:rPr>
      </w:pPr>
      <w:r w:rsidRPr="00E03E1D">
        <w:rPr>
          <w:b/>
          <w:bCs/>
        </w:rPr>
        <w:t xml:space="preserve">Összességében megállapítható, hogy a tengely intézkedései a vidéki lakosság problémái közül többet is felvállaltak, ugyanakkor természetesen egyik problémakör </w:t>
      </w:r>
      <w:proofErr w:type="spellStart"/>
      <w:r w:rsidRPr="00E03E1D">
        <w:rPr>
          <w:b/>
          <w:bCs/>
        </w:rPr>
        <w:t>teljeskörű</w:t>
      </w:r>
      <w:proofErr w:type="spellEnd"/>
      <w:r w:rsidRPr="00E03E1D">
        <w:rPr>
          <w:b/>
          <w:bCs/>
        </w:rPr>
        <w:t xml:space="preserve"> </w:t>
      </w:r>
      <w:r>
        <w:rPr>
          <w:b/>
          <w:bCs/>
        </w:rPr>
        <w:t>meg</w:t>
      </w:r>
      <w:r w:rsidRPr="00E03E1D">
        <w:rPr>
          <w:b/>
          <w:bCs/>
        </w:rPr>
        <w:t>oldása sem volt lehetséges a re</w:t>
      </w:r>
      <w:r w:rsidRPr="00E03E1D">
        <w:rPr>
          <w:b/>
          <w:bCs/>
        </w:rPr>
        <w:t>n</w:t>
      </w:r>
      <w:r w:rsidRPr="00E03E1D">
        <w:rPr>
          <w:b/>
          <w:bCs/>
        </w:rPr>
        <w:t xml:space="preserve">delkezésre álló források korlátossága és a megvalósítás elhúzódása miatt. </w:t>
      </w:r>
    </w:p>
    <w:p w:rsidR="00B7428A" w:rsidRDefault="00B7428A" w:rsidP="00B7428A">
      <w:pPr>
        <w:pStyle w:val="AAMNormal"/>
      </w:pPr>
      <w:r w:rsidRPr="00E03E1D">
        <w:t>A tengely értékelése kapcsán fontos jellemezni az eljárásrendet is, mert a vidékfejlesztés esetén a támog</w:t>
      </w:r>
      <w:r w:rsidRPr="00E03E1D">
        <w:t>a</w:t>
      </w:r>
      <w:r w:rsidRPr="00E03E1D">
        <w:t xml:space="preserve">tások tényével egyenértékű hatást vált ki azok megvalósításának módja. </w:t>
      </w:r>
    </w:p>
    <w:p w:rsidR="00B7428A" w:rsidRDefault="00B7428A" w:rsidP="00B7428A">
      <w:pPr>
        <w:pStyle w:val="HUNNormal"/>
      </w:pPr>
      <w:r w:rsidRPr="00201139">
        <w:t xml:space="preserve">A III. tengely végrehajtása során a </w:t>
      </w:r>
      <w:proofErr w:type="spellStart"/>
      <w:r w:rsidRPr="00201139">
        <w:t>HACS-ok</w:t>
      </w:r>
      <w:proofErr w:type="spellEnd"/>
      <w:r w:rsidRPr="00201139">
        <w:t xml:space="preserve"> közreműködésével megvalósuló intézkedések tekintetében </w:t>
      </w:r>
      <w:r w:rsidRPr="00AD50C2">
        <w:t xml:space="preserve">az akciócsoportok döntési autonómiája </w:t>
      </w:r>
      <w:r w:rsidR="00AC3706">
        <w:t>korlátozott</w:t>
      </w:r>
      <w:r w:rsidRPr="00AD50C2">
        <w:t xml:space="preserve"> mértékben érvényesült</w:t>
      </w:r>
      <w:r w:rsidRPr="00201139">
        <w:t>.</w:t>
      </w:r>
      <w:r>
        <w:t xml:space="preserve"> A döntési jog a III. tengely esetén a következőkben volt biztosított: az egyes jogcímekre fordítható összes forrás meghatározása, a </w:t>
      </w:r>
      <w:proofErr w:type="spellStart"/>
      <w:r>
        <w:t>HVS-hez</w:t>
      </w:r>
      <w:proofErr w:type="spellEnd"/>
      <w:r>
        <w:t xml:space="preserve"> való illeszkedés vizsgálata (20 pont), jogcímenként és benyújtási időszakonként a támogatható fejlesztések m</w:t>
      </w:r>
      <w:r>
        <w:t>i</w:t>
      </w:r>
      <w:r>
        <w:t>nimum pontszámának meghatározása, majd a második meghirdetési körtől a támogatás maximum érték</w:t>
      </w:r>
      <w:r>
        <w:t>é</w:t>
      </w:r>
      <w:r>
        <w:t xml:space="preserve">nek meghatározása jogcímenként. </w:t>
      </w:r>
    </w:p>
    <w:p w:rsidR="00B7428A" w:rsidRDefault="00B7428A" w:rsidP="00B7428A">
      <w:pPr>
        <w:pStyle w:val="HUNNormal"/>
      </w:pPr>
      <w:r w:rsidRPr="00201139">
        <w:t xml:space="preserve">A </w:t>
      </w:r>
      <w:proofErr w:type="spellStart"/>
      <w:r w:rsidRPr="00201139">
        <w:t>HACS-ok</w:t>
      </w:r>
      <w:proofErr w:type="spellEnd"/>
      <w:r w:rsidRPr="00201139">
        <w:t xml:space="preserve"> minimális mozgásterét a helyi információk, értékelési szempontok megjelenítésére az a 20 adh</w:t>
      </w:r>
      <w:r w:rsidRPr="00201139">
        <w:t>a</w:t>
      </w:r>
      <w:r w:rsidRPr="00201139">
        <w:t xml:space="preserve">tó pont jelentette, amelynek keretében az akciócsoportok a </w:t>
      </w:r>
      <w:proofErr w:type="spellStart"/>
      <w:r w:rsidRPr="00201139">
        <w:t>HVS-hez</w:t>
      </w:r>
      <w:proofErr w:type="spellEnd"/>
      <w:r w:rsidRPr="00201139">
        <w:t xml:space="preserve"> való illeszkedést értékelhették. Ugya</w:t>
      </w:r>
      <w:r w:rsidRPr="00201139">
        <w:t>n</w:t>
      </w:r>
      <w:r w:rsidRPr="00201139">
        <w:t xml:space="preserve">akkor ezen a 20 ponton belül is adottak voltak részszempontok, amelyek korlátozták az akciócsoportokat a helyi szempontok érvényesítésében. </w:t>
      </w:r>
      <w:r>
        <w:t xml:space="preserve">A normatív eljárásrendből adódóan </w:t>
      </w:r>
      <w:r w:rsidRPr="00F56A85">
        <w:t>amennyiben bármely pályázat me</w:t>
      </w:r>
      <w:r w:rsidRPr="00F56A85">
        <w:t>g</w:t>
      </w:r>
      <w:r w:rsidRPr="00F56A85">
        <w:lastRenderedPageBreak/>
        <w:t xml:space="preserve">felel az általánosan megfogalmazott támogatási feltételeknek, akkor a </w:t>
      </w:r>
      <w:r>
        <w:t>helyi akciócsoport annak ellenére sem</w:t>
      </w:r>
      <w:r w:rsidRPr="00F56A85">
        <w:t xml:space="preserve"> jogosult azt elutasítani</w:t>
      </w:r>
      <w:r>
        <w:t xml:space="preserve">, ha a helyi ismerete alapján azt indokoltnak </w:t>
      </w:r>
      <w:proofErr w:type="gramStart"/>
      <w:r>
        <w:t>tartja</w:t>
      </w:r>
      <w:r>
        <w:rPr>
          <w:rStyle w:val="FootnoteReference"/>
        </w:rPr>
        <w:footnoteReference w:id="33"/>
      </w:r>
      <w:r w:rsidRPr="00F56A85">
        <w:t>.</w:t>
      </w:r>
      <w:proofErr w:type="gramEnd"/>
      <w:r w:rsidRPr="00F56A85">
        <w:t xml:space="preserve"> Ugyanígy fordítva, ha val</w:t>
      </w:r>
      <w:r w:rsidRPr="00F56A85">
        <w:t>a</w:t>
      </w:r>
      <w:r w:rsidRPr="00F56A85">
        <w:t>mely kérelem, vagy pályázat bizonyos eleme nem teljes egészében elégíti ki a normatív feltételeket, akkor az abban az esetben sem támogatható, ha az a helyi közösség, vagy a térség egészének fejlődését segítené elő</w:t>
      </w:r>
      <w:r>
        <w:t xml:space="preserve">. Hiányzik tehát az </w:t>
      </w:r>
      <w:proofErr w:type="spellStart"/>
      <w:r>
        <w:t>az</w:t>
      </w:r>
      <w:proofErr w:type="spellEnd"/>
      <w:r>
        <w:t xml:space="preserve"> elem a döntéshozásban, amely ezekben a speciális esetekben megfelelően alát</w:t>
      </w:r>
      <w:r>
        <w:t>á</w:t>
      </w:r>
      <w:r>
        <w:t xml:space="preserve">masztott és átlátható módon a helyi partnerség javaslatát érvényesíttetné. </w:t>
      </w:r>
      <w:r w:rsidRPr="00201139">
        <w:t>Így több esetben előfordulhatott, hogy olyan fejlesztések kaptak támogatást, amelyek egyrészt aránytalanul nagy részét használták fel a té</w:t>
      </w:r>
      <w:r w:rsidRPr="00201139">
        <w:t>r</w:t>
      </w:r>
      <w:r w:rsidRPr="00201139">
        <w:t>ség erőforrásainak, illetve helyi szinten tudottan nem azt a szemléletet és tartalmat testesítették meg, am</w:t>
      </w:r>
      <w:r w:rsidRPr="00201139">
        <w:t>e</w:t>
      </w:r>
      <w:r w:rsidRPr="00201139">
        <w:t xml:space="preserve">lyet a partnerség a </w:t>
      </w:r>
      <w:proofErr w:type="spellStart"/>
      <w:r w:rsidRPr="00201139">
        <w:t>HVS-ben</w:t>
      </w:r>
      <w:proofErr w:type="spellEnd"/>
      <w:r w:rsidRPr="00201139">
        <w:t xml:space="preserve"> megfogalmazott.</w:t>
      </w:r>
      <w:r>
        <w:t xml:space="preserve"> Az akciócsoportok körében készített kérdőíves felmérés és a csoportos és személyes beszélgetések alapján megállapítható, hogy a </w:t>
      </w:r>
      <w:proofErr w:type="spellStart"/>
      <w:r>
        <w:t>HACS-ok</w:t>
      </w:r>
      <w:proofErr w:type="spellEnd"/>
      <w:r>
        <w:t xml:space="preserve"> és a HVS szempontjai érv</w:t>
      </w:r>
      <w:r>
        <w:t>é</w:t>
      </w:r>
      <w:r>
        <w:t>nyesítésének mértéke nőtt a III. tengely első és második körös kérelemkezelését egymáshoz viszonyítva.</w:t>
      </w:r>
    </w:p>
    <w:p w:rsidR="00B7428A" w:rsidRDefault="00B7428A" w:rsidP="00B7428A">
      <w:pPr>
        <w:pStyle w:val="HUNNormal"/>
      </w:pPr>
      <w:r>
        <w:t xml:space="preserve">A megvalósítás rendszere a központosított irányításra, az intézmények közötti hierarchikus viszonyra és a normatív kontrolra épül. Hiányzik belőle a partnerségi és a bizalmi elv. </w:t>
      </w:r>
    </w:p>
    <w:p w:rsidR="00B7428A" w:rsidRDefault="00B7428A" w:rsidP="00B7428A">
      <w:pPr>
        <w:pStyle w:val="HUNNormal"/>
      </w:pPr>
      <w:r>
        <w:t>A kérelemkezelés elhúzódása, az előlegfelvétel és a fejlesztés mérete szerinti differenciált kérelemkezelés lehetőségének hiánya növeli a fejlesztések költségeit, megvalósítási kockázatát, kizárja a támogatásra val</w:t>
      </w:r>
      <w:r>
        <w:t>ó</w:t>
      </w:r>
      <w:r>
        <w:t>ban rászorulókat a fejlesztési források igénybevételétől.</w:t>
      </w:r>
    </w:p>
    <w:p w:rsidR="00B7428A" w:rsidRDefault="00B7428A" w:rsidP="00B7428A">
      <w:pPr>
        <w:pStyle w:val="HUNNormal"/>
      </w:pPr>
      <w:r>
        <w:t>Az elfogadhatatlanul hosszúra nyúló kérelemkezelés több tényezőre vezethető vissza, amelyek közül a le</w:t>
      </w:r>
      <w:r>
        <w:t>g</w:t>
      </w:r>
      <w:r>
        <w:t xml:space="preserve">fontosabbak: </w:t>
      </w:r>
    </w:p>
    <w:p w:rsidR="00B7428A" w:rsidRPr="00201139" w:rsidRDefault="00B7428A" w:rsidP="00D5521F">
      <w:pPr>
        <w:pStyle w:val="HUNNormal"/>
        <w:numPr>
          <w:ilvl w:val="0"/>
          <w:numId w:val="33"/>
        </w:numPr>
      </w:pPr>
      <w:r w:rsidRPr="00201139">
        <w:t>A LEADER helyi akciócsoportok nem a program végrehajtási kapacitásaik alkalmassága, a korábbi tapasztalataik és a helyi fejlesztési terveik minősége alapján kerültek kiválasztásra, hanem fels</w:t>
      </w:r>
      <w:r w:rsidRPr="00201139">
        <w:t>ő</w:t>
      </w:r>
      <w:r w:rsidRPr="00201139">
        <w:t>vezetői döntés eredményeképpen minden potenciális partnerség megkapta a jogot arra, hogy LEADER akciócsoportként kezdje el működését. A munkaszervezetek kialakítására csak jóval a t</w:t>
      </w:r>
      <w:r w:rsidRPr="00201139">
        <w:t>á</w:t>
      </w:r>
      <w:r w:rsidRPr="00201139">
        <w:t xml:space="preserve">mogató döntés után került sor. </w:t>
      </w:r>
      <w:proofErr w:type="gramStart"/>
      <w:r w:rsidRPr="00201139">
        <w:t>Ennélfogva</w:t>
      </w:r>
      <w:proofErr w:type="gramEnd"/>
      <w:r w:rsidRPr="00201139">
        <w:t xml:space="preserve"> az akciócsoportok felkészültsége </w:t>
      </w:r>
      <w:r>
        <w:t xml:space="preserve">a kezdetetektől fogva </w:t>
      </w:r>
      <w:r w:rsidRPr="00201139">
        <w:t>jelentős különbségeket mutat.</w:t>
      </w:r>
    </w:p>
    <w:p w:rsidR="00B7428A" w:rsidRDefault="00B7428A" w:rsidP="00D5521F">
      <w:pPr>
        <w:pStyle w:val="HUNNormal"/>
        <w:numPr>
          <w:ilvl w:val="0"/>
          <w:numId w:val="33"/>
        </w:numPr>
      </w:pPr>
      <w:r w:rsidRPr="00201139">
        <w:t xml:space="preserve">A munkaszervezetek többségénél a frissen felvett munkatársak </w:t>
      </w:r>
      <w:r>
        <w:t xml:space="preserve">a legtöbb esetben </w:t>
      </w:r>
      <w:r w:rsidRPr="00201139">
        <w:t>nem rendelke</w:t>
      </w:r>
      <w:r w:rsidRPr="00201139">
        <w:t>z</w:t>
      </w:r>
      <w:r w:rsidRPr="00201139">
        <w:t xml:space="preserve">tek kérelemkezelési tapasztalatokkal, annak begyakorlására nem kaptak időt. </w:t>
      </w:r>
      <w:r>
        <w:t>A</w:t>
      </w:r>
      <w:r w:rsidRPr="00201139">
        <w:t xml:space="preserve">z </w:t>
      </w:r>
      <w:r w:rsidRPr="00F737AA">
        <w:t>akkreditációs f</w:t>
      </w:r>
      <w:r w:rsidRPr="00F737AA">
        <w:t>o</w:t>
      </w:r>
      <w:r w:rsidRPr="00F737AA">
        <w:t>lyamatra mindössze három hónap állt rendelkezésre</w:t>
      </w:r>
      <w:r>
        <w:t>.</w:t>
      </w:r>
      <w:r w:rsidRPr="00201139">
        <w:t xml:space="preserve"> Az MVH regionális kirendeltségei tartottak ugyan kötelező rövid képzéseket az ügyintézők számára, de a gyakorlatban történő felkészítésre a többi jogcím kérelmeinek kezelése mellett nem, vagy csak jelentős nehézségek felvállalása árán volt lehetőség</w:t>
      </w:r>
      <w:r w:rsidRPr="00C72AAB">
        <w:t xml:space="preserve"> </w:t>
      </w:r>
      <w:r>
        <w:t>Nem állt rendelkezésre az IIER felület a felkészüléshez, rögtön élesben kellett alka</w:t>
      </w:r>
      <w:r>
        <w:t>l</w:t>
      </w:r>
      <w:r>
        <w:t>mazni a rendszert.</w:t>
      </w:r>
      <w:r w:rsidRPr="00201139">
        <w:t xml:space="preserve"> Az újonnan megalakult partnerségeknek nem egész egy év alatt kellett „felnőni” a partnerség kialakítás, az integrált térségi tervezés, animáció, konfliktuskezelés, stb. majd később a kérelemkezelés feladatához.</w:t>
      </w:r>
    </w:p>
    <w:p w:rsidR="00B7428A" w:rsidRDefault="00B7428A" w:rsidP="00D5521F">
      <w:pPr>
        <w:numPr>
          <w:ilvl w:val="0"/>
          <w:numId w:val="33"/>
        </w:numPr>
        <w:jc w:val="both"/>
      </w:pPr>
      <w:r w:rsidRPr="00201139">
        <w:t>Gyakori probléma – részben a szabályozás ponttalanságából eredően –</w:t>
      </w:r>
      <w:r>
        <w:t xml:space="preserve"> </w:t>
      </w:r>
      <w:r w:rsidRPr="00201139">
        <w:t>a feltételrendszer benyú</w:t>
      </w:r>
      <w:r w:rsidRPr="00201139">
        <w:t>j</w:t>
      </w:r>
      <w:r w:rsidRPr="00201139">
        <w:t>tást követő megváltoztatása</w:t>
      </w:r>
      <w:r>
        <w:t xml:space="preserve">, további nehézségeket okozva a </w:t>
      </w:r>
      <w:proofErr w:type="spellStart"/>
      <w:r>
        <w:t>HACS-oknál</w:t>
      </w:r>
      <w:proofErr w:type="spellEnd"/>
      <w:r>
        <w:t xml:space="preserve"> és az </w:t>
      </w:r>
      <w:proofErr w:type="spellStart"/>
      <w:r>
        <w:t>MVH-nál</w:t>
      </w:r>
      <w:proofErr w:type="spellEnd"/>
      <w:r>
        <w:t xml:space="preserve"> egyaránt</w:t>
      </w:r>
      <w:r w:rsidRPr="00201139">
        <w:t xml:space="preserve">. Ezekben az esetekben nem csak a kialakított folyamatokat, eljárásrendeket kell újraértelmezni, hanem az addig elvégzett bírálati műveleteket is újra végre kell hajtani. </w:t>
      </w:r>
    </w:p>
    <w:p w:rsidR="00B7428A" w:rsidRDefault="00B7428A" w:rsidP="00D5521F">
      <w:pPr>
        <w:pStyle w:val="HUNNormal"/>
        <w:numPr>
          <w:ilvl w:val="0"/>
          <w:numId w:val="33"/>
        </w:numPr>
      </w:pPr>
      <w:r w:rsidRPr="00201139">
        <w:t xml:space="preserve">Általános elvként megállapítható, hogy a jelenlegi normatív kontrol elvének alkalmazása a III. és IV. tengely működtetésénél nem életszerű. A túlságosan konkrét szintű, ÉNGY kódokhoz, VTSZ és SZJ számokhoz mereven kötött szabályozás </w:t>
      </w:r>
      <w:r>
        <w:t>jelentősen megnehezíti</w:t>
      </w:r>
      <w:r w:rsidRPr="00E43179">
        <w:t xml:space="preserve"> a fejlesztések ésszerű és hatékony megvalósítását, de a munkaszervezetek racionális működtetését </w:t>
      </w:r>
      <w:proofErr w:type="spellStart"/>
      <w:r w:rsidRPr="00E43179">
        <w:t>is</w:t>
      </w:r>
      <w:r w:rsidRPr="00201139">
        <w:t>A</w:t>
      </w:r>
      <w:proofErr w:type="spellEnd"/>
      <w:r w:rsidRPr="00201139">
        <w:t xml:space="preserve"> végrehajtó szervezet</w:t>
      </w:r>
      <w:r>
        <w:t>ek</w:t>
      </w:r>
      <w:r w:rsidRPr="00201139">
        <w:t xml:space="preserve"> mu</w:t>
      </w:r>
      <w:r w:rsidRPr="00201139">
        <w:t>n</w:t>
      </w:r>
      <w:r w:rsidRPr="00201139">
        <w:lastRenderedPageBreak/>
        <w:t>káját nehezít</w:t>
      </w:r>
      <w:r>
        <w:t>i</w:t>
      </w:r>
      <w:r w:rsidRPr="00201139">
        <w:t xml:space="preserve">, hogy a különböző jogcímekre </w:t>
      </w:r>
      <w:r w:rsidRPr="00F737AA">
        <w:t>a kérelmek benyújtásának időszakai időben egybee</w:t>
      </w:r>
      <w:r w:rsidRPr="00F737AA">
        <w:t>s</w:t>
      </w:r>
      <w:r>
        <w:t>n</w:t>
      </w:r>
      <w:r w:rsidRPr="00F737AA">
        <w:t>ek</w:t>
      </w:r>
      <w:r w:rsidRPr="00201139">
        <w:t>, így jelentős munkacsúcsok alakul</w:t>
      </w:r>
      <w:r>
        <w:t>n</w:t>
      </w:r>
      <w:r w:rsidRPr="00201139">
        <w:t>ak ki.</w:t>
      </w:r>
    </w:p>
    <w:p w:rsidR="00B7428A" w:rsidRPr="00201139" w:rsidRDefault="00B7428A" w:rsidP="00D5521F">
      <w:pPr>
        <w:numPr>
          <w:ilvl w:val="0"/>
          <w:numId w:val="33"/>
        </w:numPr>
        <w:jc w:val="both"/>
      </w:pPr>
      <w:r w:rsidRPr="00201139">
        <w:t xml:space="preserve">A kérelmek feldolgozásának idejét nyújtja, hogy az </w:t>
      </w:r>
      <w:proofErr w:type="spellStart"/>
      <w:r>
        <w:t>IIER-ben</w:t>
      </w:r>
      <w:proofErr w:type="spellEnd"/>
      <w:r>
        <w:t xml:space="preserve"> az </w:t>
      </w:r>
      <w:r w:rsidRPr="00201139">
        <w:t xml:space="preserve">egyszerű </w:t>
      </w:r>
      <w:r w:rsidRPr="00C72AAB">
        <w:t>ügyintézői hibák korrigál</w:t>
      </w:r>
      <w:r w:rsidRPr="00C72AAB">
        <w:t>á</w:t>
      </w:r>
      <w:r w:rsidRPr="00C72AAB">
        <w:t xml:space="preserve">sa </w:t>
      </w:r>
      <w:r w:rsidRPr="00201139">
        <w:t xml:space="preserve">is fejlesztői közreműködést igényel. </w:t>
      </w:r>
      <w:r>
        <w:t xml:space="preserve">A </w:t>
      </w:r>
      <w:r w:rsidRPr="00201139">
        <w:t>kérelemkezelési folyamat során észlelt rendszerhibák k</w:t>
      </w:r>
      <w:r w:rsidRPr="00201139">
        <w:t>e</w:t>
      </w:r>
      <w:r w:rsidRPr="00201139">
        <w:t>zelése szintén jelentős időt vesz igénybe.</w:t>
      </w:r>
      <w:r>
        <w:t xml:space="preserve"> </w:t>
      </w:r>
    </w:p>
    <w:p w:rsidR="00B7428A" w:rsidRDefault="00B7428A" w:rsidP="00B7428A">
      <w:pPr>
        <w:pStyle w:val="HUNNormal"/>
      </w:pPr>
    </w:p>
    <w:p w:rsidR="00B7428A" w:rsidRPr="00E02425" w:rsidRDefault="00B7428A" w:rsidP="00B7428A">
      <w:pPr>
        <w:pStyle w:val="AAMNormal"/>
        <w:rPr>
          <w:b/>
          <w:bCs/>
        </w:rPr>
      </w:pPr>
      <w:r w:rsidRPr="00E02425">
        <w:rPr>
          <w:b/>
          <w:bCs/>
        </w:rPr>
        <w:t>Hatáselemzés</w:t>
      </w:r>
    </w:p>
    <w:p w:rsidR="00B7428A" w:rsidRPr="00E03E1D" w:rsidRDefault="00B7428A" w:rsidP="00B7428A">
      <w:pPr>
        <w:pStyle w:val="AAMNormal"/>
      </w:pPr>
      <w:r w:rsidRPr="00E03E1D">
        <w:t>Az III. tengely a Közös Értékelési Módszertani Keret (CMEF) hét fő hatásindikátora mentén a következőkkel jellemezhető:</w:t>
      </w:r>
    </w:p>
    <w:p w:rsidR="00B7428A" w:rsidRPr="00E03E1D" w:rsidRDefault="00B7428A" w:rsidP="00D5521F">
      <w:pPr>
        <w:pStyle w:val="AAMNormal"/>
        <w:numPr>
          <w:ilvl w:val="0"/>
          <w:numId w:val="19"/>
        </w:numPr>
      </w:pPr>
      <w:r w:rsidRPr="00E03E1D">
        <w:t>A tengely esetében kiválasztott beruházások előrehaladása még csekély, mivel a támogatást le</w:t>
      </w:r>
      <w:r w:rsidRPr="00E03E1D">
        <w:t>g</w:t>
      </w:r>
      <w:r w:rsidRPr="00E03E1D">
        <w:t xml:space="preserve">többen 2009-ben illetve 2010-ben nyerték el, ezért </w:t>
      </w:r>
      <w:r w:rsidRPr="00E03E1D">
        <w:rPr>
          <w:b/>
          <w:bCs/>
        </w:rPr>
        <w:t xml:space="preserve">a gazdasági növekedést jelen értékelésben nem lehet még mérni. A gazdaságfejlesztésre megítélt támogatás relatíve csekély (28,5 </w:t>
      </w:r>
      <w:proofErr w:type="spellStart"/>
      <w:r w:rsidRPr="00E03E1D">
        <w:rPr>
          <w:b/>
          <w:bCs/>
        </w:rPr>
        <w:t>mrd</w:t>
      </w:r>
      <w:proofErr w:type="spellEnd"/>
      <w:r w:rsidRPr="00E03E1D">
        <w:rPr>
          <w:b/>
          <w:bCs/>
        </w:rPr>
        <w:t xml:space="preserve"> Ft), ezért j</w:t>
      </w:r>
      <w:r w:rsidRPr="00E03E1D">
        <w:rPr>
          <w:b/>
          <w:bCs/>
        </w:rPr>
        <w:t>e</w:t>
      </w:r>
      <w:r w:rsidRPr="00E03E1D">
        <w:rPr>
          <w:b/>
          <w:bCs/>
        </w:rPr>
        <w:t>lentős mértékű ilyen hatás nem is várható a tengelytől.</w:t>
      </w:r>
    </w:p>
    <w:p w:rsidR="00B7428A" w:rsidRPr="00BA1C58" w:rsidRDefault="00B7428A" w:rsidP="00D5521F">
      <w:pPr>
        <w:pStyle w:val="AAMNormal"/>
        <w:numPr>
          <w:ilvl w:val="0"/>
          <w:numId w:val="19"/>
        </w:numPr>
      </w:pPr>
      <w:r w:rsidRPr="002103AB">
        <w:rPr>
          <w:b/>
          <w:bCs/>
        </w:rPr>
        <w:t>A munkaerő felhasználás várhatóan növekszik majd a tengely fejlesztései kapcsán. a fejlesztések közvetlen hatásaként összesen 3200-3500 munkahely létrehozása, illetve megőrzése várható.</w:t>
      </w:r>
      <w:r w:rsidRPr="002103AB">
        <w:t xml:space="preserve"> E</w:t>
      </w:r>
      <w:r w:rsidRPr="002103AB">
        <w:t>b</w:t>
      </w:r>
      <w:r w:rsidRPr="00BA1C58">
        <w:t>ből kb. 2000 esetében lehet beszélni fenntartható gazdasági tevékenységről, a többi közszolgált</w:t>
      </w:r>
      <w:r w:rsidRPr="00BA1C58">
        <w:t>a</w:t>
      </w:r>
      <w:r w:rsidRPr="00BA1C58">
        <w:t>tásnak tekinthető és közösségi/központi forrásokat fog a jövőben is igényelni.</w:t>
      </w:r>
    </w:p>
    <w:p w:rsidR="00B7428A" w:rsidRPr="00E03E1D" w:rsidRDefault="00B7428A" w:rsidP="00D5521F">
      <w:pPr>
        <w:pStyle w:val="AAMNormal"/>
        <w:numPr>
          <w:ilvl w:val="0"/>
          <w:numId w:val="19"/>
        </w:numPr>
      </w:pPr>
      <w:r w:rsidRPr="00E03E1D">
        <w:rPr>
          <w:b/>
          <w:bCs/>
        </w:rPr>
        <w:t>A munkaerő-termelékenység indikátor még nem mérhető</w:t>
      </w:r>
      <w:r w:rsidRPr="00E03E1D">
        <w:t xml:space="preserve"> a lezárt fejlesztések kis száma miatt.</w:t>
      </w:r>
    </w:p>
    <w:p w:rsidR="00B7428A" w:rsidRPr="00E03E1D" w:rsidRDefault="00B7428A" w:rsidP="00D5521F">
      <w:pPr>
        <w:pStyle w:val="AAMNormal"/>
        <w:numPr>
          <w:ilvl w:val="0"/>
          <w:numId w:val="19"/>
        </w:numPr>
      </w:pPr>
      <w:r w:rsidRPr="00E03E1D">
        <w:rPr>
          <w:b/>
          <w:bCs/>
        </w:rPr>
        <w:t xml:space="preserve">A tengely eddig elindított intézkedései közül csak a vidéki örökség megőrzése intézkedés keretében támogatott természeti örökség projektjei relevánsak a </w:t>
      </w:r>
      <w:proofErr w:type="spellStart"/>
      <w:r w:rsidRPr="00E03E1D">
        <w:rPr>
          <w:b/>
          <w:bCs/>
        </w:rPr>
        <w:t>biodiverzitás</w:t>
      </w:r>
      <w:proofErr w:type="spellEnd"/>
      <w:r w:rsidRPr="00E03E1D">
        <w:rPr>
          <w:b/>
          <w:bCs/>
        </w:rPr>
        <w:t xml:space="preserve"> megőrzése szempontjából, ezek száma azonban csekély.</w:t>
      </w:r>
      <w:r w:rsidRPr="00E03E1D">
        <w:t xml:space="preserve"> A többi megvalósuló fejlesztés többsége belterületet érint. A </w:t>
      </w:r>
      <w:proofErr w:type="spellStart"/>
      <w:r w:rsidRPr="00E03E1D">
        <w:t>biodiverzitás</w:t>
      </w:r>
      <w:proofErr w:type="spellEnd"/>
      <w:r w:rsidRPr="00E03E1D">
        <w:t xml:space="preserve"> megőrzésére a még el nem indított, a természeti örökség megőrzésének és fejlesztésének támog</w:t>
      </w:r>
      <w:r w:rsidRPr="00E03E1D">
        <w:t>a</w:t>
      </w:r>
      <w:r w:rsidRPr="00E03E1D">
        <w:t xml:space="preserve">tását célzó jogcím hatna közvetlenül. További hatás lenne várható a </w:t>
      </w:r>
      <w:proofErr w:type="spellStart"/>
      <w:r w:rsidRPr="00E03E1D">
        <w:t>HACS-ok</w:t>
      </w:r>
      <w:proofErr w:type="spellEnd"/>
      <w:r w:rsidRPr="00E03E1D">
        <w:t xml:space="preserve"> vidék- és közösségfe</w:t>
      </w:r>
      <w:r w:rsidRPr="00E03E1D">
        <w:t>j</w:t>
      </w:r>
      <w:r w:rsidRPr="00E03E1D">
        <w:t xml:space="preserve">lesztő munkájától, azonban ez a tevékenység egyelőre háttérbe szorult a kérelemkezelési feladatok mellett és saját szakértelem hiányában, a </w:t>
      </w:r>
      <w:proofErr w:type="spellStart"/>
      <w:r w:rsidRPr="00E03E1D">
        <w:t>HACS-ok</w:t>
      </w:r>
      <w:proofErr w:type="spellEnd"/>
      <w:r w:rsidRPr="00E03E1D">
        <w:t xml:space="preserve"> többsége nem is tud a természetvédelem terül</w:t>
      </w:r>
      <w:r w:rsidRPr="00E03E1D">
        <w:t>e</w:t>
      </w:r>
      <w:r w:rsidRPr="00E03E1D">
        <w:t>tén önállóan előrelépni.</w:t>
      </w:r>
    </w:p>
    <w:p w:rsidR="00B7428A" w:rsidRPr="00E03E1D" w:rsidRDefault="00B7428A" w:rsidP="00D5521F">
      <w:pPr>
        <w:pStyle w:val="AAMNormal"/>
        <w:numPr>
          <w:ilvl w:val="0"/>
          <w:numId w:val="19"/>
        </w:numPr>
      </w:pPr>
      <w:r w:rsidRPr="00E03E1D">
        <w:t>A magas természeti értékű területek megőrzése szempontjából is a biológiai diverzitás kapcsán leírt megállapítások a mérvadók.</w:t>
      </w:r>
    </w:p>
    <w:p w:rsidR="00B7428A" w:rsidRPr="00E03E1D" w:rsidRDefault="00B7428A" w:rsidP="00D5521F">
      <w:pPr>
        <w:pStyle w:val="AAMNormal"/>
        <w:numPr>
          <w:ilvl w:val="0"/>
          <w:numId w:val="19"/>
        </w:numPr>
      </w:pPr>
      <w:r w:rsidRPr="00E03E1D">
        <w:rPr>
          <w:b/>
          <w:bCs/>
        </w:rPr>
        <w:t>A vízminőség javítása szempontjából a tengely eddigi intézkedései nem relevánsak</w:t>
      </w:r>
      <w:r w:rsidRPr="00E03E1D">
        <w:t xml:space="preserve">. Itt is a </w:t>
      </w:r>
      <w:proofErr w:type="spellStart"/>
      <w:r w:rsidRPr="00E03E1D">
        <w:t>HACS-ok</w:t>
      </w:r>
      <w:proofErr w:type="spellEnd"/>
      <w:r w:rsidRPr="00E03E1D">
        <w:t xml:space="preserve"> vidékfejlesztő, képző, információnyújtó szerepét lehetne kihasználni, de erre még a </w:t>
      </w:r>
      <w:proofErr w:type="spellStart"/>
      <w:r w:rsidRPr="00E03E1D">
        <w:t>HACS-ok</w:t>
      </w:r>
      <w:proofErr w:type="spellEnd"/>
      <w:r w:rsidRPr="00E03E1D">
        <w:t xml:space="preserve"> nem állnak készen és ilyen irányú fejlesztésük eddig nem volt cél.</w:t>
      </w:r>
    </w:p>
    <w:p w:rsidR="00B7428A" w:rsidRPr="00E03E1D" w:rsidRDefault="00B7428A" w:rsidP="00D5521F">
      <w:pPr>
        <w:pStyle w:val="AAMNormal"/>
        <w:numPr>
          <w:ilvl w:val="0"/>
          <w:numId w:val="19"/>
        </w:numPr>
      </w:pPr>
      <w:r w:rsidRPr="00E03E1D">
        <w:rPr>
          <w:b/>
          <w:bCs/>
        </w:rPr>
        <w:t xml:space="preserve">Az éghajlatváltozás elleni küzdelem szempontjából kifejezetten markáns hatása lehetne a </w:t>
      </w:r>
      <w:proofErr w:type="spellStart"/>
      <w:r w:rsidRPr="00E03E1D">
        <w:rPr>
          <w:b/>
          <w:bCs/>
        </w:rPr>
        <w:t>HACS-oknak</w:t>
      </w:r>
      <w:proofErr w:type="spellEnd"/>
      <w:r w:rsidRPr="00E03E1D">
        <w:rPr>
          <w:b/>
          <w:bCs/>
        </w:rPr>
        <w:t xml:space="preserve"> a helyi közösségekben,</w:t>
      </w:r>
      <w:r w:rsidRPr="00E03E1D">
        <w:t xml:space="preserve"> főleg a lokális gazdaság és az adaptáció kapcsán az ismeretterjes</w:t>
      </w:r>
      <w:r w:rsidRPr="00E03E1D">
        <w:t>z</w:t>
      </w:r>
      <w:r w:rsidRPr="00E03E1D">
        <w:t>tésben. Jelenleg ismeretek, információk hiányában ez legfeljebb esetlegesen történik meg.</w:t>
      </w:r>
    </w:p>
    <w:p w:rsidR="00B7428A" w:rsidRPr="00E03E1D" w:rsidRDefault="00B7428A" w:rsidP="00B7428A">
      <w:pPr>
        <w:jc w:val="both"/>
      </w:pPr>
      <w:r w:rsidRPr="00E03E1D">
        <w:rPr>
          <w:b/>
          <w:bCs/>
        </w:rPr>
        <w:t xml:space="preserve">A helyi akciócsoportok mozgósításban betöltött szerepe a III. tengely </w:t>
      </w:r>
      <w:proofErr w:type="spellStart"/>
      <w:r w:rsidRPr="00E03E1D">
        <w:rPr>
          <w:b/>
          <w:bCs/>
        </w:rPr>
        <w:t>HACS-ok</w:t>
      </w:r>
      <w:proofErr w:type="spellEnd"/>
      <w:r w:rsidRPr="00E03E1D">
        <w:rPr>
          <w:b/>
          <w:bCs/>
        </w:rPr>
        <w:t xml:space="preserve"> közreműködésével megvalós</w:t>
      </w:r>
      <w:r w:rsidRPr="00E03E1D">
        <w:rPr>
          <w:b/>
          <w:bCs/>
        </w:rPr>
        <w:t>u</w:t>
      </w:r>
      <w:r w:rsidRPr="00E03E1D">
        <w:rPr>
          <w:b/>
          <w:bCs/>
        </w:rPr>
        <w:t>ló fejlesztései esetén is nagyon jelentős volt.</w:t>
      </w:r>
      <w:r w:rsidRPr="00E03E1D">
        <w:t xml:space="preserve"> A kedvezményezettek többsége az akciócsoportoktól szerzett tudomást a fejlesztési lehetőségekről, illetve fontosnak és jó színvonalúnak ítélte a </w:t>
      </w:r>
      <w:proofErr w:type="spellStart"/>
      <w:r w:rsidRPr="00E03E1D">
        <w:t>HACS-ok</w:t>
      </w:r>
      <w:proofErr w:type="spellEnd"/>
      <w:r w:rsidRPr="00E03E1D">
        <w:t xml:space="preserve"> segítségét a kérelmek elkészítésében és a megvalósításban egyaránt. Ennek főként a vállalkozók mozgósításában van meghatározó szerepe. </w:t>
      </w:r>
    </w:p>
    <w:p w:rsidR="00B7428A" w:rsidRDefault="00B7428A" w:rsidP="00B7428A">
      <w:pPr>
        <w:pStyle w:val="HUNHeading2"/>
        <w:tabs>
          <w:tab w:val="clear" w:pos="567"/>
        </w:tabs>
        <w:ind w:left="709" w:hanging="709"/>
      </w:pPr>
      <w:bookmarkStart w:id="25" w:name="_Toc278535736"/>
      <w:bookmarkStart w:id="26" w:name="_Toc280020564"/>
      <w:bookmarkStart w:id="27" w:name="_Toc280788353"/>
      <w:r>
        <w:lastRenderedPageBreak/>
        <w:t>A</w:t>
      </w:r>
      <w:r w:rsidRPr="00E03E1D">
        <w:t xml:space="preserve"> IV. tengely értékelése</w:t>
      </w:r>
      <w:bookmarkEnd w:id="25"/>
      <w:bookmarkEnd w:id="26"/>
      <w:bookmarkEnd w:id="27"/>
    </w:p>
    <w:p w:rsidR="00B7428A" w:rsidRPr="00E03E1D" w:rsidRDefault="00B7428A" w:rsidP="00B7428A">
      <w:pPr>
        <w:pStyle w:val="AAMNormal"/>
      </w:pPr>
      <w:r w:rsidRPr="00E03E1D">
        <w:rPr>
          <w:b/>
          <w:bCs/>
        </w:rPr>
        <w:t>A IV., LEADER tengely legfőbb célja az ÚMVST szerint a térségi szintű vidékfejlesztési koncepciók kialakít</w:t>
      </w:r>
      <w:r w:rsidRPr="00E03E1D">
        <w:rPr>
          <w:b/>
          <w:bCs/>
        </w:rPr>
        <w:t>á</w:t>
      </w:r>
      <w:r w:rsidRPr="00E03E1D">
        <w:rPr>
          <w:b/>
          <w:bCs/>
        </w:rPr>
        <w:t xml:space="preserve">sának, illetve azok helyi fejlesztési stratégiába való beillesztésének és megvalósításának ösztönzése. </w:t>
      </w:r>
      <w:r w:rsidRPr="00E03E1D">
        <w:t>Ezáltal a tengely támogatása elősegíti az összes intézkedéscsoport intézkedéseinek összevonását és területi koh</w:t>
      </w:r>
      <w:r w:rsidRPr="00E03E1D">
        <w:t>e</w:t>
      </w:r>
      <w:r w:rsidRPr="00E03E1D">
        <w:t xml:space="preserve">renciáját, és ösztönzi a helyi vidékfejlesztési stratégiák kialakításához és megvalósításához szükséges helyi humán kapacitás fejlesztését. </w:t>
      </w:r>
    </w:p>
    <w:p w:rsidR="00B7428A" w:rsidRPr="00E03E1D" w:rsidRDefault="00B7428A" w:rsidP="00B7428A">
      <w:pPr>
        <w:pStyle w:val="AAMNormal"/>
      </w:pPr>
      <w:r w:rsidRPr="00E03E1D">
        <w:t xml:space="preserve">A LEADER tengely megvalósítása a 96 db kiválasztott helyi akciócsoport közreműködésével történik. </w:t>
      </w:r>
      <w:r w:rsidRPr="00E03E1D">
        <w:rPr>
          <w:b/>
          <w:bCs/>
        </w:rPr>
        <w:t xml:space="preserve">A IV. tengelyes fejlesztésekre beérkező pályázatok teljes körű feldolgozását </w:t>
      </w:r>
      <w:r>
        <w:rPr>
          <w:b/>
          <w:bCs/>
        </w:rPr>
        <w:t xml:space="preserve">– az összeférhetetlenség alapján a kifizető ügynökség által bírált pályázatokon kívül - </w:t>
      </w:r>
      <w:r w:rsidRPr="00E03E1D">
        <w:rPr>
          <w:b/>
          <w:bCs/>
        </w:rPr>
        <w:t>a delegált feladatok keretén belül az akciócsoportok vé</w:t>
      </w:r>
      <w:r w:rsidRPr="00E03E1D">
        <w:rPr>
          <w:b/>
          <w:bCs/>
        </w:rPr>
        <w:t>g</w:t>
      </w:r>
      <w:r w:rsidRPr="00E03E1D">
        <w:rPr>
          <w:b/>
          <w:bCs/>
        </w:rPr>
        <w:t>zik.</w:t>
      </w:r>
    </w:p>
    <w:p w:rsidR="00B7428A" w:rsidRPr="00E03E1D" w:rsidRDefault="00B7428A" w:rsidP="00B7428A">
      <w:pPr>
        <w:pStyle w:val="AAMNormal"/>
      </w:pPr>
      <w:r w:rsidRPr="00E03E1D">
        <w:t xml:space="preserve">A potenciális helyi akciócsoportok regisztrációja 2007 </w:t>
      </w:r>
      <w:r>
        <w:t>szeptemberében</w:t>
      </w:r>
      <w:r w:rsidRPr="00E03E1D">
        <w:t xml:space="preserve"> kezdődött. 2008 augusztusára az előzetesen elismert akciócsoportok </w:t>
      </w:r>
      <w:r>
        <w:t xml:space="preserve">nagy többsége </w:t>
      </w:r>
      <w:r w:rsidRPr="00E03E1D">
        <w:t>jogi személyiséggel rendelkező szervezetekké alakultak. A helyi közösségek nyilvántartásba vétele két szakaszból állt. Az első szakasz az alakuló ülés volt, ahol a jelenlévők (legalább 20 fő) az illetékes helyi vidékfejlesztési irodánál kezdeményezték a nyilvántartásba v</w:t>
      </w:r>
      <w:r w:rsidRPr="00E03E1D">
        <w:t>é</w:t>
      </w:r>
      <w:r w:rsidRPr="00E03E1D">
        <w:t>teli eljárást. Ezt követte a második szakasz, ahol a tagok egyszerű többsége dönthetett új tagok felvételéről.</w:t>
      </w:r>
    </w:p>
    <w:p w:rsidR="00B7428A" w:rsidRPr="00E03E1D" w:rsidRDefault="00B7428A" w:rsidP="00B7428A">
      <w:pPr>
        <w:pStyle w:val="HUNNormal"/>
      </w:pPr>
      <w:r w:rsidRPr="00E03E1D">
        <w:t>A kérdőívek alapján az akciócsoportok partnerszervezeteinek száma 17-től 278-ig változik. A döntéshozó testületek taglétszáma 5-53 főig terjed.</w:t>
      </w:r>
    </w:p>
    <w:p w:rsidR="00B7428A" w:rsidRDefault="00B7428A" w:rsidP="00B7428A">
      <w:pPr>
        <w:pStyle w:val="HUNNormal"/>
      </w:pPr>
      <w:r w:rsidRPr="00E03E1D">
        <w:rPr>
          <w:b/>
          <w:bCs/>
        </w:rPr>
        <w:t>Az akciócsoportok partnerségeinek taglétszámában csökkenés, illetve a tagok cserélődése tapasztalható.</w:t>
      </w:r>
      <w:r w:rsidRPr="00E03E1D">
        <w:t xml:space="preserve"> Ennek oka egyrészt az, hogy a kezdeti nem megfelelő kommunikáció miatt a csatlakozók nem voltak tiszt</w:t>
      </w:r>
      <w:r w:rsidRPr="00E03E1D">
        <w:t>á</w:t>
      </w:r>
      <w:r w:rsidRPr="00E03E1D">
        <w:t>ban a LEADER céljával, szemléletével, a helyi akciócsoportnak a térség fejlesztésében betöltendő szerep</w:t>
      </w:r>
      <w:r w:rsidRPr="00E03E1D">
        <w:t>é</w:t>
      </w:r>
      <w:r w:rsidRPr="00E03E1D">
        <w:t>vel, az akciócsoport várható feladataival és döntési mechanizmusaival. Elterjedt, hogy csakis azok juthatnak forrásokhoz, akik az akciócsoport tagjaivá válnak. Sokan csakis a saját szervezetük számára történő forrá</w:t>
      </w:r>
      <w:r w:rsidRPr="00E03E1D">
        <w:t>s</w:t>
      </w:r>
      <w:r w:rsidRPr="00E03E1D">
        <w:t xml:space="preserve">szerzés vagy a források feletti diszponálás céljából csatlakoztak a partnerséghez. A működés során ezek a tagok sok esetben </w:t>
      </w:r>
      <w:proofErr w:type="spellStart"/>
      <w:r w:rsidRPr="00E03E1D">
        <w:t>passzivizálódtak</w:t>
      </w:r>
      <w:proofErr w:type="spellEnd"/>
      <w:r w:rsidRPr="00E03E1D">
        <w:t>, kiléptek a partnerségekből.</w:t>
      </w:r>
    </w:p>
    <w:p w:rsidR="00B7428A" w:rsidRPr="00E03E1D" w:rsidRDefault="00B7428A" w:rsidP="00B7428A">
      <w:pPr>
        <w:pStyle w:val="HUNNormal"/>
      </w:pPr>
      <w:r>
        <w:t>A taglétszám csökkenésének másik jelentős oka a megvalósítás nehézkessége és korlátai miatt bekövetk</w:t>
      </w:r>
      <w:r>
        <w:t>e</w:t>
      </w:r>
      <w:r>
        <w:t>zett csalódottság, bizalomvesztés. A HACS tagoknak érthető módon nehézséget jelent szembenézni a ho</w:t>
      </w:r>
      <w:r>
        <w:t>s</w:t>
      </w:r>
      <w:r>
        <w:t xml:space="preserve">szú kérelemkezelés következtében nehéz helyzetbe került helybéli vállalkozókkal, civil szervezetekkel. Ugyanezen okok miatt nehézséget jelent a további projektek generálása, a szereplők mozgósítása. </w:t>
      </w:r>
    </w:p>
    <w:p w:rsidR="00B7428A" w:rsidRPr="00E03E1D" w:rsidRDefault="00B7428A" w:rsidP="00B7428A">
      <w:pPr>
        <w:pStyle w:val="HUNNormal"/>
      </w:pPr>
      <w:r w:rsidRPr="00E03E1D">
        <w:t>A HACS partnerségek gyakran a működőképesség határát súroló taglétszáma az akciócsoportok létrehoz</w:t>
      </w:r>
      <w:r w:rsidRPr="00E03E1D">
        <w:t>á</w:t>
      </w:r>
      <w:r w:rsidRPr="00E03E1D">
        <w:t>sának szabályaiból is következett, miszerint az egyes települések legalább az önkormányzat, vagy lakossá</w:t>
      </w:r>
      <w:r w:rsidRPr="00E03E1D">
        <w:t>g</w:t>
      </w:r>
      <w:r w:rsidRPr="00E03E1D">
        <w:t>szám alapján kettő, vagy három civil szervezet illetve vállalkozó képviseletével válhatnak taggá. Emellett a partnerségben is biztosítani kellett a közszféra, valamint a civil és vállalkozói szféra 40-60%-os arányát.</w:t>
      </w:r>
    </w:p>
    <w:p w:rsidR="00B7428A" w:rsidRPr="00E03E1D" w:rsidRDefault="00B7428A" w:rsidP="00B7428A">
      <w:pPr>
        <w:pStyle w:val="HUNNormal"/>
      </w:pPr>
      <w:proofErr w:type="gramStart"/>
      <w:r w:rsidRPr="00E03E1D">
        <w:rPr>
          <w:b/>
          <w:bCs/>
        </w:rPr>
        <w:t>A kérdőíves válaszadók 58%-a szerint a HACS tagságának 20%-ára jellemző, hogy aktívan részt vesz a mu</w:t>
      </w:r>
      <w:r w:rsidRPr="00E03E1D">
        <w:rPr>
          <w:b/>
          <w:bCs/>
        </w:rPr>
        <w:t>n</w:t>
      </w:r>
      <w:r w:rsidRPr="00E03E1D">
        <w:rPr>
          <w:b/>
          <w:bCs/>
        </w:rPr>
        <w:t>kában</w:t>
      </w:r>
      <w:r w:rsidRPr="00E03E1D">
        <w:t xml:space="preserve">, eljár az ülésekre, befelé és kifelé népszerűsíti a HACS munkáját és a </w:t>
      </w:r>
      <w:proofErr w:type="spellStart"/>
      <w:r w:rsidRPr="00E03E1D">
        <w:t>LEADER-t</w:t>
      </w:r>
      <w:proofErr w:type="spellEnd"/>
      <w:r w:rsidRPr="00E03E1D">
        <w:t>, pályázik, másokat is erre biztat, erősíti a térség kohézióját, az együttműködést, hálózatosodást, „oszlopos tag” stb. A válaszadók 70%-a szerint a HACS tagság 20%-ával a taggá válás óta nincs kapcsolat.</w:t>
      </w:r>
      <w:proofErr w:type="gramEnd"/>
      <w:r w:rsidRPr="00E03E1D">
        <w:t xml:space="preserve"> </w:t>
      </w:r>
      <w:r w:rsidRPr="00E03E1D">
        <w:rPr>
          <w:b/>
          <w:bCs/>
        </w:rPr>
        <w:t>Becslések szerint a 89 válaszadó akciócsoportban 4890 fő vesz részt aktívan a munkában.</w:t>
      </w:r>
      <w:r w:rsidRPr="00E03E1D">
        <w:t xml:space="preserve"> (beleértve a munkacsoporton és az aktív tagságon kívül azokat is, akik nem tagok, de tevékenységükkel szorosan kapcsolódnak az akciócsoport fejlesztő tev</w:t>
      </w:r>
      <w:r w:rsidRPr="00E03E1D">
        <w:t>é</w:t>
      </w:r>
      <w:r w:rsidRPr="00E03E1D">
        <w:t>kenységéhez). Ez csoportonként átlagosan 58 embert jelent, jelentős szórással (12-700) amely a kérdés különböző értelmezéséből adódhat.</w:t>
      </w:r>
    </w:p>
    <w:p w:rsidR="00B7428A" w:rsidRPr="00E03E1D" w:rsidRDefault="00B7428A" w:rsidP="00B7428A">
      <w:pPr>
        <w:pStyle w:val="HUNNormal"/>
      </w:pPr>
      <w:r w:rsidRPr="00E03E1D">
        <w:rPr>
          <w:b/>
          <w:bCs/>
        </w:rPr>
        <w:t>Arra a kérdésre, hogy a tagokon kívül részt vesznek-e más térségi szereplők a HACS munkájában, a válas</w:t>
      </w:r>
      <w:r w:rsidRPr="00E03E1D">
        <w:rPr>
          <w:b/>
          <w:bCs/>
        </w:rPr>
        <w:t>z</w:t>
      </w:r>
      <w:r w:rsidRPr="00E03E1D">
        <w:rPr>
          <w:b/>
          <w:bCs/>
        </w:rPr>
        <w:t>adók 67%-a válaszolt igennel.</w:t>
      </w:r>
      <w:r w:rsidRPr="00E03E1D">
        <w:t xml:space="preserve"> A legkülönbözőbb szereplőket sorolták fel a kérdőívben példaként. A leggya</w:t>
      </w:r>
      <w:r w:rsidRPr="00E03E1D">
        <w:t>k</w:t>
      </w:r>
      <w:r w:rsidRPr="00E03E1D">
        <w:lastRenderedPageBreak/>
        <w:t>rabban az NFÜ kistérségi koordinátorai, kistérségi társulások munkatársai, nem tag civilek, magánszem</w:t>
      </w:r>
      <w:r w:rsidRPr="00E03E1D">
        <w:t>é</w:t>
      </w:r>
      <w:r w:rsidRPr="00E03E1D">
        <w:t>lyek, vállalkozók, a pályázatokkal foglalkozó önkormányzati munkatársak, pályázatírók, falugazdászok, fiatal gazdák, tanácsadók stb. szerepelnek a megemlítettek között.</w:t>
      </w:r>
    </w:p>
    <w:p w:rsidR="00B7428A" w:rsidRPr="00E03E1D" w:rsidRDefault="00B7428A" w:rsidP="00B7428A">
      <w:pPr>
        <w:pStyle w:val="HUNNormal"/>
        <w:rPr>
          <w:b/>
          <w:bCs/>
        </w:rPr>
      </w:pPr>
      <w:r w:rsidRPr="00E03E1D">
        <w:t xml:space="preserve">A kérdőív alapján </w:t>
      </w:r>
      <w:r w:rsidRPr="00E03E1D">
        <w:rPr>
          <w:b/>
          <w:bCs/>
        </w:rPr>
        <w:t>a partnerségek összetételben az alábbi arányok alakultak ki: az önkormányzatok és az egyéb közszférát képviselők átlagosan 33%-át teszik ki a HACS partnerségeket alkotó szervezeteknek</w:t>
      </w:r>
      <w:r w:rsidRPr="00E03E1D">
        <w:t>. Ez az arány a valóságban valószínűsíthetően magasabb, hiszen sok polgármester vállalkozóként, vagy civil szerv</w:t>
      </w:r>
      <w:r w:rsidRPr="00E03E1D">
        <w:t>e</w:t>
      </w:r>
      <w:r w:rsidRPr="00E03E1D">
        <w:t xml:space="preserve">zet képviselőjeként tagja a </w:t>
      </w:r>
      <w:proofErr w:type="gramStart"/>
      <w:r w:rsidRPr="00E03E1D">
        <w:t>partnerségnek</w:t>
      </w:r>
      <w:proofErr w:type="gramEnd"/>
      <w:r w:rsidRPr="00E03E1D">
        <w:t xml:space="preserve"> annak érdekében, hogy a jogszabályban előírt köz–, civil-, és m</w:t>
      </w:r>
      <w:r w:rsidRPr="00E03E1D">
        <w:t>a</w:t>
      </w:r>
      <w:r w:rsidRPr="00E03E1D">
        <w:t>gánszféra aránya teljesülhessen.</w:t>
      </w:r>
      <w:r w:rsidRPr="00E03E1D">
        <w:rPr>
          <w:b/>
          <w:bCs/>
        </w:rPr>
        <w:t xml:space="preserve"> A vállalkozók és a civilek aránya 35% illetve32%, magánszemélyek 1%-ban vesznek részt a partnerségekben. A gazdálkodók és a hátrányos helyzetű csoportok képviselete 3%-os.</w:t>
      </w:r>
    </w:p>
    <w:p w:rsidR="00B7428A" w:rsidRPr="00E03E1D" w:rsidRDefault="00B7428A" w:rsidP="00B7428A">
      <w:pPr>
        <w:pStyle w:val="HUNNormal"/>
      </w:pPr>
      <w:r w:rsidRPr="00E03E1D">
        <w:t xml:space="preserve">A </w:t>
      </w:r>
      <w:proofErr w:type="spellStart"/>
      <w:r w:rsidRPr="00E03E1D">
        <w:t>HACS-ok</w:t>
      </w:r>
      <w:proofErr w:type="spellEnd"/>
      <w:r w:rsidRPr="00E03E1D">
        <w:t xml:space="preserve"> döntéshozó testületeiben a kérdőíves válaszok alapján a köz-, magán- és civilszféra, valamint a magánszemélyek aránya nagyjából megfelel a partnerségben feltárt arányokkal (rendre 32%, 30%, 31%, 8%). A nők részvétele a döntéshozó testületben 15%-os. Nincsenek jelen a 25 év alattiak (0%) és nagyon alacsony arányt képviselnek a hátrányos helyzetű csoportok (2%).</w:t>
      </w:r>
    </w:p>
    <w:p w:rsidR="00B7428A" w:rsidRPr="00E03E1D" w:rsidRDefault="00B7428A" w:rsidP="00B7428A">
      <w:pPr>
        <w:pStyle w:val="HUNNormal"/>
      </w:pPr>
      <w:r w:rsidRPr="00E03E1D">
        <w:t xml:space="preserve">A </w:t>
      </w:r>
      <w:proofErr w:type="spellStart"/>
      <w:r w:rsidRPr="00E03E1D">
        <w:t>HACS-ok</w:t>
      </w:r>
      <w:proofErr w:type="spellEnd"/>
      <w:r w:rsidRPr="00E03E1D">
        <w:t xml:space="preserve"> által megfogalmazott helyi vidékfejlesztési stratégiák megvalósításának jogszabályi hátterét a </w:t>
      </w:r>
      <w:bookmarkStart w:id="28" w:name="pr1"/>
      <w:r w:rsidRPr="00E03E1D">
        <w:t>122/2009. (IX. 17.) FVM rendelet</w:t>
      </w:r>
      <w:bookmarkEnd w:id="28"/>
      <w:r w:rsidRPr="00E03E1D">
        <w:t xml:space="preserve"> adja, amely </w:t>
      </w:r>
      <w:bookmarkStart w:id="29" w:name="pr5"/>
      <w:r w:rsidRPr="00E03E1D">
        <w:t xml:space="preserve">a stratégiákban megtervezett fejlesztési területek általános támogatási feltételeit határozza meg. </w:t>
      </w:r>
      <w:r>
        <w:t>A jogszabályi kereteken belül meghatározott fejlesztési területek rés</w:t>
      </w:r>
      <w:r>
        <w:t>z</w:t>
      </w:r>
      <w:r>
        <w:t xml:space="preserve">letes szabályozását az országosan meghirdetett Pályázati útmutató ismerteti. Az egyes </w:t>
      </w:r>
      <w:proofErr w:type="spellStart"/>
      <w:r>
        <w:t>HACS-ok</w:t>
      </w:r>
      <w:proofErr w:type="spellEnd"/>
      <w:r>
        <w:t xml:space="preserve"> területén meghirdetett célterületek</w:t>
      </w:r>
      <w:r w:rsidRPr="00E03E1D">
        <w:t xml:space="preserve"> támogatási feltétele</w:t>
      </w:r>
      <w:r>
        <w:t>ine</w:t>
      </w:r>
      <w:r w:rsidRPr="00E03E1D">
        <w:t xml:space="preserve">k részleteit </w:t>
      </w:r>
      <w:r>
        <w:t xml:space="preserve">a </w:t>
      </w:r>
      <w:proofErr w:type="spellStart"/>
      <w:r>
        <w:t>HACS-ok</w:t>
      </w:r>
      <w:proofErr w:type="spellEnd"/>
      <w:r>
        <w:t xml:space="preserve"> által </w:t>
      </w:r>
      <w:r w:rsidRPr="00E03E1D">
        <w:t>a helyi vidékfejlesztési stratég</w:t>
      </w:r>
      <w:r w:rsidRPr="00E03E1D">
        <w:t>i</w:t>
      </w:r>
      <w:r w:rsidRPr="00E03E1D">
        <w:t xml:space="preserve">ákhoz kidolgozott Helyzet – Probléma – Megoldás – Eredmény (HPME) katalógusok </w:t>
      </w:r>
      <w:bookmarkEnd w:id="29"/>
      <w:r w:rsidRPr="00E03E1D">
        <w:t xml:space="preserve">keretében definiálták. </w:t>
      </w:r>
    </w:p>
    <w:p w:rsidR="00B7428A" w:rsidRPr="00E03E1D" w:rsidRDefault="00B7428A" w:rsidP="00B7428A">
      <w:pPr>
        <w:pStyle w:val="HUNNormal"/>
      </w:pPr>
      <w:r w:rsidRPr="00E03E1D">
        <w:rPr>
          <w:b/>
          <w:bCs/>
        </w:rPr>
        <w:t>Alapvető különbséget jelent, hogy a IV. tengely vonatkozásában lehetőség nyílt pályázati felhívások közzét</w:t>
      </w:r>
      <w:r w:rsidRPr="00E03E1D">
        <w:rPr>
          <w:b/>
          <w:bCs/>
        </w:rPr>
        <w:t>é</w:t>
      </w:r>
      <w:r w:rsidRPr="00E03E1D">
        <w:rPr>
          <w:b/>
          <w:bCs/>
        </w:rPr>
        <w:t>telére és kérelmek helyett pályázatok benyújtására.</w:t>
      </w:r>
      <w:r w:rsidRPr="00E03E1D">
        <w:t xml:space="preserve"> Ennek egyik oka az volt, hogy terjedelmi okok miatt a jelentős számú HPME célterületet nem lehetett jogszabályban rögzíteni</w:t>
      </w:r>
      <w:proofErr w:type="gramStart"/>
      <w:r w:rsidRPr="00E03E1D">
        <w:t>,.</w:t>
      </w:r>
      <w:proofErr w:type="gramEnd"/>
      <w:r w:rsidRPr="00E03E1D">
        <w:t xml:space="preserve"> Teljes körű jogszabály hiányában viszont célszerűbb volt a pályázati forma kereteit alkalmazni, melynek konkrét elemei kizárólag webes felül</w:t>
      </w:r>
      <w:r w:rsidRPr="00E03E1D">
        <w:t>e</w:t>
      </w:r>
      <w:r w:rsidRPr="00E03E1D">
        <w:t>ten voltak elérhetők, megismerhetők. A pályázati keretek a jogszabályokhoz képest elvileg nagyobb ruga</w:t>
      </w:r>
      <w:r w:rsidRPr="00E03E1D">
        <w:t>l</w:t>
      </w:r>
      <w:r w:rsidRPr="00E03E1D">
        <w:t xml:space="preserve">masságot is hordozhatnak magukban. </w:t>
      </w:r>
    </w:p>
    <w:p w:rsidR="00B7428A" w:rsidRPr="00E03E1D" w:rsidRDefault="00B7428A" w:rsidP="00B7428A">
      <w:pPr>
        <w:pStyle w:val="HUNNormal"/>
      </w:pPr>
      <w:r w:rsidRPr="00E03E1D">
        <w:t>A IV. tengely esetén az akciócsoportok szabadon határozhatták meg a támogatandó célokat, tevékenység</w:t>
      </w:r>
      <w:r w:rsidRPr="00E03E1D">
        <w:t>e</w:t>
      </w:r>
      <w:r w:rsidRPr="00E03E1D">
        <w:t>ket, az értékelési szempontokat, a támogatások minimum és maximum értékhatárait és a támogatás inte</w:t>
      </w:r>
      <w:r w:rsidRPr="00E03E1D">
        <w:t>n</w:t>
      </w:r>
      <w:r w:rsidRPr="00E03E1D">
        <w:t>zitását. Ez jelentős szabadságot adott a helyi szempontok érvényesítéséhez. Az eddigi egyetlen LEADER p</w:t>
      </w:r>
      <w:r w:rsidRPr="00E03E1D">
        <w:t>á</w:t>
      </w:r>
      <w:r w:rsidRPr="00E03E1D">
        <w:t>lyázati körben azonban a kiválasztási kritériumok megfelelő, körültekintő meghatározására nem volt elege</w:t>
      </w:r>
      <w:r w:rsidRPr="00E03E1D">
        <w:t>n</w:t>
      </w:r>
      <w:r w:rsidRPr="00E03E1D">
        <w:t>dő idő, tapasztalat.</w:t>
      </w:r>
    </w:p>
    <w:p w:rsidR="00B7428A" w:rsidRPr="00E03E1D" w:rsidRDefault="00B7428A" w:rsidP="00B7428A">
      <w:pPr>
        <w:jc w:val="both"/>
      </w:pPr>
      <w:r w:rsidRPr="00E03E1D">
        <w:t>A LEADER helyi akciócsoportoknak nem volt joga a megvalósítás eljárásrendjének megválasztásához. Ugyanazt a központilag meghatározott normatív kontrollt kellett alkalmazniuk a delegált feladatok ellátás</w:t>
      </w:r>
      <w:r w:rsidRPr="00E03E1D">
        <w:t>á</w:t>
      </w:r>
      <w:r w:rsidRPr="00E03E1D">
        <w:t>ra, amely a többi tengelyre kötelezően alkalmazandó. Ennek következménye, hogy bár a IV. tengely megv</w:t>
      </w:r>
      <w:r w:rsidRPr="00E03E1D">
        <w:t>a</w:t>
      </w:r>
      <w:r w:rsidRPr="00E03E1D">
        <w:t>lósításánál a helyi akciócsoportok döntéshozatali jogosítványa a pályázatok értékelését tekintve jóval szél</w:t>
      </w:r>
      <w:r w:rsidRPr="00E03E1D">
        <w:t>e</w:t>
      </w:r>
      <w:r w:rsidRPr="00E03E1D">
        <w:t>sebb, mint a III. tengely intézkedéseinek esetében, hiszen az értékelési kritériumokat a helyi akciócsoport vezetése határozza meg és az IH hagyja jóvá, amennyiben bármely pályázat megfelel az általánosan megf</w:t>
      </w:r>
      <w:r w:rsidRPr="00E03E1D">
        <w:t>o</w:t>
      </w:r>
      <w:r w:rsidRPr="00E03E1D">
        <w:t xml:space="preserve">galmazott támogatási feltételeknek, a helyi akciócsoport nem jogosult azt elutasítani. Ebben az esetben csak akkor nem részesülhet támogatásban bármely kérelem vagy pályázat, ha nem éri el azt a minimális pontszámot, amit a HACS meghatározott. Ugyanígy fordítva, ha valamely kérelem vagy pályázat bizonyos eleme nem teljes egészében elégíti ki a normatív feltételeket, az abban az esetben sem támogatható, ha az a helyi közösség, vagy a térség egészének fejlődését segítené elő. </w:t>
      </w:r>
      <w:r w:rsidRPr="00E03E1D">
        <w:rPr>
          <w:b/>
          <w:bCs/>
        </w:rPr>
        <w:t xml:space="preserve">Hiányzik tehát az </w:t>
      </w:r>
      <w:proofErr w:type="spellStart"/>
      <w:r w:rsidRPr="00E03E1D">
        <w:rPr>
          <w:b/>
          <w:bCs/>
        </w:rPr>
        <w:t>az</w:t>
      </w:r>
      <w:proofErr w:type="spellEnd"/>
      <w:r w:rsidRPr="00E03E1D">
        <w:rPr>
          <w:b/>
          <w:bCs/>
        </w:rPr>
        <w:t xml:space="preserve"> elem a döntéshoz</w:t>
      </w:r>
      <w:r w:rsidRPr="00E03E1D">
        <w:rPr>
          <w:b/>
          <w:bCs/>
        </w:rPr>
        <w:t>a</w:t>
      </w:r>
      <w:r w:rsidRPr="00E03E1D">
        <w:rPr>
          <w:b/>
          <w:bCs/>
        </w:rPr>
        <w:t>talban, amely ezekben a speciális esetekben megfelelően alátámasztott és átlátható módon a helyi partne</w:t>
      </w:r>
      <w:r w:rsidRPr="00E03E1D">
        <w:rPr>
          <w:b/>
          <w:bCs/>
        </w:rPr>
        <w:t>r</w:t>
      </w:r>
      <w:r w:rsidRPr="00E03E1D">
        <w:rPr>
          <w:b/>
          <w:bCs/>
        </w:rPr>
        <w:t>ség javaslatát érvényesíthetné</w:t>
      </w:r>
      <w:r w:rsidRPr="00E03E1D">
        <w:t>.</w:t>
      </w:r>
    </w:p>
    <w:p w:rsidR="00B7428A" w:rsidRPr="00E03E1D" w:rsidRDefault="00B7428A" w:rsidP="00B7428A">
      <w:pPr>
        <w:pStyle w:val="AAMNormal"/>
      </w:pPr>
      <w:r w:rsidRPr="00E03E1D">
        <w:lastRenderedPageBreak/>
        <w:t>A tengely megvalósítását három intézkedés finanszírozta.</w:t>
      </w:r>
    </w:p>
    <w:p w:rsidR="00B7428A" w:rsidRPr="00E03E1D" w:rsidRDefault="00B7428A" w:rsidP="00B7428A">
      <w:pPr>
        <w:pStyle w:val="AAMNormal"/>
      </w:pPr>
      <w:r w:rsidRPr="00E03E1D">
        <w:t xml:space="preserve">A </w:t>
      </w:r>
      <w:r w:rsidRPr="00E03E1D">
        <w:rPr>
          <w:b/>
          <w:bCs/>
        </w:rPr>
        <w:t xml:space="preserve">helyi vidékfejlesztési stratégiák intézkedés (411-413) </w:t>
      </w:r>
      <w:r w:rsidRPr="00E03E1D">
        <w:t xml:space="preserve">célja </w:t>
      </w:r>
      <w:r w:rsidRPr="00E03E1D">
        <w:rPr>
          <w:b/>
          <w:bCs/>
        </w:rPr>
        <w:t>az integrált szemléletű helyi vidékfejlesztési stratégiák megvalósításán és széleskörű partnerség működtetésén keresztül</w:t>
      </w:r>
      <w:r w:rsidRPr="00E03E1D">
        <w:t xml:space="preserve"> a belső erőforrások fenntarth</w:t>
      </w:r>
      <w:r w:rsidRPr="00E03E1D">
        <w:t>a</w:t>
      </w:r>
      <w:r w:rsidRPr="00E03E1D">
        <w:t>tó és innovatív hasznosításának, valamint a vidéki életminőség helyi megoldásokon alapuló javításának el</w:t>
      </w:r>
      <w:r w:rsidRPr="00E03E1D">
        <w:t>ő</w:t>
      </w:r>
      <w:r w:rsidRPr="00E03E1D">
        <w:t>segítése a Tanács 1698/2005/EK rendelet, 61. cikk a) - g) pontjában meghatározott valamennyi szempont érvényesítésével.</w:t>
      </w:r>
    </w:p>
    <w:p w:rsidR="00B7428A" w:rsidRPr="00E03E1D" w:rsidRDefault="00B7428A" w:rsidP="00B7428A">
      <w:pPr>
        <w:pStyle w:val="AAMNormal"/>
      </w:pPr>
      <w:r w:rsidRPr="00E03E1D">
        <w:t>Ezt a célt a következő akciók megvalósításával tervezte elérni:</w:t>
      </w:r>
    </w:p>
    <w:p w:rsidR="00B7428A" w:rsidRPr="00E03E1D" w:rsidRDefault="00B7428A" w:rsidP="00D5521F">
      <w:pPr>
        <w:pStyle w:val="AAMNormal"/>
        <w:numPr>
          <w:ilvl w:val="0"/>
          <w:numId w:val="24"/>
        </w:numPr>
      </w:pPr>
      <w:r w:rsidRPr="00E03E1D">
        <w:t>fenntartható és versenyképes újszerű helyi eljárások ösztönzése a mezőgazdaság, az erdőgazdá</w:t>
      </w:r>
      <w:r w:rsidRPr="00E03E1D">
        <w:t>l</w:t>
      </w:r>
      <w:r w:rsidRPr="00E03E1D">
        <w:t>kodás, az élelmiszeripar területén;</w:t>
      </w:r>
    </w:p>
    <w:p w:rsidR="00B7428A" w:rsidRPr="00E03E1D" w:rsidRDefault="00B7428A" w:rsidP="00D5521F">
      <w:pPr>
        <w:pStyle w:val="AAMNormal"/>
        <w:numPr>
          <w:ilvl w:val="0"/>
          <w:numId w:val="24"/>
        </w:numPr>
      </w:pPr>
      <w:r w:rsidRPr="00E03E1D">
        <w:t>a vidéki gazdasági potenciál megerősítése;</w:t>
      </w:r>
    </w:p>
    <w:p w:rsidR="00B7428A" w:rsidRPr="00E03E1D" w:rsidRDefault="00B7428A" w:rsidP="00D5521F">
      <w:pPr>
        <w:pStyle w:val="AAMNormal"/>
        <w:numPr>
          <w:ilvl w:val="0"/>
          <w:numId w:val="24"/>
        </w:numPr>
      </w:pPr>
      <w:r w:rsidRPr="00E03E1D">
        <w:t>a kulturális és természeti értékek fenntartható hasznosítása;</w:t>
      </w:r>
    </w:p>
    <w:p w:rsidR="00B7428A" w:rsidRPr="00E03E1D" w:rsidRDefault="00B7428A" w:rsidP="00D5521F">
      <w:pPr>
        <w:pStyle w:val="AAMNormal"/>
        <w:numPr>
          <w:ilvl w:val="0"/>
          <w:numId w:val="24"/>
        </w:numPr>
      </w:pPr>
      <w:r w:rsidRPr="00E03E1D">
        <w:t>a humán szolgáltatások és helyi közösségek fejlesztése.</w:t>
      </w:r>
    </w:p>
    <w:p w:rsidR="00B7428A" w:rsidRPr="00E03E1D" w:rsidRDefault="00B7428A" w:rsidP="00B7428A">
      <w:pPr>
        <w:pStyle w:val="AAMNormal"/>
      </w:pPr>
      <w:r w:rsidRPr="00E03E1D">
        <w:t xml:space="preserve">A támogatható tevékenységeket az akciócsoportok határozták meg a helyi vidékfejlesztési stratégiáik LEADER fejezetében. A részleteket ezen belül a HPME katalógus tartalmazza. A </w:t>
      </w:r>
      <w:proofErr w:type="spellStart"/>
      <w:r w:rsidRPr="00E03E1D">
        <w:t>HVS-ekben</w:t>
      </w:r>
      <w:proofErr w:type="spellEnd"/>
      <w:r w:rsidRPr="00E03E1D">
        <w:t xml:space="preserve"> megtervezett </w:t>
      </w:r>
      <w:proofErr w:type="spellStart"/>
      <w:r w:rsidRPr="00E03E1D">
        <w:t>HPME-k</w:t>
      </w:r>
      <w:proofErr w:type="spellEnd"/>
      <w:r w:rsidRPr="00E03E1D">
        <w:t xml:space="preserve"> alapján az azonos típusú fejlesztések összesítéséből alakultak ki a 122/2009. (IX. 17.) FVM rend</w:t>
      </w:r>
      <w:r w:rsidRPr="00E03E1D">
        <w:t>e</w:t>
      </w:r>
      <w:r w:rsidRPr="00E03E1D">
        <w:t xml:space="preserve">letben felsorolt alábbi jogcímek: </w:t>
      </w:r>
    </w:p>
    <w:p w:rsidR="00B7428A" w:rsidRPr="00E03E1D" w:rsidRDefault="00B7428A" w:rsidP="00D5521F">
      <w:pPr>
        <w:pStyle w:val="AAMNormal"/>
        <w:numPr>
          <w:ilvl w:val="0"/>
          <w:numId w:val="24"/>
        </w:numPr>
      </w:pPr>
      <w:r w:rsidRPr="00E03E1D">
        <w:t>LEADER közösségi célú fejlesztés;</w:t>
      </w:r>
    </w:p>
    <w:p w:rsidR="00B7428A" w:rsidRPr="00E03E1D" w:rsidRDefault="00B7428A" w:rsidP="00D5521F">
      <w:pPr>
        <w:pStyle w:val="AAMNormal"/>
        <w:numPr>
          <w:ilvl w:val="0"/>
          <w:numId w:val="24"/>
        </w:numPr>
      </w:pPr>
      <w:r w:rsidRPr="00E03E1D">
        <w:t>LEADER vállalkozási alapú fejlesztés;</w:t>
      </w:r>
    </w:p>
    <w:p w:rsidR="00B7428A" w:rsidRPr="00E03E1D" w:rsidRDefault="00B7428A" w:rsidP="00D5521F">
      <w:pPr>
        <w:pStyle w:val="AAMNormal"/>
        <w:numPr>
          <w:ilvl w:val="0"/>
          <w:numId w:val="24"/>
        </w:numPr>
      </w:pPr>
      <w:r w:rsidRPr="00E03E1D">
        <w:t>LEADER rendezvény;</w:t>
      </w:r>
    </w:p>
    <w:p w:rsidR="00B7428A" w:rsidRPr="00E03E1D" w:rsidRDefault="00B7428A" w:rsidP="00D5521F">
      <w:pPr>
        <w:pStyle w:val="AAMNormal"/>
        <w:numPr>
          <w:ilvl w:val="0"/>
          <w:numId w:val="24"/>
        </w:numPr>
      </w:pPr>
      <w:r w:rsidRPr="00E03E1D">
        <w:t>LEADER képzés;</w:t>
      </w:r>
    </w:p>
    <w:p w:rsidR="00B7428A" w:rsidRPr="00E03E1D" w:rsidRDefault="00B7428A" w:rsidP="00D5521F">
      <w:pPr>
        <w:pStyle w:val="AAMNormal"/>
        <w:numPr>
          <w:ilvl w:val="0"/>
          <w:numId w:val="24"/>
        </w:numPr>
      </w:pPr>
      <w:r w:rsidRPr="00E03E1D">
        <w:t>LEADER térségen belüli együttműködés;</w:t>
      </w:r>
    </w:p>
    <w:p w:rsidR="00B7428A" w:rsidRPr="00E03E1D" w:rsidRDefault="00B7428A" w:rsidP="00D5521F">
      <w:pPr>
        <w:pStyle w:val="AAMNormal"/>
        <w:numPr>
          <w:ilvl w:val="0"/>
          <w:numId w:val="24"/>
        </w:numPr>
      </w:pPr>
      <w:r w:rsidRPr="00E03E1D">
        <w:t>LEADER térségek közötti és nemzetközi együttműködés;</w:t>
      </w:r>
    </w:p>
    <w:p w:rsidR="00B7428A" w:rsidRPr="00E03E1D" w:rsidRDefault="00B7428A" w:rsidP="00D5521F">
      <w:pPr>
        <w:pStyle w:val="AAMNormal"/>
        <w:numPr>
          <w:ilvl w:val="0"/>
          <w:numId w:val="24"/>
        </w:numPr>
      </w:pPr>
      <w:r w:rsidRPr="00E03E1D">
        <w:t>LEADER tervek és tanulmányok.</w:t>
      </w:r>
    </w:p>
    <w:p w:rsidR="00B7428A" w:rsidRPr="00E03E1D" w:rsidRDefault="00B7428A" w:rsidP="00B7428A">
      <w:pPr>
        <w:pStyle w:val="AAMNormal"/>
      </w:pPr>
      <w:r w:rsidRPr="00E03E1D">
        <w:t xml:space="preserve">A meghirdetett </w:t>
      </w:r>
      <w:proofErr w:type="spellStart"/>
      <w:r w:rsidRPr="00E03E1D">
        <w:t>HPME-kre</w:t>
      </w:r>
      <w:proofErr w:type="spellEnd"/>
      <w:r w:rsidRPr="00E03E1D">
        <w:t xml:space="preserve"> az ország három </w:t>
      </w:r>
      <w:r>
        <w:t>legkevésbé fejlett</w:t>
      </w:r>
      <w:r w:rsidRPr="00E03E1D">
        <w:t xml:space="preserve"> régiójából</w:t>
      </w:r>
      <w:r>
        <w:t>, Észak-Alföldről, Észak-Magyarországról és a Dél-Dunántúlról)</w:t>
      </w:r>
      <w:r w:rsidRPr="00E03E1D">
        <w:t xml:space="preserve"> érkezett a legtöbb pályázat. A forrásigényeket tekintve a három régió mellé felzárkózott a </w:t>
      </w:r>
      <w:r>
        <w:t>K</w:t>
      </w:r>
      <w:r w:rsidRPr="00E03E1D">
        <w:t>özép-</w:t>
      </w:r>
      <w:r>
        <w:t>M</w:t>
      </w:r>
      <w:r w:rsidRPr="00E03E1D">
        <w:t xml:space="preserve">agyarországi </w:t>
      </w:r>
      <w:r>
        <w:t>R</w:t>
      </w:r>
      <w:r w:rsidRPr="00E03E1D">
        <w:t>égió. A jóváhagyott kérelmek számát, mivel az értékelés még zajlott a lekérdezés időpontjában, jelentősen befolyásolta az egyes akciócsoportok és regionális kirendelts</w:t>
      </w:r>
      <w:r w:rsidRPr="00E03E1D">
        <w:t>é</w:t>
      </w:r>
      <w:r w:rsidRPr="00E03E1D">
        <w:t>gek gyorsasága, így ez az adat a fejlesztések területi kiegyenlítő hatása vonatkozásában egyelőre nem é</w:t>
      </w:r>
      <w:r w:rsidRPr="00E03E1D">
        <w:t>r</w:t>
      </w:r>
      <w:r w:rsidRPr="00E03E1D">
        <w:t>telmezhető.</w:t>
      </w:r>
    </w:p>
    <w:p w:rsidR="00B7428A" w:rsidRPr="00E03E1D" w:rsidRDefault="00B7428A" w:rsidP="00B7428A">
      <w:pPr>
        <w:pStyle w:val="HUNNormal"/>
      </w:pPr>
      <w:r w:rsidRPr="00E03E1D">
        <w:t>A támogatott 434 db projekt 2010.06.30-ig 1 758 084 773 Ft-ot kötött le.</w:t>
      </w:r>
    </w:p>
    <w:p w:rsidR="00B7428A" w:rsidRPr="00E03E1D" w:rsidRDefault="00B7428A" w:rsidP="00B7428A">
      <w:pPr>
        <w:pStyle w:val="HUNNormal"/>
      </w:pPr>
      <w:r w:rsidRPr="009E631D">
        <w:rPr>
          <w:rFonts w:cs="Franklin Gothic Book"/>
        </w:rPr>
        <w:t xml:space="preserve">A 71 db értékelhető kérdőíves válasz alapján ezeknél az akciócsoportoknál az eredetileg tervezett </w:t>
      </w:r>
      <w:proofErr w:type="spellStart"/>
      <w:r w:rsidRPr="009E631D">
        <w:rPr>
          <w:rFonts w:cs="Franklin Gothic Book"/>
        </w:rPr>
        <w:t>HPME-k</w:t>
      </w:r>
      <w:proofErr w:type="spellEnd"/>
      <w:r w:rsidRPr="009E631D">
        <w:rPr>
          <w:rFonts w:cs="Franklin Gothic Book"/>
        </w:rPr>
        <w:t xml:space="preserve"> száma 3266 db. A csoportok a kitöltött kérdőívek alapján átlagosan 46 db </w:t>
      </w:r>
      <w:proofErr w:type="spellStart"/>
      <w:r w:rsidRPr="009E631D">
        <w:rPr>
          <w:rFonts w:cs="Franklin Gothic Book"/>
        </w:rPr>
        <w:t>HPME-t</w:t>
      </w:r>
      <w:proofErr w:type="spellEnd"/>
      <w:r w:rsidRPr="009E631D">
        <w:rPr>
          <w:rFonts w:cs="Franklin Gothic Book"/>
        </w:rPr>
        <w:t xml:space="preserve"> terveztek (amelynek sz</w:t>
      </w:r>
      <w:r w:rsidRPr="009E631D">
        <w:rPr>
          <w:rFonts w:cs="Franklin Gothic Book"/>
        </w:rPr>
        <w:t>ó</w:t>
      </w:r>
      <w:r w:rsidRPr="009E631D">
        <w:rPr>
          <w:rFonts w:cs="Franklin Gothic Book"/>
        </w:rPr>
        <w:t xml:space="preserve">rása igen jelentős, 7-184- </w:t>
      </w:r>
      <w:proofErr w:type="spellStart"/>
      <w:r w:rsidRPr="009E631D">
        <w:rPr>
          <w:rFonts w:cs="Franklin Gothic Book"/>
        </w:rPr>
        <w:t>ig</w:t>
      </w:r>
      <w:proofErr w:type="spellEnd"/>
      <w:r w:rsidRPr="009E631D">
        <w:rPr>
          <w:rFonts w:cs="Franklin Gothic Book"/>
        </w:rPr>
        <w:t xml:space="preserve"> terjed). A meghirdetett </w:t>
      </w:r>
      <w:proofErr w:type="spellStart"/>
      <w:r w:rsidRPr="009E631D">
        <w:rPr>
          <w:rFonts w:cs="Franklin Gothic Book"/>
        </w:rPr>
        <w:t>HPME-k</w:t>
      </w:r>
      <w:proofErr w:type="spellEnd"/>
      <w:r w:rsidRPr="009E631D">
        <w:rPr>
          <w:rFonts w:cs="Franklin Gothic Book"/>
        </w:rPr>
        <w:t xml:space="preserve"> </w:t>
      </w:r>
      <w:proofErr w:type="gramStart"/>
      <w:r w:rsidRPr="009E631D">
        <w:rPr>
          <w:rFonts w:cs="Franklin Gothic Book"/>
        </w:rPr>
        <w:t>száma  az</w:t>
      </w:r>
      <w:proofErr w:type="gramEnd"/>
      <w:r w:rsidRPr="009E631D">
        <w:rPr>
          <w:rFonts w:cs="Franklin Gothic Book"/>
        </w:rPr>
        <w:t xml:space="preserve"> MVH adatszolgáltatása alapján </w:t>
      </w:r>
      <w:r w:rsidRPr="009E631D">
        <w:t xml:space="preserve">1006 </w:t>
      </w:r>
      <w:r w:rsidRPr="009E631D">
        <w:rPr>
          <w:rFonts w:cs="Franklin Gothic Book"/>
        </w:rPr>
        <w:t xml:space="preserve">db, amelynek csoportonkénti átlaga </w:t>
      </w:r>
      <w:r w:rsidRPr="009E631D">
        <w:t>10,5</w:t>
      </w:r>
      <w:r w:rsidRPr="009E631D">
        <w:rPr>
          <w:rFonts w:cs="Franklin Gothic Book"/>
        </w:rPr>
        <w:t xml:space="preserve"> db (a szórás itt is nagy, 3 db és </w:t>
      </w:r>
      <w:r>
        <w:t>27</w:t>
      </w:r>
      <w:r w:rsidRPr="009E631D">
        <w:rPr>
          <w:rFonts w:cs="Franklin Gothic Book"/>
        </w:rPr>
        <w:t xml:space="preserve"> db között mozog).</w:t>
      </w:r>
    </w:p>
    <w:p w:rsidR="00B7428A" w:rsidRPr="00E03E1D" w:rsidRDefault="00B7428A" w:rsidP="00B7428A">
      <w:pPr>
        <w:pStyle w:val="HUNNormal"/>
      </w:pPr>
      <w:r w:rsidRPr="00E03E1D">
        <w:rPr>
          <w:b/>
          <w:bCs/>
        </w:rPr>
        <w:t>A jóváhagyott pályázatok forrásigényében a közösségi célú fejlesztéseknek (55%), a vállalkozások fejleszt</w:t>
      </w:r>
      <w:r w:rsidRPr="00E03E1D">
        <w:rPr>
          <w:b/>
          <w:bCs/>
        </w:rPr>
        <w:t>é</w:t>
      </w:r>
      <w:r w:rsidRPr="00E03E1D">
        <w:rPr>
          <w:b/>
          <w:bCs/>
        </w:rPr>
        <w:t xml:space="preserve">sének (29%) és a rendezvényeknek (9%) van a legnagyobb súlya. A többi kategória 5% alatti értéket ért el: </w:t>
      </w:r>
      <w:r w:rsidRPr="00E03E1D">
        <w:t>tervek, tanulmányok (3%), térségen belüli együttműködés (2%), térségek közötti együttműködés (1%), ké</w:t>
      </w:r>
      <w:r w:rsidRPr="00E03E1D">
        <w:t>p</w:t>
      </w:r>
      <w:r w:rsidRPr="00E03E1D">
        <w:t>zés (1%).</w:t>
      </w:r>
    </w:p>
    <w:p w:rsidR="00B7428A" w:rsidRPr="00E03E1D" w:rsidRDefault="00B7428A" w:rsidP="00B7428A">
      <w:pPr>
        <w:pStyle w:val="HUNNormal"/>
      </w:pPr>
      <w:r w:rsidRPr="00E03E1D">
        <w:lastRenderedPageBreak/>
        <w:t>Az intézkedés megvalósításának kezdeti stádiuma miatt egyelőre nincsenek realizált eredmények, hatások és erre vonatkozó monitoring adatok.</w:t>
      </w:r>
    </w:p>
    <w:p w:rsidR="00B7428A" w:rsidRPr="00E03E1D" w:rsidRDefault="00B7428A" w:rsidP="00B7428A">
      <w:pPr>
        <w:pStyle w:val="HUNNormal"/>
      </w:pPr>
      <w:r w:rsidRPr="00E03E1D">
        <w:rPr>
          <w:b/>
          <w:bCs/>
        </w:rPr>
        <w:t xml:space="preserve">A </w:t>
      </w:r>
      <w:proofErr w:type="spellStart"/>
      <w:r w:rsidRPr="00E03E1D">
        <w:rPr>
          <w:b/>
          <w:bCs/>
        </w:rPr>
        <w:t>HACS-ok</w:t>
      </w:r>
      <w:proofErr w:type="spellEnd"/>
      <w:r w:rsidRPr="00E03E1D">
        <w:rPr>
          <w:b/>
          <w:bCs/>
        </w:rPr>
        <w:t xml:space="preserve"> körében készített felmérés alapján a </w:t>
      </w:r>
      <w:proofErr w:type="gramStart"/>
      <w:r w:rsidRPr="00E03E1D">
        <w:rPr>
          <w:b/>
          <w:bCs/>
        </w:rPr>
        <w:t>tengely foglalkoztatásra</w:t>
      </w:r>
      <w:proofErr w:type="gramEnd"/>
      <w:r w:rsidRPr="00E03E1D">
        <w:rPr>
          <w:b/>
          <w:bCs/>
        </w:rPr>
        <w:t xml:space="preserve"> gyakorolt hatása a válaszadók 78%-a szerint mérsékelt, vagy annál alacsonyabb.</w:t>
      </w:r>
      <w:r w:rsidRPr="00E03E1D">
        <w:t xml:space="preserve"> Csupán 19% prognosztizált közepesnél jelentősebb foglalko</w:t>
      </w:r>
      <w:r w:rsidRPr="00E03E1D">
        <w:t>z</w:t>
      </w:r>
      <w:r w:rsidRPr="00E03E1D">
        <w:t>tatási hatást. Ennek elsődleges okai a támogatott projektek jellegéből fakadnak: rendezvények, közösségi célú fejlesztések magas aránya, amelyek közvetlen foglalkoztatási hatása csekély. A vállalkozások támog</w:t>
      </w:r>
      <w:r w:rsidRPr="00E03E1D">
        <w:t>a</w:t>
      </w:r>
      <w:r w:rsidRPr="00E03E1D">
        <w:t>tása főként a IV. tengely vonatkozásában kis léptékű fejlesztések megvalósítására nyújt lehetőséget, amely szintén nem járul hozzá jelentősen új munkahelyek teremtéséhez, bár az akciócsoportok többsége a megta</w:t>
      </w:r>
      <w:r w:rsidRPr="00E03E1D">
        <w:t>r</w:t>
      </w:r>
      <w:r w:rsidRPr="00E03E1D">
        <w:t xml:space="preserve">tott munkahelyeket, az önfoglalkoztatás lehetőségének megteremtését is jelentős eredménynek értékelte, jogosan. Sok esetben a foglalkoztatás-teremtéssel járó gazdasági jellegű </w:t>
      </w:r>
      <w:proofErr w:type="spellStart"/>
      <w:r w:rsidRPr="00E03E1D">
        <w:t>HPME-k</w:t>
      </w:r>
      <w:proofErr w:type="spellEnd"/>
      <w:r w:rsidRPr="00E03E1D">
        <w:t xml:space="preserve"> meghirdetése még nem történt meg.</w:t>
      </w:r>
    </w:p>
    <w:p w:rsidR="00B7428A" w:rsidRPr="00E03E1D" w:rsidRDefault="00B7428A" w:rsidP="00B7428A">
      <w:pPr>
        <w:pStyle w:val="HUNNormal"/>
        <w:rPr>
          <w:b/>
          <w:bCs/>
        </w:rPr>
      </w:pPr>
      <w:r w:rsidRPr="00E03E1D">
        <w:rPr>
          <w:b/>
          <w:bCs/>
        </w:rPr>
        <w:t>Az eddig támogatást nyert fejlesztések (beleértve a III. tengelyes fejlesztéseket is) várható hatásait tekintve a HACS kérdőívek alapján a legjelentősebb eredmény a térség turisztikai vonzerejének fejlesztését, a kult</w:t>
      </w:r>
      <w:r w:rsidRPr="00E03E1D">
        <w:rPr>
          <w:b/>
          <w:bCs/>
        </w:rPr>
        <w:t>u</w:t>
      </w:r>
      <w:r w:rsidRPr="00E03E1D">
        <w:rPr>
          <w:b/>
          <w:bCs/>
        </w:rPr>
        <w:t xml:space="preserve">rális (és épített) örökségének megóvását és kulturális életének, vonzerejének élénkülését érintően várható.  </w:t>
      </w:r>
    </w:p>
    <w:p w:rsidR="00B7428A" w:rsidRPr="00E03E1D" w:rsidRDefault="00B7428A" w:rsidP="00B7428A">
      <w:pPr>
        <w:pStyle w:val="HUNNormal"/>
        <w:rPr>
          <w:b/>
          <w:bCs/>
        </w:rPr>
      </w:pPr>
      <w:r w:rsidRPr="00E03E1D">
        <w:rPr>
          <w:b/>
          <w:bCs/>
        </w:rPr>
        <w:t>Csekélyebb fejlődés prognosztizált a térség környezeti értékeinek (</w:t>
      </w:r>
      <w:proofErr w:type="spellStart"/>
      <w:r w:rsidRPr="00E03E1D">
        <w:rPr>
          <w:b/>
          <w:bCs/>
        </w:rPr>
        <w:t>biodiverzitás</w:t>
      </w:r>
      <w:proofErr w:type="spellEnd"/>
      <w:r w:rsidRPr="00E03E1D">
        <w:rPr>
          <w:b/>
          <w:bCs/>
        </w:rPr>
        <w:t xml:space="preserve">, tájkép, tiszta környezet stb.) megóvása, fejlesztése, a vállalkozói képességek, készségek, rugalmasság és </w:t>
      </w:r>
      <w:proofErr w:type="spellStart"/>
      <w:r w:rsidRPr="00E03E1D">
        <w:rPr>
          <w:b/>
          <w:bCs/>
        </w:rPr>
        <w:t>innovativitás</w:t>
      </w:r>
      <w:proofErr w:type="spellEnd"/>
      <w:r w:rsidRPr="00E03E1D">
        <w:rPr>
          <w:b/>
          <w:bCs/>
        </w:rPr>
        <w:t xml:space="preserve"> fejlődése, a vá</w:t>
      </w:r>
      <w:r w:rsidRPr="00E03E1D">
        <w:rPr>
          <w:b/>
          <w:bCs/>
        </w:rPr>
        <w:t>l</w:t>
      </w:r>
      <w:r w:rsidRPr="00E03E1D">
        <w:rPr>
          <w:b/>
          <w:bCs/>
        </w:rPr>
        <w:t>lalkozói jövedelmek növekedése és a helyben hozzáadott érték arányának növekedése tekintetében.</w:t>
      </w:r>
    </w:p>
    <w:p w:rsidR="00B7428A" w:rsidRPr="00E03E1D" w:rsidRDefault="00B7428A" w:rsidP="00B7428A">
      <w:pPr>
        <w:pStyle w:val="HUNNormal"/>
        <w:rPr>
          <w:b/>
          <w:bCs/>
        </w:rPr>
      </w:pPr>
      <w:r w:rsidRPr="00E03E1D">
        <w:rPr>
          <w:b/>
          <w:bCs/>
        </w:rPr>
        <w:t>Alacsony a Program prognosztizált hatása a környezettudatosság fejlődése, az új környezeti szolgáltatások kialakulása, vagy meglévő ökológiai szolgáltatások fejlődése, a lakossági elégedettség növekedése az infr</w:t>
      </w:r>
      <w:r w:rsidRPr="00E03E1D">
        <w:rPr>
          <w:b/>
          <w:bCs/>
        </w:rPr>
        <w:t>a</w:t>
      </w:r>
      <w:r w:rsidRPr="00E03E1D">
        <w:rPr>
          <w:b/>
          <w:bCs/>
        </w:rPr>
        <w:t>struktúrával, szolgáltatások elérhetősége és mobilitás növekedése, az izoláltság csökkentése tekintetében.</w:t>
      </w:r>
    </w:p>
    <w:p w:rsidR="00B7428A" w:rsidRPr="00E03E1D" w:rsidRDefault="00B7428A" w:rsidP="00B7428A">
      <w:pPr>
        <w:pStyle w:val="HUNNormal"/>
      </w:pPr>
      <w:r w:rsidRPr="00E03E1D">
        <w:t>Arra a kérdésre, hogy milyen mértékben járult hozzá a LEADER a térségek specifikus karakterének erősöd</w:t>
      </w:r>
      <w:r w:rsidRPr="00E03E1D">
        <w:t>é</w:t>
      </w:r>
      <w:r w:rsidRPr="00E03E1D">
        <w:t>séhez, egységes térségként történő felismeréséhez (pl.: térségi termék, szolgáltatás megjelenése, tematikus útvonalak kialakítása stb.) a válaszadók 38%-a választotta a „közepes mértékben” kategóriát, míg 42% sz</w:t>
      </w:r>
      <w:r w:rsidRPr="00E03E1D">
        <w:t>e</w:t>
      </w:r>
      <w:r w:rsidRPr="00E03E1D">
        <w:t>rint ez a hatás jelentős, meghatározó. A legtöbben a program kezdeti szakasza miatt inkább az egységes identitás kialakulásának ehetőségét érzékelik, amelyhez megtették az első fontos lépéseket. Elsősorban a turizmusban, a helyi termékfejlesztésben, a térség kulturális és természeti örökségének bemutatásában, térségi marketing kialakításában, rendezvények szervezésében, kiállítási megjelenésekben látnak lehetős</w:t>
      </w:r>
      <w:r w:rsidRPr="00E03E1D">
        <w:t>é</w:t>
      </w:r>
      <w:r w:rsidRPr="00E03E1D">
        <w:t xml:space="preserve">geket. Emellett </w:t>
      </w:r>
      <w:r w:rsidRPr="00E03E1D">
        <w:rPr>
          <w:b/>
          <w:bCs/>
        </w:rPr>
        <w:t>jelentősnek érzik a Program közösségformáló erejét, a szereplők közeledését, a közös go</w:t>
      </w:r>
      <w:r w:rsidRPr="00E03E1D">
        <w:rPr>
          <w:b/>
          <w:bCs/>
        </w:rPr>
        <w:t>n</w:t>
      </w:r>
      <w:r w:rsidRPr="00E03E1D">
        <w:rPr>
          <w:b/>
          <w:bCs/>
        </w:rPr>
        <w:t>dolkodás gyakorlatának terjedését</w:t>
      </w:r>
      <w:r w:rsidRPr="00E03E1D">
        <w:t>.</w:t>
      </w:r>
    </w:p>
    <w:p w:rsidR="00B7428A" w:rsidRPr="00E03E1D" w:rsidRDefault="00B7428A" w:rsidP="00B7428A">
      <w:pPr>
        <w:jc w:val="both"/>
      </w:pPr>
      <w:r w:rsidRPr="00E03E1D">
        <w:t>A LEADER hatását az eddig egymástól függetlenül működő szereplők, tevékenységek összekapcsolására, a kapcsolatok erősítésére a válaszadók szintén 38%-</w:t>
      </w:r>
      <w:proofErr w:type="gramStart"/>
      <w:r w:rsidRPr="00E03E1D">
        <w:t>a</w:t>
      </w:r>
      <w:proofErr w:type="gramEnd"/>
      <w:r w:rsidRPr="00E03E1D">
        <w:t xml:space="preserve"> értékelte közepesnek, 56% szerint viszont a Program hatása az együttműködések fejlődésére jelentős mértékű. Ebben közrejátszott a közös tervezés, a több ki</w:t>
      </w:r>
      <w:r w:rsidRPr="00E03E1D">
        <w:t>s</w:t>
      </w:r>
      <w:r w:rsidRPr="00E03E1D">
        <w:t>térségből álló akciócsoportok esetén a kistérségek közötti újonnan kialakult együttműködések. Több csoport megjegyzi, hogy a delegált feladatok hátráltatják ezt a folyamatot, valamint szükségét látják a kölcsönös tanulási folyamat lehetőségének biztosítását a kapcsolatok fejlesztése, a hálózatépítés terén.</w:t>
      </w:r>
    </w:p>
    <w:p w:rsidR="00B7428A" w:rsidRPr="00E03E1D" w:rsidRDefault="00B7428A" w:rsidP="00B7428A">
      <w:pPr>
        <w:jc w:val="both"/>
      </w:pPr>
      <w:r w:rsidRPr="00E03E1D">
        <w:t xml:space="preserve">A </w:t>
      </w:r>
      <w:proofErr w:type="spellStart"/>
      <w:r w:rsidRPr="00E03E1D">
        <w:t>HPME-k</w:t>
      </w:r>
      <w:proofErr w:type="spellEnd"/>
      <w:r w:rsidRPr="00E03E1D">
        <w:t xml:space="preserve"> kidolgozása (a HVS alapján), azok informatikai felületre történő rögzítése szoros központi irány</w:t>
      </w:r>
      <w:r w:rsidRPr="00E03E1D">
        <w:t>í</w:t>
      </w:r>
      <w:r w:rsidRPr="00E03E1D">
        <w:t>tással történt. Ehhez egyrészt nagyon rövid idő állt rendelkezésre, másrészt az iránymutatások sem segíte</w:t>
      </w:r>
      <w:r w:rsidRPr="00E03E1D">
        <w:t>t</w:t>
      </w:r>
      <w:r w:rsidRPr="00E03E1D">
        <w:t>ték minden esetben kellő mértékben a munkát. Ennek következtében gyakori a hibás adatrögzítés, amely komoly problémákat okoz a lebonyolításban.</w:t>
      </w:r>
    </w:p>
    <w:p w:rsidR="00B7428A" w:rsidRPr="00E03E1D" w:rsidRDefault="00B7428A" w:rsidP="00B7428A">
      <w:pPr>
        <w:jc w:val="both"/>
      </w:pPr>
      <w:r w:rsidRPr="00E03E1D">
        <w:t>A közvetlenül központilag irányított tervezési folyamat, a számítógépes sablon alapján történő tervezés, k</w:t>
      </w:r>
      <w:r w:rsidRPr="00E03E1D">
        <w:t>é</w:t>
      </w:r>
      <w:r w:rsidRPr="00E03E1D">
        <w:t xml:space="preserve">sőbb pedig a delegált feladatokból származó jelentős leterheltség nagymértékben rontotta a LEADER alap szempontjainak megvalósulását: a </w:t>
      </w:r>
      <w:proofErr w:type="spellStart"/>
      <w:r w:rsidRPr="00E03E1D">
        <w:t>multi-szektorális</w:t>
      </w:r>
      <w:proofErr w:type="spellEnd"/>
      <w:r w:rsidRPr="00E03E1D">
        <w:t xml:space="preserve"> fejlesztések és az innovatív szemlélet kialakulásának esélyeit.</w:t>
      </w:r>
    </w:p>
    <w:p w:rsidR="00B7428A" w:rsidRDefault="00B7428A" w:rsidP="00B7428A">
      <w:pPr>
        <w:jc w:val="both"/>
      </w:pPr>
      <w:r w:rsidRPr="00E03E1D">
        <w:lastRenderedPageBreak/>
        <w:t xml:space="preserve">A </w:t>
      </w:r>
      <w:r w:rsidRPr="00E03E1D">
        <w:rPr>
          <w:b/>
          <w:bCs/>
        </w:rPr>
        <w:t>421-es számú, a térségek közötti együttműködés intézkedés célja</w:t>
      </w:r>
      <w:r w:rsidRPr="00E03E1D">
        <w:t xml:space="preserve"> a 1698/2005/EK Rendeletének 61. cikkének a)</w:t>
      </w:r>
      <w:proofErr w:type="spellStart"/>
      <w:r w:rsidRPr="00E03E1D">
        <w:t>-g</w:t>
      </w:r>
      <w:proofErr w:type="spellEnd"/>
      <w:r w:rsidRPr="00E03E1D">
        <w:t xml:space="preserve">) pontjában meghatározott szempontok érvényesítésével </w:t>
      </w:r>
      <w:r w:rsidRPr="00E03E1D">
        <w:rPr>
          <w:b/>
          <w:bCs/>
        </w:rPr>
        <w:t>a régiók közötti hazai és nemzetközi együttműködés elősegítése és megvalósítása, a tapasztalatok, a know-how, legjobb gyakorlatok megoszt</w:t>
      </w:r>
      <w:r w:rsidRPr="00E03E1D">
        <w:rPr>
          <w:b/>
          <w:bCs/>
        </w:rPr>
        <w:t>á</w:t>
      </w:r>
      <w:r w:rsidRPr="00E03E1D">
        <w:rPr>
          <w:b/>
          <w:bCs/>
        </w:rPr>
        <w:t>sának, közös akciók, projektek kidolgozásának, közös szerveződések kialakításának ösztönzése</w:t>
      </w:r>
      <w:r w:rsidRPr="00E03E1D">
        <w:t xml:space="preserve">, ezáltal az innováció, a helyi kapacitás és a helyi fejlesztési folyamatok erősítése. Az intézkedés hozzájárul a </w:t>
      </w:r>
      <w:proofErr w:type="spellStart"/>
      <w:r w:rsidRPr="00E03E1D">
        <w:t>LEADER-stratégiákban</w:t>
      </w:r>
      <w:proofErr w:type="spellEnd"/>
      <w:r w:rsidRPr="00E03E1D">
        <w:t xml:space="preserve"> meghatározott célkitűzések teljesítéséhez. </w:t>
      </w:r>
    </w:p>
    <w:p w:rsidR="00B7428A" w:rsidRPr="00E03E1D" w:rsidRDefault="00B7428A" w:rsidP="00B7428A">
      <w:pPr>
        <w:spacing w:line="240" w:lineRule="auto"/>
      </w:pPr>
      <w:r>
        <w:t>Az együttműködés lehetséges szintjei</w:t>
      </w:r>
      <w:r w:rsidRPr="00E03E1D">
        <w:t>:</w:t>
      </w:r>
      <w:r>
        <w:t xml:space="preserve"> (1) </w:t>
      </w:r>
      <w:r w:rsidRPr="00E03E1D">
        <w:t>az országon belüli együttműködési projektek;</w:t>
      </w:r>
      <w:r>
        <w:t xml:space="preserve"> (2) </w:t>
      </w:r>
      <w:r w:rsidRPr="00E03E1D">
        <w:t>az EU-n belüli együttműködési projektek;</w:t>
      </w:r>
      <w:r>
        <w:t xml:space="preserve"> (3) </w:t>
      </w:r>
      <w:r w:rsidRPr="00E03E1D">
        <w:t xml:space="preserve">együttműködési projektek harmadik országok </w:t>
      </w:r>
      <w:proofErr w:type="spellStart"/>
      <w:r w:rsidRPr="00E03E1D">
        <w:t>LEADER-szerű</w:t>
      </w:r>
      <w:proofErr w:type="spellEnd"/>
      <w:r w:rsidRPr="00E03E1D">
        <w:t xml:space="preserve"> csoportjaival.</w:t>
      </w:r>
    </w:p>
    <w:p w:rsidR="00B7428A" w:rsidRPr="00E03E1D" w:rsidRDefault="00B7428A" w:rsidP="00B7428A">
      <w:pPr>
        <w:pStyle w:val="AAMNormal"/>
      </w:pPr>
      <w:proofErr w:type="gramStart"/>
      <w:r w:rsidRPr="00E03E1D">
        <w:t>Az intézkedés keretein belül kizárólag a következő tevékenységek támogathatók: tapasztalatcsere, know-how megosztása, közösen előkészített és végrehajtott tevékenységek, közös akciók, amelyeknek konkrét, jól körülhatárolt eredményeit mindkét (illetve valamennyi) résztvevő régió élvezi, közösen működtetett szerv</w:t>
      </w:r>
      <w:r w:rsidRPr="00E03E1D">
        <w:t>e</w:t>
      </w:r>
      <w:r w:rsidRPr="00E03E1D">
        <w:t>zetek, az együttműködési projektek előkészítő tevékenységei (a partnerség létrejöttét megelőző személyi és dologi költségek), közös szerveződések kialakítása, a partnerek közötti animáció és koordináció támogath</w:t>
      </w:r>
      <w:r w:rsidRPr="00E03E1D">
        <w:t>a</w:t>
      </w:r>
      <w:r w:rsidRPr="00E03E1D">
        <w:t>tó (a partnerség működtetését biztosító személyi és dologi költségek).</w:t>
      </w:r>
      <w:proofErr w:type="gramEnd"/>
    </w:p>
    <w:p w:rsidR="00B7428A" w:rsidRDefault="00B7428A" w:rsidP="00B7428A">
      <w:pPr>
        <w:jc w:val="both"/>
      </w:pPr>
      <w:r>
        <w:t>A vizsgált időszakban az intézkedés pénzügyi keretének a terhére nem nyújtottak be kifizetési kérelmet, a rendelkezésre álló forrásból kifizetés nem történt.</w:t>
      </w:r>
    </w:p>
    <w:p w:rsidR="00B7428A" w:rsidRPr="00E03E1D" w:rsidRDefault="00B7428A" w:rsidP="00B7428A">
      <w:pPr>
        <w:pStyle w:val="AAMNormal"/>
        <w:rPr>
          <w:b/>
          <w:bCs/>
        </w:rPr>
      </w:pPr>
      <w:r w:rsidRPr="00E03E1D">
        <w:rPr>
          <w:b/>
          <w:bCs/>
        </w:rPr>
        <w:t>Az intézkedés a gyakorlatban az előzetes elképzelésekhez és az EU-s normákhoz képest is jelentős eltér</w:t>
      </w:r>
      <w:r w:rsidRPr="00E03E1D">
        <w:rPr>
          <w:b/>
          <w:bCs/>
        </w:rPr>
        <w:t>é</w:t>
      </w:r>
      <w:r w:rsidRPr="00E03E1D">
        <w:rPr>
          <w:b/>
          <w:bCs/>
        </w:rPr>
        <w:t xml:space="preserve">sekkel működött. </w:t>
      </w:r>
    </w:p>
    <w:p w:rsidR="00B7428A" w:rsidRPr="00E03E1D" w:rsidRDefault="00B7428A" w:rsidP="00B7428A">
      <w:pPr>
        <w:pStyle w:val="AAMNormal"/>
      </w:pPr>
      <w:r w:rsidRPr="00E03E1D">
        <w:rPr>
          <w:b/>
          <w:bCs/>
        </w:rPr>
        <w:t>Az egyik legnagyobb eltérés a finanszírozás mértékében és elérhetőségében van.</w:t>
      </w:r>
      <w:r w:rsidRPr="00E03E1D">
        <w:t xml:space="preserve"> </w:t>
      </w:r>
      <w:r>
        <w:t xml:space="preserve">Az európai gyakorlatban két rendszer terjedt el. Egyes országokban (pl. Spanyolországban) a térség- és nemzetközi együttműködésre szánt pénz nagy része külön, nemzeti, vagy regionális szintű költségvetésben van, amire a </w:t>
      </w:r>
      <w:proofErr w:type="spellStart"/>
      <w:r>
        <w:t>HACS-ok</w:t>
      </w:r>
      <w:proofErr w:type="spellEnd"/>
      <w:r>
        <w:t xml:space="preserve"> az IH által kiírt feltételekkel pályázhatnak. Más országokban (pl. Svédország) a pénz többsége benne van a </w:t>
      </w:r>
      <w:proofErr w:type="spellStart"/>
      <w:r>
        <w:t>HACS-ok</w:t>
      </w:r>
      <w:proofErr w:type="spellEnd"/>
      <w:r>
        <w:t xml:space="preserve"> költségvetésében, emellett központi forrásból a kapcsolatfelvételre, könnyen és gyorsan elérhető kisebb összegeket biztosítanak. </w:t>
      </w:r>
      <w:r w:rsidRPr="00E03E1D">
        <w:t xml:space="preserve">Magyarországon az együttműködésre szánt forrásokat a </w:t>
      </w:r>
      <w:proofErr w:type="spellStart"/>
      <w:r w:rsidRPr="00E03E1D">
        <w:t>HACS-oknak</w:t>
      </w:r>
      <w:proofErr w:type="spellEnd"/>
      <w:r w:rsidRPr="00E03E1D">
        <w:t xml:space="preserve"> be kellett építeniük a IV. tengely költségvetésébe. A tervezés időszakában azonban nem volt központi iránymutatás arra nézve, hogy ilyen tevékenységekre mennyi forrást javasolt tervezni. Így az eredetileg is nagyon szűkös, majd később, már a tervezés folyamán majdnem felére olvadó LEADER forrás terhére a </w:t>
      </w:r>
      <w:proofErr w:type="spellStart"/>
      <w:r w:rsidRPr="00E03E1D">
        <w:t>HACS-ok</w:t>
      </w:r>
      <w:proofErr w:type="spellEnd"/>
      <w:r w:rsidRPr="00E03E1D">
        <w:t xml:space="preserve"> többsége szerény (vagy éppen semmilyen) forrást tervezett együttműködésre. A HACS kérdőívek szerint nagyon nagy volt a szórás az egyes akciócsoportok között. </w:t>
      </w:r>
      <w:r w:rsidRPr="00E03E1D">
        <w:rPr>
          <w:b/>
          <w:bCs/>
        </w:rPr>
        <w:t xml:space="preserve">Az eredeti </w:t>
      </w:r>
      <w:proofErr w:type="spellStart"/>
      <w:r w:rsidRPr="00E03E1D">
        <w:rPr>
          <w:b/>
          <w:bCs/>
        </w:rPr>
        <w:t>HVS-ben</w:t>
      </w:r>
      <w:proofErr w:type="spellEnd"/>
      <w:r w:rsidRPr="00E03E1D">
        <w:rPr>
          <w:b/>
          <w:bCs/>
        </w:rPr>
        <w:t xml:space="preserve"> az értékelhető választ adó </w:t>
      </w:r>
      <w:proofErr w:type="spellStart"/>
      <w:r w:rsidRPr="00E03E1D">
        <w:rPr>
          <w:b/>
          <w:bCs/>
        </w:rPr>
        <w:t>HACS-ok</w:t>
      </w:r>
      <w:proofErr w:type="spellEnd"/>
      <w:r w:rsidRPr="00E03E1D">
        <w:rPr>
          <w:b/>
          <w:bCs/>
        </w:rPr>
        <w:t xml:space="preserve"> 28%-a nem allokált forrást együttműködésre, </w:t>
      </w:r>
      <w:r w:rsidRPr="00E03E1D">
        <w:t xml:space="preserve">20%-uk viszont jelentős, 40 millió Ft feletti összeget szánt erre, míg az átlagos együttműködésre szánt forrás 18 millió forint körül volt. </w:t>
      </w:r>
    </w:p>
    <w:p w:rsidR="00B7428A" w:rsidRPr="00E03E1D" w:rsidRDefault="00B7428A" w:rsidP="00B7428A">
      <w:pPr>
        <w:pStyle w:val="AAMNormal"/>
      </w:pPr>
      <w:r w:rsidRPr="00E03E1D">
        <w:t xml:space="preserve">A másik jelentős finanszírozási problémát az jelentette, hogy a vizsgált időszakban még a </w:t>
      </w:r>
      <w:proofErr w:type="spellStart"/>
      <w:r w:rsidRPr="00E03E1D">
        <w:t>HACS-ok</w:t>
      </w:r>
      <w:proofErr w:type="spellEnd"/>
      <w:r w:rsidRPr="00E03E1D">
        <w:t xml:space="preserve"> költsé</w:t>
      </w:r>
      <w:r w:rsidRPr="00E03E1D">
        <w:t>g</w:t>
      </w:r>
      <w:r w:rsidRPr="00E03E1D">
        <w:t xml:space="preserve">vetésében meglévő forrás is gyakorlatilag elérhetetlen volt, nem történt forrás felhasználás. A </w:t>
      </w:r>
      <w:proofErr w:type="spellStart"/>
      <w:r w:rsidRPr="00E03E1D">
        <w:t>HACS-oknak</w:t>
      </w:r>
      <w:proofErr w:type="spellEnd"/>
      <w:r w:rsidRPr="00E03E1D">
        <w:t xml:space="preserve"> eddig mindössze egyetlen alkalommal, a 2009 őszi IV. tengelyes pályázati körben volt lehetőségük arra, hogy e forrás elérésére saját magukhoz „pályázzanak”. Ezek a pályázatok a szokásos eljárásrend alapján kerültek elbírálásra, ennek megfelelően hosszú átfutással és szigorú elszámolási szabályokkal lehetett a pénzhez hozzáférni. Mivel konzorciumi pályázatra</w:t>
      </w:r>
      <w:r>
        <w:t xml:space="preserve"> </w:t>
      </w:r>
      <w:r w:rsidRPr="00DD4A94">
        <w:t>(ahol több HACS egy közös projektre közösen pályázhatott volna)</w:t>
      </w:r>
      <w:r w:rsidRPr="00E03E1D">
        <w:t xml:space="preserve"> nem volt lehetőség, ráadásul </w:t>
      </w:r>
      <w:r w:rsidRPr="00DD4A94">
        <w:t>a LEADER pályázatok feltételr</w:t>
      </w:r>
      <w:r>
        <w:t xml:space="preserve">endszere </w:t>
      </w:r>
      <w:proofErr w:type="spellStart"/>
      <w:r>
        <w:t>HACS-onként</w:t>
      </w:r>
      <w:proofErr w:type="spellEnd"/>
      <w:r>
        <w:t xml:space="preserve"> különbözik</w:t>
      </w:r>
      <w:r w:rsidRPr="00E03E1D">
        <w:t xml:space="preserve">, igazi együttműködési pályázatokat nem lehetett beadni, legfeljebb külön-külön lehetett látogatásokra, kisebb projektekre pályázni, ezeket próbálták a </w:t>
      </w:r>
      <w:proofErr w:type="spellStart"/>
      <w:r w:rsidRPr="00E03E1D">
        <w:t>HACS-ok</w:t>
      </w:r>
      <w:proofErr w:type="spellEnd"/>
      <w:r w:rsidRPr="00E03E1D">
        <w:t xml:space="preserve"> összehangolni. Külön nehézséget jelentett, hogy a két á</w:t>
      </w:r>
      <w:r w:rsidRPr="00E03E1D">
        <w:t>r</w:t>
      </w:r>
      <w:r w:rsidRPr="00E03E1D">
        <w:t>ajánlatos rendszer és a pályázat részleteinek megváltoztathatatlan volta miatt a projektek tervezése és ma</w:t>
      </w:r>
      <w:r w:rsidRPr="00E03E1D">
        <w:t>j</w:t>
      </w:r>
      <w:r w:rsidRPr="00E03E1D">
        <w:t>dani elszámolhatósága is bizonytalan.</w:t>
      </w:r>
    </w:p>
    <w:p w:rsidR="00447BB8" w:rsidRDefault="00447BB8" w:rsidP="00B7428A">
      <w:pPr>
        <w:spacing w:before="0" w:after="80" w:line="240" w:lineRule="auto"/>
        <w:jc w:val="both"/>
        <w:rPr>
          <w:b/>
          <w:bCs/>
        </w:rPr>
      </w:pPr>
    </w:p>
    <w:p w:rsidR="00447BB8" w:rsidRDefault="00447BB8" w:rsidP="00B7428A">
      <w:pPr>
        <w:spacing w:before="0" w:after="80" w:line="240" w:lineRule="auto"/>
        <w:jc w:val="both"/>
        <w:rPr>
          <w:b/>
          <w:bCs/>
        </w:rPr>
      </w:pPr>
    </w:p>
    <w:p w:rsidR="00B7428A" w:rsidRDefault="00B7428A" w:rsidP="00447BB8">
      <w:pPr>
        <w:spacing w:before="0" w:after="80" w:line="240" w:lineRule="auto"/>
        <w:jc w:val="both"/>
      </w:pPr>
      <w:r w:rsidRPr="00E03E1D">
        <w:rPr>
          <w:b/>
          <w:bCs/>
        </w:rPr>
        <w:lastRenderedPageBreak/>
        <w:t xml:space="preserve">A kérdőívek, interjúk és esettanulmányok alapján azt mondhatjuk, hogy </w:t>
      </w:r>
      <w:r>
        <w:t>a</w:t>
      </w:r>
      <w:r w:rsidRPr="004E2F93">
        <w:t xml:space="preserve"> központi iránymutatás</w:t>
      </w:r>
      <w:r>
        <w:t>ok és</w:t>
      </w:r>
      <w:r w:rsidRPr="004E2F93">
        <w:t xml:space="preserve"> a fe</w:t>
      </w:r>
      <w:r w:rsidRPr="004E2F93">
        <w:t>l</w:t>
      </w:r>
      <w:r w:rsidRPr="004E2F93">
        <w:t>készítés</w:t>
      </w:r>
      <w:r>
        <w:t xml:space="preserve"> hiánya nem ösztönözte az</w:t>
      </w:r>
      <w:r w:rsidRPr="004E2F93">
        <w:t xml:space="preserve"> együttműködés</w:t>
      </w:r>
      <w:r>
        <w:t>ek</w:t>
      </w:r>
      <w:r w:rsidRPr="004E2F93">
        <w:t xml:space="preserve"> </w:t>
      </w:r>
      <w:r>
        <w:t>kialakítását. Az együttműködések megvalósítását sz</w:t>
      </w:r>
      <w:r>
        <w:t>a</w:t>
      </w:r>
      <w:r>
        <w:t>bályozó eljárásrend hiányosságai nem biztosították az intézkedés egyszerű és hatékony megvalósulását.</w:t>
      </w:r>
      <w:r w:rsidRPr="004E2F93">
        <w:t xml:space="preserve"> </w:t>
      </w:r>
      <w:r>
        <w:t>N</w:t>
      </w:r>
      <w:r w:rsidRPr="004E2F93">
        <w:t xml:space="preserve">incsenek segítő intézmények, nem voltak országos fórumok, ahol a </w:t>
      </w:r>
      <w:proofErr w:type="spellStart"/>
      <w:r w:rsidRPr="004E2F93">
        <w:t>HACS-ok</w:t>
      </w:r>
      <w:proofErr w:type="spellEnd"/>
      <w:r w:rsidRPr="004E2F93">
        <w:t xml:space="preserve"> jó példákat láthattak, </w:t>
      </w:r>
      <w:proofErr w:type="spellStart"/>
      <w:r w:rsidRPr="004E2F93">
        <w:t>participatív</w:t>
      </w:r>
      <w:proofErr w:type="spellEnd"/>
      <w:r w:rsidRPr="004E2F93">
        <w:t xml:space="preserve"> munkamódszerekkel dolgozhattak volna.</w:t>
      </w:r>
      <w:r w:rsidRPr="00DD4A94">
        <w:t xml:space="preserve"> </w:t>
      </w:r>
      <w:r>
        <w:t>Az</w:t>
      </w:r>
      <w:r w:rsidRPr="008622F5">
        <w:t xml:space="preserve"> együttműködés támogatására hivatott MNVH ezen a téren gyakorlatilag nem működött. </w:t>
      </w:r>
    </w:p>
    <w:p w:rsidR="00B7428A" w:rsidRDefault="00B7428A" w:rsidP="00B7428A">
      <w:pPr>
        <w:pStyle w:val="HUNNormal"/>
      </w:pPr>
      <w:r>
        <w:rPr>
          <w:color w:val="000000"/>
        </w:rPr>
        <w:t xml:space="preserve">A vizsgált időszakban </w:t>
      </w:r>
      <w:r w:rsidRPr="00AD5FAA">
        <w:rPr>
          <w:color w:val="000000"/>
        </w:rPr>
        <w:t xml:space="preserve">csak a </w:t>
      </w:r>
      <w:r>
        <w:rPr>
          <w:color w:val="000000"/>
        </w:rPr>
        <w:t xml:space="preserve">szűkös </w:t>
      </w:r>
      <w:r w:rsidRPr="00AD5FAA">
        <w:rPr>
          <w:color w:val="000000"/>
        </w:rPr>
        <w:t>működési költségek terhére volt lehetőség együttműködésre, hálóza</w:t>
      </w:r>
      <w:r w:rsidRPr="00AD5FAA">
        <w:rPr>
          <w:color w:val="000000"/>
        </w:rPr>
        <w:t>t</w:t>
      </w:r>
      <w:r w:rsidRPr="00AD5FAA">
        <w:rPr>
          <w:color w:val="000000"/>
        </w:rPr>
        <w:t>építésre</w:t>
      </w:r>
      <w:r>
        <w:rPr>
          <w:color w:val="000000"/>
        </w:rPr>
        <w:t xml:space="preserve">. </w:t>
      </w:r>
      <w:r w:rsidRPr="003E117B">
        <w:t xml:space="preserve">Nem volt lehetőség olyan konzorciumi pályázatok benyújtására, amely egy fejlesztés több HACS által történő közös megvalósítását biztosítaná egy pályázaton belül. A </w:t>
      </w:r>
      <w:proofErr w:type="spellStart"/>
      <w:r w:rsidRPr="003E117B">
        <w:t>HACS-ok</w:t>
      </w:r>
      <w:proofErr w:type="spellEnd"/>
      <w:r w:rsidRPr="003E117B">
        <w:t xml:space="preserve"> közti együttműködésben a projekt menedzsment, a konzorciumvezetés, koordinációs pluszköltségei (munkabér, rezsi, eszközök, sza</w:t>
      </w:r>
      <w:r w:rsidRPr="003E117B">
        <w:t>k</w:t>
      </w:r>
      <w:r w:rsidRPr="003E117B">
        <w:t>értői díjak) jelenleg nem elszámolhatók a projekt terhére.</w:t>
      </w:r>
      <w:r>
        <w:t xml:space="preserve"> A külföldön felmerült költségek elszámolása pro</w:t>
      </w:r>
      <w:r>
        <w:t>b</w:t>
      </w:r>
      <w:r>
        <w:t>lematikus.</w:t>
      </w:r>
    </w:p>
    <w:p w:rsidR="00B7428A" w:rsidRPr="00E03E1D" w:rsidRDefault="00B7428A" w:rsidP="00B7428A">
      <w:pPr>
        <w:pStyle w:val="HUNNormal"/>
      </w:pPr>
      <w:r w:rsidRPr="00346DAE">
        <w:t xml:space="preserve">A jelenlegi magyar szabályok és finanszírozási viszonyok között </w:t>
      </w:r>
      <w:r>
        <w:t>n</w:t>
      </w:r>
      <w:r w:rsidRPr="00346DAE">
        <w:t>agy nemzetközi programokban magyar a</w:t>
      </w:r>
      <w:r w:rsidRPr="00346DAE">
        <w:t>k</w:t>
      </w:r>
      <w:r w:rsidRPr="00346DAE">
        <w:t xml:space="preserve">ciócsoportok nem tudnak részt venni (pedig ez EU-s követelmény, a </w:t>
      </w:r>
      <w:r>
        <w:t>LEADER</w:t>
      </w:r>
      <w:r w:rsidRPr="00346DAE">
        <w:t xml:space="preserve"> egyik ’</w:t>
      </w:r>
      <w:proofErr w:type="spellStart"/>
      <w:r w:rsidRPr="00346DAE">
        <w:t>lába</w:t>
      </w:r>
      <w:proofErr w:type="spellEnd"/>
      <w:r w:rsidRPr="00346DAE">
        <w:t>’)</w:t>
      </w:r>
      <w:r>
        <w:t xml:space="preserve"> a források korl</w:t>
      </w:r>
      <w:r>
        <w:t>á</w:t>
      </w:r>
      <w:r>
        <w:t xml:space="preserve">tossága és elérhetőségük nehézkessége miatt, </w:t>
      </w:r>
      <w:proofErr w:type="gramStart"/>
      <w:r w:rsidRPr="00346DAE">
        <w:t>Így</w:t>
      </w:r>
      <w:proofErr w:type="gramEnd"/>
      <w:r w:rsidRPr="00346DAE">
        <w:t xml:space="preserve"> a hazai </w:t>
      </w:r>
      <w:proofErr w:type="spellStart"/>
      <w:r w:rsidRPr="00346DAE">
        <w:t>HACS-ok</w:t>
      </w:r>
      <w:proofErr w:type="spellEnd"/>
      <w:r>
        <w:t xml:space="preserve"> </w:t>
      </w:r>
      <w:r w:rsidRPr="00346DAE">
        <w:t>kimaradnak a vidékfejlesztés európai vérkeringéséből, elmulasztják a tanulás és a közös lobbizás lehetőségét is, és nem tudnak segíteni a kö</w:t>
      </w:r>
      <w:r w:rsidRPr="00346DAE">
        <w:t>r</w:t>
      </w:r>
      <w:r w:rsidRPr="00346DAE">
        <w:t>nyező országok magyar vidéki közösségeinek megerősítésében sem.</w:t>
      </w:r>
    </w:p>
    <w:p w:rsidR="00B7428A" w:rsidRPr="00E03E1D" w:rsidRDefault="00B7428A" w:rsidP="00B7428A">
      <w:pPr>
        <w:pStyle w:val="AAMNormal"/>
      </w:pPr>
      <w:r w:rsidRPr="00E03E1D">
        <w:t xml:space="preserve">A tengelyen belül a </w:t>
      </w:r>
      <w:r w:rsidRPr="00E03E1D">
        <w:rPr>
          <w:b/>
          <w:bCs/>
        </w:rPr>
        <w:t xml:space="preserve">431 </w:t>
      </w:r>
      <w:proofErr w:type="gramStart"/>
      <w:r w:rsidRPr="00E03E1D">
        <w:rPr>
          <w:b/>
          <w:bCs/>
        </w:rPr>
        <w:t>A</w:t>
      </w:r>
      <w:proofErr w:type="gramEnd"/>
      <w:r w:rsidRPr="00E03E1D">
        <w:rPr>
          <w:b/>
          <w:bCs/>
        </w:rPr>
        <w:t xml:space="preserve"> LEADER Helyi Akciócsoportok számára nyújtott támogatások intézkedés </w:t>
      </w:r>
      <w:r w:rsidRPr="00E03E1D">
        <w:t>célja az ÚMVP alapján „megfelelő pénzügyi és szakmai háttér biztosítása a helyi akciócsoportok számára a helyi vidékfejlesztési stratégiák hatékony végrehajtása érdekében.</w:t>
      </w:r>
    </w:p>
    <w:p w:rsidR="00B7428A" w:rsidRPr="00E03E1D" w:rsidRDefault="00B7428A" w:rsidP="00B7428A">
      <w:pPr>
        <w:pStyle w:val="HUNNormal"/>
      </w:pPr>
      <w:r w:rsidRPr="00E03E1D">
        <w:rPr>
          <w:b/>
          <w:bCs/>
        </w:rPr>
        <w:t>Az intézkedés gyakorlatilag a HACS működési (bérek, rezsi, dologi kiadás) és belső fejlesztési költségeit (képzés) költségeit fedezte a 341-es intézkedés keretével összevonva</w:t>
      </w:r>
      <w:r w:rsidRPr="00E03E1D">
        <w:t>. A 147/2007. FVM rendelet tarta</w:t>
      </w:r>
      <w:r w:rsidRPr="00E03E1D">
        <w:t>l</w:t>
      </w:r>
      <w:r w:rsidRPr="00E03E1D">
        <w:t>mazza tengelyenként az egyes akciócsoportok által felhasználható fejlesztési forrásokat. A helyi akciócs</w:t>
      </w:r>
      <w:r w:rsidRPr="00E03E1D">
        <w:t>o</w:t>
      </w:r>
      <w:r w:rsidRPr="00E03E1D">
        <w:t>portok működési költségeikre az IH döntése alapján az adható maximum arányt allokálták, amely a III. te</w:t>
      </w:r>
      <w:r w:rsidRPr="00E03E1D">
        <w:t>n</w:t>
      </w:r>
      <w:r w:rsidRPr="00E03E1D">
        <w:t>gelyes fejlesztési források 15%-</w:t>
      </w:r>
      <w:proofErr w:type="gramStart"/>
      <w:r w:rsidRPr="00E03E1D">
        <w:t>a</w:t>
      </w:r>
      <w:proofErr w:type="gramEnd"/>
      <w:r w:rsidRPr="00E03E1D">
        <w:t xml:space="preserve">, és a IV. tengelyes fejlesztési források 20%-a. </w:t>
      </w:r>
    </w:p>
    <w:p w:rsidR="00B7428A" w:rsidRPr="00E03E1D" w:rsidRDefault="00B7428A" w:rsidP="00B7428A">
      <w:pPr>
        <w:jc w:val="both"/>
      </w:pPr>
      <w:r w:rsidRPr="00E03E1D">
        <w:t xml:space="preserve">A 15% biztosításához azonban a 341-es intézkedésben az eredeti allokáció szerint sem volt elég forrás. A </w:t>
      </w:r>
      <w:proofErr w:type="spellStart"/>
      <w:r w:rsidRPr="00E03E1D">
        <w:t>HVI-k</w:t>
      </w:r>
      <w:proofErr w:type="spellEnd"/>
      <w:r w:rsidRPr="00E03E1D">
        <w:t xml:space="preserve"> működtetéshez felhasznált forráskeret után viszont a rendelkezésre álló maradék összeg </w:t>
      </w:r>
      <w:r w:rsidRPr="00E03E1D">
        <w:br/>
        <w:t>(26 679 007</w:t>
      </w:r>
      <w:r w:rsidRPr="00E03E1D">
        <w:rPr>
          <w:rFonts w:ascii="Arial" w:hAnsi="Arial" w:cs="Arial"/>
        </w:rPr>
        <w:t xml:space="preserve"> euró) </w:t>
      </w:r>
      <w:r w:rsidRPr="00E03E1D">
        <w:t xml:space="preserve">messze elmarad a III. tengely </w:t>
      </w:r>
      <w:proofErr w:type="spellStart"/>
      <w:r w:rsidRPr="00E03E1D">
        <w:t>HACS-ok</w:t>
      </w:r>
      <w:proofErr w:type="spellEnd"/>
      <w:r w:rsidRPr="00E03E1D">
        <w:t xml:space="preserve"> által megvalósított intézkedésekre allokált összeg 15%-ától (72 608 561 euró), tehát a 147-es rendelet 1. számú mellékletében szereplő „HVK működési fo</w:t>
      </w:r>
      <w:r w:rsidRPr="00E03E1D">
        <w:t>r</w:t>
      </w:r>
      <w:r w:rsidRPr="00E03E1D">
        <w:t>rás euróban” oszlopra nem volt meg a fedezet.</w:t>
      </w:r>
    </w:p>
    <w:p w:rsidR="00B7428A" w:rsidRPr="00E03E1D" w:rsidRDefault="00B7428A" w:rsidP="00B7428A">
      <w:pPr>
        <w:pStyle w:val="HUNNormal"/>
      </w:pPr>
      <w:r w:rsidRPr="00E03E1D">
        <w:t xml:space="preserve">A 147/2007-es FVM rendelet a III. tengely </w:t>
      </w:r>
      <w:proofErr w:type="spellStart"/>
      <w:r w:rsidRPr="00E03E1D">
        <w:t>HACS-ok</w:t>
      </w:r>
      <w:proofErr w:type="spellEnd"/>
      <w:r w:rsidRPr="00E03E1D">
        <w:t xml:space="preserve"> releváns intézkedéseire allokált forrásoknak csupán a 80%-áról, a IV. tengelyre allokált forrásoknak pedig csupán 67%-áról rendelkezik. A fennmaradó tartalék felhasználásáról még nincs döntés.</w:t>
      </w:r>
    </w:p>
    <w:p w:rsidR="00B7428A" w:rsidRPr="00E03E1D" w:rsidRDefault="00B7428A" w:rsidP="00B7428A">
      <w:pPr>
        <w:pStyle w:val="HUNNormal"/>
      </w:pPr>
      <w:r w:rsidRPr="00E03E1D">
        <w:t xml:space="preserve">Az egyes helyi akciócsoportok működési forrásainak lekötöttségi aránya nagyon változó. Az MVH átadott monitoring adatai alapján, a 147/2007-es </w:t>
      </w:r>
      <w:proofErr w:type="spellStart"/>
      <w:r w:rsidRPr="00E03E1D">
        <w:t>HACS-ok</w:t>
      </w:r>
      <w:proofErr w:type="spellEnd"/>
      <w:r w:rsidRPr="00E03E1D">
        <w:t xml:space="preserve"> közötti forrásallokációs arányokkal kalkulálva, valamint figyelembe véve, hogy az eddig kifizetett költségek 47%-a terheli a 431-es intézkedést, a többit a 341-es intézkedés keretei fedezték, elmondható, hogy </w:t>
      </w:r>
      <w:r w:rsidRPr="00E03E1D">
        <w:rPr>
          <w:b/>
          <w:bCs/>
        </w:rPr>
        <w:t>1 HACS a 431-es intézkedésben elvileg rendelkezésére álló keret 105%-át lekötötte. 38 HACS esetén a felhasználás aránya meghaladja az eltelt idő arányát (24%), t</w:t>
      </w:r>
      <w:r w:rsidRPr="00E03E1D">
        <w:rPr>
          <w:b/>
          <w:bCs/>
        </w:rPr>
        <w:t>e</w:t>
      </w:r>
      <w:r w:rsidRPr="00E03E1D">
        <w:rPr>
          <w:b/>
          <w:bCs/>
        </w:rPr>
        <w:t>hát azonos arányú forrásfelhasználást feltételezve, esetükben a források semmiképp sem tartanak ki 2015 végéig. A legalacsonyabb felhasználás 11%-os</w:t>
      </w:r>
      <w:r w:rsidRPr="00E03E1D">
        <w:t xml:space="preserve">. Megjegyzendő azonban, hogy a fenti kalkulációhoz a 341-es intézkedésből felhasznált forrás csak intézkedés szinten állt rendelkezésre, a </w:t>
      </w:r>
      <w:proofErr w:type="spellStart"/>
      <w:r w:rsidRPr="00E03E1D">
        <w:t>HACS-ok</w:t>
      </w:r>
      <w:proofErr w:type="spellEnd"/>
      <w:r w:rsidRPr="00E03E1D">
        <w:t xml:space="preserve"> szerinti forrásfe</w:t>
      </w:r>
      <w:r w:rsidRPr="00E03E1D">
        <w:t>l</w:t>
      </w:r>
      <w:r w:rsidRPr="00E03E1D">
        <w:t>használást erre az intézkedésre nem ismerjük, csupán arányosítani tudtunk.</w:t>
      </w:r>
    </w:p>
    <w:p w:rsidR="00B7428A" w:rsidRPr="00E03E1D" w:rsidRDefault="00B7428A" w:rsidP="00B7428A">
      <w:pPr>
        <w:pStyle w:val="HUNNormal"/>
      </w:pPr>
      <w:r w:rsidRPr="00E03E1D">
        <w:t xml:space="preserve">A feltáró munka tapasztalata szerint </w:t>
      </w:r>
      <w:r w:rsidRPr="00E03E1D">
        <w:rPr>
          <w:b/>
          <w:bCs/>
        </w:rPr>
        <w:t xml:space="preserve">a pályázatkezelés feladatainak </w:t>
      </w:r>
      <w:proofErr w:type="spellStart"/>
      <w:r w:rsidRPr="00E03E1D">
        <w:rPr>
          <w:b/>
          <w:bCs/>
        </w:rPr>
        <w:t>HACS-okra</w:t>
      </w:r>
      <w:proofErr w:type="spellEnd"/>
      <w:r w:rsidRPr="00E03E1D">
        <w:rPr>
          <w:b/>
          <w:bCs/>
        </w:rPr>
        <w:t xml:space="preserve"> delegálásával az akciócs</w:t>
      </w:r>
      <w:r w:rsidRPr="00E03E1D">
        <w:rPr>
          <w:b/>
          <w:bCs/>
        </w:rPr>
        <w:t>o</w:t>
      </w:r>
      <w:r w:rsidRPr="00E03E1D">
        <w:rPr>
          <w:b/>
          <w:bCs/>
        </w:rPr>
        <w:t xml:space="preserve">portok erőforrásainak jelentős részét a kérelem- és pályázatkezelési feladatok ellátására fordították. A helyi </w:t>
      </w:r>
      <w:r w:rsidRPr="00E03E1D">
        <w:rPr>
          <w:b/>
          <w:bCs/>
        </w:rPr>
        <w:lastRenderedPageBreak/>
        <w:t xml:space="preserve">akciócsoportok nagy része helyi kis </w:t>
      </w:r>
      <w:proofErr w:type="spellStart"/>
      <w:r w:rsidRPr="00E03E1D">
        <w:rPr>
          <w:b/>
          <w:bCs/>
        </w:rPr>
        <w:t>MVH-ként</w:t>
      </w:r>
      <w:proofErr w:type="spellEnd"/>
      <w:r w:rsidRPr="00E03E1D">
        <w:rPr>
          <w:b/>
          <w:bCs/>
        </w:rPr>
        <w:t xml:space="preserve"> kezdett működni, eltekintve a valós kifizetések lebonyolítás</w:t>
      </w:r>
      <w:r w:rsidRPr="00E03E1D">
        <w:rPr>
          <w:b/>
          <w:bCs/>
        </w:rPr>
        <w:t>á</w:t>
      </w:r>
      <w:r w:rsidRPr="00E03E1D">
        <w:rPr>
          <w:b/>
          <w:bCs/>
        </w:rPr>
        <w:t>tól. A Programban foglaltakkal ellentétben az akciócsoportoknak rendkívül kevés energiája, ideje és figyelme maradt az előrehaladási folyamatban történő önértékelésre, a HVS mentén történő valós fejlesztő tevéken</w:t>
      </w:r>
      <w:r w:rsidRPr="00E03E1D">
        <w:rPr>
          <w:b/>
          <w:bCs/>
        </w:rPr>
        <w:t>y</w:t>
      </w:r>
      <w:r w:rsidRPr="00E03E1D">
        <w:rPr>
          <w:b/>
          <w:bCs/>
        </w:rPr>
        <w:t xml:space="preserve">ségekre, ösztönző és hálózati feladatok teljesítésére, a partnerség aktivizálására, a passzívabb társadalmi csoportok bevonására, a LEADER kulcsszempontjait magukon hordozó projektek generálására </w:t>
      </w:r>
      <w:proofErr w:type="spellStart"/>
      <w:proofErr w:type="gramStart"/>
      <w:r w:rsidRPr="00E03E1D">
        <w:rPr>
          <w:b/>
          <w:bCs/>
        </w:rPr>
        <w:t>stb</w:t>
      </w:r>
      <w:proofErr w:type="spellEnd"/>
      <w:r w:rsidRPr="00E03E1D">
        <w:rPr>
          <w:rStyle w:val="FootnoteReference"/>
          <w:b/>
          <w:bCs/>
        </w:rPr>
        <w:footnoteReference w:id="34"/>
      </w:r>
      <w:r w:rsidRPr="00E03E1D">
        <w:rPr>
          <w:b/>
          <w:bCs/>
        </w:rPr>
        <w:t>.</w:t>
      </w:r>
      <w:proofErr w:type="gramEnd"/>
    </w:p>
    <w:p w:rsidR="00B7428A" w:rsidRPr="00E03E1D" w:rsidRDefault="00B7428A" w:rsidP="00B7428A">
      <w:pPr>
        <w:pStyle w:val="HUNNormal"/>
      </w:pPr>
      <w:r w:rsidRPr="00E03E1D">
        <w:t xml:space="preserve">A </w:t>
      </w:r>
      <w:proofErr w:type="spellStart"/>
      <w:r w:rsidRPr="00E03E1D">
        <w:t>HACS-ok</w:t>
      </w:r>
      <w:proofErr w:type="spellEnd"/>
      <w:r w:rsidRPr="00E03E1D">
        <w:t xml:space="preserve"> körében végzett kérdőíves felmérés keretében 89 akciócsoport adott értékelhető választ, amely alapján </w:t>
      </w:r>
      <w:r w:rsidRPr="00E03E1D">
        <w:rPr>
          <w:b/>
          <w:bCs/>
        </w:rPr>
        <w:t>88-és 94% között van azon akciócsoportok aránya, amelyek a munkaszervezetük teljes kapacitás</w:t>
      </w:r>
      <w:r w:rsidRPr="00E03E1D">
        <w:rPr>
          <w:b/>
          <w:bCs/>
        </w:rPr>
        <w:t>á</w:t>
      </w:r>
      <w:r w:rsidRPr="00E03E1D">
        <w:rPr>
          <w:b/>
          <w:bCs/>
        </w:rPr>
        <w:t>nak kevesebb, mint 10%-át tudják az alábbi tevékenységekre fordítani:</w:t>
      </w:r>
    </w:p>
    <w:p w:rsidR="00B7428A" w:rsidRPr="00E03E1D" w:rsidRDefault="00B7428A" w:rsidP="00D5521F">
      <w:pPr>
        <w:pStyle w:val="HUNNormal"/>
        <w:numPr>
          <w:ilvl w:val="0"/>
          <w:numId w:val="25"/>
        </w:numPr>
      </w:pPr>
      <w:r w:rsidRPr="00E03E1D">
        <w:t xml:space="preserve">a partnerség működtetése, aktivizálása;  </w:t>
      </w:r>
    </w:p>
    <w:p w:rsidR="00B7428A" w:rsidRPr="00E03E1D" w:rsidRDefault="00B7428A" w:rsidP="00D5521F">
      <w:pPr>
        <w:pStyle w:val="HUNNormal"/>
        <w:numPr>
          <w:ilvl w:val="0"/>
          <w:numId w:val="25"/>
        </w:numPr>
      </w:pPr>
      <w:r w:rsidRPr="00E03E1D">
        <w:t>projektgenerálás és térségi animáció;</w:t>
      </w:r>
    </w:p>
    <w:p w:rsidR="00B7428A" w:rsidRPr="00E03E1D" w:rsidRDefault="00B7428A" w:rsidP="00D5521F">
      <w:pPr>
        <w:pStyle w:val="HUNNormal"/>
        <w:numPr>
          <w:ilvl w:val="0"/>
          <w:numId w:val="25"/>
        </w:numPr>
      </w:pPr>
      <w:r w:rsidRPr="00E03E1D">
        <w:t>kommunikációs, promóciós tevékenységek;</w:t>
      </w:r>
    </w:p>
    <w:p w:rsidR="00B7428A" w:rsidRPr="00E03E1D" w:rsidRDefault="00B7428A" w:rsidP="00D5521F">
      <w:pPr>
        <w:pStyle w:val="HUNNormal"/>
        <w:numPr>
          <w:ilvl w:val="0"/>
          <w:numId w:val="25"/>
        </w:numPr>
      </w:pPr>
      <w:r w:rsidRPr="00E03E1D">
        <w:t xml:space="preserve">monitoring és értékelés. </w:t>
      </w:r>
    </w:p>
    <w:p w:rsidR="00B7428A" w:rsidRPr="00E03E1D" w:rsidRDefault="00B7428A" w:rsidP="00B7428A">
      <w:pPr>
        <w:pStyle w:val="HUNNormal"/>
      </w:pPr>
      <w:r w:rsidRPr="00E03E1D">
        <w:t>A fent felsorolt tevékenységek alacsony súlya nemcsak a delegált feladatok miatt történő leterheltségből adódik. A fókuszcsoportok és személyes interjúk tanulsága szerint a felkészítés során nagyon gyengén val</w:t>
      </w:r>
      <w:r w:rsidRPr="00E03E1D">
        <w:t>ó</w:t>
      </w:r>
      <w:r w:rsidRPr="00E03E1D">
        <w:t xml:space="preserve">sult meg a </w:t>
      </w:r>
      <w:proofErr w:type="spellStart"/>
      <w:r w:rsidRPr="00E03E1D">
        <w:t>HACS-ok</w:t>
      </w:r>
      <w:proofErr w:type="spellEnd"/>
      <w:r w:rsidRPr="00E03E1D">
        <w:t xml:space="preserve"> valódi feladataival kapcsolatos „társadalmi tanulás”, hiányoztak az ezekre a tevéken</w:t>
      </w:r>
      <w:r w:rsidRPr="00E03E1D">
        <w:t>y</w:t>
      </w:r>
      <w:r w:rsidRPr="00E03E1D">
        <w:t>ségekre irányuló képzések, összejövetelek, szemléletformálás. Az akciócsoportok többségénél a mindennapi kötelező feladatok ellátása mellett nem élvez prioritást az ilyen, vagy ehhez hasonló tevékenységek megv</w:t>
      </w:r>
      <w:r w:rsidRPr="00E03E1D">
        <w:t>a</w:t>
      </w:r>
      <w:r w:rsidRPr="00E03E1D">
        <w:t xml:space="preserve">lósítása. Azoknál a csoportoknál tapasztaltunk kérelemkezelés mellett jelentősebb fejlesztési aktivitást, ahol olyan emberek dolgoznak a munkaszervezetekben, akik korábban is fejlesztő tevékenységet végeztek. Ezek az akciócsoportok sérelmezik a leginkább a delegált feladatokból adódó túlzott kapacitás lekötést. </w:t>
      </w:r>
    </w:p>
    <w:p w:rsidR="00B7428A" w:rsidRPr="00E03E1D" w:rsidRDefault="00B7428A" w:rsidP="00B7428A">
      <w:pPr>
        <w:pStyle w:val="AAMNormal"/>
      </w:pPr>
      <w:r w:rsidRPr="00E03E1D">
        <w:t>A kérelemkezelésre fordított erőforrások aránya a kérdőívben választ adó akciócsoportok csaknem felénél (45%) meghaladja a kapacitások 40%-át. A kérdőíves felmérés eredményének némileg ellentmond a szem</w:t>
      </w:r>
      <w:r w:rsidRPr="00E03E1D">
        <w:t>é</w:t>
      </w:r>
      <w:r w:rsidRPr="00E03E1D">
        <w:t>lyes beszélgetések és fókuszcsoportok alapján kialakult sokkal magasabb, 80-90%-os arány.</w:t>
      </w:r>
    </w:p>
    <w:p w:rsidR="00B7428A" w:rsidRPr="00E03E1D" w:rsidRDefault="00B7428A" w:rsidP="00B7428A">
      <w:pPr>
        <w:pStyle w:val="HUNNormal"/>
      </w:pPr>
      <w:r w:rsidRPr="00E03E1D">
        <w:rPr>
          <w:b/>
          <w:bCs/>
        </w:rPr>
        <w:t>További probléma, hogy az akciócsoportok jelentős része pénzügyi problémákkal küld.</w:t>
      </w:r>
      <w:r w:rsidRPr="00E03E1D">
        <w:t xml:space="preserve"> A legtöbb HACS </w:t>
      </w:r>
      <w:proofErr w:type="gramStart"/>
      <w:r w:rsidRPr="00E03E1D">
        <w:t>négy havi</w:t>
      </w:r>
      <w:proofErr w:type="gramEnd"/>
      <w:r w:rsidRPr="00E03E1D">
        <w:t>, van olyan HACS, amely hat havi működési költséget görget maga előtt. Az alapvető gondot az jelenti, hogy a 2008. októberi megalakulást követően a helyi akciócsoportok semmiféle pénzügyi segítséget nem kaptak működésük elindításához. A zömében egyesületi formát választó szervezetek tagdíjakból származó minimális saját tőkéje mellé a működés kezdeti szakaszában hitelfelvételre kényszerültek, amelyek kamatai nem elszámolható költségek. A helyi akciócsoportok működési költségeiket utófinanszírozással, kéthavo</w:t>
      </w:r>
      <w:r w:rsidRPr="00E03E1D">
        <w:t>n</w:t>
      </w:r>
      <w:r w:rsidRPr="00E03E1D">
        <w:t>kénti elszámolással kapják meg. A kérdőív eredménye alapján átlagosan négy hónapot vesz igénybe a kifiz</w:t>
      </w:r>
      <w:r w:rsidRPr="00E03E1D">
        <w:t>e</w:t>
      </w:r>
      <w:r w:rsidRPr="00E03E1D">
        <w:t xml:space="preserve">tés, de esetenként akár fél évig is elhúzódhat. </w:t>
      </w:r>
    </w:p>
    <w:p w:rsidR="00B7428A" w:rsidRPr="00E03E1D" w:rsidRDefault="00B7428A" w:rsidP="00B7428A">
      <w:pPr>
        <w:pStyle w:val="HUNNormal"/>
      </w:pPr>
      <w:r w:rsidRPr="00E03E1D">
        <w:t>A problémát súlyosbítja a jelenleg alkalmazott szankcionálási rendszer, illetve a szankciók sokszor indokola</w:t>
      </w:r>
      <w:r w:rsidRPr="00E03E1D">
        <w:t>t</w:t>
      </w:r>
      <w:r w:rsidRPr="00E03E1D">
        <w:t xml:space="preserve">lanul merev alkalmazása, valamint az MVH és az akciócsoportok között a partnerség helyett a hierarchikus hatóság – ügyfél viszony fenntartása. </w:t>
      </w:r>
    </w:p>
    <w:p w:rsidR="00B7428A" w:rsidRPr="00E03E1D" w:rsidRDefault="00B7428A" w:rsidP="00B7428A">
      <w:pPr>
        <w:pStyle w:val="HUNNormal"/>
      </w:pPr>
      <w:r w:rsidRPr="00E03E1D">
        <w:t>További problémát jelent az elismerhető működési költségek VTSZ és SZJ számokhoz igazított pozitív list</w:t>
      </w:r>
      <w:r w:rsidRPr="00E03E1D">
        <w:t>a</w:t>
      </w:r>
      <w:r w:rsidRPr="00E03E1D">
        <w:t>szerű meghatározása (tehát az, hogy nem az elszámolásból kizárt, hanem az elszámolható költségek vannak megadva, ráadásul pontos kód szerint). Ez mind az európai, mind pedig a más, hazai programoktól gyöker</w:t>
      </w:r>
      <w:r w:rsidRPr="00E03E1D">
        <w:t>e</w:t>
      </w:r>
      <w:r w:rsidRPr="00E03E1D">
        <w:t>sen eltérő, a gyakorlatban rengeteg problémát okozó rendszer. Mindig van olyan jogosan felmerülő költség, amelyet a fenti lista nem tartalmaz, ezeket a költségeket a büntetésekkel egyetemben a csoportnak az ált</w:t>
      </w:r>
      <w:r w:rsidRPr="00E03E1D">
        <w:t>a</w:t>
      </w:r>
      <w:r w:rsidRPr="00E03E1D">
        <w:lastRenderedPageBreak/>
        <w:t>lában igen limitált saját forrásaikból kellene kigazdálkodnia. Tovább mélyíti a problémát, hogy a jogosan felmerülő működési költségekkel folyamatosan bővülő, de még most sem teljes (soha nem lehet az) listára utólag felkerült tételek visszamenőleg nem számolhatók el.</w:t>
      </w:r>
    </w:p>
    <w:p w:rsidR="00B7428A" w:rsidRPr="00E03E1D" w:rsidRDefault="00B7428A" w:rsidP="00B7428A">
      <w:pPr>
        <w:pStyle w:val="HUNNormal"/>
      </w:pPr>
      <w:r w:rsidRPr="00E03E1D">
        <w:rPr>
          <w:b/>
          <w:bCs/>
        </w:rPr>
        <w:t xml:space="preserve">A jelenlegi rendszer nem preferálja a vállalkozói tevékenységet. </w:t>
      </w:r>
      <w:r w:rsidRPr="00E03E1D">
        <w:t>A jövedelemtermelő tevékenységek árbev</w:t>
      </w:r>
      <w:r w:rsidRPr="00E03E1D">
        <w:t>é</w:t>
      </w:r>
      <w:r w:rsidRPr="00E03E1D">
        <w:t>tele a működési költségekből levonásra kerül. A kérdőívre válaszolók szerint a delegált feladatok ellátása teljesen igénybe veszi valamennyi munkaerőt, emiatt egyéb, vállalkozói feladatok elvégzésére nagyon sz</w:t>
      </w:r>
      <w:r w:rsidRPr="00E03E1D">
        <w:t>ű</w:t>
      </w:r>
      <w:r w:rsidRPr="00E03E1D">
        <w:t xml:space="preserve">kösen áll rendelkezésre humán kapacitás. A nem támogatható költségeket (banki költségek, büntetések, egyéb) ugyanakkor a </w:t>
      </w:r>
      <w:proofErr w:type="spellStart"/>
      <w:r w:rsidRPr="00E03E1D">
        <w:t>HACS-ok</w:t>
      </w:r>
      <w:proofErr w:type="spellEnd"/>
      <w:r w:rsidRPr="00E03E1D">
        <w:t xml:space="preserve"> nem tudják kitermelni, amely súlyosbítja a pénzügyi problémákat. 88 válas</w:t>
      </w:r>
      <w:r w:rsidRPr="00E03E1D">
        <w:t>z</w:t>
      </w:r>
      <w:r w:rsidRPr="00E03E1D">
        <w:t>ból négy csoport jelezte, hogy alkalmanként, vagy rendszeresen végez vállalkozói tevékenységet más oper</w:t>
      </w:r>
      <w:r w:rsidRPr="00E03E1D">
        <w:t>a</w:t>
      </w:r>
      <w:r w:rsidRPr="00E03E1D">
        <w:t>tív programokhoz pályázatírói, közbeszerzési tanácsadói tevékenységet, egyéb tanácsadói és marketing t</w:t>
      </w:r>
      <w:r w:rsidRPr="00E03E1D">
        <w:t>e</w:t>
      </w:r>
      <w:r w:rsidRPr="00E03E1D">
        <w:t>vékenységet említenek. Több csoport megjegyezte, hogy a pénzügyi fenntarthatóság és a több lábo</w:t>
      </w:r>
      <w:bookmarkStart w:id="30" w:name="_GoBack"/>
      <w:bookmarkEnd w:id="30"/>
      <w:r w:rsidRPr="00E03E1D">
        <w:t>n állás biztosítása végett szívesen végezne jövedelemtermelő tevékenységet, ha nem látná emiatt veszélyben a működési költségeinek finanszírozását.</w:t>
      </w:r>
    </w:p>
    <w:p w:rsidR="00B7428A" w:rsidRPr="00E03E1D" w:rsidRDefault="00B7428A" w:rsidP="00B7428A">
      <w:pPr>
        <w:pStyle w:val="HUNNormal"/>
      </w:pPr>
      <w:r w:rsidRPr="00E03E1D">
        <w:t>A 87 db választ adó akciócsoport 68%-a (59 db) egy irodát működtet, 25% (22 db) két helyen tart ügyfélf</w:t>
      </w:r>
      <w:r w:rsidRPr="00E03E1D">
        <w:t>o</w:t>
      </w:r>
      <w:r w:rsidRPr="00E03E1D">
        <w:t>gadást. Három irodát 4 akciócsoport működtet, és 1-1 csoport működtet 4 illetve 5 ügyfélszolgálati helyet. A válaszok alapján két HACS működtet két akkreditált irodát.</w:t>
      </w:r>
    </w:p>
    <w:p w:rsidR="00B7428A" w:rsidRPr="00E03E1D" w:rsidRDefault="00B7428A" w:rsidP="00B7428A">
      <w:pPr>
        <w:pStyle w:val="HUNNormal"/>
      </w:pPr>
      <w:r w:rsidRPr="00E03E1D">
        <w:t xml:space="preserve">A munkaszervezetekben foglalkoztatottak számát illetően a 89 akciócsoport által adott válaszok alapján 8 szervezet foglalkoztat 3 főállású alkalmazottat. Az átlagos főállású foglalkoztatott létszám 5 fő. Mindössze 26 irodában vannak 5-nél többen. A legnagyobb iroda 13 fős. </w:t>
      </w:r>
    </w:p>
    <w:p w:rsidR="00B7428A" w:rsidRPr="00E03E1D" w:rsidRDefault="00B7428A" w:rsidP="00B7428A">
      <w:pPr>
        <w:pStyle w:val="HUNNormal"/>
      </w:pPr>
      <w:r w:rsidRPr="00E03E1D">
        <w:t xml:space="preserve">Az akkreditáció következményeként 129 főállású és 9 részmunkaidős foglalkoztatottat kellett felvenniük a </w:t>
      </w:r>
      <w:proofErr w:type="spellStart"/>
      <w:r w:rsidRPr="00E03E1D">
        <w:t>HACS-oknak</w:t>
      </w:r>
      <w:proofErr w:type="spellEnd"/>
      <w:r w:rsidRPr="00E03E1D">
        <w:t>, amely csoportonként 1,5 plusz foglalkoztatottat jelent.</w:t>
      </w:r>
    </w:p>
    <w:p w:rsidR="00B7428A" w:rsidRPr="00E03E1D" w:rsidRDefault="00B7428A" w:rsidP="00B7428A">
      <w:pPr>
        <w:pStyle w:val="HUNNormal"/>
      </w:pPr>
      <w:r w:rsidRPr="00E03E1D">
        <w:t>A főállású foglalkoztatottak 63%-a nő. A 89 irodában összesen 27 fő részmunkaidős munkavállalót alka</w:t>
      </w:r>
      <w:r w:rsidRPr="00E03E1D">
        <w:t>l</w:t>
      </w:r>
      <w:r w:rsidRPr="00E03E1D">
        <w:t>maznak, akiknek 70%-a nő.</w:t>
      </w:r>
    </w:p>
    <w:p w:rsidR="00B7428A" w:rsidRPr="00E03E1D" w:rsidRDefault="00B7428A" w:rsidP="00B7428A">
      <w:pPr>
        <w:pStyle w:val="HUNNormal"/>
      </w:pPr>
      <w:r w:rsidRPr="00E03E1D">
        <w:t xml:space="preserve">A foglalkoztatottak 76%-a rendelkezik felsőfokú végzettséggel. </w:t>
      </w:r>
    </w:p>
    <w:p w:rsidR="00B7428A" w:rsidRPr="00E03E1D" w:rsidRDefault="00B7428A" w:rsidP="00B7428A">
      <w:pPr>
        <w:pStyle w:val="HUNNormal"/>
        <w:rPr>
          <w:b/>
          <w:bCs/>
        </w:rPr>
      </w:pPr>
      <w:r w:rsidRPr="00E03E1D">
        <w:t xml:space="preserve">A monitoring adatok összhangban vannak a kérdőíves felmérés eredményeivel. </w:t>
      </w:r>
      <w:r w:rsidRPr="00E03E1D">
        <w:rPr>
          <w:b/>
          <w:bCs/>
        </w:rPr>
        <w:t>A 2010. június 30-i állapot alapján a létrehozott és megtartott munkahelyek száma 583 db, amelyből a női foglalkoztatottak aránya 60%.</w:t>
      </w:r>
    </w:p>
    <w:p w:rsidR="00B7428A" w:rsidRPr="00E03E1D" w:rsidRDefault="00B7428A" w:rsidP="00B7428A">
      <w:pPr>
        <w:pStyle w:val="HUNNormal"/>
      </w:pPr>
      <w:r w:rsidRPr="00E03E1D">
        <w:t>A válaszadók 93%-a (69 db) a hét minden napján, heti 40 órában nyitva áll az ügyfelek számára. A kirendel</w:t>
      </w:r>
      <w:r w:rsidRPr="00E03E1D">
        <w:t>t</w:t>
      </w:r>
      <w:r w:rsidRPr="00E03E1D">
        <w:t>ségeket működtetők 90%-a (29 db) tart heti 40 órás ügyfélszolgálatot.</w:t>
      </w:r>
    </w:p>
    <w:p w:rsidR="00B7428A" w:rsidRPr="00E03E1D" w:rsidRDefault="00B7428A" w:rsidP="00B7428A">
      <w:pPr>
        <w:pStyle w:val="HUNNormal"/>
      </w:pPr>
      <w:r w:rsidRPr="00E03E1D">
        <w:t>A kérdőívek alapján a válaszadók 98%-a vett részt kérelemkezeléssel kapcsolatos képzésen, amelynek a színvonalát a válaszadók 28%-a (24 db) közepesre, 46% (40 db) pedig közepesnél jobbnak értékelte. Eze</w:t>
      </w:r>
      <w:r w:rsidRPr="00E03E1D">
        <w:t>k</w:t>
      </w:r>
      <w:r w:rsidRPr="00E03E1D">
        <w:t>nek a hasznosságát 29% (25 db) ítélte közepesnek, és 54% (47 db) közepesnél jobbnak. Az ilyen témájú képzéseken a 89 válaszadó alapján 391 fő vett részt. A képzések célja az ügyintézés elősegítése. Tartalmi jellegű kérdések megtárgyalására nem volt mód.</w:t>
      </w:r>
    </w:p>
    <w:p w:rsidR="00B7428A" w:rsidRPr="00E03E1D" w:rsidRDefault="00B7428A" w:rsidP="00B7428A">
      <w:pPr>
        <w:pStyle w:val="HUNNormal"/>
      </w:pPr>
      <w:r w:rsidRPr="00E03E1D">
        <w:t>A válaszadók fele vett részt stratégiai tervezés témájú képzésen, amelynek minőségét a válaszadók 51%-a (23 db) közepesnek, 42% (19 db) pedig jónak minősített.  A hasznosságát tekintve ezek a képzések szintén közepes vagy annál jobb minősítést kaptak (91%, 41 db). Az ilyen témájú képzéseken a 89 válaszadó ala</w:t>
      </w:r>
      <w:r w:rsidRPr="00E03E1D">
        <w:t>p</w:t>
      </w:r>
      <w:r w:rsidRPr="00E03E1D">
        <w:t>ján 99 fő vett részt.</w:t>
      </w:r>
    </w:p>
    <w:p w:rsidR="00B7428A" w:rsidRPr="00E03E1D" w:rsidRDefault="00B7428A" w:rsidP="00B7428A">
      <w:pPr>
        <w:pStyle w:val="HUNNormal"/>
      </w:pPr>
      <w:r w:rsidRPr="00E03E1D">
        <w:t>A képzéseket túlnyomó részben az MVH, az IH és a VKSZI munkatársai tartották.</w:t>
      </w:r>
    </w:p>
    <w:p w:rsidR="00B7428A" w:rsidRDefault="00B7428A" w:rsidP="00B7428A">
      <w:pPr>
        <w:pStyle w:val="HUNNormal"/>
      </w:pPr>
      <w:r w:rsidRPr="00E03E1D">
        <w:t>Az akciócsoportok elenyésző aránya vett részt egyéb témájú képzéseken.</w:t>
      </w:r>
    </w:p>
    <w:p w:rsidR="00B7428A" w:rsidRDefault="00B7428A" w:rsidP="00B7428A">
      <w:pPr>
        <w:pStyle w:val="HUNNormal"/>
      </w:pPr>
    </w:p>
    <w:p w:rsidR="00B7428A" w:rsidRPr="00E02425" w:rsidRDefault="00B7428A" w:rsidP="00B7428A">
      <w:pPr>
        <w:pStyle w:val="HUNNormal"/>
        <w:rPr>
          <w:b/>
          <w:bCs/>
        </w:rPr>
      </w:pPr>
      <w:r w:rsidRPr="00E02425">
        <w:rPr>
          <w:b/>
          <w:bCs/>
        </w:rPr>
        <w:lastRenderedPageBreak/>
        <w:t>Hatáselemzés</w:t>
      </w:r>
    </w:p>
    <w:p w:rsidR="00B7428A" w:rsidRPr="00E03E1D" w:rsidRDefault="00B7428A" w:rsidP="00B7428A">
      <w:pPr>
        <w:pStyle w:val="AAMNormal"/>
      </w:pPr>
      <w:r w:rsidRPr="00E03E1D">
        <w:rPr>
          <w:b/>
          <w:bCs/>
        </w:rPr>
        <w:t>Az IV. tengely a Közös Értékelési Módszertani Keret (CMEF) hét fő hatásindikátora mentén csak korlátozo</w:t>
      </w:r>
      <w:r w:rsidRPr="00E03E1D">
        <w:rPr>
          <w:b/>
          <w:bCs/>
        </w:rPr>
        <w:t>t</w:t>
      </w:r>
      <w:r w:rsidRPr="00E03E1D">
        <w:rPr>
          <w:b/>
          <w:bCs/>
        </w:rPr>
        <w:t>tan jellemezhető</w:t>
      </w:r>
      <w:r w:rsidRPr="00E03E1D">
        <w:t xml:space="preserve">, hiszen ennek a tengelynek egy része elsősorban a többi tengely hatásainak erősítését szolgálta a finanszírozott </w:t>
      </w:r>
      <w:proofErr w:type="spellStart"/>
      <w:r w:rsidRPr="00E03E1D">
        <w:t>HACS-okon</w:t>
      </w:r>
      <w:proofErr w:type="spellEnd"/>
      <w:r w:rsidRPr="00E03E1D">
        <w:t xml:space="preserve"> keresztül. </w:t>
      </w:r>
    </w:p>
    <w:p w:rsidR="00B7428A" w:rsidRPr="00E03E1D" w:rsidRDefault="00B7428A" w:rsidP="00D5521F">
      <w:pPr>
        <w:pStyle w:val="AAMNormal"/>
        <w:numPr>
          <w:ilvl w:val="0"/>
          <w:numId w:val="19"/>
        </w:numPr>
      </w:pPr>
      <w:r w:rsidRPr="00E03E1D">
        <w:rPr>
          <w:b/>
          <w:bCs/>
        </w:rPr>
        <w:t>A gazdasági növekedést jelen értékelésben nem lehet még mérni</w:t>
      </w:r>
      <w:r w:rsidRPr="00E03E1D">
        <w:t>, mert a vállalkozásfejlesztési pr</w:t>
      </w:r>
      <w:r w:rsidRPr="00E03E1D">
        <w:t>o</w:t>
      </w:r>
      <w:r w:rsidRPr="00E03E1D">
        <w:t>jektek előrehaladása ehhez csekély. A gazdaságfejlesztésre megítélt támogatás relatív csekély (</w:t>
      </w:r>
      <w:proofErr w:type="spellStart"/>
      <w:r w:rsidRPr="00E03E1D">
        <w:t>kb</w:t>
      </w:r>
      <w:proofErr w:type="spellEnd"/>
      <w:r w:rsidRPr="00E03E1D">
        <w:t xml:space="preserve"> 500m Ft) ezért a jelentős mértékű ilyen hatás nem is várható a tengelytől.</w:t>
      </w:r>
    </w:p>
    <w:p w:rsidR="00B7428A" w:rsidRPr="00E03E1D" w:rsidRDefault="00B7428A" w:rsidP="00D5521F">
      <w:pPr>
        <w:pStyle w:val="AAMNormal"/>
        <w:numPr>
          <w:ilvl w:val="0"/>
          <w:numId w:val="19"/>
        </w:numPr>
      </w:pPr>
      <w:r w:rsidRPr="00E03E1D">
        <w:t xml:space="preserve">A munkaerő felhasználás növekedett a </w:t>
      </w:r>
      <w:proofErr w:type="spellStart"/>
      <w:r w:rsidRPr="00E03E1D">
        <w:t>HACS-ok</w:t>
      </w:r>
      <w:proofErr w:type="spellEnd"/>
      <w:r w:rsidRPr="00E03E1D">
        <w:t xml:space="preserve"> működése kapcsán. Ahogy ezt a 341-es intézkedés kapcsán is feltüntettük, 583 fő dolgozik a munkaszervezeteknél teljes munkaidőben. A létszámn</w:t>
      </w:r>
      <w:r w:rsidRPr="00E03E1D">
        <w:t>ö</w:t>
      </w:r>
      <w:r w:rsidRPr="00E03E1D">
        <w:t xml:space="preserve">vekedés kapcsán rögzíteni kell, hogy csak a támogatás biztosításával tarthatók fent ezek az állások. </w:t>
      </w:r>
      <w:r w:rsidRPr="00E03E1D">
        <w:rPr>
          <w:b/>
          <w:bCs/>
        </w:rPr>
        <w:t>A vállalkozásfejlesztési projektek már a tervek szintjén is inkább munkahelymegtartásra fókuszá</w:t>
      </w:r>
      <w:r w:rsidRPr="00E03E1D">
        <w:rPr>
          <w:b/>
          <w:bCs/>
        </w:rPr>
        <w:t>l</w:t>
      </w:r>
      <w:r w:rsidRPr="00E03E1D">
        <w:rPr>
          <w:b/>
          <w:bCs/>
        </w:rPr>
        <w:t>tak</w:t>
      </w:r>
      <w:r w:rsidRPr="00E03E1D">
        <w:t>.</w:t>
      </w:r>
    </w:p>
    <w:p w:rsidR="00B7428A" w:rsidRPr="00E03E1D" w:rsidRDefault="00B7428A" w:rsidP="00D5521F">
      <w:pPr>
        <w:pStyle w:val="AAMNormal"/>
        <w:numPr>
          <w:ilvl w:val="0"/>
          <w:numId w:val="19"/>
        </w:numPr>
        <w:rPr>
          <w:b/>
          <w:bCs/>
        </w:rPr>
      </w:pPr>
      <w:r w:rsidRPr="00E03E1D">
        <w:rPr>
          <w:b/>
          <w:bCs/>
        </w:rPr>
        <w:t>A munkaerő termelékenysége indikátor még nem mérhető ki lezárt vállalkozásfejlesztési projektek hiányában. A fejlesztések többsége irreleváns is ebből a szempontból.</w:t>
      </w:r>
    </w:p>
    <w:p w:rsidR="00B7428A" w:rsidRPr="00E03E1D" w:rsidRDefault="00B7428A" w:rsidP="00D5521F">
      <w:pPr>
        <w:pStyle w:val="AAMNormal"/>
        <w:numPr>
          <w:ilvl w:val="0"/>
          <w:numId w:val="19"/>
        </w:numPr>
      </w:pPr>
      <w:r w:rsidRPr="00E03E1D">
        <w:rPr>
          <w:b/>
          <w:bCs/>
        </w:rPr>
        <w:t>A tengely eddig elindított intézkedései közvetlenül nem relevánsak a biológiai diverzitás szempon</w:t>
      </w:r>
      <w:r w:rsidRPr="00E03E1D">
        <w:rPr>
          <w:b/>
          <w:bCs/>
        </w:rPr>
        <w:t>t</w:t>
      </w:r>
      <w:r w:rsidRPr="00E03E1D">
        <w:rPr>
          <w:b/>
          <w:bCs/>
        </w:rPr>
        <w:t>jából.</w:t>
      </w:r>
      <w:r w:rsidRPr="00E03E1D">
        <w:t xml:space="preserve"> A hatás (ahogy ezt a III. tengelynél is jeleztük) a </w:t>
      </w:r>
      <w:proofErr w:type="spellStart"/>
      <w:r w:rsidRPr="00E03E1D">
        <w:t>HACS-ok</w:t>
      </w:r>
      <w:proofErr w:type="spellEnd"/>
      <w:r w:rsidRPr="00E03E1D">
        <w:t xml:space="preserve"> vidék- és közösségfejlesztő munkáj</w:t>
      </w:r>
      <w:r w:rsidRPr="00E03E1D">
        <w:t>á</w:t>
      </w:r>
      <w:r w:rsidRPr="00E03E1D">
        <w:t>tól, illetve a több HACS által említett ilyen témájú együttműködésektől (pl.: natúrpark projektekben) lenne várható, azonban ez a tevékenység a legtöbb esetben egyelőre háttérbe szorult a kérelemk</w:t>
      </w:r>
      <w:r w:rsidRPr="00E03E1D">
        <w:t>e</w:t>
      </w:r>
      <w:r w:rsidRPr="00E03E1D">
        <w:t xml:space="preserve">zelési feladatok mellett, és saját szakértelem hiányában, önállóan a </w:t>
      </w:r>
      <w:proofErr w:type="spellStart"/>
      <w:r w:rsidRPr="00E03E1D">
        <w:t>HACS-ok</w:t>
      </w:r>
      <w:proofErr w:type="spellEnd"/>
      <w:r w:rsidRPr="00E03E1D">
        <w:t xml:space="preserve"> többsége nem is tud a természetvédelem területén előrelépni. Ilyen képzés nem volt jellemző a vizsgált időszakban.</w:t>
      </w:r>
    </w:p>
    <w:p w:rsidR="00B7428A" w:rsidRPr="00E03E1D" w:rsidRDefault="00B7428A" w:rsidP="00D5521F">
      <w:pPr>
        <w:pStyle w:val="AAMNormal"/>
        <w:numPr>
          <w:ilvl w:val="0"/>
          <w:numId w:val="19"/>
        </w:numPr>
      </w:pPr>
      <w:r w:rsidRPr="00E03E1D">
        <w:t>A magas természeti értékű területek megőrzése, a vízminőség, és az éghajlatváltozás elleni küzd</w:t>
      </w:r>
      <w:r w:rsidRPr="00E03E1D">
        <w:t>e</w:t>
      </w:r>
      <w:r w:rsidRPr="00E03E1D">
        <w:t>lem szempontjából is a biológiai diverzitás kapcsán leírt megállapítások a mérvadóak.</w:t>
      </w:r>
    </w:p>
    <w:p w:rsidR="00B7428A" w:rsidRDefault="00B7428A" w:rsidP="00B7428A">
      <w:pPr>
        <w:pStyle w:val="AAMNormal"/>
      </w:pPr>
      <w:r>
        <w:t>A tengely értékelése kapcsán érdemes megválaszolni a következő kettő CMEF kérdést is.</w:t>
      </w:r>
    </w:p>
    <w:p w:rsidR="00B7428A" w:rsidRPr="000E399D" w:rsidRDefault="00B7428A" w:rsidP="00B7428A">
      <w:pPr>
        <w:pStyle w:val="AAMNormal"/>
        <w:rPr>
          <w:i/>
          <w:iCs/>
        </w:rPr>
      </w:pPr>
      <w:r w:rsidRPr="000E399D">
        <w:rPr>
          <w:i/>
          <w:iCs/>
        </w:rPr>
        <w:t>A program milyen mértékben erősítette a regionális, nemzeti és európai szintek közötti partnerségi megáll</w:t>
      </w:r>
      <w:r w:rsidRPr="000E399D">
        <w:rPr>
          <w:i/>
          <w:iCs/>
        </w:rPr>
        <w:t>a</w:t>
      </w:r>
      <w:r w:rsidRPr="000E399D">
        <w:rPr>
          <w:i/>
          <w:iCs/>
        </w:rPr>
        <w:t>podásokat?</w:t>
      </w:r>
    </w:p>
    <w:p w:rsidR="00B7428A" w:rsidRPr="00E03E1D" w:rsidRDefault="00B7428A" w:rsidP="00B7428A">
      <w:pPr>
        <w:jc w:val="both"/>
      </w:pPr>
      <w:r w:rsidRPr="00E03E1D">
        <w:t>A regionális, nemzeti, európai szintek közötti partnerség fejlődését a LEADER tengely releváns intézkedés</w:t>
      </w:r>
      <w:r w:rsidRPr="00E03E1D">
        <w:t>é</w:t>
      </w:r>
      <w:r w:rsidRPr="00E03E1D">
        <w:t>től, illetve a Magyar Nemzeti Vidékfejlesztési Hálózat (MNVH) tevékenységétől vártuk volna. Mivel az együt</w:t>
      </w:r>
      <w:r w:rsidRPr="00E03E1D">
        <w:t>t</w:t>
      </w:r>
      <w:r w:rsidRPr="00E03E1D">
        <w:t>működések ösztönzése a LEADER tengelyen belül főleg eljárásrendi okokból korlátozott működésre volt csak képes, és az MNVH is csak 2010-től jelent meg értékelhető aktivitással a programban, az értékelés megke</w:t>
      </w:r>
      <w:r w:rsidRPr="00E03E1D">
        <w:t>z</w:t>
      </w:r>
      <w:r w:rsidRPr="00E03E1D">
        <w:t xml:space="preserve">désének időpontjáig érdemi partnerségi megállapodások </w:t>
      </w:r>
      <w:r>
        <w:t>l</w:t>
      </w:r>
      <w:r w:rsidRPr="00E03E1D">
        <w:t>étrehozására nem került sor.</w:t>
      </w:r>
    </w:p>
    <w:p w:rsidR="00B7428A" w:rsidRPr="000E399D" w:rsidRDefault="00B7428A" w:rsidP="00B7428A">
      <w:pPr>
        <w:pStyle w:val="AAMNormal"/>
        <w:rPr>
          <w:i/>
          <w:iCs/>
        </w:rPr>
      </w:pPr>
      <w:r w:rsidRPr="000E399D">
        <w:rPr>
          <w:i/>
          <w:iCs/>
        </w:rPr>
        <w:t>Az európai vidékfejlesztési hálózat milyen mértékben járult hozzá a helyes vidékfejlesztési 35 gyakorlat lé</w:t>
      </w:r>
      <w:r w:rsidRPr="000E399D">
        <w:rPr>
          <w:i/>
          <w:iCs/>
        </w:rPr>
        <w:t>t</w:t>
      </w:r>
      <w:r w:rsidRPr="000E399D">
        <w:rPr>
          <w:i/>
          <w:iCs/>
        </w:rPr>
        <w:t>rehozásához?</w:t>
      </w:r>
    </w:p>
    <w:p w:rsidR="00B7428A" w:rsidRPr="00E03E1D" w:rsidRDefault="00B7428A" w:rsidP="00B7428A">
      <w:pPr>
        <w:jc w:val="both"/>
      </w:pPr>
      <w:r w:rsidRPr="00E03E1D">
        <w:t xml:space="preserve">Az Európai Vidékfejlesztési Hálózat (EVH) tevékenysége, illetve a rajta keresztül elérhető szolgáltatások alig ismertek a magyar LEADER </w:t>
      </w:r>
      <w:proofErr w:type="spellStart"/>
      <w:r w:rsidRPr="00E03E1D">
        <w:t>HACS-ok</w:t>
      </w:r>
      <w:proofErr w:type="spellEnd"/>
      <w:r w:rsidRPr="00E03E1D">
        <w:t xml:space="preserve"> körében. Az EVH a Magyar Nemzeti Vidékfejlesztési Hálózaton keresztül juthatott volna el a </w:t>
      </w:r>
      <w:proofErr w:type="spellStart"/>
      <w:r w:rsidRPr="00E03E1D">
        <w:t>HACS-okhoz</w:t>
      </w:r>
      <w:proofErr w:type="spellEnd"/>
      <w:r w:rsidRPr="00E03E1D">
        <w:t xml:space="preserve">, ez utóbbi szervezet azonban önálló költségvetés és elfogadott cselekvési terv hiányában hosszú ideig nagyon alacsony hatékonysággal működött (lásd az MNVH működését bemutató értékelést), így az </w:t>
      </w:r>
      <w:proofErr w:type="spellStart"/>
      <w:r w:rsidRPr="00E03E1D">
        <w:t>EVH-t</w:t>
      </w:r>
      <w:proofErr w:type="spellEnd"/>
      <w:r w:rsidRPr="00E03E1D">
        <w:t xml:space="preserve"> sem sikerült eredményesen összekötni a magyar vidékfejlesztési </w:t>
      </w:r>
      <w:proofErr w:type="spellStart"/>
      <w:r w:rsidRPr="00E03E1D">
        <w:t>elképezlésekkel</w:t>
      </w:r>
      <w:proofErr w:type="spellEnd"/>
      <w:r w:rsidRPr="00E03E1D">
        <w:t xml:space="preserve">. Az egyetlen kézzelfogható eredmény, amivel a </w:t>
      </w:r>
      <w:proofErr w:type="spellStart"/>
      <w:r w:rsidRPr="00E03E1D">
        <w:t>mid-term</w:t>
      </w:r>
      <w:proofErr w:type="spellEnd"/>
      <w:r w:rsidRPr="00E03E1D">
        <w:t xml:space="preserve"> értékelés során találkoztunk, hogy 3 HACS jelezte, hogy az EVH honlapján működő partnerkereső szolgáltatás segítségével talált külföldi partnert.</w:t>
      </w:r>
    </w:p>
    <w:p w:rsidR="000E399D" w:rsidRDefault="000E399D" w:rsidP="00A817A4">
      <w:pPr>
        <w:pStyle w:val="AAMNormal"/>
      </w:pPr>
    </w:p>
    <w:p w:rsidR="00AC3706" w:rsidRDefault="00447BB8" w:rsidP="00A817A4">
      <w:pPr>
        <w:pStyle w:val="AAMNormal"/>
      </w:pPr>
      <w:r>
        <w:lastRenderedPageBreak/>
        <w:t xml:space="preserve">A tengely értékelés kapcsán érdemes még idézni az ex-ante értékelést, amely több a jelen értékelésben is feltárt problémát már előre jelzett: </w:t>
      </w:r>
      <w:r w:rsidRPr="0098221A">
        <w:rPr>
          <w:i/>
        </w:rPr>
        <w:t>A LEADER megközelítésnek hatalmas lehetőségei vannak a magyar v</w:t>
      </w:r>
      <w:r w:rsidRPr="0098221A">
        <w:rPr>
          <w:i/>
        </w:rPr>
        <w:t>i</w:t>
      </w:r>
      <w:r w:rsidRPr="0098221A">
        <w:rPr>
          <w:i/>
        </w:rPr>
        <w:t>dékfejlesztés terén, mégis a megközelítés nincs túl hangsúlyosan megjelenítve a Programban. Van némi bizonytalanság a pénzügyi források tekintetében, a nemzeti vidékfejlesztési intézetekkel lévő kapcsolat és néha túl szigorú központi adminisztráció és irányítás csökkentheti az átfogó pozitív hatásokat. A jelenlegi LEADER rendszer nem járul hozzá megfelelően egy olyan fejlődési rendszerhez mely a helyi erőforrásokra építve a helyi problémákat hivatott integráltan megoldani.</w:t>
      </w:r>
    </w:p>
    <w:p w:rsidR="00AC3706" w:rsidRDefault="00AC3706" w:rsidP="00A817A4">
      <w:pPr>
        <w:pStyle w:val="AAMNormal"/>
      </w:pPr>
    </w:p>
    <w:p w:rsidR="00D44DE4" w:rsidRPr="00E03E1D" w:rsidRDefault="00A24A81" w:rsidP="00D5521F">
      <w:pPr>
        <w:pStyle w:val="HUNHeading2"/>
        <w:numPr>
          <w:ilvl w:val="1"/>
          <w:numId w:val="32"/>
        </w:numPr>
        <w:ind w:hanging="792"/>
      </w:pPr>
      <w:bookmarkStart w:id="31" w:name="_Toc280788354"/>
      <w:r w:rsidRPr="00E03E1D">
        <w:t>Intézményi keretek</w:t>
      </w:r>
      <w:bookmarkEnd w:id="31"/>
    </w:p>
    <w:p w:rsidR="00562B60" w:rsidRPr="00E03E1D" w:rsidRDefault="00562B60" w:rsidP="00562B60">
      <w:pPr>
        <w:pStyle w:val="AAMNormal"/>
      </w:pPr>
      <w:r w:rsidRPr="00E03E1D">
        <w:t>Egy fejlesztési programot kidolgozó, működtető intézményrendszer mindig jelentős tényezője egy program sikereinek vagy kudarcainak. Különösen igaz ez az EU támogatások elosztását irányító intézményekre, am</w:t>
      </w:r>
      <w:r w:rsidRPr="00E03E1D">
        <w:t>e</w:t>
      </w:r>
      <w:r w:rsidRPr="00E03E1D">
        <w:t>lyek</w:t>
      </w:r>
      <w:r w:rsidR="007727B7" w:rsidRPr="00E03E1D">
        <w:t xml:space="preserve"> </w:t>
      </w:r>
      <w:r w:rsidRPr="00E03E1D">
        <w:t xml:space="preserve">a mai napig a folyamatos fejlődés, átalakulás időszakában vannak. </w:t>
      </w:r>
    </w:p>
    <w:p w:rsidR="00562B60" w:rsidRPr="00E03E1D" w:rsidRDefault="00562B60" w:rsidP="00562B60">
      <w:pPr>
        <w:pStyle w:val="AAMNormal"/>
      </w:pPr>
      <w:r w:rsidRPr="00E03E1D">
        <w:t xml:space="preserve">A fentiek okán az Új Magyarország Vidékfejlesztési Program félidei értékelése során is </w:t>
      </w:r>
      <w:r w:rsidR="00935CEE">
        <w:t>érdemes vizsgálni az intézményrendszer működését</w:t>
      </w:r>
      <w:r w:rsidRPr="00E03E1D">
        <w:t>.</w:t>
      </w:r>
    </w:p>
    <w:p w:rsidR="00935CEE" w:rsidRDefault="00562B60" w:rsidP="00562B60">
      <w:pPr>
        <w:pStyle w:val="HUNNormal"/>
      </w:pPr>
      <w:r w:rsidRPr="00E03E1D">
        <w:t>A vizsgálat kiterjedt az Irányító Hatóságra</w:t>
      </w:r>
      <w:r w:rsidR="003D62FE" w:rsidRPr="00E03E1D">
        <w:t>,</w:t>
      </w:r>
      <w:r w:rsidRPr="00E03E1D">
        <w:t xml:space="preserve"> mint koordiná</w:t>
      </w:r>
      <w:r w:rsidR="003D62FE" w:rsidRPr="00E03E1D">
        <w:t>torra</w:t>
      </w:r>
      <w:r w:rsidRPr="00E03E1D">
        <w:t xml:space="preserve">, a Kifizető Ügynökségre, a </w:t>
      </w:r>
      <w:proofErr w:type="spellStart"/>
      <w:r w:rsidRPr="00E03E1D">
        <w:t>VKSZI-re</w:t>
      </w:r>
      <w:proofErr w:type="spellEnd"/>
      <w:r w:rsidRPr="00E03E1D">
        <w:t xml:space="preserve">, a </w:t>
      </w:r>
      <w:proofErr w:type="spellStart"/>
      <w:r w:rsidRPr="00E03E1D">
        <w:t>HACS-okra</w:t>
      </w:r>
      <w:proofErr w:type="spellEnd"/>
      <w:r w:rsidRPr="00E03E1D">
        <w:t xml:space="preserve"> min</w:t>
      </w:r>
      <w:r w:rsidR="003D62FE" w:rsidRPr="00E03E1D">
        <w:t>t</w:t>
      </w:r>
      <w:r w:rsidRPr="00E03E1D">
        <w:t xml:space="preserve"> végrehajtó</w:t>
      </w:r>
      <w:r w:rsidR="003D62FE" w:rsidRPr="00E03E1D">
        <w:t>kra</w:t>
      </w:r>
      <w:r w:rsidRPr="00E03E1D">
        <w:t xml:space="preserve">, továbbá a támogató funkciókra (falugazdász hálózat, </w:t>
      </w:r>
      <w:proofErr w:type="spellStart"/>
      <w:r w:rsidRPr="00E03E1D">
        <w:t>HACS-ok</w:t>
      </w:r>
      <w:proofErr w:type="spellEnd"/>
      <w:proofErr w:type="gramStart"/>
      <w:r w:rsidRPr="00E03E1D">
        <w:t>,</w:t>
      </w:r>
      <w:proofErr w:type="spellStart"/>
      <w:r w:rsidRPr="00E03E1D">
        <w:t>HVI-k</w:t>
      </w:r>
      <w:proofErr w:type="spellEnd"/>
      <w:proofErr w:type="gramEnd"/>
      <w:r w:rsidRPr="00E03E1D">
        <w:t xml:space="preserve">, GSZI). </w:t>
      </w:r>
    </w:p>
    <w:p w:rsidR="00562B60" w:rsidRPr="00E03E1D" w:rsidRDefault="00562B60" w:rsidP="00562B60">
      <w:pPr>
        <w:pStyle w:val="HUNNormal"/>
      </w:pPr>
      <w:r w:rsidRPr="00E03E1D">
        <w:t>A szervezetek funkcionális elemezése alapján a</w:t>
      </w:r>
      <w:r w:rsidR="00935CEE">
        <w:t>z</w:t>
      </w:r>
      <w:r w:rsidRPr="00E03E1D">
        <w:t xml:space="preserve"> állapítható meg, hogy minden funkció működőképes, ugyanakkor egye</w:t>
      </w:r>
      <w:r w:rsidR="003D62FE" w:rsidRPr="00E03E1D">
        <w:t>s</w:t>
      </w:r>
      <w:r w:rsidRPr="00E03E1D">
        <w:t xml:space="preserve"> funkció</w:t>
      </w:r>
      <w:r w:rsidR="00761825">
        <w:t>k</w:t>
      </w:r>
      <w:r w:rsidRPr="00E03E1D">
        <w:t xml:space="preserve"> hatékonyságát érdemes fokozni. Ilyennek találta az értékelési projekt a monito</w:t>
      </w:r>
      <w:r w:rsidRPr="00E03E1D">
        <w:t>r</w:t>
      </w:r>
      <w:r w:rsidRPr="00E03E1D">
        <w:t xml:space="preserve">ing </w:t>
      </w:r>
      <w:r w:rsidR="00761825">
        <w:t xml:space="preserve">adatgyűjtési </w:t>
      </w:r>
      <w:r w:rsidRPr="00E03E1D">
        <w:t xml:space="preserve">és </w:t>
      </w:r>
      <w:proofErr w:type="spellStart"/>
      <w:r w:rsidR="00761825">
        <w:t>ongoing</w:t>
      </w:r>
      <w:proofErr w:type="spellEnd"/>
      <w:r w:rsidR="00761825">
        <w:t xml:space="preserve"> </w:t>
      </w:r>
      <w:r w:rsidRPr="00E03E1D">
        <w:t>értékelési tevékenységet</w:t>
      </w:r>
      <w:r w:rsidR="00813077">
        <w:t>, amelyek szervezeti és szervezési háttere szintén k</w:t>
      </w:r>
      <w:r w:rsidR="00813077">
        <w:t>i</w:t>
      </w:r>
      <w:r w:rsidR="00813077">
        <w:t xml:space="preserve">épült, </w:t>
      </w:r>
      <w:r w:rsidR="006E6903">
        <w:t>de a</w:t>
      </w:r>
      <w:r w:rsidR="006E6903" w:rsidRPr="006E6903">
        <w:t>mely</w:t>
      </w:r>
      <w:r w:rsidR="006E6903">
        <w:t>ek</w:t>
      </w:r>
      <w:r w:rsidR="006E6903" w:rsidRPr="006E6903">
        <w:t xml:space="preserve"> más felsővezetői prioritásokkal szemben (pl. gyors </w:t>
      </w:r>
      <w:proofErr w:type="spellStart"/>
      <w:r w:rsidR="006E6903" w:rsidRPr="006E6903">
        <w:t>forrásalokáció</w:t>
      </w:r>
      <w:proofErr w:type="spellEnd"/>
      <w:r w:rsidR="006E6903" w:rsidRPr="006E6903">
        <w:t>) a vizsgált időszakban háttérbe szorult</w:t>
      </w:r>
      <w:r w:rsidR="006E6903">
        <w:t>ak</w:t>
      </w:r>
      <w:r w:rsidRPr="00E03E1D">
        <w:t xml:space="preserve">. </w:t>
      </w:r>
      <w:r w:rsidR="003D62FE" w:rsidRPr="00E03E1D">
        <w:t>Az</w:t>
      </w:r>
      <w:r w:rsidRPr="00E03E1D">
        <w:t xml:space="preserve"> eljárásrendek és az egyes intézmények együttműködés</w:t>
      </w:r>
      <w:r w:rsidR="003D62FE" w:rsidRPr="00E03E1D">
        <w:t>ének fejlesztése is elengedh</w:t>
      </w:r>
      <w:r w:rsidR="003D62FE" w:rsidRPr="00E03E1D">
        <w:t>e</w:t>
      </w:r>
      <w:r w:rsidR="003D62FE" w:rsidRPr="00E03E1D">
        <w:t>tetlen, hiszen</w:t>
      </w:r>
      <w:r w:rsidRPr="00E03E1D">
        <w:t xml:space="preserve"> mindkettő okozott problémákat az elmúlt éve</w:t>
      </w:r>
      <w:r w:rsidRPr="00E03E1D">
        <w:t>k</w:t>
      </w:r>
      <w:r w:rsidRPr="00E03E1D">
        <w:t xml:space="preserve">ben. </w:t>
      </w:r>
    </w:p>
    <w:p w:rsidR="00562B60" w:rsidRDefault="00562B60" w:rsidP="00562B60">
      <w:pPr>
        <w:pStyle w:val="HUNNormal"/>
      </w:pPr>
      <w:r w:rsidRPr="00E03E1D">
        <w:t xml:space="preserve">Nyilvánvaló elvárás az intézményrendszerrel szemben, hogy az eredményeket arányos ráfordítások mentén hozza, továbbá ne lépje túl a 1698/2005 EK rendeletben meghatározott limitet, </w:t>
      </w:r>
      <w:r w:rsidR="006A200F" w:rsidRPr="00E03E1D">
        <w:t xml:space="preserve">vagyis </w:t>
      </w:r>
      <w:r w:rsidRPr="00E03E1D">
        <w:t>a Programra jóváh</w:t>
      </w:r>
      <w:r w:rsidRPr="00E03E1D">
        <w:t>a</w:t>
      </w:r>
      <w:r w:rsidRPr="00E03E1D">
        <w:t>gyott összeg 4%-ában maximalizált Technikai Segítségnyújtás (a továbbiakban TS) keretet. Ezért értékelni kell a TS keret felhasználását és lehetőség szerint a felhasználás költséghatékonyságát is.</w:t>
      </w:r>
    </w:p>
    <w:p w:rsidR="00B002FF" w:rsidRDefault="00B002FF" w:rsidP="00562B60">
      <w:pPr>
        <w:pStyle w:val="HUNNormal"/>
      </w:pPr>
      <w:r>
        <w:t>Az intézményi keretek bemutatása kapcsán először a résztvevők szervezeteket és feladatkörüket jelleme</w:t>
      </w:r>
      <w:r>
        <w:t>z</w:t>
      </w:r>
      <w:r>
        <w:t>zük röviden.</w:t>
      </w:r>
    </w:p>
    <w:p w:rsidR="001F3132" w:rsidRPr="00F64C5B" w:rsidRDefault="001F3132" w:rsidP="001F3132">
      <w:pPr>
        <w:pStyle w:val="AAMNormal"/>
      </w:pPr>
      <w:r w:rsidRPr="00F64C5B">
        <w:t xml:space="preserve">Az ÚMVP intézményrendszerében az </w:t>
      </w:r>
      <w:r w:rsidRPr="00F64C5B">
        <w:rPr>
          <w:b/>
        </w:rPr>
        <w:t>Döntéshozó, koordináló funkcióhoz</w:t>
      </w:r>
      <w:r w:rsidRPr="00F64C5B">
        <w:t xml:space="preserve"> </w:t>
      </w:r>
      <w:r>
        <w:t>a következő szervezetek sorolhat</w:t>
      </w:r>
      <w:r>
        <w:t>ó</w:t>
      </w:r>
      <w:r>
        <w:t>ak</w:t>
      </w:r>
      <w:r w:rsidRPr="00F64C5B">
        <w:t>:</w:t>
      </w:r>
    </w:p>
    <w:p w:rsidR="001F3132" w:rsidRPr="00F64C5B" w:rsidRDefault="001F3132" w:rsidP="001F3132">
      <w:pPr>
        <w:pStyle w:val="AAMNormal"/>
        <w:ind w:left="567"/>
        <w:rPr>
          <w:b/>
        </w:rPr>
      </w:pPr>
      <w:r w:rsidRPr="00F64C5B">
        <w:rPr>
          <w:b/>
        </w:rPr>
        <w:t xml:space="preserve">Irányító Hatóság </w:t>
      </w:r>
    </w:p>
    <w:p w:rsidR="001F3132" w:rsidRPr="00F64C5B" w:rsidRDefault="001F3132" w:rsidP="001F3132">
      <w:pPr>
        <w:pStyle w:val="AAMNormal"/>
        <w:ind w:left="709"/>
      </w:pPr>
      <w:r w:rsidRPr="00F64C5B">
        <w:t>Az Irányító Hatóság vezetője a minisztérium vezetője, aki ezt a feladatot delegálhatja. A vizsgált id</w:t>
      </w:r>
      <w:r w:rsidRPr="00F64C5B">
        <w:t>ő</w:t>
      </w:r>
      <w:r w:rsidRPr="00F64C5B">
        <w:t xml:space="preserve">szakban az Irányító Hatósági feladatköröket a </w:t>
      </w:r>
      <w:r w:rsidRPr="00F64C5B">
        <w:rPr>
          <w:b/>
        </w:rPr>
        <w:t>Vidékfejlesztési Minisztérium (korábban Földműv</w:t>
      </w:r>
      <w:r w:rsidRPr="00F64C5B">
        <w:rPr>
          <w:b/>
        </w:rPr>
        <w:t>e</w:t>
      </w:r>
      <w:r w:rsidRPr="00F64C5B">
        <w:rPr>
          <w:b/>
        </w:rPr>
        <w:t>lésügyi és Vidékfejlesztési Minisztérium) Agrár és Vidékfejlesztési Főosztálya</w:t>
      </w:r>
      <w:r w:rsidRPr="00F64C5B">
        <w:rPr>
          <w:rStyle w:val="FootnoteReference"/>
        </w:rPr>
        <w:footnoteReference w:id="35"/>
      </w:r>
      <w:r w:rsidRPr="00F64C5B">
        <w:t xml:space="preserve"> látta el, a kijelölt szakállamtitkár vezetésével, aki egyben a minisztertől az IH vezetői feladatokat is átvette.</w:t>
      </w:r>
    </w:p>
    <w:p w:rsidR="001F3132" w:rsidRPr="00F64C5B" w:rsidRDefault="001F3132" w:rsidP="001F3132">
      <w:pPr>
        <w:pStyle w:val="AAMNormal"/>
        <w:ind w:left="709"/>
        <w:rPr>
          <w:i/>
        </w:rPr>
      </w:pPr>
      <w:r w:rsidRPr="00F64C5B">
        <w:lastRenderedPageBreak/>
        <w:t>Az Irányító Hatóság feladatait elsősorban a 1698/2005/EK Rendelet</w:t>
      </w:r>
      <w:r w:rsidRPr="00F64C5B">
        <w:rPr>
          <w:rStyle w:val="FootnoteReference"/>
        </w:rPr>
        <w:footnoteReference w:id="36"/>
      </w:r>
      <w:r w:rsidRPr="00F64C5B">
        <w:t xml:space="preserve"> írja elő. Ez alapján </w:t>
      </w:r>
      <w:r w:rsidRPr="00F64C5B">
        <w:rPr>
          <w:b/>
        </w:rPr>
        <w:t>az Irány</w:t>
      </w:r>
      <w:r w:rsidRPr="00F64C5B">
        <w:rPr>
          <w:b/>
        </w:rPr>
        <w:t>í</w:t>
      </w:r>
      <w:r w:rsidRPr="00F64C5B">
        <w:rPr>
          <w:b/>
        </w:rPr>
        <w:t xml:space="preserve">tó Hatóság </w:t>
      </w:r>
      <w:r w:rsidRPr="00F64C5B">
        <w:rPr>
          <w:b/>
          <w:i/>
        </w:rPr>
        <w:t>felelős a program hatékony, eredményes és szabályszerű módon történő irányításáért és végrehajtásáért</w:t>
      </w:r>
      <w:r w:rsidRPr="00F64C5B">
        <w:rPr>
          <w:i/>
        </w:rPr>
        <w:t xml:space="preserve"> és különösen:</w:t>
      </w:r>
    </w:p>
    <w:p w:rsidR="001F3132" w:rsidRPr="00F64C5B" w:rsidRDefault="001F3132" w:rsidP="00D5521F">
      <w:pPr>
        <w:pStyle w:val="AAMNormal"/>
        <w:numPr>
          <w:ilvl w:val="0"/>
          <w:numId w:val="34"/>
        </w:numPr>
      </w:pPr>
      <w:r w:rsidRPr="00F64C5B">
        <w:t>a támogatási rendszer a vidékfejlesztési programhoz illeszkedő működtetéséért;</w:t>
      </w:r>
    </w:p>
    <w:p w:rsidR="001F3132" w:rsidRPr="00F64C5B" w:rsidRDefault="001F3132" w:rsidP="00D5521F">
      <w:pPr>
        <w:pStyle w:val="AAMNormal"/>
        <w:numPr>
          <w:ilvl w:val="0"/>
          <w:numId w:val="34"/>
        </w:numPr>
      </w:pPr>
      <w:r w:rsidRPr="00F64C5B">
        <w:t>a monitoring és értékelési rendszerhez szükséges adatokat biztosító informatikai háttér bi</w:t>
      </w:r>
      <w:r w:rsidRPr="00F64C5B">
        <w:t>z</w:t>
      </w:r>
      <w:r w:rsidRPr="00F64C5B">
        <w:t>tosításáért;</w:t>
      </w:r>
    </w:p>
    <w:p w:rsidR="001F3132" w:rsidRPr="00F64C5B" w:rsidRDefault="001F3132" w:rsidP="00D5521F">
      <w:pPr>
        <w:pStyle w:val="AAMNormal"/>
        <w:numPr>
          <w:ilvl w:val="0"/>
          <w:numId w:val="34"/>
        </w:numPr>
      </w:pPr>
      <w:r w:rsidRPr="00F64C5B">
        <w:t>az értékelések lebonyolításáért;</w:t>
      </w:r>
    </w:p>
    <w:p w:rsidR="001F3132" w:rsidRPr="00F64C5B" w:rsidRDefault="001F3132" w:rsidP="00D5521F">
      <w:pPr>
        <w:pStyle w:val="AAMNormal"/>
        <w:numPr>
          <w:ilvl w:val="0"/>
          <w:numId w:val="34"/>
        </w:numPr>
      </w:pPr>
      <w:r w:rsidRPr="00F64C5B">
        <w:t>a támogatottak a támogatásból fakadó kötelezettségeiről való tájékoztatásáért;</w:t>
      </w:r>
    </w:p>
    <w:p w:rsidR="001F3132" w:rsidRPr="00F64C5B" w:rsidRDefault="001F3132" w:rsidP="00D5521F">
      <w:pPr>
        <w:pStyle w:val="AAMNormal"/>
        <w:numPr>
          <w:ilvl w:val="0"/>
          <w:numId w:val="34"/>
        </w:numPr>
      </w:pPr>
      <w:r w:rsidRPr="00F64C5B">
        <w:t>a monitoring bizottság információkkal való ellátásáért;</w:t>
      </w:r>
    </w:p>
    <w:p w:rsidR="001F3132" w:rsidRPr="00F64C5B" w:rsidRDefault="001F3132" w:rsidP="00D5521F">
      <w:pPr>
        <w:pStyle w:val="AAMNormal"/>
        <w:numPr>
          <w:ilvl w:val="0"/>
          <w:numId w:val="34"/>
        </w:numPr>
      </w:pPr>
      <w:r w:rsidRPr="00F64C5B">
        <w:t>a program nyilvánosságának (transzparenciájának) biztosításáért;</w:t>
      </w:r>
    </w:p>
    <w:p w:rsidR="001F3132" w:rsidRPr="00F64C5B" w:rsidRDefault="001F3132" w:rsidP="00D5521F">
      <w:pPr>
        <w:pStyle w:val="AAMNormal"/>
        <w:numPr>
          <w:ilvl w:val="0"/>
          <w:numId w:val="34"/>
        </w:numPr>
      </w:pPr>
      <w:r w:rsidRPr="00F64C5B">
        <w:t>a Brüsszel felé benyújtandó jelentések elkészítéséért;</w:t>
      </w:r>
    </w:p>
    <w:p w:rsidR="001F3132" w:rsidRPr="00F64C5B" w:rsidRDefault="001F3132" w:rsidP="00D5521F">
      <w:pPr>
        <w:pStyle w:val="AAMNormal"/>
        <w:numPr>
          <w:ilvl w:val="0"/>
          <w:numId w:val="34"/>
        </w:numPr>
      </w:pPr>
      <w:r w:rsidRPr="00F64C5B">
        <w:t>a Helyi Akciócsoportok adminisztratív és pénzügyi működtetését lehetővé tevő rendszer k</w:t>
      </w:r>
      <w:r w:rsidRPr="00F64C5B">
        <w:t>i</w:t>
      </w:r>
      <w:r w:rsidRPr="00F64C5B">
        <w:t>alakításáért;</w:t>
      </w:r>
    </w:p>
    <w:p w:rsidR="001F3132" w:rsidRPr="00F64C5B" w:rsidRDefault="001F3132" w:rsidP="001F3132">
      <w:pPr>
        <w:pStyle w:val="AAMNormal"/>
        <w:ind w:left="709"/>
      </w:pPr>
      <w:r w:rsidRPr="00F64C5B">
        <w:t>A fentieken túl a Vidékfejlesztési Minisztériumnak kötelező ellátnia a tagország további, a 1698/2005/EK Rendelete által előírt feladatait, úgymint:</w:t>
      </w:r>
    </w:p>
    <w:p w:rsidR="001F3132" w:rsidRPr="00F64C5B" w:rsidRDefault="001F3132" w:rsidP="00D5521F">
      <w:pPr>
        <w:pStyle w:val="AAMNormal"/>
        <w:numPr>
          <w:ilvl w:val="0"/>
          <w:numId w:val="35"/>
        </w:numPr>
      </w:pPr>
      <w:r w:rsidRPr="00F64C5B">
        <w:t>a közösségi rendeletekben foglalt előírások érvényesítése;</w:t>
      </w:r>
    </w:p>
    <w:p w:rsidR="001F3132" w:rsidRPr="00F64C5B" w:rsidRDefault="001F3132" w:rsidP="00D5521F">
      <w:pPr>
        <w:pStyle w:val="AAMNormal"/>
        <w:numPr>
          <w:ilvl w:val="0"/>
          <w:numId w:val="35"/>
        </w:numPr>
      </w:pPr>
      <w:r w:rsidRPr="00F64C5B">
        <w:t>a programozás (tervkészítés) feladatai;</w:t>
      </w:r>
    </w:p>
    <w:p w:rsidR="001F3132" w:rsidRPr="00F64C5B" w:rsidRDefault="001F3132" w:rsidP="00D5521F">
      <w:pPr>
        <w:pStyle w:val="AAMNormal"/>
        <w:numPr>
          <w:ilvl w:val="0"/>
          <w:numId w:val="35"/>
        </w:numPr>
      </w:pPr>
      <w:r w:rsidRPr="00F64C5B">
        <w:t>a program felülvizsgálatainak feladatai;</w:t>
      </w:r>
    </w:p>
    <w:p w:rsidR="001F3132" w:rsidRPr="00F64C5B" w:rsidRDefault="001F3132" w:rsidP="00D5521F">
      <w:pPr>
        <w:pStyle w:val="AAMNormal"/>
        <w:numPr>
          <w:ilvl w:val="0"/>
          <w:numId w:val="35"/>
        </w:numPr>
      </w:pPr>
      <w:r w:rsidRPr="00F64C5B">
        <w:t>partnerség elvének érvényesítése;</w:t>
      </w:r>
    </w:p>
    <w:p w:rsidR="001F3132" w:rsidRPr="00F64C5B" w:rsidRDefault="001F3132" w:rsidP="00D5521F">
      <w:pPr>
        <w:pStyle w:val="AAMNormal"/>
        <w:numPr>
          <w:ilvl w:val="0"/>
          <w:numId w:val="35"/>
        </w:numPr>
      </w:pPr>
      <w:r w:rsidRPr="00F64C5B">
        <w:t>a támogatási feltételek részletes meghatározása (a hazai megoldásban ennek felelt meg a jogcím rendeletek kodifikálása);</w:t>
      </w:r>
    </w:p>
    <w:p w:rsidR="001F3132" w:rsidRPr="00F64C5B" w:rsidRDefault="001F3132" w:rsidP="00D5521F">
      <w:pPr>
        <w:pStyle w:val="AAMNormal"/>
        <w:numPr>
          <w:ilvl w:val="0"/>
          <w:numId w:val="35"/>
        </w:numPr>
      </w:pPr>
      <w:r w:rsidRPr="00F64C5B">
        <w:t>az irányítási és ellenőrző rendszerek létrehozását, biztosítva az Irányító Hatóság és az egyéb szervek között a funkciók egyértelmű megosztását és elválasztását.</w:t>
      </w:r>
    </w:p>
    <w:p w:rsidR="001F3132" w:rsidRPr="00F64C5B" w:rsidRDefault="001F3132" w:rsidP="001F3132">
      <w:pPr>
        <w:pStyle w:val="AAMNormal"/>
        <w:ind w:left="709"/>
      </w:pPr>
      <w:r w:rsidRPr="00F64C5B">
        <w:t>Ezeket a feladatokat is a Vidékfejlesztési Minisztérium (továbbiakban VM) Agrár és Vidékfejlesztési Főosztálya látta el, továbbá ez a szervezeti egység képviselte az ÚMVP rendszerét a magyar kö</w:t>
      </w:r>
      <w:r w:rsidRPr="00F64C5B">
        <w:t>z</w:t>
      </w:r>
      <w:r w:rsidRPr="00F64C5B">
        <w:t>igazgatás egyeztetési és döntéshozatali rendszerén belül.</w:t>
      </w:r>
    </w:p>
    <w:p w:rsidR="001F3132" w:rsidRPr="00F64C5B" w:rsidRDefault="001F3132" w:rsidP="001F3132">
      <w:pPr>
        <w:pStyle w:val="AAMNormal"/>
        <w:ind w:left="709"/>
      </w:pPr>
      <w:r w:rsidRPr="00F64C5B">
        <w:t>A Helyi Akciócsoportokhoz rendelt intézkedések kivételével az Irányító Hatóság dönthetett a ran</w:t>
      </w:r>
      <w:r w:rsidRPr="00F64C5B">
        <w:t>g</w:t>
      </w:r>
      <w:r w:rsidRPr="00F64C5B">
        <w:t>sorba állított kérelmek/pályázatok alapján az adott döntési körben megítélhető támogatás mérték</w:t>
      </w:r>
      <w:r w:rsidRPr="00F64C5B">
        <w:t>é</w:t>
      </w:r>
      <w:r w:rsidRPr="00F64C5B">
        <w:t>ről is. A III</w:t>
      </w:r>
      <w:r w:rsidR="00CC5E76">
        <w:t>.</w:t>
      </w:r>
      <w:r w:rsidRPr="00F64C5B">
        <w:t xml:space="preserve"> tengely egyes intézkedéseinél és a IV</w:t>
      </w:r>
      <w:r w:rsidR="00CC5E76">
        <w:t>.</w:t>
      </w:r>
      <w:r w:rsidRPr="00F64C5B">
        <w:t xml:space="preserve"> tengelyben a Helyi Akciócsoportok határozhatták meg, hogy az adott megnyitási körben mekkora forrást lehet szétosztani a bírálat során kialakult sorrend alapján.</w:t>
      </w:r>
    </w:p>
    <w:p w:rsidR="001F3132" w:rsidRPr="00F64C5B" w:rsidRDefault="001F3132" w:rsidP="001F3132">
      <w:pPr>
        <w:pStyle w:val="AAMNormal"/>
        <w:ind w:left="567"/>
        <w:rPr>
          <w:b/>
        </w:rPr>
      </w:pPr>
      <w:r w:rsidRPr="00F64C5B">
        <w:rPr>
          <w:b/>
        </w:rPr>
        <w:t>Monitoring Bizottság</w:t>
      </w:r>
    </w:p>
    <w:p w:rsidR="001F3132" w:rsidRPr="00F64C5B" w:rsidRDefault="001F3132" w:rsidP="001F3132">
      <w:pPr>
        <w:pStyle w:val="AAMNormal"/>
        <w:ind w:left="709"/>
      </w:pPr>
      <w:r w:rsidRPr="00F64C5B">
        <w:t>A Monitoring Bizottság a Tanács 1698/2005/EK Rendelete alapján köteles meggyőződni a vidékfe</w:t>
      </w:r>
      <w:r w:rsidRPr="00F64C5B">
        <w:t>j</w:t>
      </w:r>
      <w:r w:rsidRPr="00F64C5B">
        <w:t>lesztési program végrehajtásának eredményességéről. Ezen kötelessége teljesítése érdekében ko</w:t>
      </w:r>
      <w:r w:rsidRPr="00F64C5B">
        <w:t>n</w:t>
      </w:r>
      <w:r w:rsidRPr="00F64C5B">
        <w:t>zultációs joggal rendelkezik a projektek kiválasztási szempontjaival kapcsolatban és minden egyéb módon jogosult a végrehajtás eredményességét ellenőrizni. Kötelezettsége a Bizottság felé benyú</w:t>
      </w:r>
      <w:r w:rsidRPr="00F64C5B">
        <w:t>j</w:t>
      </w:r>
      <w:r w:rsidRPr="00F64C5B">
        <w:lastRenderedPageBreak/>
        <w:t>tandó Éves jelentéseket, valamint a Zárójelentést megfontolni és a kiküldést megelőzően jóváhag</w:t>
      </w:r>
      <w:r w:rsidRPr="00F64C5B">
        <w:t>y</w:t>
      </w:r>
      <w:r w:rsidRPr="00F64C5B">
        <w:t>ni.</w:t>
      </w:r>
    </w:p>
    <w:p w:rsidR="00447BB8" w:rsidRPr="00F64C5B" w:rsidRDefault="00447BB8" w:rsidP="001F3132">
      <w:pPr>
        <w:pStyle w:val="AAMNormal"/>
        <w:ind w:left="709"/>
      </w:pPr>
    </w:p>
    <w:p w:rsidR="001F3132" w:rsidRPr="00F64C5B" w:rsidRDefault="001F3132" w:rsidP="001F3132">
      <w:pPr>
        <w:pStyle w:val="AAMNormal"/>
      </w:pPr>
      <w:r w:rsidRPr="00F64C5B">
        <w:t xml:space="preserve">A </w:t>
      </w:r>
      <w:r w:rsidRPr="00F64C5B">
        <w:rPr>
          <w:b/>
        </w:rPr>
        <w:t>Végrehajtó funkcióhoz</w:t>
      </w:r>
      <w:r w:rsidRPr="00F64C5B">
        <w:t xml:space="preserve"> </w:t>
      </w:r>
      <w:r>
        <w:t>az alábbi intézmények tartoznak:</w:t>
      </w:r>
    </w:p>
    <w:p w:rsidR="001F3132" w:rsidRPr="00F64C5B" w:rsidRDefault="001F3132" w:rsidP="001F3132">
      <w:pPr>
        <w:pStyle w:val="AAMNormal"/>
        <w:ind w:left="567"/>
        <w:rPr>
          <w:b/>
        </w:rPr>
      </w:pPr>
      <w:r w:rsidRPr="00F64C5B">
        <w:rPr>
          <w:b/>
        </w:rPr>
        <w:t>Kifizető Ügynökség illetve Mezőgazdasági és Vidékfejlesztési Támogatási Szerv</w:t>
      </w:r>
    </w:p>
    <w:p w:rsidR="001F3132" w:rsidRPr="00F64C5B" w:rsidRDefault="001F3132" w:rsidP="001F3132">
      <w:pPr>
        <w:pStyle w:val="AAMNormal"/>
        <w:ind w:left="709"/>
      </w:pPr>
      <w:r w:rsidRPr="00F64C5B">
        <w:rPr>
          <w:b/>
        </w:rPr>
        <w:t>A Kifizető Ügynökségi feladatkört a Mezőgazdasági és Vidékfejlesztési Hivatal (továbbiakban MVH) látta el a vizsgált időszakban.</w:t>
      </w:r>
      <w:r w:rsidRPr="00F64C5B">
        <w:t xml:space="preserve"> A Kifizető Ügynökség feladatait átfogóan a 1290/2005 EK</w:t>
      </w:r>
      <w:r w:rsidRPr="00F64C5B">
        <w:rPr>
          <w:rStyle w:val="FootnoteReference"/>
        </w:rPr>
        <w:footnoteReference w:id="37"/>
      </w:r>
      <w:r w:rsidRPr="00F64C5B">
        <w:t xml:space="preserve"> rendelet írja le. Eszerint az Ügynökségnek kell garantálnia, hogy </w:t>
      </w:r>
    </w:p>
    <w:p w:rsidR="001F3132" w:rsidRPr="00F64C5B" w:rsidRDefault="001F3132" w:rsidP="00D5521F">
      <w:pPr>
        <w:pStyle w:val="AAMNormal"/>
        <w:numPr>
          <w:ilvl w:val="0"/>
          <w:numId w:val="36"/>
        </w:numPr>
      </w:pPr>
      <w:r w:rsidRPr="00F64C5B">
        <w:t>csak olyan kifizetés történjen EMVA forrásból, amelyet a közösségi és hazai jogszabályo</w:t>
      </w:r>
      <w:r w:rsidRPr="00F64C5B">
        <w:t>k</w:t>
      </w:r>
      <w:r w:rsidRPr="00F64C5B">
        <w:t>nak megfelelő kiválasztási eljárás során, a jogszabályoknak megfelelő célra ítéltek meg;</w:t>
      </w:r>
    </w:p>
    <w:p w:rsidR="001F3132" w:rsidRPr="00F64C5B" w:rsidRDefault="001F3132" w:rsidP="00D5521F">
      <w:pPr>
        <w:pStyle w:val="AAMNormal"/>
        <w:numPr>
          <w:ilvl w:val="0"/>
          <w:numId w:val="36"/>
        </w:numPr>
      </w:pPr>
      <w:r w:rsidRPr="00F64C5B">
        <w:t>a teljesített kifizetések könyvelése pontosan és teljes körűen történik;</w:t>
      </w:r>
    </w:p>
    <w:p w:rsidR="001F3132" w:rsidRPr="00F64C5B" w:rsidRDefault="001F3132" w:rsidP="00D5521F">
      <w:pPr>
        <w:pStyle w:val="AAMNormal"/>
        <w:numPr>
          <w:ilvl w:val="0"/>
          <w:numId w:val="36"/>
        </w:numPr>
      </w:pPr>
      <w:r w:rsidRPr="00F64C5B">
        <w:t>végrehajtják a közösségi jogszabályokban meghatározott ellenőrzéseket;</w:t>
      </w:r>
    </w:p>
    <w:p w:rsidR="001F3132" w:rsidRPr="00F64C5B" w:rsidRDefault="001F3132" w:rsidP="00D5521F">
      <w:pPr>
        <w:pStyle w:val="AAMNormal"/>
        <w:numPr>
          <w:ilvl w:val="0"/>
          <w:numId w:val="36"/>
        </w:numPr>
      </w:pPr>
      <w:r w:rsidRPr="00F64C5B">
        <w:t>a kifizetésekhez szükséges dokumentumok benyújtására a közösségi szabályokban megá</w:t>
      </w:r>
      <w:r w:rsidRPr="00F64C5B">
        <w:t>l</w:t>
      </w:r>
      <w:r w:rsidRPr="00F64C5B">
        <w:t>lapított határidőn belül és formában kerül sor;</w:t>
      </w:r>
    </w:p>
    <w:p w:rsidR="001F3132" w:rsidRPr="00F64C5B" w:rsidRDefault="001F3132" w:rsidP="00D5521F">
      <w:pPr>
        <w:pStyle w:val="AAMNormal"/>
        <w:numPr>
          <w:ilvl w:val="0"/>
          <w:numId w:val="36"/>
        </w:numPr>
      </w:pPr>
      <w:r w:rsidRPr="00F64C5B">
        <w:t>a közösségi felülvizsgálatokhoz szükséges formában a kifizetési dokumentációt megőrzik.</w:t>
      </w:r>
    </w:p>
    <w:p w:rsidR="001F3132" w:rsidRPr="00F64C5B" w:rsidRDefault="001F3132" w:rsidP="001F3132">
      <w:pPr>
        <w:pStyle w:val="AAMNormal"/>
        <w:ind w:left="709"/>
      </w:pPr>
      <w:r w:rsidRPr="00F64C5B">
        <w:t>A fenti előírásoknak megfelelően az MVH végzi a támogatott projektek ellenőrzését és a kifizetési f</w:t>
      </w:r>
      <w:r w:rsidRPr="00F64C5B">
        <w:t>o</w:t>
      </w:r>
      <w:r w:rsidRPr="00F64C5B">
        <w:t>lyamat lebonyolítását.</w:t>
      </w:r>
    </w:p>
    <w:p w:rsidR="001F3132" w:rsidRPr="00F64C5B" w:rsidRDefault="001F3132" w:rsidP="001F3132">
      <w:pPr>
        <w:pStyle w:val="AAMNormal"/>
        <w:ind w:left="709"/>
        <w:rPr>
          <w:b/>
        </w:rPr>
      </w:pPr>
      <w:r w:rsidRPr="00F64C5B">
        <w:rPr>
          <w:b/>
        </w:rPr>
        <w:t>A leírtakon túl az MVH több olyan feladatkört is ellát, amelyek a program lebonyolításához szüks</w:t>
      </w:r>
      <w:r w:rsidRPr="00F64C5B">
        <w:rPr>
          <w:b/>
        </w:rPr>
        <w:t>é</w:t>
      </w:r>
      <w:r w:rsidRPr="00F64C5B">
        <w:rPr>
          <w:b/>
        </w:rPr>
        <w:t xml:space="preserve">gesek, de nem kapcsolódnak közvetlenül és feltétlenül a Kifizető Ügynökségi szerepkörhöz </w:t>
      </w:r>
      <w:r w:rsidRPr="00F64C5B">
        <w:t>(a k</w:t>
      </w:r>
      <w:r w:rsidRPr="00F64C5B">
        <w:t>ö</w:t>
      </w:r>
      <w:r w:rsidRPr="00F64C5B">
        <w:t>zösségi szabályozásban sem). Ezeket a feladatokat 2007 évi XVII. törvény</w:t>
      </w:r>
      <w:r w:rsidRPr="00F64C5B">
        <w:rPr>
          <w:rStyle w:val="FootnoteReference"/>
        </w:rPr>
        <w:footnoteReference w:id="38"/>
      </w:r>
      <w:r w:rsidRPr="00F64C5B">
        <w:t xml:space="preserve"> és a 256/2007. (X. 4.) Korm. rendelet</w:t>
      </w:r>
      <w:r w:rsidRPr="00F64C5B">
        <w:rPr>
          <w:rStyle w:val="FootnoteReference"/>
        </w:rPr>
        <w:footnoteReference w:id="39"/>
      </w:r>
      <w:r w:rsidRPr="00F64C5B">
        <w:t xml:space="preserve"> alapján látja el az MVH, mint a mezőgazdasági és vidékfejlesztési támogatási szerv. </w:t>
      </w:r>
      <w:r w:rsidRPr="00F64C5B">
        <w:rPr>
          <w:b/>
        </w:rPr>
        <w:t xml:space="preserve">Ezek a feladatok jelentős mértékben megegyeznek az </w:t>
      </w:r>
      <w:proofErr w:type="spellStart"/>
      <w:r w:rsidRPr="00F64C5B">
        <w:rPr>
          <w:b/>
        </w:rPr>
        <w:t>ÚMFT-ben</w:t>
      </w:r>
      <w:proofErr w:type="spellEnd"/>
      <w:r w:rsidRPr="00F64C5B">
        <w:rPr>
          <w:b/>
        </w:rPr>
        <w:t xml:space="preserve"> Közreműködő Szervezetként tevékenykedő intézmények feladataival. </w:t>
      </w:r>
    </w:p>
    <w:p w:rsidR="001F3132" w:rsidRPr="00F64C5B" w:rsidRDefault="001F3132" w:rsidP="001F3132">
      <w:pPr>
        <w:pStyle w:val="AAMNormal"/>
        <w:ind w:left="709"/>
      </w:pPr>
      <w:r w:rsidRPr="00F64C5B">
        <w:t>Közreműködői minőségében az MVH látja el a kiválasztási eljárás lebonyolítását:</w:t>
      </w:r>
    </w:p>
    <w:p w:rsidR="001F3132" w:rsidRPr="00F64C5B" w:rsidRDefault="001F3132" w:rsidP="00D5521F">
      <w:pPr>
        <w:pStyle w:val="AAMNormal"/>
        <w:numPr>
          <w:ilvl w:val="0"/>
          <w:numId w:val="37"/>
        </w:numPr>
      </w:pPr>
      <w:r w:rsidRPr="00F64C5B">
        <w:t>a kérelmek/pályázatok befogadását;</w:t>
      </w:r>
    </w:p>
    <w:p w:rsidR="001F3132" w:rsidRPr="00F64C5B" w:rsidRDefault="001F3132" w:rsidP="00D5521F">
      <w:pPr>
        <w:pStyle w:val="AAMNormal"/>
        <w:numPr>
          <w:ilvl w:val="0"/>
          <w:numId w:val="37"/>
        </w:numPr>
      </w:pPr>
      <w:r w:rsidRPr="00F64C5B">
        <w:t>a kérelmek/pályázatok adminisztratív ellenőrzését (befogadhatóság megállapítása);</w:t>
      </w:r>
    </w:p>
    <w:p w:rsidR="001F3132" w:rsidRPr="00F64C5B" w:rsidRDefault="001F3132" w:rsidP="00D5521F">
      <w:pPr>
        <w:pStyle w:val="AAMNormal"/>
        <w:numPr>
          <w:ilvl w:val="0"/>
          <w:numId w:val="37"/>
        </w:numPr>
      </w:pPr>
      <w:r w:rsidRPr="00F64C5B">
        <w:t>a kérelmek/pályázatok hiánypótoltatását;</w:t>
      </w:r>
    </w:p>
    <w:p w:rsidR="001F3132" w:rsidRPr="00F64C5B" w:rsidRDefault="001F3132" w:rsidP="00D5521F">
      <w:pPr>
        <w:pStyle w:val="AAMNormal"/>
        <w:numPr>
          <w:ilvl w:val="0"/>
          <w:numId w:val="37"/>
        </w:numPr>
      </w:pPr>
      <w:r w:rsidRPr="00F64C5B">
        <w:t>előzetes helyszíni szemle lebonyolítását;</w:t>
      </w:r>
    </w:p>
    <w:p w:rsidR="001F3132" w:rsidRPr="00F64C5B" w:rsidRDefault="001F3132" w:rsidP="00D5521F">
      <w:pPr>
        <w:pStyle w:val="AAMNormal"/>
        <w:numPr>
          <w:ilvl w:val="0"/>
          <w:numId w:val="37"/>
        </w:numPr>
      </w:pPr>
      <w:r w:rsidRPr="00F64C5B">
        <w:t>döntés előkészítését;</w:t>
      </w:r>
    </w:p>
    <w:p w:rsidR="001F3132" w:rsidRPr="00F64C5B" w:rsidRDefault="001F3132" w:rsidP="00D5521F">
      <w:pPr>
        <w:pStyle w:val="AAMNormal"/>
        <w:numPr>
          <w:ilvl w:val="0"/>
          <w:numId w:val="37"/>
        </w:numPr>
      </w:pPr>
      <w:r w:rsidRPr="00F64C5B">
        <w:t>a támogatási határozat kibocsátását;</w:t>
      </w:r>
    </w:p>
    <w:p w:rsidR="001F3132" w:rsidRPr="00F64C5B" w:rsidRDefault="001F3132" w:rsidP="00D5521F">
      <w:pPr>
        <w:pStyle w:val="AAMNormal"/>
        <w:numPr>
          <w:ilvl w:val="0"/>
          <w:numId w:val="37"/>
        </w:numPr>
      </w:pPr>
      <w:r w:rsidRPr="00F64C5B">
        <w:t>a kérelmezővel/pályázóval/támogatottal folytatott levelezés lebonyolítását.</w:t>
      </w:r>
    </w:p>
    <w:p w:rsidR="001F3132" w:rsidRPr="00F64C5B" w:rsidRDefault="001F3132" w:rsidP="001F3132">
      <w:pPr>
        <w:pStyle w:val="AAMNormal"/>
        <w:ind w:left="709"/>
      </w:pPr>
      <w:r w:rsidRPr="00F64C5B">
        <w:t xml:space="preserve">A Hivatal működteti továbbá az ÚMVP nyilvántartásainak informatikai hátterét adó IIER rendszert, amely célja szerint egyszerre szolgálná ki az MVH Kifizető Ügynökségi és egyéb feladatait, továbbá az Irányító Hatóság és a Vidékfejlesztési Minisztérium egyéb információs igényeit. </w:t>
      </w:r>
    </w:p>
    <w:p w:rsidR="001F3132" w:rsidRPr="00F64C5B" w:rsidRDefault="001F3132" w:rsidP="001F3132">
      <w:pPr>
        <w:pStyle w:val="AAMNormal"/>
        <w:ind w:left="709"/>
      </w:pPr>
      <w:r w:rsidRPr="00F64C5B">
        <w:lastRenderedPageBreak/>
        <w:t>Továbbá a Hivatal dolgozta ki az elszámolások alapját képező szabályrendszer részleteit (legtöb</w:t>
      </w:r>
      <w:r w:rsidRPr="00F64C5B">
        <w:t>b</w:t>
      </w:r>
      <w:r w:rsidRPr="00F64C5B">
        <w:t xml:space="preserve">ször MVH közlemény formában). </w:t>
      </w:r>
    </w:p>
    <w:p w:rsidR="001F3132" w:rsidRPr="00F64C5B" w:rsidRDefault="001F3132" w:rsidP="001F3132">
      <w:pPr>
        <w:pStyle w:val="AAMNormal"/>
        <w:ind w:left="709"/>
      </w:pPr>
      <w:r w:rsidRPr="00F64C5B">
        <w:t>Szintén az MVH dolgozta ki a kérelmek benyújtásához szükséges formanyomtatványokat. Az MVH munkatársai továbbá az IH egyedi felkérése alapján részt vettek az egyes jogcímrendeletek kidolg</w:t>
      </w:r>
      <w:r w:rsidRPr="00F64C5B">
        <w:t>o</w:t>
      </w:r>
      <w:r w:rsidRPr="00F64C5B">
        <w:t>zásában is.</w:t>
      </w:r>
    </w:p>
    <w:p w:rsidR="001F3132" w:rsidRPr="00F64C5B" w:rsidRDefault="001F3132" w:rsidP="001F3132">
      <w:pPr>
        <w:pStyle w:val="AAMNormal"/>
        <w:ind w:left="709"/>
      </w:pPr>
      <w:r w:rsidRPr="00F64C5B">
        <w:t>Fontos még rögzíteni, hogy az MVH látja el az Európai Mezőgazdasági Garancia Alap (közvetlen a</w:t>
      </w:r>
      <w:r w:rsidRPr="00F64C5B">
        <w:t>g</w:t>
      </w:r>
      <w:r w:rsidRPr="00F64C5B">
        <w:t>rártámogatások) esetében a Kifizető Ügynökségi, Európai Halászati Alap esetében a Közreműködő Szervezeti, továbbá a nemzeti hatáskörbe tartozó mezőgazdasági, agrár-vidékfejlesztési támogat</w:t>
      </w:r>
      <w:r w:rsidRPr="00F64C5B">
        <w:t>á</w:t>
      </w:r>
      <w:r w:rsidRPr="00F64C5B">
        <w:t>sokkal összefüggő végrehajtási feladatokat. Ezeken túl egyedi kormány határozatok mentén a Hiv</w:t>
      </w:r>
      <w:r w:rsidRPr="00F64C5B">
        <w:t>a</w:t>
      </w:r>
      <w:r w:rsidRPr="00F64C5B">
        <w:t>tal további nyilvántartási és piacszabályozási feladatokat is ellát.</w:t>
      </w:r>
    </w:p>
    <w:p w:rsidR="001F3132" w:rsidRPr="00F64C5B" w:rsidRDefault="001F3132" w:rsidP="001F3132">
      <w:pPr>
        <w:pStyle w:val="AAMNormal"/>
        <w:ind w:left="709"/>
      </w:pPr>
      <w:r w:rsidRPr="00F64C5B">
        <w:rPr>
          <w:b/>
        </w:rPr>
        <w:t>A Kifizető Ügynökségi (a kifizetések kivételével) és egyéb feladatok átruházhatóak más intézm</w:t>
      </w:r>
      <w:r w:rsidRPr="00F64C5B">
        <w:rPr>
          <w:b/>
        </w:rPr>
        <w:t>é</w:t>
      </w:r>
      <w:r w:rsidRPr="00F64C5B">
        <w:rPr>
          <w:b/>
        </w:rPr>
        <w:t>nyekre is.</w:t>
      </w:r>
      <w:r w:rsidRPr="00F64C5B">
        <w:t xml:space="preserve"> A magyar intézményrendszer is élt ezzel és a MVH a 2007. évi XVII. törvény adta felhata</w:t>
      </w:r>
      <w:r w:rsidRPr="00F64C5B">
        <w:t>l</w:t>
      </w:r>
      <w:r w:rsidRPr="00F64C5B">
        <w:t xml:space="preserve">mazással és delegálási megállapodást kötött a Mezőgazdasági Szakigazgatási Hivatallal (MGSZH), a korábbi Környezetvédelmi és Vízügyi Minisztérium Természet- és </w:t>
      </w:r>
      <w:proofErr w:type="spellStart"/>
      <w:r w:rsidRPr="00F64C5B">
        <w:t>Környezetmegőrzési</w:t>
      </w:r>
      <w:proofErr w:type="spellEnd"/>
      <w:r w:rsidRPr="00F64C5B">
        <w:t xml:space="preserve"> Szakállamti</w:t>
      </w:r>
      <w:r w:rsidRPr="00F64C5B">
        <w:t>t</w:t>
      </w:r>
      <w:r w:rsidRPr="00F64C5B">
        <w:t>kársággal, a Földmérési és Távérzékelési Intézettel, a Mezőgazdasági Gépesítési Intézettel, továbbá a Helyi Akciócsoportokkal (HACS).</w:t>
      </w:r>
    </w:p>
    <w:p w:rsidR="001F3132" w:rsidRPr="00F64C5B" w:rsidRDefault="001F3132" w:rsidP="001F3132">
      <w:pPr>
        <w:pStyle w:val="AAMNormal"/>
        <w:ind w:left="709"/>
      </w:pPr>
      <w:r w:rsidRPr="00F64C5B">
        <w:t>Az MGSZH a II. tengelyben egyes intézkedései kapcsán működik közre a kiválasztási, kifizetési elj</w:t>
      </w:r>
      <w:r w:rsidRPr="00F64C5B">
        <w:t>á</w:t>
      </w:r>
      <w:r w:rsidRPr="00F64C5B">
        <w:t>rásban, továbbá lát el ellenőrzési feladatokat.</w:t>
      </w:r>
    </w:p>
    <w:p w:rsidR="001F3132" w:rsidRPr="00F64C5B" w:rsidRDefault="001F3132" w:rsidP="001F3132">
      <w:pPr>
        <w:pStyle w:val="AAMNormal"/>
        <w:ind w:left="709"/>
      </w:pPr>
      <w:r w:rsidRPr="00F64C5B">
        <w:t xml:space="preserve">A korábbi Környezetvédelmi és Vízügyi Minisztérium Természet- és </w:t>
      </w:r>
      <w:proofErr w:type="spellStart"/>
      <w:r w:rsidRPr="00F64C5B">
        <w:t>Környezetmegőrzési</w:t>
      </w:r>
      <w:proofErr w:type="spellEnd"/>
      <w:r w:rsidRPr="00F64C5B">
        <w:t xml:space="preserve"> Szakálla</w:t>
      </w:r>
      <w:r w:rsidRPr="00F64C5B">
        <w:t>m</w:t>
      </w:r>
      <w:r w:rsidRPr="00F64C5B">
        <w:t>titkárságán keresztül a Nemzeti Parkok szakemberei támogatást nyújtottak, illetve ellenőrzésekben működtek közre a II. tengely intézkedéseinek természetvédelmi célú előírásai tekintetében.</w:t>
      </w:r>
    </w:p>
    <w:p w:rsidR="001F3132" w:rsidRPr="00F64C5B" w:rsidRDefault="001F3132" w:rsidP="001F3132">
      <w:pPr>
        <w:pStyle w:val="AAMNormal"/>
        <w:ind w:left="709"/>
      </w:pPr>
      <w:r w:rsidRPr="00F64C5B">
        <w:t>A Földmérési és Távérzékelési Intézet a MEPAR</w:t>
      </w:r>
      <w:r w:rsidRPr="00F64C5B">
        <w:rPr>
          <w:rStyle w:val="FootnoteReference"/>
        </w:rPr>
        <w:footnoteReference w:id="40"/>
      </w:r>
      <w:r w:rsidRPr="00F64C5B">
        <w:t xml:space="preserve"> rendszer üzemeltetése és fejlesztését és a távé</w:t>
      </w:r>
      <w:r w:rsidRPr="00F64C5B">
        <w:t>r</w:t>
      </w:r>
      <w:r w:rsidRPr="00F64C5B">
        <w:t>zékelési feladatokat látta el delegálási szerződés keretében.</w:t>
      </w:r>
    </w:p>
    <w:p w:rsidR="001F3132" w:rsidRPr="00F64C5B" w:rsidRDefault="001F3132" w:rsidP="001F3132">
      <w:pPr>
        <w:pStyle w:val="AAMNormal"/>
        <w:ind w:left="709"/>
      </w:pPr>
      <w:r w:rsidRPr="00F64C5B">
        <w:t>A Mezőgazdasági és Gépesítési Intézet a Környezetvédelmi, állatjóléti és higiéniai előírások megfel</w:t>
      </w:r>
      <w:r w:rsidRPr="00F64C5B">
        <w:t>e</w:t>
      </w:r>
      <w:r w:rsidRPr="00F64C5B">
        <w:t>léshez kapcsolódó jogcímek esetében nyújtott szakértői támogatást az MVH számára az ellenőrzési metódus kialakításához, továbbá kialakította a Mezőgazdasági Gépkatalógust, ami több jogcím is alkalmaz a referenciaárak meghatározására.</w:t>
      </w:r>
    </w:p>
    <w:p w:rsidR="001F3132" w:rsidRPr="00F64C5B" w:rsidRDefault="001F3132" w:rsidP="001F3132">
      <w:pPr>
        <w:pStyle w:val="AAMNormal"/>
        <w:ind w:left="709"/>
      </w:pPr>
      <w:r w:rsidRPr="00F64C5B">
        <w:t>A Helyi Akciócsoportok a kérelemkezelésben kaptak szerepet, mint „az MVH helyi irodái”. A III</w:t>
      </w:r>
      <w:r w:rsidR="00CC5E76">
        <w:t>.</w:t>
      </w:r>
      <w:r w:rsidRPr="00F64C5B">
        <w:t xml:space="preserve"> te</w:t>
      </w:r>
      <w:r w:rsidRPr="00F64C5B">
        <w:t>n</w:t>
      </w:r>
      <w:r w:rsidRPr="00F64C5B">
        <w:t>gely egyes intézkedéseinél, illetve a IV</w:t>
      </w:r>
      <w:r w:rsidR="00CC5E76">
        <w:t>.</w:t>
      </w:r>
      <w:r w:rsidRPr="00F64C5B">
        <w:t xml:space="preserve"> tengely összes kérelmét a </w:t>
      </w:r>
      <w:proofErr w:type="spellStart"/>
      <w:r w:rsidRPr="00F64C5B">
        <w:t>HACS-okhoz</w:t>
      </w:r>
      <w:proofErr w:type="spellEnd"/>
      <w:r w:rsidRPr="00F64C5B">
        <w:t xml:space="preserve"> kellett benyújtani. Ezeket a kérelmeket első lépésben a </w:t>
      </w:r>
      <w:proofErr w:type="spellStart"/>
      <w:r w:rsidRPr="00F64C5B">
        <w:t>HACS-ok</w:t>
      </w:r>
      <w:proofErr w:type="spellEnd"/>
      <w:r w:rsidRPr="00F64C5B">
        <w:t xml:space="preserve"> dolgozták fel.</w:t>
      </w:r>
    </w:p>
    <w:p w:rsidR="001F3132" w:rsidRPr="00F64C5B" w:rsidRDefault="001F3132" w:rsidP="001F3132">
      <w:pPr>
        <w:pStyle w:val="AAMNormal"/>
        <w:ind w:left="709"/>
      </w:pPr>
    </w:p>
    <w:p w:rsidR="001F3132" w:rsidRPr="00F64C5B" w:rsidRDefault="001F3132" w:rsidP="001F3132">
      <w:pPr>
        <w:pStyle w:val="AAMNormal"/>
        <w:ind w:left="567"/>
        <w:rPr>
          <w:b/>
        </w:rPr>
      </w:pPr>
      <w:r w:rsidRPr="00F64C5B">
        <w:rPr>
          <w:b/>
        </w:rPr>
        <w:t>Vidékfejlesztési Képzési és Szaktanácsadási Intézet</w:t>
      </w:r>
    </w:p>
    <w:p w:rsidR="001F3132" w:rsidRPr="00F64C5B" w:rsidRDefault="001F3132" w:rsidP="001F3132">
      <w:pPr>
        <w:pStyle w:val="AAMNormal"/>
        <w:ind w:left="709"/>
      </w:pPr>
      <w:r w:rsidRPr="00F64C5B">
        <w:t>Egy támogatási program lebonyolítása több olyan feladatkör ellátását is szükségessé teszi, amelyek nem kapcsolódnak közvetlenül a kérelmek/pályázatok kiválasztásához, elbírálásához. Ezek a fe</w:t>
      </w:r>
      <w:r w:rsidRPr="00F64C5B">
        <w:t>l</w:t>
      </w:r>
      <w:r w:rsidRPr="00F64C5B">
        <w:t>adatkörök az Irányító Hatósághoz rendelt, de jellemzően operatív feladatokat foglalják magukba, amelyeket szinte minden támogatási rendszerben egy közigazgatási háttérintézmény (az ÚMFT te</w:t>
      </w:r>
      <w:r w:rsidRPr="00F64C5B">
        <w:t>r</w:t>
      </w:r>
      <w:r w:rsidRPr="00F64C5B">
        <w:t>minológiáját átvéve Közreműködő Szervezet) lát el. Az ÚMVP intézményrendszerében ezeket a fe</w:t>
      </w:r>
      <w:r w:rsidRPr="00F64C5B">
        <w:t>l</w:t>
      </w:r>
      <w:r w:rsidRPr="00F64C5B">
        <w:t xml:space="preserve">adatokat a Vidékfejlesztési Képzési és Szaktanácsadási Intézet (VKSZI) látta el. </w:t>
      </w:r>
    </w:p>
    <w:p w:rsidR="001F3132" w:rsidRPr="00F64C5B" w:rsidRDefault="001F3132" w:rsidP="001F3132">
      <w:pPr>
        <w:pStyle w:val="AAMNormal"/>
        <w:ind w:left="709"/>
      </w:pPr>
      <w:r w:rsidRPr="00F64C5B">
        <w:lastRenderedPageBreak/>
        <w:t>A VKSZI bonyolította le a tájékoztatás és nyilvánosság ellátásával (kommunikáció) kapcsolatos t</w:t>
      </w:r>
      <w:r w:rsidRPr="00F64C5B">
        <w:t>e</w:t>
      </w:r>
      <w:r w:rsidRPr="00F64C5B">
        <w:t>vékenységeket, leginkább a kapcsolódó közbeszerzések lebonyolítását és a szerződések működt</w:t>
      </w:r>
      <w:r w:rsidRPr="00F64C5B">
        <w:t>e</w:t>
      </w:r>
      <w:r w:rsidRPr="00F64C5B">
        <w:t>tését.</w:t>
      </w:r>
    </w:p>
    <w:p w:rsidR="001F3132" w:rsidRPr="00F64C5B" w:rsidRDefault="001F3132" w:rsidP="001F3132">
      <w:pPr>
        <w:pStyle w:val="AAMNormal"/>
        <w:ind w:left="709"/>
      </w:pPr>
      <w:r w:rsidRPr="00F64C5B">
        <w:t>A VKSZI továbbá ellátja az ÚMVP 111-es intézkedéséhez (Szakképzési és tájékoztatási tevékenys</w:t>
      </w:r>
      <w:r w:rsidRPr="00F64C5B">
        <w:t>é</w:t>
      </w:r>
      <w:r w:rsidRPr="00F64C5B">
        <w:t>gek) kapcsolódó képzőhelyek és képzések akkreditációs, nyilvántartási feladatait is.</w:t>
      </w:r>
    </w:p>
    <w:p w:rsidR="001F3132" w:rsidRPr="00F64C5B" w:rsidRDefault="001F3132" w:rsidP="001F3132">
      <w:pPr>
        <w:pStyle w:val="AAMNormal"/>
        <w:ind w:left="709"/>
      </w:pPr>
      <w:r w:rsidRPr="00F64C5B">
        <w:t>Szintén a VKSZI működtette a Regionális Szaktanácsadási Központokat, továbbá biztosította a M</w:t>
      </w:r>
      <w:r w:rsidRPr="00F64C5B">
        <w:t>a</w:t>
      </w:r>
      <w:r w:rsidRPr="00F64C5B">
        <w:t>gyar Nemzeti Vidékfejlesztési Hálózat hátterét szolgáltató titkárságot és a szükséges támogató funkciókat (pl.: nyilvántartások vezetése).</w:t>
      </w:r>
    </w:p>
    <w:p w:rsidR="001F3132" w:rsidRDefault="001F3132" w:rsidP="001F3132">
      <w:pPr>
        <w:pStyle w:val="AAMNormal"/>
        <w:ind w:left="709"/>
      </w:pPr>
      <w:r w:rsidRPr="00F64C5B">
        <w:t>A VKSZI továbbá szerepet kapott a 321-es intézkedés (A vidéki gazdaság és lakosság számára nyú</w:t>
      </w:r>
      <w:r w:rsidRPr="00F64C5B">
        <w:t>j</w:t>
      </w:r>
      <w:r w:rsidRPr="00F64C5B">
        <w:t>tott alapszolgáltatások) lebonyolításában az első körös pályázatok elbírálásában. Ez a pályázati kör az Integrált Közösségi Szolgáltató címre méltó szervezetek kiválasztását szolgálta, akik később p</w:t>
      </w:r>
      <w:r w:rsidRPr="00F64C5B">
        <w:t>á</w:t>
      </w:r>
      <w:r w:rsidRPr="00F64C5B">
        <w:t xml:space="preserve">lyázhattak infrastrukturális és működési támogatásra az </w:t>
      </w:r>
      <w:proofErr w:type="spellStart"/>
      <w:r w:rsidRPr="00F64C5B">
        <w:t>ÚMVP-ben</w:t>
      </w:r>
      <w:proofErr w:type="spellEnd"/>
      <w:r w:rsidRPr="00F64C5B">
        <w:t>.</w:t>
      </w:r>
    </w:p>
    <w:p w:rsidR="001F3132" w:rsidRPr="00F64C5B" w:rsidRDefault="001F3132" w:rsidP="001F3132">
      <w:pPr>
        <w:pStyle w:val="AAMNormal"/>
        <w:ind w:left="709"/>
      </w:pPr>
    </w:p>
    <w:p w:rsidR="001F3132" w:rsidRPr="00F64C5B" w:rsidRDefault="001F3132" w:rsidP="001F3132">
      <w:pPr>
        <w:pStyle w:val="AAMNormal"/>
        <w:ind w:left="567"/>
        <w:rPr>
          <w:b/>
        </w:rPr>
      </w:pPr>
      <w:r w:rsidRPr="00F64C5B">
        <w:rPr>
          <w:b/>
        </w:rPr>
        <w:t>Agrárgazdasági Kutató Intézet</w:t>
      </w:r>
    </w:p>
    <w:p w:rsidR="001F3132" w:rsidRPr="00F64C5B" w:rsidRDefault="001F3132" w:rsidP="001F3132">
      <w:pPr>
        <w:pStyle w:val="AAMNormal"/>
        <w:ind w:left="709"/>
      </w:pPr>
      <w:r w:rsidRPr="00F64C5B">
        <w:t>Az Agrárgazdasági Kutató Intézet (AKI) a Vidékfejlesztési Minisztérium háttérintézményeként műk</w:t>
      </w:r>
      <w:r w:rsidRPr="00F64C5B">
        <w:t>ö</w:t>
      </w:r>
      <w:r w:rsidRPr="00F64C5B">
        <w:t>dött közre. Az Intézet saját adatközlése szerint az ÚMVP lebonyolításában az első és második teng</w:t>
      </w:r>
      <w:r w:rsidRPr="00F64C5B">
        <w:t>e</w:t>
      </w:r>
      <w:r w:rsidRPr="00F64C5B">
        <w:t>lyéhez kapcsolódó tervezés, megvalósítási, monitoring és értékelési feladatokat végzett. Eseti fe</w:t>
      </w:r>
      <w:r w:rsidRPr="00F64C5B">
        <w:t>l</w:t>
      </w:r>
      <w:r w:rsidRPr="00F64C5B">
        <w:t xml:space="preserve">adatként </w:t>
      </w:r>
      <w:proofErr w:type="gramStart"/>
      <w:r w:rsidRPr="00F64C5B">
        <w:t>az</w:t>
      </w:r>
      <w:proofErr w:type="gramEnd"/>
      <w:r w:rsidRPr="00F64C5B">
        <w:t xml:space="preserve"> AKI a Bizottság észrevételeire adott válaszok, magyarázatok megalapozását, előkész</w:t>
      </w:r>
      <w:r w:rsidRPr="00F64C5B">
        <w:t>í</w:t>
      </w:r>
      <w:r w:rsidRPr="00F64C5B">
        <w:t>tését, valamint a programmal kapcsolatos kiegészítő elemzések, indoklások elkészítését is vállalta.</w:t>
      </w:r>
    </w:p>
    <w:p w:rsidR="001F3132" w:rsidRPr="00F64C5B" w:rsidRDefault="001F3132" w:rsidP="001F3132">
      <w:pPr>
        <w:pStyle w:val="AAMNormal"/>
        <w:ind w:left="709"/>
      </w:pPr>
      <w:proofErr w:type="gramStart"/>
      <w:r w:rsidRPr="00F64C5B">
        <w:t>Az</w:t>
      </w:r>
      <w:proofErr w:type="gramEnd"/>
      <w:r w:rsidRPr="00F64C5B">
        <w:t xml:space="preserve"> AKI működteti továbbá a FADN (tesztüzemi) adatbázist, ami az Intézet szerint reprezentatívnak tekinthető, arra a 90 ezer árutermelő üzemre az agráriumból, melyek az AKI megközelítése szerint valós hozzáadott értékkel hozzájárulnak az ország GDP-jéhez. A FADN alapján </w:t>
      </w:r>
      <w:proofErr w:type="gramStart"/>
      <w:r w:rsidRPr="00F64C5B">
        <w:t>az</w:t>
      </w:r>
      <w:proofErr w:type="gramEnd"/>
      <w:r w:rsidRPr="00F64C5B">
        <w:t xml:space="preserve"> AKI az üzleti tervek elbírálásához benchmark adatokat szolgáltatott az MVH számára.</w:t>
      </w:r>
    </w:p>
    <w:p w:rsidR="001F3132" w:rsidRPr="00F64C5B" w:rsidRDefault="001F3132" w:rsidP="001F3132">
      <w:pPr>
        <w:pStyle w:val="AAMNormal"/>
        <w:ind w:left="709"/>
      </w:pPr>
      <w:proofErr w:type="gramStart"/>
      <w:r w:rsidRPr="00F64C5B">
        <w:t>Az</w:t>
      </w:r>
      <w:proofErr w:type="gramEnd"/>
      <w:r w:rsidRPr="00F64C5B">
        <w:t xml:space="preserve"> AKI jellemzően monitoring, illetve szakértői feladatok elvégzése tárggyal kapott TS forrást és adatközlése alapján a következő feladatokat látta el</w:t>
      </w:r>
      <w:r w:rsidRPr="00F64C5B">
        <w:rPr>
          <w:rStyle w:val="FootnoteReference"/>
        </w:rPr>
        <w:footnoteReference w:id="41"/>
      </w:r>
      <w:r w:rsidRPr="00F64C5B">
        <w:t>:</w:t>
      </w:r>
    </w:p>
    <w:p w:rsidR="001F3132" w:rsidRPr="00F64C5B" w:rsidRDefault="001F3132" w:rsidP="001F3132">
      <w:pPr>
        <w:pStyle w:val="AAMNormal"/>
        <w:ind w:left="709"/>
        <w:rPr>
          <w:b/>
        </w:rPr>
      </w:pPr>
      <w:r w:rsidRPr="00F64C5B">
        <w:rPr>
          <w:b/>
        </w:rPr>
        <w:t>2007 év:</w:t>
      </w:r>
    </w:p>
    <w:p w:rsidR="001F3132" w:rsidRPr="00F64C5B" w:rsidRDefault="001F3132" w:rsidP="00D5521F">
      <w:pPr>
        <w:pStyle w:val="AAMNormal"/>
        <w:numPr>
          <w:ilvl w:val="0"/>
          <w:numId w:val="38"/>
        </w:numPr>
      </w:pPr>
      <w:r w:rsidRPr="00F64C5B">
        <w:t>közreműködés az ÚMVP tervezői munkacsoportjaiban;</w:t>
      </w:r>
    </w:p>
    <w:p w:rsidR="001F3132" w:rsidRPr="00F64C5B" w:rsidRDefault="001F3132" w:rsidP="00D5521F">
      <w:pPr>
        <w:pStyle w:val="AAMNormal"/>
        <w:numPr>
          <w:ilvl w:val="0"/>
          <w:numId w:val="38"/>
        </w:numPr>
      </w:pPr>
      <w:r w:rsidRPr="00F64C5B">
        <w:t>az intézkedéseket megalapozó elemzések elkészítése, frissítése;</w:t>
      </w:r>
    </w:p>
    <w:p w:rsidR="001F3132" w:rsidRPr="00F64C5B" w:rsidRDefault="001F3132" w:rsidP="00D5521F">
      <w:pPr>
        <w:pStyle w:val="AAMNormal"/>
        <w:numPr>
          <w:ilvl w:val="0"/>
          <w:numId w:val="38"/>
        </w:numPr>
      </w:pPr>
      <w:r w:rsidRPr="00F64C5B">
        <w:t>adatok biztosítása a tervezési folyamathoz;</w:t>
      </w:r>
    </w:p>
    <w:p w:rsidR="001F3132" w:rsidRPr="00F64C5B" w:rsidRDefault="001F3132" w:rsidP="00D5521F">
      <w:pPr>
        <w:pStyle w:val="AAMNormal"/>
        <w:numPr>
          <w:ilvl w:val="0"/>
          <w:numId w:val="38"/>
        </w:numPr>
      </w:pPr>
      <w:r w:rsidRPr="00F64C5B">
        <w:t>az EU által előírt kötelező (bázis) és kiegészítő (nemzeti, addicionális) indikátorok rendsz</w:t>
      </w:r>
      <w:r w:rsidRPr="00F64C5B">
        <w:t>e</w:t>
      </w:r>
      <w:r w:rsidRPr="00F64C5B">
        <w:t>rének kialakítása, az indikátorok kiindulási és célértékeinek meghatározása;</w:t>
      </w:r>
    </w:p>
    <w:p w:rsidR="001F3132" w:rsidRPr="00F64C5B" w:rsidRDefault="001F3132" w:rsidP="00D5521F">
      <w:pPr>
        <w:pStyle w:val="AAMNormal"/>
        <w:numPr>
          <w:ilvl w:val="0"/>
          <w:numId w:val="38"/>
        </w:numPr>
      </w:pPr>
      <w:r w:rsidRPr="00F64C5B">
        <w:t>az intézkedések alkalmazásához kapcsolódó jogszabály-tervezetek véleményezése, össz</w:t>
      </w:r>
      <w:r w:rsidRPr="00F64C5B">
        <w:t>e</w:t>
      </w:r>
      <w:r w:rsidRPr="00F64C5B">
        <w:t>vetése a programban szereplő intézkedések leírásával, az esetleges eltérések kiszűrése;</w:t>
      </w:r>
    </w:p>
    <w:p w:rsidR="001F3132" w:rsidRPr="00F64C5B" w:rsidRDefault="001F3132" w:rsidP="00D5521F">
      <w:pPr>
        <w:pStyle w:val="AAMNormal"/>
        <w:numPr>
          <w:ilvl w:val="0"/>
          <w:numId w:val="38"/>
        </w:numPr>
      </w:pPr>
      <w:r w:rsidRPr="00F64C5B">
        <w:t>az egyes tengely forrásallokációjának meghatározása, indoklása;</w:t>
      </w:r>
    </w:p>
    <w:p w:rsidR="001F3132" w:rsidRPr="00F64C5B" w:rsidRDefault="001F3132" w:rsidP="00D5521F">
      <w:pPr>
        <w:pStyle w:val="AAMNormal"/>
        <w:numPr>
          <w:ilvl w:val="0"/>
          <w:numId w:val="38"/>
        </w:numPr>
      </w:pPr>
      <w:r w:rsidRPr="00F64C5B">
        <w:t>a jogosultsági feltételek és a támogatási összegek meghatározásában való közreműködés „</w:t>
      </w:r>
      <w:proofErr w:type="gramStart"/>
      <w:r w:rsidRPr="00F64C5B">
        <w:t>A</w:t>
      </w:r>
      <w:proofErr w:type="gramEnd"/>
      <w:r w:rsidRPr="00F64C5B">
        <w:t xml:space="preserve"> közösségi jogszabályokon alapuló előírások betartása” és az „Állatjóléti kifizetések” v</w:t>
      </w:r>
      <w:r w:rsidRPr="00F64C5B">
        <w:t>i</w:t>
      </w:r>
      <w:r w:rsidRPr="00F64C5B">
        <w:t>dékfejlesztési intézkedéseknél.</w:t>
      </w:r>
    </w:p>
    <w:p w:rsidR="001F3132" w:rsidRPr="00F64C5B" w:rsidRDefault="001F3132" w:rsidP="00D5521F">
      <w:pPr>
        <w:pStyle w:val="AAMNormal"/>
        <w:numPr>
          <w:ilvl w:val="0"/>
          <w:numId w:val="38"/>
        </w:numPr>
      </w:pPr>
      <w:r w:rsidRPr="00F64C5B">
        <w:lastRenderedPageBreak/>
        <w:t>a jogcímek bírálati szempontjaihoz segédanyagok, útmutatók elkészítése a tesztüzemi ad</w:t>
      </w:r>
      <w:r w:rsidRPr="00F64C5B">
        <w:t>a</w:t>
      </w:r>
      <w:r w:rsidRPr="00F64C5B">
        <w:t>tokra alapozva.</w:t>
      </w:r>
    </w:p>
    <w:p w:rsidR="001F3132" w:rsidRPr="00F64C5B" w:rsidRDefault="001F3132" w:rsidP="001F3132">
      <w:pPr>
        <w:pStyle w:val="AAMNormal"/>
        <w:ind w:left="709"/>
        <w:rPr>
          <w:b/>
        </w:rPr>
      </w:pPr>
      <w:r w:rsidRPr="00F64C5B">
        <w:rPr>
          <w:b/>
        </w:rPr>
        <w:t>2008 év:</w:t>
      </w:r>
    </w:p>
    <w:p w:rsidR="001F3132" w:rsidRPr="00F64C5B" w:rsidRDefault="001F3132" w:rsidP="00D5521F">
      <w:pPr>
        <w:pStyle w:val="AAMNormal"/>
        <w:numPr>
          <w:ilvl w:val="0"/>
          <w:numId w:val="38"/>
        </w:numPr>
      </w:pPr>
      <w:r w:rsidRPr="00F64C5B">
        <w:t>közreműködés az ÚMVP éves előrehaladási jelentésének elkészítésében;</w:t>
      </w:r>
    </w:p>
    <w:p w:rsidR="001F3132" w:rsidRPr="00F64C5B" w:rsidRDefault="001F3132" w:rsidP="00D5521F">
      <w:pPr>
        <w:pStyle w:val="AAMNormal"/>
        <w:numPr>
          <w:ilvl w:val="0"/>
          <w:numId w:val="38"/>
        </w:numPr>
      </w:pPr>
      <w:r w:rsidRPr="00F64C5B">
        <w:t>továbbra is megjelenik feladatként az EU által előírt kötelező (bázis) és kiegészítő (nemzeti, addicionális) indikátorok rendszerének kialakítása, az indikátorok kiindulási és célértéke</w:t>
      </w:r>
      <w:r w:rsidRPr="00F64C5B">
        <w:t>i</w:t>
      </w:r>
      <w:r w:rsidRPr="00F64C5B">
        <w:t>nek meghatározása;</w:t>
      </w:r>
    </w:p>
    <w:p w:rsidR="001F3132" w:rsidRPr="00F64C5B" w:rsidRDefault="001F3132" w:rsidP="00D5521F">
      <w:pPr>
        <w:pStyle w:val="AAMNormal"/>
        <w:numPr>
          <w:ilvl w:val="0"/>
          <w:numId w:val="38"/>
        </w:numPr>
      </w:pPr>
      <w:r w:rsidRPr="00F64C5B">
        <w:t>egyes intézkedések szakmai elbírálását segítő további eljárások kidolgozása;</w:t>
      </w:r>
    </w:p>
    <w:p w:rsidR="001F3132" w:rsidRPr="00F64C5B" w:rsidRDefault="001F3132" w:rsidP="00D5521F">
      <w:pPr>
        <w:pStyle w:val="AAMNormal"/>
        <w:numPr>
          <w:ilvl w:val="0"/>
          <w:numId w:val="38"/>
        </w:numPr>
      </w:pPr>
      <w:r w:rsidRPr="00F64C5B">
        <w:t>a vidékfejlesztési intézkedésekhez kapcsolódó szakértői anyagok készítése;</w:t>
      </w:r>
    </w:p>
    <w:p w:rsidR="001F3132" w:rsidRPr="00F64C5B" w:rsidRDefault="001F3132" w:rsidP="00D5521F">
      <w:pPr>
        <w:pStyle w:val="AAMNormal"/>
        <w:numPr>
          <w:ilvl w:val="0"/>
          <w:numId w:val="38"/>
        </w:numPr>
      </w:pPr>
      <w:r w:rsidRPr="00F64C5B">
        <w:t>a kifizetett támogatásokkal kapcsolatos értékelő feladatok ellátása;</w:t>
      </w:r>
    </w:p>
    <w:p w:rsidR="001F3132" w:rsidRPr="00F64C5B" w:rsidRDefault="001F3132" w:rsidP="001F3132">
      <w:pPr>
        <w:pStyle w:val="AAMNormal"/>
        <w:ind w:left="709"/>
        <w:rPr>
          <w:b/>
        </w:rPr>
      </w:pPr>
      <w:r w:rsidRPr="00F64C5B">
        <w:rPr>
          <w:b/>
        </w:rPr>
        <w:t>2009 év:</w:t>
      </w:r>
    </w:p>
    <w:p w:rsidR="001F3132" w:rsidRPr="00F64C5B" w:rsidRDefault="001F3132" w:rsidP="00D5521F">
      <w:pPr>
        <w:pStyle w:val="AAMNormal"/>
        <w:numPr>
          <w:ilvl w:val="0"/>
          <w:numId w:val="38"/>
        </w:numPr>
      </w:pPr>
      <w:r w:rsidRPr="00F64C5B">
        <w:t>közreműködés az ÚMVP éves előrehaladási jelentésének elkészítésében;</w:t>
      </w:r>
    </w:p>
    <w:p w:rsidR="001F3132" w:rsidRPr="00F64C5B" w:rsidRDefault="001F3132" w:rsidP="00D5521F">
      <w:pPr>
        <w:pStyle w:val="AAMNormal"/>
        <w:numPr>
          <w:ilvl w:val="0"/>
          <w:numId w:val="38"/>
        </w:numPr>
      </w:pPr>
      <w:r w:rsidRPr="00F64C5B">
        <w:t>a Bizottság észrevételeire (informális és hivatalos) adott válaszok, magyarázatok megal</w:t>
      </w:r>
      <w:r w:rsidRPr="00F64C5B">
        <w:t>a</w:t>
      </w:r>
      <w:r w:rsidRPr="00F64C5B">
        <w:t>pozása, előkészítése, a programmal kapcsolatban, szükség szerinti kiegészítő elemzések, indoklások elkészítése;</w:t>
      </w:r>
    </w:p>
    <w:p w:rsidR="001F3132" w:rsidRPr="00F64C5B" w:rsidRDefault="001F3132" w:rsidP="00D5521F">
      <w:pPr>
        <w:pStyle w:val="AAMNormal"/>
        <w:numPr>
          <w:ilvl w:val="0"/>
          <w:numId w:val="38"/>
        </w:numPr>
      </w:pPr>
      <w:r w:rsidRPr="00F64C5B">
        <w:t>a kifizetett támogatásokkal kapcsolatos értékelő feladatok ellátása;</w:t>
      </w:r>
    </w:p>
    <w:p w:rsidR="001F3132" w:rsidRPr="00F64C5B" w:rsidRDefault="001F3132" w:rsidP="00D5521F">
      <w:pPr>
        <w:pStyle w:val="AAMNormal"/>
        <w:numPr>
          <w:ilvl w:val="0"/>
          <w:numId w:val="38"/>
        </w:numPr>
      </w:pPr>
      <w:r w:rsidRPr="00F64C5B">
        <w:t>a Standard Fedezeti Hozzájárulás (SFH) értékeinek frissítése;</w:t>
      </w:r>
    </w:p>
    <w:p w:rsidR="001F3132" w:rsidRPr="00F64C5B" w:rsidRDefault="001F3132" w:rsidP="00D5521F">
      <w:pPr>
        <w:pStyle w:val="AAMNormal"/>
        <w:numPr>
          <w:ilvl w:val="0"/>
          <w:numId w:val="38"/>
        </w:numPr>
      </w:pPr>
      <w:r w:rsidRPr="00F64C5B">
        <w:t>a Közös Agrárpolitika felülvizsgálatával kapcsolatos elemzések, javaslatok a magyar állá</w:t>
      </w:r>
      <w:r w:rsidRPr="00F64C5B">
        <w:t>s</w:t>
      </w:r>
      <w:r w:rsidRPr="00F64C5B">
        <w:t>pont kialakításához;</w:t>
      </w:r>
    </w:p>
    <w:p w:rsidR="001F3132" w:rsidRPr="00F64C5B" w:rsidRDefault="001F3132" w:rsidP="00D5521F">
      <w:pPr>
        <w:pStyle w:val="AAMNormal"/>
        <w:numPr>
          <w:ilvl w:val="0"/>
          <w:numId w:val="38"/>
        </w:numPr>
      </w:pPr>
      <w:r w:rsidRPr="00F64C5B">
        <w:t>az ÚMVP terület- és állatlétszám alapú támogatásai (II. tengely) és az SPS kapcsolatának vizsgálata;</w:t>
      </w:r>
    </w:p>
    <w:p w:rsidR="001F3132" w:rsidRPr="00F64C5B" w:rsidRDefault="001F3132" w:rsidP="00D5521F">
      <w:pPr>
        <w:pStyle w:val="AAMNormal"/>
        <w:numPr>
          <w:ilvl w:val="0"/>
          <w:numId w:val="38"/>
        </w:numPr>
      </w:pPr>
      <w:r w:rsidRPr="00F64C5B">
        <w:t>a Közös Agrárpolitika egészségügyi felülvizsgálata („</w:t>
      </w:r>
      <w:proofErr w:type="spellStart"/>
      <w:r w:rsidRPr="00F64C5B">
        <w:t>health</w:t>
      </w:r>
      <w:proofErr w:type="spellEnd"/>
      <w:r w:rsidRPr="00F64C5B">
        <w:t xml:space="preserve"> </w:t>
      </w:r>
      <w:proofErr w:type="spellStart"/>
      <w:r w:rsidRPr="00F64C5B">
        <w:t>check</w:t>
      </w:r>
      <w:proofErr w:type="spellEnd"/>
      <w:r w:rsidRPr="00F64C5B">
        <w:t>”) és az Európai Gazd</w:t>
      </w:r>
      <w:r w:rsidRPr="00F64C5B">
        <w:t>a</w:t>
      </w:r>
      <w:r w:rsidRPr="00F64C5B">
        <w:t>ságélénkítő Csomag (EERP) által szükségessé tett ÚMVP módosítás (állatjóléti támogat</w:t>
      </w:r>
      <w:r w:rsidRPr="00F64C5B">
        <w:t>á</w:t>
      </w:r>
      <w:r w:rsidRPr="00F64C5B">
        <w:t>sok) kidolgozása, szakmai támogatása;</w:t>
      </w:r>
    </w:p>
    <w:p w:rsidR="001F3132" w:rsidRPr="00F64C5B" w:rsidRDefault="001F3132" w:rsidP="00D5521F">
      <w:pPr>
        <w:pStyle w:val="AAMNormal"/>
        <w:numPr>
          <w:ilvl w:val="0"/>
          <w:numId w:val="38"/>
        </w:numPr>
      </w:pPr>
      <w:r w:rsidRPr="00F64C5B">
        <w:t>a tejpiacon tapasztalható zavarok kiküszöbölésében az ÚMVP eszközei hatékonyságának felmérése és helyzetjelentésekbe, elemzésekbe, előrejelzésekbe való beépítése;</w:t>
      </w:r>
    </w:p>
    <w:p w:rsidR="001F3132" w:rsidRPr="00F64C5B" w:rsidRDefault="001F3132" w:rsidP="00D5521F">
      <w:pPr>
        <w:pStyle w:val="AAMNormal"/>
        <w:numPr>
          <w:ilvl w:val="0"/>
          <w:numId w:val="38"/>
        </w:numPr>
      </w:pPr>
      <w:r w:rsidRPr="00F64C5B">
        <w:t>a 2014-2020. közötti Közös Agrárpolitika kialakításával kapcsolatos javaslatok a magyar á</w:t>
      </w:r>
      <w:r w:rsidRPr="00F64C5B">
        <w:t>l</w:t>
      </w:r>
      <w:r w:rsidRPr="00F64C5B">
        <w:t>láspont kialakításához.</w:t>
      </w:r>
    </w:p>
    <w:p w:rsidR="001F3132" w:rsidRPr="00F64C5B" w:rsidRDefault="001F3132" w:rsidP="001F3132">
      <w:pPr>
        <w:pStyle w:val="AAMNormal"/>
        <w:ind w:left="709"/>
      </w:pPr>
      <w:r w:rsidRPr="00F64C5B">
        <w:t>2010 évben a korábban is elvégzett alapfeladatok (pl.: éves jelentés, adatszolgáltatás) mellett t</w:t>
      </w:r>
      <w:r w:rsidRPr="00F64C5B">
        <w:t>o</w:t>
      </w:r>
      <w:r w:rsidRPr="00F64C5B">
        <w:t xml:space="preserve">vábbi a </w:t>
      </w:r>
      <w:proofErr w:type="spellStart"/>
      <w:r w:rsidRPr="00F64C5B">
        <w:t>KAP-hoz</w:t>
      </w:r>
      <w:proofErr w:type="spellEnd"/>
      <w:r w:rsidRPr="00F64C5B">
        <w:t xml:space="preserve"> és a vidékfejlesztési beavatkozásokat megalapozó tanulmányok elvégzése is me</w:t>
      </w:r>
      <w:r w:rsidRPr="00F64C5B">
        <w:t>g</w:t>
      </w:r>
      <w:r w:rsidRPr="00F64C5B">
        <w:t>jelent.</w:t>
      </w:r>
    </w:p>
    <w:p w:rsidR="001F3132" w:rsidRDefault="001F3132" w:rsidP="001F3132">
      <w:pPr>
        <w:pStyle w:val="AAMNormal"/>
      </w:pPr>
    </w:p>
    <w:p w:rsidR="001F3132" w:rsidRPr="00F64C5B" w:rsidRDefault="001F3132" w:rsidP="001F3132">
      <w:pPr>
        <w:pStyle w:val="AAMNormal"/>
      </w:pPr>
      <w:r w:rsidRPr="00F64C5B">
        <w:t xml:space="preserve">Az ÚMVP intézményrendszerében a független </w:t>
      </w:r>
      <w:r w:rsidRPr="00F64C5B">
        <w:rPr>
          <w:b/>
        </w:rPr>
        <w:t>ellenőrzési funkciót az Igazoló Szerv látja el</w:t>
      </w:r>
      <w:r w:rsidRPr="00F64C5B">
        <w:t>. A 1290/2005 EK rendelet értelmében az Igazoló Szerv az akkreditált kifizető ügynökségek számláit igazolja, a valódiság, te</w:t>
      </w:r>
      <w:r w:rsidRPr="00F64C5B">
        <w:t>l</w:t>
      </w:r>
      <w:r w:rsidRPr="00F64C5B">
        <w:t>jesség és pontosság szempontjából, az ügynökség által bevezetett irányítási és ellenőrzési rendszer figy</w:t>
      </w:r>
      <w:r w:rsidRPr="00F64C5B">
        <w:t>e</w:t>
      </w:r>
      <w:r w:rsidRPr="00F64C5B">
        <w:t>lembevételével. Ezt a feladatkört a KPMG Hungária Kft. látta el 2007-től 2010. első feléig, amikor is a sze</w:t>
      </w:r>
      <w:r w:rsidRPr="00F64C5B">
        <w:t>r</w:t>
      </w:r>
      <w:r w:rsidRPr="00F64C5B">
        <w:t xml:space="preserve">ződése lejárt. </w:t>
      </w:r>
    </w:p>
    <w:p w:rsidR="001F3132" w:rsidRDefault="001F3132" w:rsidP="001F3132">
      <w:pPr>
        <w:pStyle w:val="AAMNormal"/>
      </w:pPr>
    </w:p>
    <w:p w:rsidR="001F3132" w:rsidRPr="00F64C5B" w:rsidRDefault="001F3132" w:rsidP="001F3132">
      <w:pPr>
        <w:pStyle w:val="AAMNormal"/>
      </w:pPr>
      <w:r w:rsidRPr="00F64C5B">
        <w:lastRenderedPageBreak/>
        <w:t>A támogatási rendszerek sikerességének egyik fontos eleme a potenciális pályázók támogatása informác</w:t>
      </w:r>
      <w:r w:rsidRPr="00F64C5B">
        <w:t>i</w:t>
      </w:r>
      <w:r w:rsidRPr="00F64C5B">
        <w:t>ókkal és projektfejlesztési tanácsadással. Ez különösen igaz az agrárszektor és a vidéki területek fejleszt</w:t>
      </w:r>
      <w:r w:rsidRPr="00F64C5B">
        <w:t>é</w:t>
      </w:r>
      <w:r w:rsidRPr="00F64C5B">
        <w:t>sében, hiszen a potenciális támogatottak információhoz jutása itt a leginkább nehézkes, mert sok olyan m</w:t>
      </w:r>
      <w:r w:rsidRPr="00F64C5B">
        <w:t>a</w:t>
      </w:r>
      <w:r w:rsidRPr="00F64C5B">
        <w:t>gánszemély, szervezet van, akik felkészültsége hiányos a fejlesztések előkészítéséhez, lebonyolításához. Más támogatási rendszerekben (pl.: ÚMFT) nem, vagy csak kivételes esetben jelennek meg magánszem</w:t>
      </w:r>
      <w:r w:rsidRPr="00F64C5B">
        <w:t>é</w:t>
      </w:r>
      <w:r w:rsidRPr="00F64C5B">
        <w:t>lyek kedvezményezettként, míg az agrár- és vidékfejlesztésben hangsúlyos célcsoportot jelentenek. Továbbá az ÚMVP mind az agráriumban, mind a vidéki területek fejlesztésében szerkezetváltást irányozott elő, ami leginkább projektgenerálással, projektfejlesztési tanácsadással, információnyújtással érhető el. Egyéb t</w:t>
      </w:r>
      <w:r w:rsidRPr="00F64C5B">
        <w:t>á</w:t>
      </w:r>
      <w:r w:rsidRPr="00F64C5B">
        <w:t>mogatási rendszerek tapasztalatai alapján kimondható, hogy a források elosztása menedzsment segítség nélkül önmagában nem jelent megoldást, komplex szerkezetátalakítási célok eléréséhez.</w:t>
      </w:r>
    </w:p>
    <w:p w:rsidR="001F3132" w:rsidRDefault="001F3132" w:rsidP="001F3132">
      <w:pPr>
        <w:pStyle w:val="AAMNormal"/>
      </w:pPr>
      <w:r w:rsidRPr="00F64C5B">
        <w:t xml:space="preserve">Ezért az ÚMVP intézményrendszere is több olyan </w:t>
      </w:r>
      <w:r w:rsidRPr="00F64C5B">
        <w:rPr>
          <w:b/>
        </w:rPr>
        <w:t xml:space="preserve">támogató funkciót </w:t>
      </w:r>
      <w:r w:rsidRPr="00F64C5B">
        <w:t>alakított</w:t>
      </w:r>
      <w:r w:rsidRPr="00F64C5B">
        <w:rPr>
          <w:b/>
        </w:rPr>
        <w:t xml:space="preserve"> </w:t>
      </w:r>
      <w:r w:rsidRPr="00F64C5B">
        <w:t>ki, amely a különböző célcs</w:t>
      </w:r>
      <w:r w:rsidRPr="00F64C5B">
        <w:t>o</w:t>
      </w:r>
      <w:r w:rsidRPr="00F64C5B">
        <w:t>portok tájékozódását és a kérelmek/pályázatok benyújtását segítette elő. Az ÚMVP rendszerében több sze</w:t>
      </w:r>
      <w:r w:rsidRPr="00F64C5B">
        <w:t>r</w:t>
      </w:r>
      <w:r w:rsidRPr="00F64C5B">
        <w:t>vezet töltötte be ezt a szerepkört.</w:t>
      </w:r>
    </w:p>
    <w:p w:rsidR="001F3132" w:rsidRPr="00F64C5B" w:rsidRDefault="001F3132" w:rsidP="001F3132">
      <w:pPr>
        <w:pStyle w:val="AAMNormal"/>
        <w:ind w:left="567"/>
        <w:rPr>
          <w:b/>
        </w:rPr>
      </w:pPr>
      <w:r w:rsidRPr="00F64C5B">
        <w:rPr>
          <w:b/>
        </w:rPr>
        <w:t>Helyi Akciócsoportok</w:t>
      </w:r>
    </w:p>
    <w:p w:rsidR="001F3132" w:rsidRPr="00F64C5B" w:rsidRDefault="001F3132" w:rsidP="001F3132">
      <w:pPr>
        <w:pStyle w:val="AAMNormal"/>
        <w:ind w:left="709"/>
      </w:pPr>
      <w:r w:rsidRPr="00F64C5B">
        <w:t xml:space="preserve">A 96 Helyi Akciócsoport a LEADER céljai szerint is a helyi közösségek fejlesztéseinek sikerességéért jött létre, ezért alapfeladatuk a tájékoztatás, projektgenerálás, projekttámogatás a </w:t>
      </w:r>
      <w:proofErr w:type="spellStart"/>
      <w:r w:rsidRPr="00F64C5B">
        <w:t>III</w:t>
      </w:r>
      <w:r w:rsidR="00CC5E76">
        <w:t>.</w:t>
      </w:r>
      <w:r w:rsidRPr="00F64C5B">
        <w:t>és</w:t>
      </w:r>
      <w:proofErr w:type="spellEnd"/>
      <w:r w:rsidRPr="00F64C5B">
        <w:t xml:space="preserve"> IV</w:t>
      </w:r>
      <w:r w:rsidR="00CC5E76">
        <w:t>.</w:t>
      </w:r>
      <w:r w:rsidRPr="00F64C5B">
        <w:t xml:space="preserve"> tengely kapcsán. Sőt a </w:t>
      </w:r>
      <w:proofErr w:type="spellStart"/>
      <w:r w:rsidRPr="00F64C5B">
        <w:t>HACS-ok</w:t>
      </w:r>
      <w:proofErr w:type="spellEnd"/>
      <w:r w:rsidRPr="00F64C5B">
        <w:t xml:space="preserve"> elvileg az I-II</w:t>
      </w:r>
      <w:r w:rsidR="00CC5E76">
        <w:t>.</w:t>
      </w:r>
      <w:r w:rsidRPr="00F64C5B">
        <w:t xml:space="preserve"> tengelyre és az </w:t>
      </w:r>
      <w:proofErr w:type="spellStart"/>
      <w:r w:rsidRPr="00F64C5B">
        <w:t>ÚMFT-re</w:t>
      </w:r>
      <w:proofErr w:type="spellEnd"/>
      <w:r w:rsidRPr="00F64C5B">
        <w:t xml:space="preserve"> is figyelemmel készítették el Helyi V</w:t>
      </w:r>
      <w:r w:rsidRPr="00F64C5B">
        <w:t>i</w:t>
      </w:r>
      <w:r w:rsidRPr="00F64C5B">
        <w:t xml:space="preserve">dékfejlesztési Stratégiájukat, bár </w:t>
      </w:r>
      <w:proofErr w:type="gramStart"/>
      <w:r w:rsidRPr="00F64C5B">
        <w:t>ezen</w:t>
      </w:r>
      <w:proofErr w:type="gramEnd"/>
      <w:r w:rsidRPr="00F64C5B">
        <w:t xml:space="preserve"> források részleteiről csak a publikusan elérhető i</w:t>
      </w:r>
      <w:r w:rsidRPr="00F64C5B">
        <w:t>n</w:t>
      </w:r>
      <w:r w:rsidRPr="00F64C5B">
        <w:t xml:space="preserve">formációk álltak rendelkezésükre. A támogató funkciót a </w:t>
      </w:r>
      <w:proofErr w:type="spellStart"/>
      <w:r w:rsidRPr="00F64C5B">
        <w:t>HACS-ok</w:t>
      </w:r>
      <w:proofErr w:type="spellEnd"/>
      <w:r w:rsidRPr="00F64C5B">
        <w:t xml:space="preserve"> mind területileg, mind időben e</w:t>
      </w:r>
      <w:r w:rsidRPr="00F64C5B">
        <w:t>l</w:t>
      </w:r>
      <w:r w:rsidRPr="00F64C5B">
        <w:t>térő módon oldották meg, de mindegyiknél megjelent ez a tevékenység, mind passzív (ügyfélszolgálat rendelk</w:t>
      </w:r>
      <w:r w:rsidRPr="00F64C5B">
        <w:t>e</w:t>
      </w:r>
      <w:r w:rsidRPr="00F64C5B">
        <w:t xml:space="preserve">zésre állása), mind aktív (pl.: előadások) </w:t>
      </w:r>
      <w:proofErr w:type="gramStart"/>
      <w:r w:rsidRPr="00F64C5B">
        <w:t>formában</w:t>
      </w:r>
      <w:r w:rsidRPr="00F64C5B">
        <w:rPr>
          <w:rStyle w:val="FootnoteReference"/>
        </w:rPr>
        <w:footnoteReference w:id="42"/>
      </w:r>
      <w:r w:rsidRPr="00F64C5B">
        <w:t>.</w:t>
      </w:r>
      <w:proofErr w:type="gramEnd"/>
    </w:p>
    <w:p w:rsidR="001F3132" w:rsidRPr="00F64C5B" w:rsidRDefault="001F3132" w:rsidP="001F3132">
      <w:pPr>
        <w:pStyle w:val="AAMNormal"/>
        <w:ind w:left="567"/>
        <w:rPr>
          <w:b/>
        </w:rPr>
      </w:pPr>
      <w:r w:rsidRPr="00F64C5B">
        <w:rPr>
          <w:b/>
        </w:rPr>
        <w:t>Agrárkamara</w:t>
      </w:r>
    </w:p>
    <w:p w:rsidR="001F3132" w:rsidRPr="00F64C5B" w:rsidRDefault="001F3132" w:rsidP="001F3132">
      <w:pPr>
        <w:pStyle w:val="AAMNormal"/>
        <w:ind w:left="709"/>
      </w:pPr>
      <w:r w:rsidRPr="00F64C5B">
        <w:t>Az Agrárkamara Gazdálkodói Információ Szolgálat irodáinak munkatársai ügysegédként segítik a k</w:t>
      </w:r>
      <w:r w:rsidRPr="00F64C5B">
        <w:t>é</w:t>
      </w:r>
      <w:r w:rsidRPr="00F64C5B">
        <w:t>relmezőket a kérelem benyújtásában, ehhez sokszor informatikai hátteret is biztosítva. Emellett hangsúlyos feladata a tanácsadóknak, hogy a jogszabályi, támogatási aktualitásokat a gazdálkodók felé közvetítsék. A gazdálkodók az ÚMVP támogatásait érintő kérdéseikkel is fordulhatnak az ir</w:t>
      </w:r>
      <w:r w:rsidRPr="00F64C5B">
        <w:t>o</w:t>
      </w:r>
      <w:r w:rsidRPr="00F64C5B">
        <w:t>dákhoz. Tevékenységét az Agrárkamara két forrásból, az ÚMVP 111-es intézkedése keretében, ille</w:t>
      </w:r>
      <w:r w:rsidRPr="00F64C5B">
        <w:t>t</w:t>
      </w:r>
      <w:r w:rsidRPr="00F64C5B">
        <w:t xml:space="preserve">ve Technikai Segítségnyújtásból is finanszírozta. </w:t>
      </w:r>
    </w:p>
    <w:p w:rsidR="001F3132" w:rsidRPr="00F64C5B" w:rsidRDefault="001F3132" w:rsidP="001F3132">
      <w:pPr>
        <w:pStyle w:val="AAMNormal"/>
        <w:ind w:left="567"/>
        <w:rPr>
          <w:b/>
        </w:rPr>
      </w:pPr>
      <w:r w:rsidRPr="00F64C5B">
        <w:rPr>
          <w:b/>
        </w:rPr>
        <w:t>Mezőgazdasági Szakigazgatási Hivatal</w:t>
      </w:r>
    </w:p>
    <w:p w:rsidR="001F3132" w:rsidRPr="00F64C5B" w:rsidRDefault="001F3132" w:rsidP="001F3132">
      <w:pPr>
        <w:pStyle w:val="AAMNormal"/>
        <w:ind w:left="709"/>
      </w:pPr>
      <w:r w:rsidRPr="00F64C5B">
        <w:t>Az MGSZH a 2008-as évtől lát el ügyfélszolgálati feladatokat az ÚMVP kapcsán, amely elsősorban a falugazdász hálózat működésén keresztül valósul meg. A falugazdászok ügysegédként támogatják a kérelmezőket/pályázókat a kérelmek benyújtásában, továbbá kérésre információkkal, tanácsokkal is ellátják a gazdálkodókat a jogcímek, célprogramok kapcsán.</w:t>
      </w:r>
    </w:p>
    <w:p w:rsidR="001F3132" w:rsidRPr="00F64C5B" w:rsidRDefault="001F3132" w:rsidP="001F3132">
      <w:pPr>
        <w:pStyle w:val="AAMNormal"/>
        <w:ind w:left="567"/>
        <w:rPr>
          <w:b/>
        </w:rPr>
      </w:pPr>
      <w:r w:rsidRPr="00F64C5B">
        <w:rPr>
          <w:b/>
        </w:rPr>
        <w:t>Helyi Vidékfejlesztési Irodák</w:t>
      </w:r>
    </w:p>
    <w:p w:rsidR="001F3132" w:rsidRPr="00F64C5B" w:rsidRDefault="001F3132" w:rsidP="001F3132">
      <w:pPr>
        <w:pStyle w:val="AAMNormal"/>
        <w:ind w:left="709"/>
      </w:pPr>
      <w:r w:rsidRPr="00F64C5B">
        <w:t>Az irodák további ügyfélszolgálati pontokat biztosítottak a III</w:t>
      </w:r>
      <w:r w:rsidR="00CC5E76">
        <w:t>.</w:t>
      </w:r>
      <w:r w:rsidRPr="00F64C5B">
        <w:t>, IV</w:t>
      </w:r>
      <w:r w:rsidR="00CC5E76">
        <w:t>.</w:t>
      </w:r>
      <w:r w:rsidRPr="00F64C5B">
        <w:t xml:space="preserve"> tengely potenciális pályázói szám</w:t>
      </w:r>
      <w:r w:rsidRPr="00F64C5B">
        <w:t>á</w:t>
      </w:r>
      <w:r w:rsidRPr="00F64C5B">
        <w:t xml:space="preserve">ra és aktív részesei voltak a </w:t>
      </w:r>
      <w:proofErr w:type="spellStart"/>
      <w:r w:rsidRPr="00F64C5B">
        <w:t>HACS-ok</w:t>
      </w:r>
      <w:proofErr w:type="spellEnd"/>
      <w:r w:rsidRPr="00F64C5B">
        <w:t xml:space="preserve"> megalakításának. Az irodákból és a regionális koordinátoro</w:t>
      </w:r>
      <w:r w:rsidRPr="00F64C5B">
        <w:t>k</w:t>
      </w:r>
      <w:r w:rsidRPr="00F64C5B">
        <w:t>ból álló hálózat a megszüntetéséig az Irányító Hatóság egyik kommunikációs és koordinációs cs</w:t>
      </w:r>
      <w:r w:rsidRPr="00F64C5B">
        <w:t>a</w:t>
      </w:r>
      <w:r w:rsidRPr="00F64C5B">
        <w:t>tornájaként is működött a Helyi Akciócsoportok felé.</w:t>
      </w:r>
    </w:p>
    <w:p w:rsidR="00935CEE" w:rsidRPr="00E03E1D" w:rsidRDefault="00935CEE" w:rsidP="00935CEE">
      <w:pPr>
        <w:pStyle w:val="HUNNormal"/>
      </w:pPr>
      <w:r w:rsidRPr="00E03E1D">
        <w:t>A továbbiakban a Technikai Segítségnyújtás keret felhasználásának arányait mutatjuk be.</w:t>
      </w:r>
    </w:p>
    <w:p w:rsidR="00562B60" w:rsidRPr="00E03E1D" w:rsidRDefault="00562B60" w:rsidP="00562B60">
      <w:pPr>
        <w:pStyle w:val="HUNNormal"/>
      </w:pPr>
      <w:r w:rsidRPr="00E03E1D">
        <w:rPr>
          <w:b/>
        </w:rPr>
        <w:lastRenderedPageBreak/>
        <w:t xml:space="preserve">Az </w:t>
      </w:r>
      <w:proofErr w:type="spellStart"/>
      <w:r w:rsidRPr="00E03E1D">
        <w:rPr>
          <w:b/>
        </w:rPr>
        <w:t>MVH-tól</w:t>
      </w:r>
      <w:proofErr w:type="spellEnd"/>
      <w:r w:rsidRPr="00E03E1D">
        <w:rPr>
          <w:b/>
        </w:rPr>
        <w:t xml:space="preserve"> kapott adatok alapján 2010 szeptemberében </w:t>
      </w:r>
      <w:proofErr w:type="gramStart"/>
      <w:r w:rsidRPr="00E03E1D">
        <w:rPr>
          <w:b/>
        </w:rPr>
        <w:t>a</w:t>
      </w:r>
      <w:proofErr w:type="gramEnd"/>
      <w:r w:rsidRPr="00E03E1D">
        <w:rPr>
          <w:b/>
        </w:rPr>
        <w:t xml:space="preserve"> 53 266 059 414 Ft TS keret terhére</w:t>
      </w:r>
      <w:r w:rsidR="006A200F" w:rsidRPr="00E03E1D">
        <w:rPr>
          <w:b/>
        </w:rPr>
        <w:br/>
      </w:r>
      <w:r w:rsidRPr="00E03E1D">
        <w:rPr>
          <w:b/>
        </w:rPr>
        <w:t>48 275 752 043 Ft (91%) kötelezettségvállalás történt, és 28 962 805 433 Ft (54,4%) kifizetésére került sor.</w:t>
      </w:r>
      <w:r w:rsidR="00447BB8">
        <w:rPr>
          <w:b/>
        </w:rPr>
        <w:t xml:space="preserve"> </w:t>
      </w:r>
      <w:r w:rsidRPr="00E03E1D">
        <w:t>Az intézményrendszer funkció közül a legtöbbet természetes módon a végrehajtás igényli, de magas arányban részesülnek a támogató funkciók is.</w:t>
      </w:r>
    </w:p>
    <w:p w:rsidR="00562B60" w:rsidRPr="00E03E1D" w:rsidRDefault="00562B60" w:rsidP="00562B60">
      <w:pPr>
        <w:pStyle w:val="HUNNormal"/>
        <w:jc w:val="center"/>
        <w:rPr>
          <w:sz w:val="22"/>
          <w:szCs w:val="22"/>
        </w:rPr>
      </w:pPr>
      <w:r w:rsidRPr="00E03E1D">
        <w:rPr>
          <w:noProof/>
          <w:sz w:val="22"/>
          <w:szCs w:val="22"/>
        </w:rPr>
        <w:drawing>
          <wp:inline distT="0" distB="0" distL="0" distR="0">
            <wp:extent cx="4733925" cy="2800350"/>
            <wp:effectExtent l="57150" t="19050" r="219075" b="13335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60AF1" w:rsidRPr="00E03E1D" w:rsidRDefault="00CF0DD4" w:rsidP="00160AF1">
      <w:pPr>
        <w:pStyle w:val="Caption"/>
        <w:spacing w:before="60" w:after="120" w:line="280" w:lineRule="atLeast"/>
        <w:jc w:val="center"/>
        <w:rPr>
          <w:color w:val="auto"/>
        </w:rPr>
      </w:pPr>
      <w:r w:rsidRPr="00E03E1D">
        <w:rPr>
          <w:color w:val="auto"/>
        </w:rPr>
        <w:fldChar w:fldCharType="begin"/>
      </w:r>
      <w:r w:rsidR="00160AF1" w:rsidRPr="00E03E1D">
        <w:rPr>
          <w:color w:val="auto"/>
        </w:rPr>
        <w:instrText xml:space="preserve"> SEQ ábra \* ARABIC </w:instrText>
      </w:r>
      <w:r w:rsidRPr="00E03E1D">
        <w:rPr>
          <w:color w:val="auto"/>
        </w:rPr>
        <w:fldChar w:fldCharType="separate"/>
      </w:r>
      <w:r w:rsidR="00447BB8">
        <w:rPr>
          <w:noProof/>
          <w:color w:val="auto"/>
        </w:rPr>
        <w:t>7</w:t>
      </w:r>
      <w:r w:rsidRPr="00E03E1D">
        <w:rPr>
          <w:color w:val="auto"/>
        </w:rPr>
        <w:fldChar w:fldCharType="end"/>
      </w:r>
      <w:r w:rsidR="00160AF1" w:rsidRPr="00E03E1D">
        <w:rPr>
          <w:color w:val="auto"/>
        </w:rPr>
        <w:t xml:space="preserve">. ábra: </w:t>
      </w:r>
      <w:r w:rsidR="00160AF1" w:rsidRPr="00160AF1">
        <w:rPr>
          <w:color w:val="auto"/>
        </w:rPr>
        <w:t xml:space="preserve">Az </w:t>
      </w:r>
      <w:proofErr w:type="spellStart"/>
      <w:r w:rsidR="00160AF1" w:rsidRPr="00160AF1">
        <w:rPr>
          <w:color w:val="auto"/>
        </w:rPr>
        <w:t>ÚMVP-ben</w:t>
      </w:r>
      <w:proofErr w:type="spellEnd"/>
      <w:r w:rsidR="00160AF1" w:rsidRPr="00160AF1">
        <w:rPr>
          <w:color w:val="auto"/>
        </w:rPr>
        <w:t xml:space="preserve"> 2010.06.30-ig megtett kötelezettségvállalások és a benyújtott kérelmek forrásigényének aránya a kerethez képest </w:t>
      </w:r>
    </w:p>
    <w:p w:rsidR="00562B60" w:rsidRPr="00E03E1D" w:rsidRDefault="00562B60" w:rsidP="00562B60">
      <w:pPr>
        <w:pStyle w:val="HUNNormal"/>
      </w:pPr>
      <w:r w:rsidRPr="00E03E1D">
        <w:t>A szervezeteket vizsgálva a sorrend: MVH, VKSZI, MGSZH, MNVH, IH, AKI, FÖMI, míg a többi szervezet össz</w:t>
      </w:r>
      <w:r w:rsidRPr="00E03E1D">
        <w:t>e</w:t>
      </w:r>
      <w:r w:rsidRPr="00E03E1D">
        <w:t>sen 2%-ot igényelt.</w:t>
      </w:r>
    </w:p>
    <w:p w:rsidR="00562B60" w:rsidRPr="00E03E1D" w:rsidRDefault="00562B60" w:rsidP="00562B60">
      <w:pPr>
        <w:jc w:val="center"/>
      </w:pPr>
      <w:r w:rsidRPr="00E03E1D">
        <w:rPr>
          <w:noProof/>
        </w:rPr>
        <w:drawing>
          <wp:inline distT="0" distB="0" distL="0" distR="0">
            <wp:extent cx="4526830" cy="2537157"/>
            <wp:effectExtent l="57150" t="19050" r="235670" b="129843"/>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30EF" w:rsidRPr="00E03E1D" w:rsidRDefault="00CF0DD4" w:rsidP="002330EF">
      <w:pPr>
        <w:pStyle w:val="Caption"/>
        <w:spacing w:before="60" w:after="120" w:line="280" w:lineRule="atLeast"/>
        <w:jc w:val="center"/>
        <w:rPr>
          <w:color w:val="auto"/>
        </w:rPr>
      </w:pPr>
      <w:r w:rsidRPr="00E03E1D">
        <w:rPr>
          <w:color w:val="auto"/>
        </w:rPr>
        <w:fldChar w:fldCharType="begin"/>
      </w:r>
      <w:r w:rsidR="002330EF" w:rsidRPr="00E03E1D">
        <w:rPr>
          <w:color w:val="auto"/>
        </w:rPr>
        <w:instrText xml:space="preserve"> SEQ ábra \* ARABIC </w:instrText>
      </w:r>
      <w:r w:rsidRPr="00E03E1D">
        <w:rPr>
          <w:color w:val="auto"/>
        </w:rPr>
        <w:fldChar w:fldCharType="separate"/>
      </w:r>
      <w:r w:rsidR="00160AF1">
        <w:rPr>
          <w:noProof/>
          <w:color w:val="auto"/>
        </w:rPr>
        <w:t>8</w:t>
      </w:r>
      <w:r w:rsidRPr="00E03E1D">
        <w:rPr>
          <w:color w:val="auto"/>
        </w:rPr>
        <w:fldChar w:fldCharType="end"/>
      </w:r>
      <w:r w:rsidR="002330EF" w:rsidRPr="00E03E1D">
        <w:rPr>
          <w:color w:val="auto"/>
        </w:rPr>
        <w:t>. ábra: A TS kötelezettségvállalások megoszlása az egyes intézmények között</w:t>
      </w:r>
      <w:r w:rsidR="0066259F" w:rsidRPr="00E03E1D">
        <w:rPr>
          <w:color w:val="auto"/>
          <w:vertAlign w:val="superscript"/>
        </w:rPr>
        <w:footnoteReference w:id="43"/>
      </w:r>
    </w:p>
    <w:p w:rsidR="00562B60" w:rsidRPr="00E03E1D" w:rsidRDefault="00562B60" w:rsidP="00562B60">
      <w:pPr>
        <w:pStyle w:val="HUNNormal"/>
        <w:rPr>
          <w:sz w:val="22"/>
          <w:szCs w:val="22"/>
        </w:rPr>
      </w:pPr>
      <w:r w:rsidRPr="00E03E1D">
        <w:rPr>
          <w:noProof/>
          <w:sz w:val="22"/>
          <w:szCs w:val="22"/>
        </w:rPr>
        <w:lastRenderedPageBreak/>
        <w:drawing>
          <wp:inline distT="0" distB="0" distL="0" distR="0">
            <wp:extent cx="5598176" cy="3255778"/>
            <wp:effectExtent l="12192" t="12192" r="237982" b="161030"/>
            <wp:docPr id="1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200F" w:rsidRPr="00E03E1D" w:rsidRDefault="00CF0DD4" w:rsidP="00935CEE">
      <w:pPr>
        <w:pStyle w:val="Caption"/>
        <w:spacing w:before="60" w:after="120" w:line="280" w:lineRule="atLeast"/>
        <w:jc w:val="center"/>
      </w:pPr>
      <w:r w:rsidRPr="00E03E1D">
        <w:rPr>
          <w:color w:val="auto"/>
        </w:rPr>
        <w:fldChar w:fldCharType="begin"/>
      </w:r>
      <w:r w:rsidR="002330EF" w:rsidRPr="00E03E1D">
        <w:rPr>
          <w:color w:val="auto"/>
        </w:rPr>
        <w:instrText xml:space="preserve"> SEQ ábra \* ARABIC </w:instrText>
      </w:r>
      <w:r w:rsidRPr="00E03E1D">
        <w:rPr>
          <w:color w:val="auto"/>
        </w:rPr>
        <w:fldChar w:fldCharType="separate"/>
      </w:r>
      <w:r w:rsidR="00160AF1">
        <w:rPr>
          <w:noProof/>
          <w:color w:val="auto"/>
        </w:rPr>
        <w:t>9</w:t>
      </w:r>
      <w:r w:rsidRPr="00E03E1D">
        <w:rPr>
          <w:color w:val="auto"/>
        </w:rPr>
        <w:fldChar w:fldCharType="end"/>
      </w:r>
      <w:r w:rsidR="002330EF" w:rsidRPr="00E03E1D">
        <w:rPr>
          <w:color w:val="auto"/>
        </w:rPr>
        <w:t>. ábra: A TS kötelezettségvállalások megoszlása az egyes intézmények között</w:t>
      </w:r>
      <w:r w:rsidR="0066259F" w:rsidRPr="00E03E1D">
        <w:rPr>
          <w:color w:val="auto"/>
          <w:vertAlign w:val="superscript"/>
        </w:rPr>
        <w:footnoteReference w:id="44"/>
      </w:r>
    </w:p>
    <w:p w:rsidR="00562B60" w:rsidRPr="00E03E1D" w:rsidRDefault="00562B60" w:rsidP="00562B60">
      <w:pPr>
        <w:pStyle w:val="HUNNormal"/>
      </w:pPr>
      <w:r w:rsidRPr="00E03E1D">
        <w:t>A lekötések mellett érdemes vizsgálni a felhasználás mértékét is. Ezt mutatja be a következő ábra.</w:t>
      </w:r>
    </w:p>
    <w:p w:rsidR="00562B60" w:rsidRPr="00E03E1D" w:rsidRDefault="00562B60" w:rsidP="00E02425">
      <w:pPr>
        <w:pStyle w:val="HUNNormal"/>
        <w:jc w:val="center"/>
      </w:pPr>
      <w:r w:rsidRPr="00E03E1D">
        <w:rPr>
          <w:noProof/>
        </w:rPr>
        <w:drawing>
          <wp:inline distT="0" distB="0" distL="0" distR="0">
            <wp:extent cx="5158081" cy="2946306"/>
            <wp:effectExtent l="24384" t="12192" r="227735" b="146652"/>
            <wp:docPr id="1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30EF" w:rsidRPr="00E03E1D" w:rsidRDefault="00CF0DD4" w:rsidP="002330EF">
      <w:pPr>
        <w:pStyle w:val="Caption"/>
        <w:spacing w:before="60" w:after="120" w:line="280" w:lineRule="atLeast"/>
        <w:jc w:val="center"/>
        <w:rPr>
          <w:color w:val="auto"/>
        </w:rPr>
      </w:pPr>
      <w:r w:rsidRPr="00E03E1D">
        <w:rPr>
          <w:color w:val="auto"/>
        </w:rPr>
        <w:fldChar w:fldCharType="begin"/>
      </w:r>
      <w:r w:rsidR="002330EF" w:rsidRPr="00E03E1D">
        <w:rPr>
          <w:color w:val="auto"/>
        </w:rPr>
        <w:instrText xml:space="preserve"> SEQ ábra \* ARABIC </w:instrText>
      </w:r>
      <w:r w:rsidRPr="00E03E1D">
        <w:rPr>
          <w:color w:val="auto"/>
        </w:rPr>
        <w:fldChar w:fldCharType="separate"/>
      </w:r>
      <w:r w:rsidR="0031770A">
        <w:rPr>
          <w:noProof/>
          <w:color w:val="auto"/>
        </w:rPr>
        <w:t>10</w:t>
      </w:r>
      <w:r w:rsidRPr="00E03E1D">
        <w:rPr>
          <w:color w:val="auto"/>
        </w:rPr>
        <w:fldChar w:fldCharType="end"/>
      </w:r>
      <w:r w:rsidR="002330EF" w:rsidRPr="00E03E1D">
        <w:rPr>
          <w:color w:val="auto"/>
        </w:rPr>
        <w:t>. ábra: A TS keretek kihasználtsága</w:t>
      </w:r>
      <w:r w:rsidR="0066259F" w:rsidRPr="00E03E1D">
        <w:rPr>
          <w:color w:val="auto"/>
          <w:vertAlign w:val="superscript"/>
        </w:rPr>
        <w:footnoteReference w:id="45"/>
      </w:r>
    </w:p>
    <w:p w:rsidR="00562B60" w:rsidRPr="00E03E1D" w:rsidRDefault="00562B60" w:rsidP="00562B60">
      <w:pPr>
        <w:pStyle w:val="HUNNormal"/>
      </w:pPr>
      <w:r w:rsidRPr="00E03E1D">
        <w:lastRenderedPageBreak/>
        <w:t xml:space="preserve">A kapott adatok alapján három kategóriába sorolhatóak az intézmények. A megítélt forrás jelentős részét felhasználta már a VKSZI, az MGSZH, </w:t>
      </w:r>
      <w:proofErr w:type="gramStart"/>
      <w:r w:rsidRPr="00E03E1D">
        <w:t>az</w:t>
      </w:r>
      <w:proofErr w:type="gramEnd"/>
      <w:r w:rsidRPr="00E03E1D">
        <w:t xml:space="preserve"> AKI és a FÖMI, időarányos felhasználást mutat az MVH és az IH, míg az MNVH az adatok szerint még a forrás felhasználásának elején tart.</w:t>
      </w:r>
    </w:p>
    <w:p w:rsidR="00562B60" w:rsidRPr="00E03E1D" w:rsidRDefault="00562B60" w:rsidP="00562B60">
      <w:pPr>
        <w:pStyle w:val="HUNNormal"/>
      </w:pPr>
      <w:r w:rsidRPr="00E03E1D">
        <w:t>Külön vizsgáltuk a lekötések tevékenységek szerinti megoszlását, amelyet a következő két ábra jellemez.</w:t>
      </w:r>
    </w:p>
    <w:p w:rsidR="00562B60" w:rsidRPr="00E03E1D" w:rsidRDefault="00562B60" w:rsidP="00E02425">
      <w:pPr>
        <w:pStyle w:val="HUNNormal"/>
        <w:jc w:val="center"/>
      </w:pPr>
      <w:r w:rsidRPr="00E03E1D">
        <w:rPr>
          <w:noProof/>
        </w:rPr>
        <w:drawing>
          <wp:inline distT="0" distB="0" distL="0" distR="0">
            <wp:extent cx="5068717" cy="2635770"/>
            <wp:effectExtent l="18288" t="12192" r="227945" b="142863"/>
            <wp:docPr id="1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7410" w:rsidRDefault="00CF0DD4" w:rsidP="00D96A68">
      <w:pPr>
        <w:pStyle w:val="Caption"/>
        <w:spacing w:before="60" w:after="120" w:line="280" w:lineRule="atLeast"/>
        <w:jc w:val="center"/>
        <w:rPr>
          <w:color w:val="auto"/>
        </w:rPr>
      </w:pPr>
      <w:r w:rsidRPr="00E03E1D">
        <w:rPr>
          <w:color w:val="auto"/>
        </w:rPr>
        <w:fldChar w:fldCharType="begin"/>
      </w:r>
      <w:r w:rsidR="002330EF" w:rsidRPr="00E03E1D">
        <w:rPr>
          <w:color w:val="auto"/>
        </w:rPr>
        <w:instrText xml:space="preserve"> SEQ ábra \* ARABIC </w:instrText>
      </w:r>
      <w:r w:rsidRPr="00E03E1D">
        <w:rPr>
          <w:color w:val="auto"/>
        </w:rPr>
        <w:fldChar w:fldCharType="separate"/>
      </w:r>
      <w:r w:rsidR="0031770A">
        <w:rPr>
          <w:noProof/>
          <w:color w:val="auto"/>
        </w:rPr>
        <w:t>11</w:t>
      </w:r>
      <w:r w:rsidRPr="00E03E1D">
        <w:rPr>
          <w:color w:val="auto"/>
        </w:rPr>
        <w:fldChar w:fldCharType="end"/>
      </w:r>
      <w:r w:rsidR="002330EF" w:rsidRPr="00E03E1D">
        <w:rPr>
          <w:color w:val="auto"/>
        </w:rPr>
        <w:t>. ábra: A TS kötelezettségvállalások megoszlása tevékenységek szerint</w:t>
      </w:r>
      <w:r w:rsidR="0066259F" w:rsidRPr="00E03E1D">
        <w:rPr>
          <w:color w:val="auto"/>
          <w:vertAlign w:val="superscript"/>
        </w:rPr>
        <w:footnoteReference w:id="46"/>
      </w:r>
    </w:p>
    <w:p w:rsidR="000E399D" w:rsidRPr="000E399D" w:rsidRDefault="000E399D" w:rsidP="000E399D">
      <w:pPr>
        <w:jc w:val="both"/>
        <w:rPr>
          <w:i/>
        </w:rPr>
      </w:pPr>
      <w:r w:rsidRPr="000E399D">
        <w:t xml:space="preserve">Az intézményi keretek értékelése kapcsán érdemes megválaszolni a következő CMEF kérdést: </w:t>
      </w:r>
      <w:r w:rsidRPr="000E399D">
        <w:rPr>
          <w:i/>
        </w:rPr>
        <w:t>A technikai támogatás milyen mértékben növelte az irányító hatóságok és a vidékfejlesztési programok végrehajtásába, irányításába, ellenőrzésébe és értékelésébe bevont más partnerek kapacitásait?</w:t>
      </w:r>
    </w:p>
    <w:p w:rsidR="000E399D" w:rsidRPr="00E03E1D" w:rsidRDefault="000E399D" w:rsidP="000E399D">
      <w:pPr>
        <w:jc w:val="both"/>
      </w:pPr>
      <w:r w:rsidRPr="00E03E1D">
        <w:t>Az ÚMVP Technikai Segítségnyújtási kerete összesen 53 266 059 414 Ft (272,1 Ft/EUR árfolyamon sz</w:t>
      </w:r>
      <w:r w:rsidRPr="00E03E1D">
        <w:t>á</w:t>
      </w:r>
      <w:r w:rsidRPr="00E03E1D">
        <w:t>molva) előirányzatot tartalmaz a 2007-2013. közötti időszak feladataira, melyből 2010 szeptemberéig 48 275 752 043 Ft összeg került lekötésre (91%), és 28 962 805 433 Ft-ot fizettek ki ténylegesen (54,4%). Az intézményrendszeri funkciók közül a végrehajtás kötötte le a kötelezettségvállalások döntő többségét (80%), míg a támogató funkció 13%-os, a döntéshozó funkció 6%-os, az ellenőrző funkció 1%-os részarányt képvisel. A lekötött pénzek felhasználására, a támogatott tevékenységek szempontjából a következő ar</w:t>
      </w:r>
      <w:r w:rsidRPr="00E03E1D">
        <w:t>á</w:t>
      </w:r>
      <w:r w:rsidRPr="00E03E1D">
        <w:t>nyok jellemzőek: a kötelezettségvállalás 54%-át a működtetési kiadások tették ki, míg 19-19%-át a komm</w:t>
      </w:r>
      <w:r w:rsidRPr="00E03E1D">
        <w:t>u</w:t>
      </w:r>
      <w:r w:rsidRPr="00E03E1D">
        <w:t>nikációs kiadások, valamint a delegált feladatokkal kapcsolatos költségek. Egyéb feladatokra összesen</w:t>
      </w:r>
      <w:r w:rsidR="00160AF1">
        <w:t xml:space="preserve"> </w:t>
      </w:r>
      <w:r w:rsidRPr="00E03E1D">
        <w:t>8%-os keret irányult.</w:t>
      </w:r>
    </w:p>
    <w:p w:rsidR="000E399D" w:rsidRDefault="000E399D" w:rsidP="000E399D">
      <w:pPr>
        <w:jc w:val="both"/>
      </w:pPr>
      <w:r w:rsidRPr="00E03E1D">
        <w:t>Az ÚMVP végrehajtásában, irányításában, ellenőrzésében és értékelésében részt vevő szervezetek kapacit</w:t>
      </w:r>
      <w:r w:rsidRPr="00E03E1D">
        <w:t>á</w:t>
      </w:r>
      <w:r w:rsidRPr="00E03E1D">
        <w:t>sai, az értékelés megállapítása alapján jelentős mértékben növekedtek. A Program lebonyolításához szüks</w:t>
      </w:r>
      <w:r w:rsidRPr="00E03E1D">
        <w:t>é</w:t>
      </w:r>
      <w:r w:rsidRPr="00E03E1D">
        <w:t>ges struktúrák mind kiépültek, és működőképességük sem vitatható.</w:t>
      </w:r>
    </w:p>
    <w:p w:rsidR="00160AF1" w:rsidRDefault="00160AF1" w:rsidP="000E399D">
      <w:pPr>
        <w:jc w:val="both"/>
      </w:pPr>
    </w:p>
    <w:p w:rsidR="00160AF1" w:rsidRDefault="00160AF1" w:rsidP="000E399D">
      <w:pPr>
        <w:jc w:val="both"/>
      </w:pPr>
    </w:p>
    <w:p w:rsidR="005A19DE" w:rsidRPr="00E03E1D" w:rsidRDefault="005A19DE" w:rsidP="000E399D">
      <w:pPr>
        <w:jc w:val="both"/>
      </w:pPr>
    </w:p>
    <w:p w:rsidR="00020AFE" w:rsidRDefault="00D450E8" w:rsidP="00020AFE">
      <w:pPr>
        <w:pStyle w:val="HUNHeading1"/>
        <w:numPr>
          <w:ilvl w:val="0"/>
          <w:numId w:val="12"/>
        </w:numPr>
        <w:jc w:val="both"/>
      </w:pPr>
      <w:bookmarkStart w:id="32" w:name="_Toc280788355"/>
      <w:r>
        <w:lastRenderedPageBreak/>
        <w:t>Az értékelési kérdésekre adott válaszok</w:t>
      </w:r>
      <w:bookmarkEnd w:id="32"/>
    </w:p>
    <w:p w:rsidR="00D450E8" w:rsidRPr="00D450E8" w:rsidRDefault="00D450E8" w:rsidP="00D450E8">
      <w:pPr>
        <w:pStyle w:val="HUNNormal"/>
      </w:pPr>
      <w:r>
        <w:t>A továbbiakban az intézkedés szintű értékelési kérdéseket válaszoljuk meg. A program és tengely szintű kérdésekre a korábbi fejezetekben már választ adtunk. A válaszadás során felhasználtuk az intézkedések értékelési eredményeit, amelyeket az ismétlések elkerülése érdekében a válaszokban csak meghivatk</w:t>
      </w:r>
      <w:r>
        <w:t>o</w:t>
      </w:r>
      <w:r>
        <w:t>zunk.</w:t>
      </w:r>
    </w:p>
    <w:p w:rsidR="00020AFE" w:rsidRDefault="00020AFE" w:rsidP="00020AFE">
      <w:pPr>
        <w:pStyle w:val="StyleHUNHeading2Justified"/>
      </w:pPr>
      <w:bookmarkStart w:id="33" w:name="_Toc279592174"/>
      <w:bookmarkStart w:id="34" w:name="_Toc280788356"/>
      <w:r>
        <w:t>Versenyképességre vonatkozó kérdések (</w:t>
      </w:r>
      <w:r w:rsidR="001E2F73">
        <w:t>I</w:t>
      </w:r>
      <w:r>
        <w:t>. tengely)</w:t>
      </w:r>
      <w:bookmarkEnd w:id="33"/>
      <w:bookmarkEnd w:id="34"/>
    </w:p>
    <w:p w:rsidR="00020AFE" w:rsidRDefault="00020AFE" w:rsidP="00020AFE">
      <w:pPr>
        <w:pStyle w:val="StyleHUNHeading3Justified"/>
        <w:ind w:left="0" w:firstLine="0"/>
      </w:pPr>
      <w:bookmarkStart w:id="35" w:name="_Toc253664803"/>
      <w:bookmarkStart w:id="36" w:name="_Toc253666188"/>
      <w:bookmarkStart w:id="37" w:name="_Toc253666307"/>
      <w:r w:rsidRPr="00A7051C">
        <w:t>A szakképzési, tájékoztatási, valamint a tudományos ismeretek és az innovatív gy</w:t>
      </w:r>
      <w:r w:rsidRPr="00A7051C">
        <w:t>a</w:t>
      </w:r>
      <w:r w:rsidRPr="00A7051C">
        <w:t>korlat terjesztésével összefüggő tevékenységek milyen mértékben javították a munka te</w:t>
      </w:r>
      <w:r w:rsidRPr="00A7051C">
        <w:t>r</w:t>
      </w:r>
      <w:r w:rsidRPr="00A7051C">
        <w:t>melékenységét és/vagy a versenyképességhez kapcsolódó egyéb elemeket a mezőgazdasági, élelmiszer- és erdészeti ágazatban?</w:t>
      </w:r>
      <w:bookmarkEnd w:id="35"/>
      <w:bookmarkEnd w:id="36"/>
      <w:bookmarkEnd w:id="37"/>
      <w:r w:rsidRPr="00A7051C">
        <w:t xml:space="preserve"> (111. intézkedés)</w:t>
      </w:r>
    </w:p>
    <w:p w:rsidR="00020AFE" w:rsidRDefault="00020AFE" w:rsidP="00020AFE">
      <w:pPr>
        <w:jc w:val="both"/>
      </w:pPr>
      <w:r>
        <w:t xml:space="preserve">A szakképzési jogcím 2009 év végén indulhatott el ténylegesen, így az első, nagyobb </w:t>
      </w:r>
      <w:proofErr w:type="spellStart"/>
      <w:r>
        <w:t>érintetti</w:t>
      </w:r>
      <w:proofErr w:type="spellEnd"/>
      <w:r>
        <w:t xml:space="preserve"> kört megcélzó képzések csak a 2010-es évben történtek meg. A humánerőforrás fejlesztési beruházások jellemzően k</w:t>
      </w:r>
      <w:r>
        <w:t>ö</w:t>
      </w:r>
      <w:r>
        <w:t xml:space="preserve">zéptávon fejtik ki a hatásukat </w:t>
      </w:r>
      <w:proofErr w:type="spellStart"/>
      <w:r>
        <w:t>mikroszinten</w:t>
      </w:r>
      <w:proofErr w:type="spellEnd"/>
      <w:r>
        <w:t xml:space="preserve"> – makroszinten (az agrárium versenyképességére gyakorolt h</w:t>
      </w:r>
      <w:r>
        <w:t>a</w:t>
      </w:r>
      <w:r>
        <w:t>tást) érzékelhető változást ennél még nagyobb időtávon remélhetünk.</w:t>
      </w:r>
    </w:p>
    <w:p w:rsidR="00020AFE" w:rsidRDefault="001E2F73" w:rsidP="00020AFE">
      <w:pPr>
        <w:jc w:val="both"/>
      </w:pPr>
      <w:r>
        <w:t>Ezért a kérdésben érintett hatások mérése egyelőre nem lehetséges. Ugyanakkor az már felmérhető, hogy a résztvevőknek csak kisebb része vesz részt versenyképességi témájú képzéseken.</w:t>
      </w:r>
    </w:p>
    <w:p w:rsidR="00020AFE" w:rsidRDefault="00020AFE" w:rsidP="00020AFE">
      <w:pPr>
        <w:pStyle w:val="StyleHUNHeading3Justified"/>
        <w:ind w:left="0" w:firstLine="0"/>
      </w:pPr>
      <w:r w:rsidRPr="00A7051C">
        <w:t>A szakképzési tevékenységek milyen mértékben járultak hozzá a fenntartható te</w:t>
      </w:r>
      <w:r w:rsidRPr="00A7051C">
        <w:t>r</w:t>
      </w:r>
      <w:r w:rsidRPr="00A7051C">
        <w:t>mőföld-hasznosításhoz, beleértve a természeti erőforrásokkal való fenntartható gazdá</w:t>
      </w:r>
      <w:r w:rsidRPr="00A7051C">
        <w:t>l</w:t>
      </w:r>
      <w:r w:rsidRPr="00A7051C">
        <w:t>kodást? (111. intézkedés)</w:t>
      </w:r>
    </w:p>
    <w:p w:rsidR="00020AFE" w:rsidRDefault="00020AFE" w:rsidP="00020AFE">
      <w:pPr>
        <w:jc w:val="both"/>
      </w:pPr>
      <w:r>
        <w:t xml:space="preserve">A szakképzési jogcím 2009 év végén indulhatott el ténylegesen, így az első, nagyobb </w:t>
      </w:r>
      <w:proofErr w:type="spellStart"/>
      <w:r>
        <w:t>érintetti</w:t>
      </w:r>
      <w:proofErr w:type="spellEnd"/>
      <w:r>
        <w:t xml:space="preserve"> kört megcélzó képzések csak a 2010-es évben történtek meg. A humánerőforrás fejlesztési beruházások jellemzően k</w:t>
      </w:r>
      <w:r>
        <w:t>ö</w:t>
      </w:r>
      <w:r>
        <w:t xml:space="preserve">zéptávon fejtik ki a hatásukat </w:t>
      </w:r>
      <w:proofErr w:type="spellStart"/>
      <w:r>
        <w:t>mikroszinten</w:t>
      </w:r>
      <w:proofErr w:type="spellEnd"/>
      <w:r>
        <w:t xml:space="preserve"> – makroszinten érzékelhető változást ennél még nagyobb időt</w:t>
      </w:r>
      <w:r>
        <w:t>á</w:t>
      </w:r>
      <w:r>
        <w:t>von remélhetünk.</w:t>
      </w:r>
    </w:p>
    <w:p w:rsidR="00020AFE" w:rsidRDefault="00020AFE" w:rsidP="00020AFE">
      <w:pPr>
        <w:jc w:val="both"/>
      </w:pPr>
      <w:r>
        <w:t xml:space="preserve">Bár a képzési statisztikák alapján megállapítható, hogy a hallgatóság 55%-a vett részt AKG és NATURA 2000 képzésen, a képzési tematika csak közvetett módon tárgyalta a klímaváltozással és a fenntarthatósággal kapcsolatos témákat. Mindezek alapján vélelmezhetően a jelenlegi gyakorlat </w:t>
      </w:r>
      <w:r w:rsidRPr="00B13444">
        <w:rPr>
          <w:b/>
        </w:rPr>
        <w:t>csak kismértékben</w:t>
      </w:r>
      <w:r>
        <w:t xml:space="preserve"> </w:t>
      </w:r>
      <w:r w:rsidRPr="00B13444">
        <w:rPr>
          <w:b/>
        </w:rPr>
        <w:t>lesz</w:t>
      </w:r>
      <w:r>
        <w:t xml:space="preserve"> </w:t>
      </w:r>
      <w:r w:rsidRPr="00B13444">
        <w:rPr>
          <w:b/>
        </w:rPr>
        <w:t>alka</w:t>
      </w:r>
      <w:r w:rsidRPr="00B13444">
        <w:rPr>
          <w:b/>
        </w:rPr>
        <w:t>l</w:t>
      </w:r>
      <w:r w:rsidRPr="00B13444">
        <w:rPr>
          <w:b/>
        </w:rPr>
        <w:t>mas</w:t>
      </w:r>
      <w:r>
        <w:t xml:space="preserve"> a kérdésben szereplő </w:t>
      </w:r>
      <w:r w:rsidRPr="00B13444">
        <w:rPr>
          <w:b/>
        </w:rPr>
        <w:t>cél</w:t>
      </w:r>
      <w:r>
        <w:t xml:space="preserve"> </w:t>
      </w:r>
      <w:r w:rsidRPr="00B13444">
        <w:rPr>
          <w:b/>
        </w:rPr>
        <w:t>elérésére</w:t>
      </w:r>
      <w:r>
        <w:t>.</w:t>
      </w:r>
    </w:p>
    <w:p w:rsidR="00020AFE" w:rsidRDefault="00020AFE" w:rsidP="00020AFE">
      <w:pPr>
        <w:pStyle w:val="StyleHUNHeading3Justified"/>
        <w:ind w:left="0" w:firstLine="0"/>
      </w:pPr>
      <w:r w:rsidRPr="00A7051C">
        <w:t>A támogatott szakképzések milyen mértékben felelnek meg a szükségleteknek, és milyen mértékben illeszkednek a program egyéb intézkedéseihez? (111. intézkedés)</w:t>
      </w:r>
    </w:p>
    <w:p w:rsidR="00020AFE" w:rsidRDefault="00020AFE" w:rsidP="00020AFE">
      <w:pPr>
        <w:jc w:val="both"/>
      </w:pPr>
      <w:r>
        <w:t xml:space="preserve">Az előző két kérdésre adott válasz alapján megállapítható, hogy az intézkedés a versenyképességgel és fenntartathatósággal kapcsolatban </w:t>
      </w:r>
      <w:r w:rsidRPr="003C0488">
        <w:rPr>
          <w:b/>
        </w:rPr>
        <w:t>kitűzött</w:t>
      </w:r>
      <w:r>
        <w:t xml:space="preserve"> </w:t>
      </w:r>
      <w:r w:rsidRPr="003C0488">
        <w:rPr>
          <w:b/>
        </w:rPr>
        <w:t>célokat</w:t>
      </w:r>
      <w:r>
        <w:t xml:space="preserve"> várhatóan nem, vagy csak </w:t>
      </w:r>
      <w:r w:rsidRPr="003C0488">
        <w:rPr>
          <w:b/>
        </w:rPr>
        <w:t>kis</w:t>
      </w:r>
      <w:r>
        <w:t xml:space="preserve"> </w:t>
      </w:r>
      <w:r w:rsidRPr="003C0488">
        <w:rPr>
          <w:b/>
        </w:rPr>
        <w:t>mértékben</w:t>
      </w:r>
      <w:r>
        <w:t xml:space="preserve"> képes </w:t>
      </w:r>
      <w:r w:rsidRPr="003C0488">
        <w:rPr>
          <w:b/>
        </w:rPr>
        <w:t>teljes</w:t>
      </w:r>
      <w:r w:rsidRPr="003C0488">
        <w:rPr>
          <w:b/>
        </w:rPr>
        <w:t>í</w:t>
      </w:r>
      <w:r w:rsidRPr="003C0488">
        <w:rPr>
          <w:b/>
        </w:rPr>
        <w:t>teni</w:t>
      </w:r>
      <w:r>
        <w:t xml:space="preserve">. A képzési portfólió </w:t>
      </w:r>
      <w:r w:rsidRPr="003C0488">
        <w:rPr>
          <w:b/>
        </w:rPr>
        <w:t>részben</w:t>
      </w:r>
      <w:r>
        <w:t xml:space="preserve"> </w:t>
      </w:r>
      <w:r w:rsidRPr="003C0488">
        <w:rPr>
          <w:b/>
        </w:rPr>
        <w:t>illeszkedik</w:t>
      </w:r>
      <w:r>
        <w:t xml:space="preserve"> az </w:t>
      </w:r>
      <w:r w:rsidRPr="003C0488">
        <w:rPr>
          <w:b/>
        </w:rPr>
        <w:t>ÚMVP</w:t>
      </w:r>
      <w:r>
        <w:t xml:space="preserve"> intézkedéseihez: az AKG hallgatósági aránya leképezi a Programban elfoglalt arányát, a NATURA 2000 képzés azonban mind a Programban szereplő kötelezettsé</w:t>
      </w:r>
      <w:r>
        <w:t>g</w:t>
      </w:r>
      <w:r>
        <w:t xml:space="preserve">vállalás (jóváhagyott támogatási összeg), mind a jóváhagyott kérelmek arányához képest felülreprezentált. </w:t>
      </w:r>
    </w:p>
    <w:p w:rsidR="00020AFE" w:rsidRPr="00A7051C" w:rsidRDefault="00020AFE" w:rsidP="00020AFE">
      <w:pPr>
        <w:jc w:val="both"/>
      </w:pPr>
    </w:p>
    <w:p w:rsidR="00020AFE" w:rsidRDefault="00020AFE" w:rsidP="00020AFE">
      <w:pPr>
        <w:pStyle w:val="StyleHUNHeading3Justified"/>
        <w:ind w:left="0" w:firstLine="0"/>
      </w:pPr>
      <w:r w:rsidRPr="00A7051C">
        <w:lastRenderedPageBreak/>
        <w:t>A támogatás milyen mértékben könnyítette meg a fiatal mezőgazdasági termelők (férfiak és nők) tartós elindítását? (112. intézkedés)</w:t>
      </w:r>
    </w:p>
    <w:p w:rsidR="00020AFE" w:rsidRDefault="00020AFE" w:rsidP="00020AFE">
      <w:pPr>
        <w:pStyle w:val="HUNNormal"/>
        <w:tabs>
          <w:tab w:val="left" w:pos="709"/>
        </w:tabs>
      </w:pPr>
      <w:r>
        <w:t>A támogatás céljaiban megfelelő volt. A megítélt támogatás valós hatása tekintetében kétségek merülnek fel, mert a feltételrendszer lehetővé tette olyanok számára is a támogatás igénybevételét, akik nem kezdtek valós gazdálkodásba. Emellett az allokált forrás mértéke is kevésnek bizonyult a markán</w:t>
      </w:r>
      <w:r w:rsidR="001E2F73">
        <w:t>s</w:t>
      </w:r>
      <w:r>
        <w:t xml:space="preserve"> </w:t>
      </w:r>
      <w:proofErr w:type="spellStart"/>
      <w:r>
        <w:t>korsz</w:t>
      </w:r>
      <w:r w:rsidR="001E2F73">
        <w:t>erkezetváltási</w:t>
      </w:r>
      <w:proofErr w:type="spellEnd"/>
      <w:r w:rsidR="001E2F73">
        <w:t xml:space="preserve"> hatás eléréséhez, ahogy ezt a részletes értékelésnél bemutatjuk.</w:t>
      </w:r>
    </w:p>
    <w:p w:rsidR="00020AFE" w:rsidRPr="00A7051C" w:rsidRDefault="00020AFE" w:rsidP="00020AFE">
      <w:pPr>
        <w:pStyle w:val="HUNNormal"/>
        <w:tabs>
          <w:tab w:val="left" w:pos="709"/>
        </w:tabs>
      </w:pPr>
    </w:p>
    <w:p w:rsidR="00020AFE" w:rsidRDefault="00020AFE" w:rsidP="00020AFE">
      <w:pPr>
        <w:pStyle w:val="StyleHUNHeading3Justified"/>
        <w:ind w:left="0" w:firstLine="0"/>
      </w:pPr>
      <w:r w:rsidRPr="00A7051C">
        <w:t>A fiatal mezőgazdasági termelők számára kezdeti letelepedésük után a támogatás milyen mértékben könnyítette meg gazdaságaik szerkezeti kiigazítását? (112. intézkedés)</w:t>
      </w:r>
    </w:p>
    <w:p w:rsidR="00020AFE" w:rsidRPr="005558AD" w:rsidRDefault="001E2F73" w:rsidP="00020AFE">
      <w:pPr>
        <w:pStyle w:val="HUNNormal"/>
        <w:tabs>
          <w:tab w:val="left" w:pos="709"/>
        </w:tabs>
      </w:pPr>
      <w:r>
        <w:t>A</w:t>
      </w:r>
      <w:r w:rsidR="00020AFE" w:rsidRPr="005558AD">
        <w:t xml:space="preserve"> független (nem egy családi gazdaságból kiinduló) kedvezményezett számára az elnyerhető maximális t</w:t>
      </w:r>
      <w:r w:rsidR="00020AFE" w:rsidRPr="005558AD">
        <w:t>á</w:t>
      </w:r>
      <w:r w:rsidR="00020AFE" w:rsidRPr="005558AD">
        <w:t xml:space="preserve">mogatási összeg mértéke (10 millió Ft) </w:t>
      </w:r>
      <w:r w:rsidR="00020AFE" w:rsidRPr="005558AD">
        <w:rPr>
          <w:b/>
        </w:rPr>
        <w:t>nem tett lehetővé meghatározó szerkezeti kiigazításokat</w:t>
      </w:r>
      <w:r w:rsidR="00020AFE" w:rsidRPr="005558AD">
        <w:t>.</w:t>
      </w:r>
    </w:p>
    <w:p w:rsidR="00020AFE" w:rsidRPr="00A7051C" w:rsidRDefault="00020AFE" w:rsidP="00020AFE">
      <w:pPr>
        <w:pStyle w:val="HUNNormal"/>
        <w:tabs>
          <w:tab w:val="left" w:pos="709"/>
        </w:tabs>
      </w:pPr>
    </w:p>
    <w:p w:rsidR="00020AFE" w:rsidRDefault="00020AFE" w:rsidP="00020AFE">
      <w:pPr>
        <w:pStyle w:val="StyleHUNHeading3Justified"/>
        <w:ind w:left="0" w:firstLine="0"/>
      </w:pPr>
      <w:r w:rsidRPr="00A7051C">
        <w:t>A támogatás milyen mértékben járult hozzá a mezőgazdasági ágazatban az emberi erőforrás fejlesztéséhez? (112. intézkedés)</w:t>
      </w:r>
    </w:p>
    <w:p w:rsidR="00020AFE" w:rsidRPr="00A0349B" w:rsidRDefault="00020AFE" w:rsidP="00020AFE">
      <w:pPr>
        <w:pStyle w:val="HUNNormal"/>
        <w:tabs>
          <w:tab w:val="left" w:pos="709"/>
        </w:tabs>
      </w:pPr>
      <w:r w:rsidRPr="00A0349B">
        <w:t xml:space="preserve">Az </w:t>
      </w:r>
      <w:r>
        <w:t xml:space="preserve">intézkedésben </w:t>
      </w:r>
      <w:r w:rsidRPr="00A0349B">
        <w:t xml:space="preserve">előírt képzettségi követelmények és az ehhez kötődő képzés alacsony színvonala (főként a második, könnyített pályázati körben) </w:t>
      </w:r>
      <w:r w:rsidRPr="00A0349B">
        <w:rPr>
          <w:b/>
        </w:rPr>
        <w:t>nem jelentett számottevő emberi erőforrás fejlesztést</w:t>
      </w:r>
      <w:r w:rsidRPr="00A0349B">
        <w:t>. Főképpen igaz ez a megállapítás akkor, ha figyelembe vesszük, hogy a képzések nem érintettek olyan alapvető kérdéseket, mint a társadalmi, környezeti és gazdasági fenntarthatóság</w:t>
      </w:r>
      <w:r>
        <w:t xml:space="preserve"> (lásd a 111-es intézkedésre adott válaszunkat)</w:t>
      </w:r>
      <w:r w:rsidRPr="00A0349B">
        <w:t>.</w:t>
      </w:r>
    </w:p>
    <w:p w:rsidR="00020AFE" w:rsidRPr="00A7051C" w:rsidRDefault="00020AFE" w:rsidP="00020AFE">
      <w:pPr>
        <w:pStyle w:val="HUNNormal"/>
        <w:tabs>
          <w:tab w:val="left" w:pos="709"/>
        </w:tabs>
      </w:pPr>
    </w:p>
    <w:p w:rsidR="00020AFE" w:rsidRDefault="00020AFE" w:rsidP="00020AFE">
      <w:pPr>
        <w:pStyle w:val="StyleHUNHeading3Justified"/>
        <w:ind w:left="0" w:firstLine="0"/>
      </w:pPr>
      <w:r w:rsidRPr="00A7051C">
        <w:t>A támogatás milyen mértékben járult hozzá a mezőgazdasági ágazat versenyképe</w:t>
      </w:r>
      <w:r w:rsidRPr="00A7051C">
        <w:t>s</w:t>
      </w:r>
      <w:r w:rsidRPr="00A7051C">
        <w:t>ségének javításához? (112. intézkedés)</w:t>
      </w:r>
    </w:p>
    <w:p w:rsidR="00020AFE" w:rsidRPr="00A0349B" w:rsidRDefault="00020AFE" w:rsidP="00020AFE">
      <w:pPr>
        <w:pStyle w:val="HUNNormal"/>
        <w:tabs>
          <w:tab w:val="left" w:pos="709"/>
        </w:tabs>
      </w:pPr>
      <w:r>
        <w:t>Megítélésünk szerint a</w:t>
      </w:r>
      <w:r w:rsidRPr="00A0349B">
        <w:t xml:space="preserve"> támogatások </w:t>
      </w:r>
      <w:r w:rsidRPr="00A0349B">
        <w:rPr>
          <w:b/>
        </w:rPr>
        <w:t>javították</w:t>
      </w:r>
      <w:r w:rsidRPr="00A0349B">
        <w:t xml:space="preserve"> a kedvezményezett gazdaságok életképességét, </w:t>
      </w:r>
      <w:r w:rsidRPr="00A0349B">
        <w:rPr>
          <w:b/>
        </w:rPr>
        <w:t>de</w:t>
      </w:r>
      <w:r w:rsidRPr="00A0349B">
        <w:t xml:space="preserve"> a tényl</w:t>
      </w:r>
      <w:r w:rsidRPr="00A0349B">
        <w:t>e</w:t>
      </w:r>
      <w:r w:rsidRPr="00A0349B">
        <w:t xml:space="preserve">ges versenyképesség javító hatás az alábbiak miatt </w:t>
      </w:r>
      <w:r w:rsidRPr="00A0349B">
        <w:rPr>
          <w:b/>
        </w:rPr>
        <w:t>nem</w:t>
      </w:r>
      <w:r w:rsidRPr="00A0349B">
        <w:t xml:space="preserve"> </w:t>
      </w:r>
      <w:r w:rsidRPr="00A0349B">
        <w:rPr>
          <w:b/>
        </w:rPr>
        <w:t>számottevő</w:t>
      </w:r>
      <w:r w:rsidRPr="00A0349B">
        <w:t>:</w:t>
      </w:r>
    </w:p>
    <w:p w:rsidR="00020AFE" w:rsidRPr="00A0349B" w:rsidRDefault="00020AFE" w:rsidP="00D5521F">
      <w:pPr>
        <w:pStyle w:val="HUNNormal"/>
        <w:numPr>
          <w:ilvl w:val="0"/>
          <w:numId w:val="39"/>
        </w:numPr>
        <w:tabs>
          <w:tab w:val="left" w:pos="709"/>
        </w:tabs>
      </w:pPr>
      <w:r w:rsidRPr="00A0349B">
        <w:t>a kedvezményezettekre jellemző átlagos ágazati üzemméretek intenzív gazdálkodási formák esetén csak alacsonyabb költséghatékonyságot engednek meg;</w:t>
      </w:r>
    </w:p>
    <w:p w:rsidR="00020AFE" w:rsidRPr="00A0349B" w:rsidRDefault="00020AFE" w:rsidP="00D5521F">
      <w:pPr>
        <w:pStyle w:val="HUNNormal"/>
        <w:numPr>
          <w:ilvl w:val="0"/>
          <w:numId w:val="39"/>
        </w:numPr>
        <w:tabs>
          <w:tab w:val="left" w:pos="709"/>
        </w:tabs>
      </w:pPr>
      <w:r w:rsidRPr="00A0349B">
        <w:t>az elnyerhető támogatás mértéke komolyabb hatékonyságot eredményező beruházásokat nem tett lehetővé;</w:t>
      </w:r>
    </w:p>
    <w:p w:rsidR="00020AFE" w:rsidRPr="00A0349B" w:rsidRDefault="00020AFE" w:rsidP="00D5521F">
      <w:pPr>
        <w:pStyle w:val="HUNNormal"/>
        <w:numPr>
          <w:ilvl w:val="0"/>
          <w:numId w:val="39"/>
        </w:numPr>
        <w:tabs>
          <w:tab w:val="left" w:pos="709"/>
        </w:tabs>
      </w:pPr>
      <w:r w:rsidRPr="00A0349B">
        <w:t>a kedvezményezettek túlnyomó részben a nemzetközi piaci trendeknek kiszolgáltatott terményeket, ún. „</w:t>
      </w:r>
      <w:proofErr w:type="spellStart"/>
      <w:r w:rsidRPr="00A0349B">
        <w:t>commodity</w:t>
      </w:r>
      <w:proofErr w:type="spellEnd"/>
      <w:r w:rsidRPr="00A0349B">
        <w:t>” árukat előállító szántóföldi növénytermesztő gazdaságok, amelyek versenyképe</w:t>
      </w:r>
      <w:r w:rsidRPr="00A0349B">
        <w:t>s</w:t>
      </w:r>
      <w:r w:rsidRPr="00A0349B">
        <w:t>ségét ez a kitettség és a teljes mértékű importfüggőség eleve behatárolja;</w:t>
      </w:r>
    </w:p>
    <w:p w:rsidR="00020AFE" w:rsidRPr="00A0349B" w:rsidRDefault="00020AFE" w:rsidP="00D5521F">
      <w:pPr>
        <w:pStyle w:val="HUNNormal"/>
        <w:numPr>
          <w:ilvl w:val="0"/>
          <w:numId w:val="39"/>
        </w:numPr>
        <w:tabs>
          <w:tab w:val="left" w:pos="709"/>
        </w:tabs>
      </w:pPr>
      <w:r w:rsidRPr="00A0349B">
        <w:t>a kedvezményezett pályázatok nagy része semmilyen hozzáadott érték előállítást, piacra jutást seg</w:t>
      </w:r>
      <w:r w:rsidRPr="00A0349B">
        <w:t>í</w:t>
      </w:r>
      <w:r w:rsidRPr="00A0349B">
        <w:t>tő elemet nem tartalmaz.</w:t>
      </w:r>
    </w:p>
    <w:p w:rsidR="00020AFE" w:rsidRPr="00A7051C" w:rsidRDefault="00020AFE" w:rsidP="00020AFE">
      <w:pPr>
        <w:pStyle w:val="HUNNormal"/>
        <w:tabs>
          <w:tab w:val="left" w:pos="709"/>
        </w:tabs>
      </w:pPr>
    </w:p>
    <w:p w:rsidR="00020AFE" w:rsidRDefault="00020AFE" w:rsidP="00020AFE">
      <w:pPr>
        <w:pStyle w:val="StyleHUNHeading3Justified"/>
        <w:ind w:left="0" w:firstLine="0"/>
      </w:pPr>
      <w:r w:rsidRPr="00A7051C">
        <w:lastRenderedPageBreak/>
        <w:t>A korai nyugdíjba vonulás támogatása milyen mértékben járult hozzá a gazdaságok szerkezeti változásához, különösen az egyéb intézkedésekkel való szinergia nyomán? (113. intézkedés)</w:t>
      </w:r>
    </w:p>
    <w:p w:rsidR="00020AFE" w:rsidRPr="00A0349B" w:rsidRDefault="00020AFE" w:rsidP="00020AFE">
      <w:pPr>
        <w:pStyle w:val="HUNNormal"/>
        <w:tabs>
          <w:tab w:val="left" w:pos="709"/>
        </w:tabs>
      </w:pPr>
      <w:r w:rsidRPr="00A0349B">
        <w:t xml:space="preserve">A konstrukcióval szembeni érdektelenség miatti </w:t>
      </w:r>
      <w:r w:rsidRPr="00A0349B">
        <w:rPr>
          <w:b/>
        </w:rPr>
        <w:t>sikertelenség</w:t>
      </w:r>
      <w:r w:rsidRPr="00A0349B">
        <w:t xml:space="preserve"> (100 alatti kedvezményezett) minden ilyen hatást lehetetlenné tett, amit tovább fokozott az a tény, hogy ez a néhány gazdaság átadás is szinte kizár</w:t>
      </w:r>
      <w:r w:rsidRPr="00A0349B">
        <w:t>ó</w:t>
      </w:r>
      <w:r w:rsidRPr="00A0349B">
        <w:t>lag családon belül történt meg.</w:t>
      </w:r>
    </w:p>
    <w:p w:rsidR="00020AFE" w:rsidRPr="00A7051C" w:rsidRDefault="00020AFE" w:rsidP="00020AFE">
      <w:pPr>
        <w:pStyle w:val="HUNNormal"/>
        <w:tabs>
          <w:tab w:val="left" w:pos="709"/>
        </w:tabs>
      </w:pPr>
    </w:p>
    <w:p w:rsidR="00020AFE" w:rsidRDefault="00020AFE" w:rsidP="00020AFE">
      <w:pPr>
        <w:pStyle w:val="StyleHUNHeading3Justified"/>
        <w:ind w:left="0" w:firstLine="0"/>
      </w:pPr>
      <w:r w:rsidRPr="00A7051C">
        <w:t>A támogatás milyen mértékben járult hozzá a mezőgazdasági ágazatban az emberi erőforrás fejlesztéséhez? (113. intézkedés)</w:t>
      </w:r>
    </w:p>
    <w:p w:rsidR="00020AFE" w:rsidRPr="00A0349B" w:rsidRDefault="00020AFE" w:rsidP="00020AFE">
      <w:pPr>
        <w:pStyle w:val="HUNNormal"/>
        <w:tabs>
          <w:tab w:val="left" w:pos="709"/>
        </w:tabs>
      </w:pPr>
      <w:r>
        <w:t xml:space="preserve">Megállapítható, hogy </w:t>
      </w:r>
      <w:r w:rsidRPr="00A0349B">
        <w:t xml:space="preserve">a konstrukció sikertelensége és a fiatal gazdálkodóknál előírt alacsony képzettségi követelmények miatt az emberi erőforrás fejlesztő hatás </w:t>
      </w:r>
      <w:r w:rsidRPr="00A0349B">
        <w:rPr>
          <w:b/>
        </w:rPr>
        <w:t>alacsony</w:t>
      </w:r>
      <w:r w:rsidRPr="00A0349B">
        <w:t xml:space="preserve"> </w:t>
      </w:r>
      <w:r w:rsidRPr="00A0349B">
        <w:rPr>
          <w:b/>
        </w:rPr>
        <w:t>mértékű</w:t>
      </w:r>
      <w:r w:rsidRPr="00A0349B">
        <w:t>.</w:t>
      </w:r>
    </w:p>
    <w:p w:rsidR="00020AFE" w:rsidRPr="00A7051C" w:rsidRDefault="00020AFE" w:rsidP="00020AFE">
      <w:pPr>
        <w:pStyle w:val="HUNNormal"/>
        <w:tabs>
          <w:tab w:val="left" w:pos="709"/>
        </w:tabs>
      </w:pPr>
    </w:p>
    <w:p w:rsidR="00020AFE" w:rsidRDefault="00020AFE" w:rsidP="00020AFE">
      <w:pPr>
        <w:pStyle w:val="StyleHUNHeading3Justified"/>
        <w:ind w:left="0" w:firstLine="0"/>
      </w:pPr>
      <w:r w:rsidRPr="00A7051C">
        <w:t>A támogatás milyen mértékben járult hozzá a mezőgazdasági ágazat versenyképe</w:t>
      </w:r>
      <w:r w:rsidRPr="00A7051C">
        <w:t>s</w:t>
      </w:r>
      <w:r w:rsidRPr="00A7051C">
        <w:t>ségének javításához? (113. intézkedés)</w:t>
      </w:r>
    </w:p>
    <w:p w:rsidR="00020AFE" w:rsidRPr="00A0349B" w:rsidRDefault="00020AFE" w:rsidP="00020AFE">
      <w:pPr>
        <w:pStyle w:val="HUNNormal"/>
        <w:tabs>
          <w:tab w:val="left" w:pos="709"/>
        </w:tabs>
      </w:pPr>
      <w:r>
        <w:t xml:space="preserve">Megítélésünk szerint egyrészt </w:t>
      </w:r>
      <w:r w:rsidRPr="00A0349B">
        <w:t xml:space="preserve">a konstrukció általános </w:t>
      </w:r>
      <w:r w:rsidRPr="007740A4">
        <w:t xml:space="preserve">sikertelensége, </w:t>
      </w:r>
      <w:r>
        <w:t>másrészt a 112-es intézkedés ve</w:t>
      </w:r>
      <w:r>
        <w:t>r</w:t>
      </w:r>
      <w:r>
        <w:t xml:space="preserve">senyképességre gyakorolt hatásait akadályozó tényezők miatt (lásd a 112-es intézkedés versenyképességre vonatkozó kérdésnél adott válaszunkat), az intézkedés tényleges </w:t>
      </w:r>
      <w:r w:rsidRPr="007740A4">
        <w:rPr>
          <w:b/>
        </w:rPr>
        <w:t>versenyképesség javító hatása elenyésző</w:t>
      </w:r>
      <w:r>
        <w:t>.</w:t>
      </w:r>
    </w:p>
    <w:p w:rsidR="00020AFE" w:rsidRDefault="00020AFE" w:rsidP="00020AFE">
      <w:pPr>
        <w:pStyle w:val="HUNNormal"/>
        <w:tabs>
          <w:tab w:val="left" w:pos="709"/>
        </w:tabs>
      </w:pPr>
    </w:p>
    <w:p w:rsidR="00020AFE" w:rsidRPr="00A7051C" w:rsidRDefault="00020AFE" w:rsidP="00020AFE">
      <w:pPr>
        <w:pStyle w:val="StyleHUNHeading3Justified"/>
        <w:ind w:left="0" w:firstLine="0"/>
      </w:pPr>
      <w:r w:rsidRPr="00A7051C">
        <w:t>A rendszer milyen mértékben javította a mezőgazdasági üzemek és az erdőgazd</w:t>
      </w:r>
      <w:r w:rsidRPr="00A7051C">
        <w:t>a</w:t>
      </w:r>
      <w:r w:rsidRPr="00A7051C">
        <w:t>ságok gazdálkodását és gazdasági teljesítményét</w:t>
      </w:r>
      <w:r>
        <w:t xml:space="preserve"> (114-es intézkedés)</w:t>
      </w:r>
      <w:r w:rsidRPr="00A7051C">
        <w:t>? Az alábbiak részl</w:t>
      </w:r>
      <w:r w:rsidRPr="00A7051C">
        <w:t>e</w:t>
      </w:r>
      <w:r w:rsidRPr="00A7051C">
        <w:t>tezésével:</w:t>
      </w:r>
    </w:p>
    <w:p w:rsidR="00020AFE" w:rsidRPr="001637C2" w:rsidRDefault="00020AFE" w:rsidP="00D5521F">
      <w:pPr>
        <w:pStyle w:val="HUNNormal"/>
        <w:numPr>
          <w:ilvl w:val="0"/>
          <w:numId w:val="30"/>
        </w:numPr>
        <w:rPr>
          <w:b/>
          <w:i/>
        </w:rPr>
      </w:pPr>
      <w:r w:rsidRPr="001637C2">
        <w:rPr>
          <w:b/>
          <w:i/>
        </w:rPr>
        <w:t>gyártási technológiák</w:t>
      </w:r>
    </w:p>
    <w:p w:rsidR="00020AFE" w:rsidRPr="001637C2" w:rsidRDefault="00020AFE" w:rsidP="00D5521F">
      <w:pPr>
        <w:pStyle w:val="HUNNormal"/>
        <w:numPr>
          <w:ilvl w:val="0"/>
          <w:numId w:val="30"/>
        </w:numPr>
        <w:rPr>
          <w:b/>
          <w:i/>
        </w:rPr>
      </w:pPr>
      <w:r w:rsidRPr="001637C2">
        <w:rPr>
          <w:b/>
          <w:i/>
        </w:rPr>
        <w:t>minőségi előírások</w:t>
      </w:r>
    </w:p>
    <w:p w:rsidR="00020AFE" w:rsidRPr="001637C2" w:rsidRDefault="00020AFE" w:rsidP="00D5521F">
      <w:pPr>
        <w:pStyle w:val="HUNNormal"/>
        <w:numPr>
          <w:ilvl w:val="0"/>
          <w:numId w:val="30"/>
        </w:numPr>
        <w:rPr>
          <w:b/>
          <w:i/>
        </w:rPr>
      </w:pPr>
      <w:r w:rsidRPr="001637C2">
        <w:rPr>
          <w:b/>
          <w:i/>
        </w:rPr>
        <w:t>munkahelyi biztonsági feltételek</w:t>
      </w:r>
    </w:p>
    <w:p w:rsidR="00020AFE" w:rsidRPr="001637C2" w:rsidRDefault="00020AFE" w:rsidP="00D5521F">
      <w:pPr>
        <w:pStyle w:val="HUNNormal"/>
        <w:numPr>
          <w:ilvl w:val="0"/>
          <w:numId w:val="30"/>
        </w:numPr>
        <w:rPr>
          <w:b/>
          <w:i/>
        </w:rPr>
      </w:pPr>
      <w:r w:rsidRPr="001637C2">
        <w:rPr>
          <w:b/>
          <w:i/>
        </w:rPr>
        <w:t>a természeti erőforrásokkal való gazdálkodás.</w:t>
      </w:r>
    </w:p>
    <w:p w:rsidR="00020AFE" w:rsidRDefault="00020AFE" w:rsidP="00020AFE">
      <w:pPr>
        <w:pStyle w:val="HUNNormal"/>
        <w:tabs>
          <w:tab w:val="left" w:pos="709"/>
        </w:tabs>
      </w:pPr>
      <w:r>
        <w:t xml:space="preserve">Az intézkedés 2007. évi indulása óta, a </w:t>
      </w:r>
      <w:proofErr w:type="spellStart"/>
      <w:r>
        <w:t>mid-term</w:t>
      </w:r>
      <w:proofErr w:type="spellEnd"/>
      <w:r>
        <w:t xml:space="preserve"> értékelés összeállításáig hozzávetőlegesen 40,5 ezer t</w:t>
      </w:r>
      <w:r>
        <w:t>a</w:t>
      </w:r>
      <w:r>
        <w:t xml:space="preserve">nácsadási szolgáltatás nyújtása történt meg. A szaktanácsadás témáját tekintve 62%-ban az </w:t>
      </w:r>
      <w:proofErr w:type="gramStart"/>
      <w:r>
        <w:t>agrárgazdálk</w:t>
      </w:r>
      <w:r>
        <w:t>o</w:t>
      </w:r>
      <w:r>
        <w:t>dáshoz</w:t>
      </w:r>
      <w:r>
        <w:rPr>
          <w:rStyle w:val="FootnoteReference"/>
        </w:rPr>
        <w:footnoteReference w:id="47"/>
      </w:r>
      <w:r>
        <w:t>,</w:t>
      </w:r>
      <w:proofErr w:type="gramEnd"/>
      <w:r>
        <w:t xml:space="preserve"> 19%-ban az </w:t>
      </w:r>
      <w:proofErr w:type="spellStart"/>
      <w:r>
        <w:t>ÚMVP-hez</w:t>
      </w:r>
      <w:proofErr w:type="spellEnd"/>
      <w:r>
        <w:t xml:space="preserve"> kapcsolódó pályázati lehetőségekhez, 10%-ban a hazai szabályozási kö</w:t>
      </w:r>
      <w:r>
        <w:t>r</w:t>
      </w:r>
      <w:r>
        <w:t>nyezet bemutatásához, míg 9%-ban általános üzemviteli (üzleti) ismeretekhez kapcsolódó szaktanácsadási események történtek.</w:t>
      </w:r>
      <w:r w:rsidR="002D73BB">
        <w:t xml:space="preserve"> </w:t>
      </w:r>
      <w:r w:rsidR="002D73BB" w:rsidRPr="002D73BB">
        <w:t>A</w:t>
      </w:r>
      <w:r>
        <w:t xml:space="preserve"> szaktanácsadási szolgáltatások – a folyamatosan frissülő tájékoztató anyagok, a tanácsadók rendszeres képzése és vizsgáztatása (</w:t>
      </w:r>
      <w:proofErr w:type="spellStart"/>
      <w:r>
        <w:t>e-learning</w:t>
      </w:r>
      <w:proofErr w:type="spellEnd"/>
      <w:r>
        <w:t xml:space="preserve">) segítségével - a </w:t>
      </w:r>
      <w:r w:rsidR="002D73BB">
        <w:t xml:space="preserve">várhatóan </w:t>
      </w:r>
      <w:r w:rsidRPr="003C2E4C">
        <w:rPr>
          <w:b/>
        </w:rPr>
        <w:t>lehetővé</w:t>
      </w:r>
      <w:r>
        <w:t xml:space="preserve"> </w:t>
      </w:r>
      <w:r w:rsidRPr="003C2E4C">
        <w:rPr>
          <w:b/>
        </w:rPr>
        <w:t>teszik</w:t>
      </w:r>
      <w:r>
        <w:t>, hogy a gazdálkodók naprakész információkat kapjanak a legmodernebb gyártási, minőségi előírásokról, t</w:t>
      </w:r>
      <w:r>
        <w:t>o</w:t>
      </w:r>
      <w:r>
        <w:lastRenderedPageBreak/>
        <w:t>vábbá a természeti erőforrások fenntartható felhasználásáról</w:t>
      </w:r>
      <w:r>
        <w:rPr>
          <w:rStyle w:val="FootnoteReference"/>
        </w:rPr>
        <w:footnoteReference w:id="48"/>
      </w:r>
      <w:r>
        <w:t xml:space="preserve">. </w:t>
      </w:r>
      <w:proofErr w:type="gramStart"/>
      <w:r>
        <w:t>A</w:t>
      </w:r>
      <w:proofErr w:type="gramEnd"/>
      <w:r>
        <w:t xml:space="preserve"> szaktanácsadási rendszer tehát megt</w:t>
      </w:r>
      <w:r>
        <w:t>e</w:t>
      </w:r>
      <w:r>
        <w:t xml:space="preserve">remti az elvi lehetőséget a kérdésben szereplő </w:t>
      </w:r>
      <w:r w:rsidRPr="003C2E4C">
        <w:rPr>
          <w:b/>
        </w:rPr>
        <w:t>célok</w:t>
      </w:r>
      <w:r>
        <w:t xml:space="preserve"> </w:t>
      </w:r>
      <w:r w:rsidRPr="003C2E4C">
        <w:rPr>
          <w:b/>
        </w:rPr>
        <w:t>eléréséhez</w:t>
      </w:r>
      <w:r>
        <w:t>. A humánerőforrás fejlesztési intézkedések sajátosságai miatt (a hatások mérhetőségéhez szükséges idő és a képzési események száma – „kritikus tömege”, továbbá a humán faktor – a megszerzett tudás későbbi gyakorlati alkalmazásának megvalósulása) az intézkedés keretén belül nyújtott tanácsadási tevékenységek közvetlen hatását a gazdasági teljesítmén</w:t>
      </w:r>
      <w:r>
        <w:t>y</w:t>
      </w:r>
      <w:r>
        <w:t>re visszaigazolni jelenleg statisztikai módszerekkel nem lehet.</w:t>
      </w:r>
    </w:p>
    <w:p w:rsidR="00020AFE" w:rsidRDefault="00020AFE" w:rsidP="00020AFE">
      <w:pPr>
        <w:jc w:val="both"/>
      </w:pPr>
    </w:p>
    <w:p w:rsidR="00020AFE" w:rsidRDefault="00020AFE" w:rsidP="00020AFE">
      <w:pPr>
        <w:pStyle w:val="StyleHUNHeading3Justified"/>
        <w:ind w:left="0" w:firstLine="0"/>
      </w:pPr>
      <w:r w:rsidRPr="00A7051C">
        <w:t>A rendszer milyen mértékben járult hozzá a mezőgazdasági ágazatban az emberi erőforrás fejlesztéséhez? (114. intézkedés)</w:t>
      </w:r>
    </w:p>
    <w:p w:rsidR="00020AFE" w:rsidRDefault="00020AFE" w:rsidP="00020AFE">
      <w:pPr>
        <w:jc w:val="both"/>
      </w:pPr>
      <w:r>
        <w:t>Ahogy az előző kérdésre adott válaszunkban kifejtjük, megítélésünk szerint az intézkedés jelenlegi megval</w:t>
      </w:r>
      <w:r>
        <w:t>ó</w:t>
      </w:r>
      <w:r>
        <w:t xml:space="preserve">sulása </w:t>
      </w:r>
      <w:r w:rsidRPr="00424550">
        <w:rPr>
          <w:b/>
        </w:rPr>
        <w:t>lehetővé</w:t>
      </w:r>
      <w:r>
        <w:t xml:space="preserve"> </w:t>
      </w:r>
      <w:r w:rsidRPr="00424550">
        <w:rPr>
          <w:b/>
        </w:rPr>
        <w:t>teszi</w:t>
      </w:r>
      <w:r>
        <w:t xml:space="preserve"> a célul kitűzött humánerőforrás </w:t>
      </w:r>
      <w:r w:rsidRPr="00424550">
        <w:rPr>
          <w:b/>
        </w:rPr>
        <w:t>fejlesztést</w:t>
      </w:r>
      <w:r>
        <w:t>.</w:t>
      </w:r>
    </w:p>
    <w:p w:rsidR="00020AFE" w:rsidRPr="00A7051C" w:rsidRDefault="00020AFE" w:rsidP="00020AFE">
      <w:pPr>
        <w:jc w:val="both"/>
      </w:pPr>
    </w:p>
    <w:p w:rsidR="00020AFE" w:rsidRDefault="00020AFE" w:rsidP="00020AFE">
      <w:pPr>
        <w:pStyle w:val="StyleHUNHeading3Justified"/>
        <w:ind w:left="0" w:firstLine="0"/>
      </w:pPr>
      <w:r w:rsidRPr="00A7051C">
        <w:t>A rendszer milyen mértékben járult hozzá a mezőgazdasági ágazat versenyképe</w:t>
      </w:r>
      <w:r w:rsidRPr="00A7051C">
        <w:t>s</w:t>
      </w:r>
      <w:r w:rsidRPr="00A7051C">
        <w:t>ségének javításához? (114. intézkedés)</w:t>
      </w:r>
    </w:p>
    <w:p w:rsidR="00020AFE" w:rsidRDefault="00020AFE" w:rsidP="00020AFE">
      <w:pPr>
        <w:jc w:val="both"/>
      </w:pPr>
      <w:r>
        <w:t>A szaktanácsadási intézkedés lehetővé teszi a humánerőforrás fejlesztést, ezáltal közvetett módon potenci</w:t>
      </w:r>
      <w:r>
        <w:t>á</w:t>
      </w:r>
      <w:r>
        <w:t xml:space="preserve">lisan versenyképesség növelő hatást fejt ki. A </w:t>
      </w:r>
      <w:proofErr w:type="spellStart"/>
      <w:r>
        <w:t>mid-term</w:t>
      </w:r>
      <w:proofErr w:type="spellEnd"/>
      <w:r>
        <w:t xml:space="preserve"> értékelés időhorizontja, valamint az a tény okán, hogy a versenyképességre hatást gyakorló faktorok közül a humánerőforrás fejlesztés csak egy faktor, jele</w:t>
      </w:r>
      <w:r>
        <w:t>n</w:t>
      </w:r>
      <w:r>
        <w:t>leg statisztikailag kimutatható versenyképesség növekedésről nem számolhatunk be.</w:t>
      </w:r>
    </w:p>
    <w:p w:rsidR="00020AFE" w:rsidRPr="00A7051C" w:rsidRDefault="00020AFE" w:rsidP="00020AFE">
      <w:pPr>
        <w:jc w:val="both"/>
      </w:pPr>
    </w:p>
    <w:p w:rsidR="00020AFE" w:rsidRDefault="00020AFE" w:rsidP="00020AFE">
      <w:pPr>
        <w:pStyle w:val="StyleHUNHeading3Justified"/>
        <w:ind w:left="0" w:firstLine="0"/>
      </w:pPr>
      <w:r w:rsidRPr="00A7051C">
        <w:t>A támogatott beruházások milyen mértékben járultak hozzá a mezőgazdasági üz</w:t>
      </w:r>
      <w:r w:rsidRPr="00A7051C">
        <w:t>e</w:t>
      </w:r>
      <w:r w:rsidRPr="00A7051C">
        <w:t>mekben a termelési tényezők jobb felhasználásához? Különösen a támogatott beruházások milyen mértékben könnyítették meg az új technológiák és az innováció bevezetését? (121. intézkedés)</w:t>
      </w:r>
    </w:p>
    <w:p w:rsidR="00020AFE" w:rsidRDefault="00020AFE" w:rsidP="00020AFE">
      <w:pPr>
        <w:jc w:val="both"/>
      </w:pPr>
    </w:p>
    <w:p w:rsidR="00020AFE" w:rsidRDefault="00020AFE" w:rsidP="00020AFE">
      <w:pPr>
        <w:jc w:val="both"/>
      </w:pPr>
      <w:r>
        <w:t xml:space="preserve">Az </w:t>
      </w:r>
      <w:r w:rsidRPr="000B5E86">
        <w:rPr>
          <w:b/>
        </w:rPr>
        <w:t>Évelő fás szárú energetikai ültetvények telepítése jogcím</w:t>
      </w:r>
      <w:r>
        <w:t xml:space="preserve"> a 72/2007. (VII.27.) FVM rendelet alapján tö</w:t>
      </w:r>
      <w:r>
        <w:t>r</w:t>
      </w:r>
      <w:r>
        <w:t xml:space="preserve">tént. Az értékelés időpontjáig mindössze </w:t>
      </w:r>
      <w:r w:rsidRPr="00EB33F7">
        <w:t>72 db jóváhagyott támogatási kérelem született</w:t>
      </w:r>
      <w:r>
        <w:t xml:space="preserve">, amelyek területe mindössze 3.000 hektár. A fás szárú energetikai ültetvények </w:t>
      </w:r>
      <w:r w:rsidRPr="000B5E86">
        <w:rPr>
          <w:b/>
        </w:rPr>
        <w:t>hozzájárulása</w:t>
      </w:r>
      <w:r>
        <w:t xml:space="preserve"> a termelési tényezők jobb fe</w:t>
      </w:r>
      <w:r>
        <w:t>l</w:t>
      </w:r>
      <w:r>
        <w:t xml:space="preserve">használásához a mezőgazdasági üzemekben </w:t>
      </w:r>
      <w:r w:rsidRPr="000B5E86">
        <w:rPr>
          <w:b/>
        </w:rPr>
        <w:t>minimálisnak mondható</w:t>
      </w:r>
      <w:r>
        <w:t>. Kivételt képeznek ez alól talán a B</w:t>
      </w:r>
      <w:r>
        <w:t>a</w:t>
      </w:r>
      <w:r>
        <w:t>ranya és Somogy megyékben megvalósult nagyobb arányú beruházások, amelyek a már meglévő felvásárlói kapacitások okán jöhettek létre.</w:t>
      </w:r>
    </w:p>
    <w:p w:rsidR="00020AFE" w:rsidRDefault="00020AFE" w:rsidP="00020AFE">
      <w:pPr>
        <w:jc w:val="both"/>
        <w:rPr>
          <w:rFonts w:ascii="Times New Roman" w:hAnsi="Times New Roman"/>
          <w:sz w:val="24"/>
          <w:szCs w:val="24"/>
        </w:rPr>
      </w:pPr>
      <w:r>
        <w:t>A (Gyümölcs</w:t>
      </w:r>
      <w:proofErr w:type="gramStart"/>
      <w:r>
        <w:t>)</w:t>
      </w:r>
      <w:r w:rsidRPr="00C80A33">
        <w:rPr>
          <w:b/>
        </w:rPr>
        <w:t>ültetvények</w:t>
      </w:r>
      <w:proofErr w:type="gramEnd"/>
      <w:r>
        <w:t xml:space="preserve"> </w:t>
      </w:r>
      <w:r w:rsidRPr="00C80A33">
        <w:rPr>
          <w:b/>
        </w:rPr>
        <w:t>korszerűsítéséhez</w:t>
      </w:r>
      <w:r>
        <w:t xml:space="preserve">, </w:t>
      </w:r>
      <w:r w:rsidRPr="00C80A33">
        <w:rPr>
          <w:b/>
        </w:rPr>
        <w:t>telepítéséhez</w:t>
      </w:r>
      <w:r>
        <w:t xml:space="preserve"> nyújtott támogatások jogcím során a</w:t>
      </w:r>
      <w:r w:rsidRPr="00C80A33">
        <w:t xml:space="preserve"> korszerűtlen ültetvények cseréje </w:t>
      </w:r>
      <w:r w:rsidRPr="00C80A33">
        <w:rPr>
          <w:b/>
        </w:rPr>
        <w:t>hatékonyan</w:t>
      </w:r>
      <w:r w:rsidRPr="00C80A33">
        <w:t xml:space="preserve"> szolgálta </w:t>
      </w:r>
      <w:r>
        <w:t xml:space="preserve">a termelési tényezők jobb felhasználásának célját. </w:t>
      </w:r>
      <w:r w:rsidRPr="00A012C3">
        <w:t xml:space="preserve">Különösen a második fordulóban alkalmazott szigorúbb követelmények miatt a termés és termelésbiztonságot fokozó innovatív technológiák (jégvédelem, </w:t>
      </w:r>
      <w:proofErr w:type="spellStart"/>
      <w:r w:rsidRPr="00A012C3">
        <w:t>mikroönt</w:t>
      </w:r>
      <w:r>
        <w:t>özés</w:t>
      </w:r>
      <w:proofErr w:type="spellEnd"/>
      <w:r>
        <w:t xml:space="preserve">) kötelezővé váltak, így </w:t>
      </w:r>
      <w:proofErr w:type="gramStart"/>
      <w:r>
        <w:t>ezen</w:t>
      </w:r>
      <w:proofErr w:type="gramEnd"/>
      <w:r>
        <w:t xml:space="preserve"> technológiák bevezetésének célját a jogcím </w:t>
      </w:r>
      <w:r w:rsidRPr="00A012C3">
        <w:t>tökéletesen szolgál</w:t>
      </w:r>
      <w:r>
        <w:t>ta</w:t>
      </w:r>
      <w:r w:rsidRPr="00A012C3">
        <w:t>.</w:t>
      </w:r>
    </w:p>
    <w:p w:rsidR="00020AFE" w:rsidRDefault="00020AFE" w:rsidP="00020AFE">
      <w:pPr>
        <w:pStyle w:val="HUNNormal"/>
        <w:tabs>
          <w:tab w:val="left" w:pos="709"/>
        </w:tabs>
      </w:pPr>
      <w:r>
        <w:lastRenderedPageBreak/>
        <w:t xml:space="preserve">Az </w:t>
      </w:r>
      <w:r w:rsidRPr="000B5E86">
        <w:rPr>
          <w:b/>
        </w:rPr>
        <w:t>Öntözés, melioráció, területi vízgazdálkodás jogcím</w:t>
      </w:r>
      <w:r>
        <w:t xml:space="preserve"> keretén belül beérkezett </w:t>
      </w:r>
      <w:r w:rsidRPr="00635188">
        <w:t xml:space="preserve">támogatási </w:t>
      </w:r>
      <w:r>
        <w:t xml:space="preserve">kérelmek </w:t>
      </w:r>
      <w:r w:rsidRPr="00635188">
        <w:t>elbír</w:t>
      </w:r>
      <w:r w:rsidRPr="00635188">
        <w:t>á</w:t>
      </w:r>
      <w:r w:rsidRPr="00635188">
        <w:t xml:space="preserve">lásoknál kiemelt szempont volt </w:t>
      </w:r>
      <w:r>
        <w:t>a korszerűbb technológiák</w:t>
      </w:r>
      <w:r w:rsidRPr="00635188">
        <w:t xml:space="preserve"> támogat</w:t>
      </w:r>
      <w:r>
        <w:t xml:space="preserve">ása. </w:t>
      </w:r>
      <w:r w:rsidRPr="00635188">
        <w:t>Ezen belül is elsősorban a korsz</w:t>
      </w:r>
      <w:r w:rsidRPr="00635188">
        <w:t>e</w:t>
      </w:r>
      <w:r w:rsidRPr="00635188">
        <w:t>rűbb mutatókkal rendelkező gépek beszerzését és rendszerbe állítását támogatják a jóváhagyott kérelme</w:t>
      </w:r>
      <w:r w:rsidRPr="00635188">
        <w:t>k</w:t>
      </w:r>
      <w:r w:rsidRPr="00635188">
        <w:t>nél.</w:t>
      </w:r>
      <w:r>
        <w:t xml:space="preserve"> Az e-monitoring adatszolgáltatás adatai alapján</w:t>
      </w:r>
      <w:r>
        <w:rPr>
          <w:rStyle w:val="FootnoteReference"/>
        </w:rPr>
        <w:footnoteReference w:id="49"/>
      </w:r>
      <w:r>
        <w:t xml:space="preserve"> a beruházás során bevezetett új technológiák</w:t>
      </w:r>
      <w:r>
        <w:rPr>
          <w:rStyle w:val="FootnoteReference"/>
        </w:rPr>
        <w:footnoteReference w:id="50"/>
      </w:r>
      <w:r>
        <w:t xml:space="preserve"> és a bevezetett új termékek száma</w:t>
      </w:r>
      <w:r>
        <w:rPr>
          <w:rStyle w:val="FootnoteReference"/>
        </w:rPr>
        <w:footnoteReference w:id="51"/>
      </w:r>
      <w:r>
        <w:t xml:space="preserve"> meglehetősen alacsony, ami vélelmezhetően kimutatható mértékben nem gyakorolt hatást a termelési tényezők jobb felhasználásához.</w:t>
      </w:r>
    </w:p>
    <w:p w:rsidR="00020AFE" w:rsidRDefault="00020AFE" w:rsidP="00020AFE">
      <w:pPr>
        <w:pStyle w:val="HUNNormal"/>
        <w:tabs>
          <w:tab w:val="left" w:pos="709"/>
        </w:tabs>
      </w:pPr>
      <w:r>
        <w:t xml:space="preserve">Az </w:t>
      </w:r>
      <w:r w:rsidRPr="00E247E1">
        <w:rPr>
          <w:b/>
          <w:bCs/>
        </w:rPr>
        <w:t>Önálló, építéssel nem járó gépek, technológiai berendezések beszerzés</w:t>
      </w:r>
      <w:r>
        <w:rPr>
          <w:b/>
          <w:bCs/>
        </w:rPr>
        <w:t>ével javult</w:t>
      </w:r>
      <w:r>
        <w:t xml:space="preserve"> a mezőgazdasági gé</w:t>
      </w:r>
      <w:r>
        <w:t>p</w:t>
      </w:r>
      <w:r>
        <w:t>állomány korösszetétele, továbbá a környezetbarát gépek és technológiai berendezések beszerzésével ho</w:t>
      </w:r>
      <w:r>
        <w:t>z</w:t>
      </w:r>
      <w:r>
        <w:t>zájárult az energiatakarékos és környezetbarát gazdálkodáshoz. A kifizetett 65,5 milliárd forint kötelezet</w:t>
      </w:r>
      <w:r>
        <w:t>t</w:t>
      </w:r>
      <w:r>
        <w:t>ségvállalás mintegy 240 milliárd forintos beruházási színvonal megvalósítását tette lehetővé.</w:t>
      </w:r>
    </w:p>
    <w:p w:rsidR="00020AFE" w:rsidRDefault="00020AFE" w:rsidP="00020AFE">
      <w:pPr>
        <w:pStyle w:val="HUNNormal"/>
        <w:tabs>
          <w:tab w:val="left" w:pos="709"/>
        </w:tabs>
      </w:pPr>
      <w:r>
        <w:t xml:space="preserve">A </w:t>
      </w:r>
      <w:r w:rsidRPr="008976B3">
        <w:rPr>
          <w:b/>
          <w:bCs/>
        </w:rPr>
        <w:t>kertészeti gépek, technológiai berendezések</w:t>
      </w:r>
      <w:r>
        <w:t xml:space="preserve"> vonatkozásában ugyanez elmondható és a kifizetett 6,6 mi</w:t>
      </w:r>
      <w:r>
        <w:t>l</w:t>
      </w:r>
      <w:r>
        <w:t>liárd forint kötelezettség vállalás közel 20 milliárd forintos beruházási színvonal megvalósítását tette lehet</w:t>
      </w:r>
      <w:r>
        <w:t>ő</w:t>
      </w:r>
      <w:r>
        <w:t>vé.</w:t>
      </w:r>
    </w:p>
    <w:p w:rsidR="00020AFE" w:rsidRDefault="00020AFE" w:rsidP="00020AFE">
      <w:pPr>
        <w:pStyle w:val="HUNNormal"/>
        <w:tabs>
          <w:tab w:val="left" w:pos="709"/>
        </w:tabs>
      </w:pPr>
      <w:r>
        <w:t xml:space="preserve">Az </w:t>
      </w:r>
      <w:r>
        <w:rPr>
          <w:b/>
          <w:bCs/>
        </w:rPr>
        <w:t>Állattartó telepek korszerűsítése</w:t>
      </w:r>
      <w:r>
        <w:t xml:space="preserve"> jogcím megvalósulásával az állattartó telepek megfelelnek a trágyaelh</w:t>
      </w:r>
      <w:r>
        <w:t>e</w:t>
      </w:r>
      <w:r>
        <w:t>lyezéssel kapcsolatos előírásoknak, javul az állattartó telepek takarmányozási, illetve műszaki színvonala, állategészségügyi és élelmiszerbiztonsági helyzete, infrastruktúrája, valamint az állattartó telepeken dolg</w:t>
      </w:r>
      <w:r>
        <w:t>o</w:t>
      </w:r>
      <w:r>
        <w:t>zók munkakörülménye és munkahatékonysága. Az eddig kifizetett 75,5 milliárd forint kötelezettségvállalás közel 120 milliárd forintos beruházási színvonalat prognosztizálhatunk, azonban ez változhat annak függv</w:t>
      </w:r>
      <w:r>
        <w:t>é</w:t>
      </w:r>
      <w:r>
        <w:t>nyében, hogy hány beruházás valósul meg. Az eredetileg a jogcímre allokált forrás 400 Mrd Ft-os beruházási színvonalat is lehetővé tett volna.</w:t>
      </w:r>
    </w:p>
    <w:p w:rsidR="00020AFE" w:rsidRDefault="00020AFE" w:rsidP="00020AFE">
      <w:pPr>
        <w:autoSpaceDE w:val="0"/>
        <w:autoSpaceDN w:val="0"/>
        <w:adjustRightInd w:val="0"/>
        <w:jc w:val="both"/>
      </w:pPr>
      <w:r w:rsidRPr="008976B3">
        <w:rPr>
          <w:b/>
          <w:bCs/>
        </w:rPr>
        <w:t>A kertészet korszerűsítése</w:t>
      </w:r>
      <w:r>
        <w:t xml:space="preserve"> jogcím megteremtette a lehetőségét a termelőtevékenység folytatásához és a megtermelt áru tárolásához szükséges korszerű épületállomány létrehozásának, a korszerű technológiák alkalmazásának. A válság okozta tőkehiány miatt azonban az előzetes érdeklődéshez képest a ténylegesen leadott kérelmek száma és a fejlesztések volumene lényegesen elmaradt a szakmai várakozásoktól. A hel</w:t>
      </w:r>
      <w:r>
        <w:t>y</w:t>
      </w:r>
      <w:r>
        <w:t>zetet tovább súlyosbította, hogy a kérelmek befogadása és elbírálása a jogszabályban előre rögzített hatá</w:t>
      </w:r>
      <w:r>
        <w:t>r</w:t>
      </w:r>
      <w:r>
        <w:t>időkhöz képest több hónapot csúszott, sőt kritikus esetekben a leadási dátumtól számított egy év múlva sem volt bírálati eredmény. A gazdasági válság és az ezzel összefüggő finanszírozási nehézségek a már l</w:t>
      </w:r>
      <w:r>
        <w:t>e</w:t>
      </w:r>
      <w:r>
        <w:t>adott kevés számú pályázat megvalósulási esélyeit is nagyban csökkentették, így a fejlesztési program ala</w:t>
      </w:r>
      <w:r>
        <w:t>p</w:t>
      </w:r>
      <w:r>
        <w:t>vető célkitűzései kerültek veszélybe. A kifizetett 2,4 Mrd Ft támogatási összeg közel 5 Mrd Ft-os beruházási színvonal megvalósítását szolgálhatja. Tekintettel arra, hogy a második körben meghirdetett intézkedés k</w:t>
      </w:r>
      <w:r>
        <w:t>e</w:t>
      </w:r>
      <w:r>
        <w:t xml:space="preserve">retében megítélt támogatások nagy részének a lehívása még nem történt meg, a támogatás-felhasználási </w:t>
      </w:r>
      <w:proofErr w:type="gramStart"/>
      <w:r>
        <w:t>arány jelentős</w:t>
      </w:r>
      <w:proofErr w:type="gramEnd"/>
      <w:r>
        <w:t xml:space="preserve"> növekedése várható.</w:t>
      </w:r>
    </w:p>
    <w:p w:rsidR="00020AFE" w:rsidRDefault="00020AFE" w:rsidP="00020AFE">
      <w:pPr>
        <w:jc w:val="both"/>
      </w:pPr>
      <w:r w:rsidRPr="008976B3">
        <w:rPr>
          <w:b/>
          <w:bCs/>
        </w:rPr>
        <w:t>A Növénytermesztés korszerűsítése</w:t>
      </w:r>
      <w:r>
        <w:t xml:space="preserve"> jogcím lehetővé tette a </w:t>
      </w:r>
      <w:proofErr w:type="spellStart"/>
      <w:r>
        <w:t>post-harvest</w:t>
      </w:r>
      <w:proofErr w:type="spellEnd"/>
      <w:r>
        <w:t xml:space="preserve"> fázis stabil gépeinek korszerűsít</w:t>
      </w:r>
      <w:r>
        <w:t>é</w:t>
      </w:r>
      <w:r>
        <w:t xml:space="preserve">sét, új gépek beszerzését, illetve a </w:t>
      </w:r>
      <w:proofErr w:type="gramStart"/>
      <w:r>
        <w:t>meglévő</w:t>
      </w:r>
      <w:proofErr w:type="gramEnd"/>
      <w:r>
        <w:t xml:space="preserve"> eszközök rekonstrukcióját, ezen belül a terményszárítók és –tisztítók korszerűsítését, a kapcsolódó majori létesítmények, a létesítményeket összekötő majoron belüli infrastruktúra, valamint a terménytárolók létrehozását, felújítását. A korszerűtlen berendezések rekonstru</w:t>
      </w:r>
      <w:r>
        <w:t>k</w:t>
      </w:r>
      <w:r>
        <w:t>ciójával, cseréjével csökkent a por- és zajkibocsátás, az energiafogyasztás, valamint a termények kímélet</w:t>
      </w:r>
      <w:r>
        <w:t>e</w:t>
      </w:r>
      <w:r>
        <w:t>sebben kezelhetőek, ami jobb minőséget eredményez.</w:t>
      </w:r>
    </w:p>
    <w:p w:rsidR="00020AFE" w:rsidRDefault="00020AFE" w:rsidP="00020AFE">
      <w:pPr>
        <w:pStyle w:val="HUNNormal"/>
        <w:tabs>
          <w:tab w:val="left" w:pos="709"/>
        </w:tabs>
      </w:pPr>
      <w:r w:rsidRPr="00CF72DE">
        <w:rPr>
          <w:b/>
          <w:bCs/>
        </w:rPr>
        <w:lastRenderedPageBreak/>
        <w:t>A biomassza energetikai alkalmazása</w:t>
      </w:r>
      <w:r>
        <w:t xml:space="preserve"> a mezőgazdaság területén hozzájárul az országos célkitűzések teljes</w:t>
      </w:r>
      <w:r>
        <w:t>í</w:t>
      </w:r>
      <w:r>
        <w:t>téséhez (a megújuló energia arányának növeléséhez). Mivel az alapanyag a mezőgazdasági üzemekben, vidéki térségekben önköltségi, vagy kedvezőbb áron elérhető, ezért csökkenthetőek az energiaköltségek, növelhető a versenyképesség.</w:t>
      </w:r>
    </w:p>
    <w:p w:rsidR="00020AFE" w:rsidRPr="00A7051C" w:rsidRDefault="00020AFE" w:rsidP="00020AFE">
      <w:pPr>
        <w:pStyle w:val="HUNNormal"/>
        <w:tabs>
          <w:tab w:val="left" w:pos="709"/>
        </w:tabs>
      </w:pPr>
    </w:p>
    <w:p w:rsidR="00020AFE" w:rsidRDefault="00020AFE" w:rsidP="00020AFE">
      <w:pPr>
        <w:pStyle w:val="StyleHUNHeading3Justified"/>
        <w:ind w:left="0" w:firstLine="0"/>
      </w:pPr>
      <w:r w:rsidRPr="00A7051C">
        <w:t>A támogatott beruházások milyen mértékben növelték a mezőgazdasági üzemek p</w:t>
      </w:r>
      <w:r w:rsidRPr="00A7051C">
        <w:t>i</w:t>
      </w:r>
      <w:r w:rsidRPr="00A7051C">
        <w:t>acra jutását és piaci részesedését? (121. intézkedés)</w:t>
      </w:r>
    </w:p>
    <w:p w:rsidR="00020AFE" w:rsidRDefault="00020AFE" w:rsidP="00020AFE">
      <w:pPr>
        <w:jc w:val="both"/>
      </w:pPr>
      <w:r>
        <w:t xml:space="preserve">Az </w:t>
      </w:r>
      <w:r w:rsidRPr="000B5E86">
        <w:rPr>
          <w:b/>
        </w:rPr>
        <w:t>Évelő fás szárú energetikai ültetvények telepítése jogcím</w:t>
      </w:r>
      <w:r>
        <w:t xml:space="preserve"> keretén belül megvalósult fejlesztések minimális mértékben növelték a mezőgazdasági üzemek piacra jutását és piaci részesedését. Ennek oka, hogy M</w:t>
      </w:r>
      <w:r>
        <w:t>a</w:t>
      </w:r>
      <w:r>
        <w:t>gyarországon jelenleg a biomassza-feldolgozó kapacitások szerény mértékben adnak lehetőséget a termelők számára a megtermelt biomassza értékesítésére. A nagyobb mértékű saját hasznosítás szintén nem jelle</w:t>
      </w:r>
      <w:r>
        <w:t>m</w:t>
      </w:r>
      <w:r>
        <w:t>ző még a hazai mezőgazdasági üzemekre.</w:t>
      </w:r>
    </w:p>
    <w:p w:rsidR="00020AFE" w:rsidRDefault="00020AFE" w:rsidP="00020AFE">
      <w:pPr>
        <w:jc w:val="both"/>
      </w:pPr>
      <w:r>
        <w:t>A (</w:t>
      </w:r>
      <w:r w:rsidRPr="00014AC4">
        <w:rPr>
          <w:b/>
        </w:rPr>
        <w:t>Gyümölcs</w:t>
      </w:r>
      <w:proofErr w:type="gramStart"/>
      <w:r>
        <w:t>)</w:t>
      </w:r>
      <w:r w:rsidRPr="00014AC4">
        <w:rPr>
          <w:b/>
        </w:rPr>
        <w:t>ültetvények</w:t>
      </w:r>
      <w:proofErr w:type="gramEnd"/>
      <w:r>
        <w:t xml:space="preserve"> korszerűsítéséhez, telepítéséhez nyújtott támogatások jogcímben összesen 110 db kedvezményezett támogatása történt meg. Az értékelés során megállapítható volt, hogy a fejlesztés releváns igényre reagált, mely összhangban áll a piaci kereslettel, valamint a hazai agrárpolitika stratégiai törekvése</w:t>
      </w:r>
      <w:r>
        <w:t>i</w:t>
      </w:r>
      <w:r>
        <w:t xml:space="preserve">vel. A nyújtott támogatások megítélésünk szerint jelentősen hozzájárultak a támogatottak piacra jutásához. Sajnálatos, hogy </w:t>
      </w:r>
      <w:proofErr w:type="gramStart"/>
      <w:r>
        <w:t>ezen</w:t>
      </w:r>
      <w:proofErr w:type="gramEnd"/>
      <w:r>
        <w:t xml:space="preserve"> jogcímre viszonylag kevés forrás állt rendelkezésre (1,95 Mrd Ft kötelezettségváll</w:t>
      </w:r>
      <w:r>
        <w:t>a</w:t>
      </w:r>
      <w:r>
        <w:t>lás).</w:t>
      </w:r>
    </w:p>
    <w:p w:rsidR="00020AFE" w:rsidRDefault="00020AFE" w:rsidP="00020AFE">
      <w:pPr>
        <w:jc w:val="both"/>
      </w:pPr>
      <w:r>
        <w:t xml:space="preserve">Az </w:t>
      </w:r>
      <w:r w:rsidRPr="00014AC4">
        <w:rPr>
          <w:b/>
        </w:rPr>
        <w:t>Öntözés</w:t>
      </w:r>
      <w:r>
        <w:t>, melioráció, területi vízgazdálkodás jogcím megítélésünk szerint szintén elősegítheti a mezőga</w:t>
      </w:r>
      <w:r>
        <w:t>z</w:t>
      </w:r>
      <w:r>
        <w:t>dasági üzemek piacra jutását. A jogcím jellemzően a forrásigényes beruházásokat támogatta, melyek megv</w:t>
      </w:r>
      <w:r>
        <w:t>a</w:t>
      </w:r>
      <w:r>
        <w:t>lósítását támogatás nélkül a kedvezményezettek nem vállalták volna. A kiépített korszerű technológia mag</w:t>
      </w:r>
      <w:r>
        <w:t>a</w:t>
      </w:r>
      <w:r>
        <w:t>sabb hozamot és termésbiztonságot tesz lehetővé, ami mindenképpen pozitív hatással bírhat az termésbi</w:t>
      </w:r>
      <w:r>
        <w:t>z</w:t>
      </w:r>
      <w:r>
        <w:t>tonságra.</w:t>
      </w:r>
    </w:p>
    <w:p w:rsidR="00020AFE" w:rsidRDefault="00020AFE" w:rsidP="00020AFE">
      <w:pPr>
        <w:jc w:val="both"/>
      </w:pPr>
      <w:r>
        <w:t xml:space="preserve">A </w:t>
      </w:r>
      <w:r w:rsidRPr="00014AC4">
        <w:rPr>
          <w:b/>
        </w:rPr>
        <w:t>technológiai</w:t>
      </w:r>
      <w:r>
        <w:t xml:space="preserve"> beruházások (kertészeti üzemek fejlesztése, növénytermesztés korszerűsítése, biomassza energetikai alkalmazása, kertészeti gépek beszerzése, önálló gépek beszerzése) az üzemek általános tec</w:t>
      </w:r>
      <w:r>
        <w:t>h</w:t>
      </w:r>
      <w:r>
        <w:t xml:space="preserve">nológiai színvonalának jelentős javítása mellett, várhatóan csökkenő fajlagos költségeket eredményeznek, melyek megteremtik a lehetőséget, hogy minőségi, árban versenyképes termékekkel lépjenek a piacra a hazai gazdálkodók. Ezen hatást a </w:t>
      </w:r>
      <w:proofErr w:type="spellStart"/>
      <w:r>
        <w:t>mid-term</w:t>
      </w:r>
      <w:proofErr w:type="spellEnd"/>
      <w:r>
        <w:t xml:space="preserve"> értékelés keretén belül statisztikai eszközökkel mérni még nem lehetett (jellemzően a fejlesztések megvalósítása óta eltelt idő rendkívül rövidsége miatt), azonban a hel</w:t>
      </w:r>
      <w:r>
        <w:t>y</w:t>
      </w:r>
      <w:r>
        <w:t xml:space="preserve">színi mélyinterjúk és a </w:t>
      </w:r>
      <w:proofErr w:type="spellStart"/>
      <w:r>
        <w:t>kedvezményezetti</w:t>
      </w:r>
      <w:proofErr w:type="spellEnd"/>
      <w:r>
        <w:t xml:space="preserve"> kérdőíves felmérés információi alátámasztják </w:t>
      </w:r>
      <w:proofErr w:type="gramStart"/>
      <w:r>
        <w:t>ezen</w:t>
      </w:r>
      <w:proofErr w:type="gramEnd"/>
      <w:r>
        <w:t xml:space="preserve"> véleményünket.</w:t>
      </w:r>
    </w:p>
    <w:p w:rsidR="00020AFE" w:rsidRDefault="00020AFE" w:rsidP="00020AFE">
      <w:pPr>
        <w:jc w:val="both"/>
      </w:pPr>
      <w:r>
        <w:t xml:space="preserve">Az </w:t>
      </w:r>
      <w:r w:rsidRPr="00014AC4">
        <w:rPr>
          <w:b/>
        </w:rPr>
        <w:t>Állattartó</w:t>
      </w:r>
      <w:r>
        <w:t xml:space="preserve"> </w:t>
      </w:r>
      <w:r w:rsidRPr="00014AC4">
        <w:rPr>
          <w:b/>
        </w:rPr>
        <w:t>telepek</w:t>
      </w:r>
      <w:r>
        <w:t xml:space="preserve"> korszerűsítése jogcím a technológiai beruházásokkal kapcsolatban leírtakkal jelleme</w:t>
      </w:r>
      <w:r>
        <w:t>z</w:t>
      </w:r>
      <w:r>
        <w:t>hető, ismételten kiemelve, hogy a beruházások előrehaladása még nem teszi lehetővé a vélelmezhető hat</w:t>
      </w:r>
      <w:r>
        <w:t>á</w:t>
      </w:r>
      <w:r>
        <w:t>sok objektív alátámasztását.</w:t>
      </w:r>
    </w:p>
    <w:p w:rsidR="00020AFE" w:rsidRDefault="00020AFE" w:rsidP="00020AFE">
      <w:pPr>
        <w:jc w:val="both"/>
      </w:pPr>
    </w:p>
    <w:p w:rsidR="00020AFE" w:rsidRDefault="00020AFE" w:rsidP="00020AFE">
      <w:pPr>
        <w:pStyle w:val="StyleHUNHeading3Justified"/>
        <w:ind w:left="0" w:firstLine="0"/>
      </w:pPr>
      <w:r w:rsidRPr="00A7051C">
        <w:t>A támogatott beruházások milyen mértékben járultak hozzá a mezőgazdasági üz</w:t>
      </w:r>
      <w:r w:rsidRPr="00A7051C">
        <w:t>e</w:t>
      </w:r>
      <w:r w:rsidRPr="00A7051C">
        <w:t>mek tartós és fenntartható tevékenységéhez? (121. intézkedés)</w:t>
      </w:r>
    </w:p>
    <w:p w:rsidR="00020AFE" w:rsidRDefault="00020AFE" w:rsidP="00020AFE">
      <w:pPr>
        <w:jc w:val="both"/>
      </w:pPr>
      <w:r>
        <w:t xml:space="preserve">Az </w:t>
      </w:r>
      <w:r w:rsidRPr="000B5E86">
        <w:rPr>
          <w:b/>
        </w:rPr>
        <w:t>Évelő fás szárú energetikai ültetvények telepítése jogcím</w:t>
      </w:r>
      <w:r>
        <w:t xml:space="preserve"> keretén belül megvalósult fejlesztések minimális mértékben járultak hozzá a mezőgazdasági üzemek tartós és fenntartható tevékenységéhez.</w:t>
      </w:r>
      <w:r w:rsidRPr="00B26A11">
        <w:t xml:space="preserve"> </w:t>
      </w:r>
      <w:r>
        <w:t>Ennek oka, hogy Magyarországon jelenleg a biomassza-feldolgozó kapacitások szerény mértékben adnak lehetőséget a termelők számára a megtermelt biomassza értékesítésére.</w:t>
      </w:r>
    </w:p>
    <w:p w:rsidR="00020AFE" w:rsidRPr="0036643E" w:rsidRDefault="00020AFE" w:rsidP="00020AFE">
      <w:pPr>
        <w:pStyle w:val="HUNNormal"/>
        <w:tabs>
          <w:tab w:val="left" w:pos="709"/>
        </w:tabs>
      </w:pPr>
      <w:r>
        <w:lastRenderedPageBreak/>
        <w:t xml:space="preserve">Az </w:t>
      </w:r>
      <w:r w:rsidRPr="00D4197B">
        <w:rPr>
          <w:b/>
        </w:rPr>
        <w:t>Öntözés, melioráció, területi vízgazdálkodás jogcím</w:t>
      </w:r>
      <w:r>
        <w:t xml:space="preserve"> keretében megvalósult fejlesztések esetében jelen értékelés elkészültéig nem történt kimutatható változás sem az árbevétel, sem a bruttó hozzáadott érték, sem a foglalkoztatás, sem a vizsgált környezeti jellemzők értékében.</w:t>
      </w:r>
    </w:p>
    <w:p w:rsidR="00020AFE" w:rsidRDefault="00020AFE" w:rsidP="00020AFE">
      <w:pPr>
        <w:jc w:val="both"/>
      </w:pPr>
      <w:proofErr w:type="gramStart"/>
      <w:r>
        <w:t xml:space="preserve">A </w:t>
      </w:r>
      <w:r w:rsidRPr="00E350C6">
        <w:rPr>
          <w:b/>
        </w:rPr>
        <w:t>technológiai beruházások</w:t>
      </w:r>
      <w:r>
        <w:t xml:space="preserve"> (kertészeti üzemek fejlesztése, növénytermesztés korszerűsítése, biomassza energetikai alkalmazása, kertészeti gépek beszerzése, önálló gépek beszerzése), az ültetvények fejlesztése, valamint az állattartó telepek korszerűsítése jogcímek esetében az értékelés során készített </w:t>
      </w:r>
      <w:proofErr w:type="spellStart"/>
      <w:r>
        <w:t>ökonometriai</w:t>
      </w:r>
      <w:proofErr w:type="spellEnd"/>
      <w:r>
        <w:t xml:space="preserve"> modell enyhe pozitív hatást mutatott ki a támogatások és az üzemek jövedelmezősége (nettó hozzáadott értékkel számoltunk, mert ezt kevésbé torzítja az adóelkerülés hatása és ezzel a magánszemélyek és a tá</w:t>
      </w:r>
      <w:r>
        <w:t>r</w:t>
      </w:r>
      <w:r>
        <w:t>sas vállalkozások is együtt kezelhetőek), továbbá a munkatermelékenység között.</w:t>
      </w:r>
      <w:proofErr w:type="gramEnd"/>
      <w:r>
        <w:t xml:space="preserve"> Fontos hangsúlyoznunk, hogy a beruházások </w:t>
      </w:r>
      <w:proofErr w:type="gramStart"/>
      <w:r>
        <w:t>lezárulta óta</w:t>
      </w:r>
      <w:proofErr w:type="gramEnd"/>
      <w:r>
        <w:t xml:space="preserve"> eltelt rövid idő miatt a modellek egy része nem is szignifikáns, másik része is csak gyenge </w:t>
      </w:r>
      <w:proofErr w:type="spellStart"/>
      <w:r>
        <w:t>szignifikancia</w:t>
      </w:r>
      <w:proofErr w:type="spellEnd"/>
      <w:r>
        <w:t xml:space="preserve"> szintet mutat, így a modell eredményeinek interpretálása során megfelelő óv</w:t>
      </w:r>
      <w:r>
        <w:t>a</w:t>
      </w:r>
      <w:r>
        <w:t xml:space="preserve">tossággal kell eljárni. Javasolt a </w:t>
      </w:r>
      <w:proofErr w:type="spellStart"/>
      <w:r>
        <w:t>mid-term</w:t>
      </w:r>
      <w:proofErr w:type="spellEnd"/>
      <w:r>
        <w:t xml:space="preserve"> értékelés keretében elvégzett modellezés megismétlése az ex-post értékelésben.</w:t>
      </w:r>
    </w:p>
    <w:p w:rsidR="00020AFE" w:rsidRPr="002854D6" w:rsidRDefault="00020AFE" w:rsidP="00020AFE">
      <w:pPr>
        <w:autoSpaceDE w:val="0"/>
        <w:autoSpaceDN w:val="0"/>
        <w:adjustRightInd w:val="0"/>
        <w:jc w:val="both"/>
      </w:pPr>
      <w:r w:rsidRPr="002854D6">
        <w:t xml:space="preserve">A környezeti hatások tekintetében </w:t>
      </w:r>
      <w:r>
        <w:t xml:space="preserve">jelenleg </w:t>
      </w:r>
      <w:r w:rsidRPr="002854D6">
        <w:t xml:space="preserve">nem állnak rendelkezésre adatok, ezért valós hatásokat nem tudtunk mérni. A </w:t>
      </w:r>
      <w:r>
        <w:t>technológiai fejlesztés nyilvánvalóan csökkentette</w:t>
      </w:r>
      <w:r w:rsidRPr="002854D6">
        <w:t xml:space="preserve"> a fajlagos energiaf</w:t>
      </w:r>
      <w:r>
        <w:t xml:space="preserve">elhasználást, azonban nem ismertek a technológia </w:t>
      </w:r>
      <w:r w:rsidRPr="002854D6">
        <w:t xml:space="preserve">energetikai paraméterei </w:t>
      </w:r>
      <w:r>
        <w:t xml:space="preserve">és </w:t>
      </w:r>
      <w:proofErr w:type="spellStart"/>
      <w:r>
        <w:t>kihasználtsági</w:t>
      </w:r>
      <w:proofErr w:type="spellEnd"/>
      <w:r>
        <w:t xml:space="preserve"> foka</w:t>
      </w:r>
      <w:r w:rsidRPr="002854D6">
        <w:t>, ezért még becsléseket sem lehetett a környezeti hatásról készíteni.</w:t>
      </w:r>
    </w:p>
    <w:p w:rsidR="00020AFE" w:rsidRPr="00A7051C" w:rsidRDefault="00020AFE" w:rsidP="00020AFE">
      <w:pPr>
        <w:jc w:val="both"/>
      </w:pPr>
    </w:p>
    <w:p w:rsidR="00020AFE" w:rsidRDefault="00020AFE" w:rsidP="00020AFE">
      <w:pPr>
        <w:pStyle w:val="StyleHUNHeading3Justified"/>
        <w:ind w:left="0" w:firstLine="0"/>
      </w:pPr>
      <w:r w:rsidRPr="00A7051C">
        <w:t>A támogatott beruházások milyen mértékben járultak hozzá a mezőgazdasági ág</w:t>
      </w:r>
      <w:r w:rsidRPr="00A7051C">
        <w:t>a</w:t>
      </w:r>
      <w:r w:rsidRPr="00A7051C">
        <w:t>zat versenyképességének javításához? (121. intézkedés)</w:t>
      </w:r>
    </w:p>
    <w:p w:rsidR="00020AFE" w:rsidRPr="00BB7BE5" w:rsidRDefault="00020AFE" w:rsidP="00020AFE">
      <w:pPr>
        <w:autoSpaceDE w:val="0"/>
        <w:autoSpaceDN w:val="0"/>
        <w:adjustRightInd w:val="0"/>
        <w:jc w:val="both"/>
      </w:pPr>
      <w:r>
        <w:t>A versenyképesség változását leggyakrabban az értékesítés nettó árbevételében, vagy a jövedelmezőség terén tapasztalt változással közelítik a vizsgálatokban, azt feltételezve, hogy a beruházás hatására az ért</w:t>
      </w:r>
      <w:r>
        <w:t>é</w:t>
      </w:r>
      <w:r>
        <w:t xml:space="preserve">kesítési lehetőségek bővültek és/vagy a költségek csökkentek. </w:t>
      </w:r>
      <w:proofErr w:type="spellStart"/>
      <w:r>
        <w:t>Ökonometriai</w:t>
      </w:r>
      <w:proofErr w:type="spellEnd"/>
      <w:r>
        <w:t xml:space="preserve"> vizsgálatunkban a nettó ho</w:t>
      </w:r>
      <w:r>
        <w:t>z</w:t>
      </w:r>
      <w:r>
        <w:t>záadott értéket vizsgáltuk több módszerrel. Azért ezt a mutatót választottuk, mert ezt kevésbé torzítja az adóelkerülés és ezzel a magánszemélyek és a társas vállalkozások is együtt kezelhetőek. Több modellt is kipróbáltunk. A legtöbb modellünkben az egy időszakkal megelőző beruházási támogatások gazdasági hat</w:t>
      </w:r>
      <w:r>
        <w:t>á</w:t>
      </w:r>
      <w:r>
        <w:t xml:space="preserve">sa még nem mutatható ki. Az egyik erősebb magyarázóerejű modellünk szerint még enyhén csökkenti is a beruházás átlagosan az üzemek nettó hozzáadott értékét. Egy másik erős modell </w:t>
      </w:r>
      <w:r w:rsidRPr="00BB7BE5">
        <w:t xml:space="preserve">specifikáció enyhén pozitív hatást mutat ki a nettó hozzáadott értékre nézve, ez legfeljebb 130 forint nettó hozzáadott érték többletet mutat 1000 </w:t>
      </w:r>
      <w:proofErr w:type="gramStart"/>
      <w:r w:rsidRPr="00BB7BE5">
        <w:t>forint támogatási</w:t>
      </w:r>
      <w:proofErr w:type="gramEnd"/>
      <w:r w:rsidRPr="00BB7BE5">
        <w:t xml:space="preserve"> összegenként átlagosan, minden más változatlanságát feltételezve.</w:t>
      </w:r>
    </w:p>
    <w:p w:rsidR="00020AFE" w:rsidRDefault="00020AFE" w:rsidP="00020AFE">
      <w:pPr>
        <w:autoSpaceDE w:val="0"/>
        <w:autoSpaceDN w:val="0"/>
        <w:adjustRightInd w:val="0"/>
        <w:jc w:val="both"/>
      </w:pPr>
      <w:r>
        <w:t xml:space="preserve">Hipotéziseink alapján ez utóbbi modell eredményét fogadjuk el, ismételten felhívva a figyelmet az óvatos interpretáció szükségességére, hiszen a beruházások </w:t>
      </w:r>
      <w:proofErr w:type="gramStart"/>
      <w:r>
        <w:t>lezárulta óta</w:t>
      </w:r>
      <w:proofErr w:type="gramEnd"/>
      <w:r>
        <w:t xml:space="preserve"> eltelt rövid idő miatt a modellek egy része nem is szignifikáns, másik része is csak gyenge </w:t>
      </w:r>
      <w:proofErr w:type="spellStart"/>
      <w:r>
        <w:t>szignifikancia</w:t>
      </w:r>
      <w:proofErr w:type="spellEnd"/>
      <w:r>
        <w:t xml:space="preserve"> szintet mutat.</w:t>
      </w:r>
    </w:p>
    <w:p w:rsidR="00020AFE" w:rsidRPr="00BB7BE5" w:rsidRDefault="00020AFE" w:rsidP="00020AFE">
      <w:pPr>
        <w:pStyle w:val="HUNNormal"/>
      </w:pPr>
      <w:r w:rsidRPr="00BB7BE5">
        <w:t xml:space="preserve">Ugyanezekben a modellekben vizsgáltuk a munkaerő felhasználás </w:t>
      </w:r>
      <w:r>
        <w:t xml:space="preserve">és a munka-termelékenység </w:t>
      </w:r>
      <w:r w:rsidRPr="00BB7BE5">
        <w:t xml:space="preserve">változását is. A </w:t>
      </w:r>
      <w:r>
        <w:t>munkaerő felhasználásra</w:t>
      </w:r>
      <w:r w:rsidRPr="00BB7BE5">
        <w:t xml:space="preserve"> és termelékenységre nézve a</w:t>
      </w:r>
      <w:r>
        <w:t xml:space="preserve">z </w:t>
      </w:r>
      <w:proofErr w:type="spellStart"/>
      <w:r>
        <w:t>ökonometriai</w:t>
      </w:r>
      <w:proofErr w:type="spellEnd"/>
      <w:r w:rsidRPr="00BB7BE5">
        <w:t xml:space="preserve"> modellek még nehezebben eldön</w:t>
      </w:r>
      <w:r w:rsidRPr="00BB7BE5">
        <w:t>t</w:t>
      </w:r>
      <w:r w:rsidRPr="00BB7BE5">
        <w:t>hető álláspontot mutat</w:t>
      </w:r>
      <w:r>
        <w:t xml:space="preserve">nak: </w:t>
      </w:r>
      <w:r w:rsidRPr="003F6B76">
        <w:t>egymásnak ellentmondó előjelet tulajdonítanak a munkakapacitásra gyakorolt előző időszaki beruházási hatásoknak. E tekintetben mérhető hatást tehát még nem lehet kimutatni.</w:t>
      </w:r>
      <w:r>
        <w:t xml:space="preserve"> A munka-t</w:t>
      </w:r>
      <w:r w:rsidRPr="00BB7BE5">
        <w:t xml:space="preserve">ermelékenységre nézve csak az egyik </w:t>
      </w:r>
      <w:proofErr w:type="spellStart"/>
      <w:r>
        <w:t>ökonometriai</w:t>
      </w:r>
      <w:proofErr w:type="spellEnd"/>
      <w:r>
        <w:t xml:space="preserve"> </w:t>
      </w:r>
      <w:r w:rsidRPr="00BB7BE5">
        <w:t>modellünk a mérvadó, ahol enyhe pozitív hatást tapasztaltunk a beruházási támogatásoknak köszönhetően.</w:t>
      </w:r>
    </w:p>
    <w:p w:rsidR="00020AFE" w:rsidRPr="00A7051C" w:rsidRDefault="00020AFE" w:rsidP="00020AFE">
      <w:pPr>
        <w:jc w:val="both"/>
      </w:pPr>
    </w:p>
    <w:p w:rsidR="00020AFE" w:rsidRDefault="00020AFE" w:rsidP="00020AFE">
      <w:pPr>
        <w:pStyle w:val="StyleHUNHeading3Justified"/>
        <w:ind w:left="0" w:firstLine="0"/>
      </w:pPr>
      <w:r w:rsidRPr="00A7051C">
        <w:lastRenderedPageBreak/>
        <w:t>A támogatott beruházások milyen mértékben járultak hozzá az erdőgazdaságokban a termelés diverzifikálásának növeléséhez? (122. intézkedés)</w:t>
      </w:r>
    </w:p>
    <w:p w:rsidR="00020AFE" w:rsidRDefault="00020AFE" w:rsidP="00020AFE">
      <w:pPr>
        <w:pStyle w:val="HUNNormal"/>
      </w:pPr>
      <w:r>
        <w:t>Az intézkedés értékelése során megállapítottuk, hogy a támogatási jogcím első meghirdetési köre, a pályáz</w:t>
      </w:r>
      <w:r>
        <w:t>a</w:t>
      </w:r>
      <w:r>
        <w:t>ti feltételek kedvezősége miatt, vonzóvá tette az intézkedést a mezőgazdasággal foglalkozók számára is, akiknek nem okozott gondot az erdőgazdálkodásra vonatkozó pályázati feltételek teljesítése sem. A jogcím második meghirdetési körében az Irányító Hatóság korrigálta a támogatási rendelet hibáját, így az már val</w:t>
      </w:r>
      <w:r>
        <w:t>ó</w:t>
      </w:r>
      <w:r>
        <w:t xml:space="preserve">ban csak az erdőgazdálkodók számára nyújtott valódi lehetőséget. A két meghirdetési körben, a géppark fejlesztésének támogatása a </w:t>
      </w:r>
      <w:proofErr w:type="spellStart"/>
      <w:r>
        <w:t>mid-term</w:t>
      </w:r>
      <w:proofErr w:type="spellEnd"/>
      <w:r>
        <w:t xml:space="preserve"> értékelés időpontjáig 139 erdőgazdálkodó számára 427 db erőgép és 1658 db munkagép beszerzését tette lehetővé. Magyarországon napjainkban mintegy 35.000 közösségi- és magántulajdonban lévő erdőterületre bejegyzett erdőgazdálkodó van. Mindezek alapján megállapítható, hogy a támogatott erdőgazdálkodók alacsony száma miatt a támogatott </w:t>
      </w:r>
      <w:r w:rsidRPr="00CC02F2">
        <w:rPr>
          <w:b/>
        </w:rPr>
        <w:t>beruházások</w:t>
      </w:r>
      <w:r>
        <w:t xml:space="preserve"> jelentős része </w:t>
      </w:r>
      <w:r w:rsidRPr="00CC02F2">
        <w:rPr>
          <w:b/>
        </w:rPr>
        <w:t>nem</w:t>
      </w:r>
      <w:r>
        <w:t xml:space="preserve"> az </w:t>
      </w:r>
      <w:r w:rsidRPr="00CC02F2">
        <w:rPr>
          <w:b/>
        </w:rPr>
        <w:t>erdőgazdaságok</w:t>
      </w:r>
      <w:r>
        <w:t xml:space="preserve"> termelési </w:t>
      </w:r>
      <w:r w:rsidRPr="00CC02F2">
        <w:rPr>
          <w:b/>
        </w:rPr>
        <w:t>diverzifikációjához</w:t>
      </w:r>
      <w:r>
        <w:t xml:space="preserve"> </w:t>
      </w:r>
      <w:r w:rsidRPr="00CC02F2">
        <w:rPr>
          <w:b/>
        </w:rPr>
        <w:t>járult</w:t>
      </w:r>
      <w:r>
        <w:t xml:space="preserve"> </w:t>
      </w:r>
      <w:r w:rsidRPr="00CC02F2">
        <w:rPr>
          <w:b/>
        </w:rPr>
        <w:t>hozzá</w:t>
      </w:r>
      <w:r>
        <w:t>.</w:t>
      </w:r>
    </w:p>
    <w:p w:rsidR="00020AFE" w:rsidRPr="00A7051C" w:rsidRDefault="00020AFE" w:rsidP="00020AFE">
      <w:pPr>
        <w:jc w:val="both"/>
      </w:pPr>
    </w:p>
    <w:p w:rsidR="00020AFE" w:rsidRDefault="00020AFE" w:rsidP="00020AFE">
      <w:pPr>
        <w:pStyle w:val="StyleHUNHeading3Justified"/>
        <w:ind w:left="0" w:firstLine="0"/>
      </w:pPr>
      <w:r w:rsidRPr="00A7051C">
        <w:t>A támogatott beruházások milyen mértékben járultak hozzá az erdőgazdaságok piacra jutásának és piaci részesedésének növeléséhez az olyan ágazatokban, mint a megúj</w:t>
      </w:r>
      <w:r w:rsidRPr="00A7051C">
        <w:t>u</w:t>
      </w:r>
      <w:r w:rsidRPr="00A7051C">
        <w:t>ló energia ágazata? (122. intézkedés)</w:t>
      </w:r>
    </w:p>
    <w:p w:rsidR="00020AFE" w:rsidRDefault="00020AFE" w:rsidP="00020AFE">
      <w:pPr>
        <w:pStyle w:val="HUNNormal"/>
      </w:pPr>
      <w:r w:rsidRPr="00506DAC">
        <w:t>Az Új Magyaror</w:t>
      </w:r>
      <w:r>
        <w:t>szág Vidékfejlesztési Program az intézkedésen belül két tevékenységet irányzott elő:</w:t>
      </w:r>
    </w:p>
    <w:p w:rsidR="00020AFE" w:rsidRDefault="00020AFE" w:rsidP="00D5521F">
      <w:pPr>
        <w:pStyle w:val="HUNNormal"/>
        <w:numPr>
          <w:ilvl w:val="0"/>
          <w:numId w:val="40"/>
        </w:numPr>
      </w:pPr>
      <w:r w:rsidRPr="00506DAC">
        <w:t>A fakitermelési szakaszig használatos erdészeti célú gépek vásárlása</w:t>
      </w:r>
      <w:r>
        <w:t>;</w:t>
      </w:r>
    </w:p>
    <w:p w:rsidR="00020AFE" w:rsidRDefault="00020AFE" w:rsidP="00D5521F">
      <w:pPr>
        <w:pStyle w:val="HUNNormal"/>
        <w:numPr>
          <w:ilvl w:val="0"/>
          <w:numId w:val="40"/>
        </w:numPr>
      </w:pPr>
      <w:r w:rsidRPr="00506DAC">
        <w:t>A fiatal erd</w:t>
      </w:r>
      <w:r>
        <w:t>ő</w:t>
      </w:r>
      <w:r w:rsidRPr="00506DAC">
        <w:t>állományok támogatása az els</w:t>
      </w:r>
      <w:r>
        <w:t>ő</w:t>
      </w:r>
      <w:r w:rsidRPr="00506DAC">
        <w:t xml:space="preserve"> gyérítésig az erd</w:t>
      </w:r>
      <w:r>
        <w:t>ő</w:t>
      </w:r>
      <w:r w:rsidRPr="00506DAC">
        <w:t>gazdálkodási</w:t>
      </w:r>
      <w:r>
        <w:t xml:space="preserve"> </w:t>
      </w:r>
      <w:r w:rsidRPr="00506DAC">
        <w:t>tervek alapján</w:t>
      </w:r>
      <w:r>
        <w:t>.</w:t>
      </w:r>
    </w:p>
    <w:p w:rsidR="00020AFE" w:rsidRPr="00CD182C" w:rsidRDefault="00020AFE" w:rsidP="00020AFE">
      <w:pPr>
        <w:pStyle w:val="HUNNormal"/>
      </w:pPr>
      <w:r>
        <w:t xml:space="preserve">A fentiek közül jelen értékelés készítéséig csak az első tevékenység támogatása valósult meg (144/2008 (XI.7.) FVM rendelet, amelynek </w:t>
      </w:r>
      <w:r w:rsidRPr="00D232E5">
        <w:t>célja az erdészeti géppark fejlesztése és</w:t>
      </w:r>
      <w:r>
        <w:t xml:space="preserve"> </w:t>
      </w:r>
      <w:r w:rsidRPr="00D232E5">
        <w:t>korszer</w:t>
      </w:r>
      <w:r>
        <w:t>ű</w:t>
      </w:r>
      <w:r w:rsidRPr="00D232E5">
        <w:t>sítése, ideértve további gépek</w:t>
      </w:r>
      <w:r>
        <w:t xml:space="preserve"> és berendezések vásárlását is. Amint azt az előző kérdésre adott válaszunkban kifejtettük, a besze</w:t>
      </w:r>
      <w:r>
        <w:t>r</w:t>
      </w:r>
      <w:r>
        <w:t xml:space="preserve">zett </w:t>
      </w:r>
      <w:r w:rsidRPr="00D54B4E">
        <w:rPr>
          <w:b/>
        </w:rPr>
        <w:t>gépek</w:t>
      </w:r>
      <w:r>
        <w:t xml:space="preserve"> viszonylag </w:t>
      </w:r>
      <w:r w:rsidRPr="00D54B4E">
        <w:rPr>
          <w:b/>
        </w:rPr>
        <w:t>kis</w:t>
      </w:r>
      <w:r>
        <w:t xml:space="preserve"> </w:t>
      </w:r>
      <w:r w:rsidRPr="00D54B4E">
        <w:rPr>
          <w:b/>
        </w:rPr>
        <w:t>hányada</w:t>
      </w:r>
      <w:r>
        <w:t xml:space="preserve"> szolgálja az </w:t>
      </w:r>
      <w:r w:rsidRPr="00D54B4E">
        <w:rPr>
          <w:b/>
        </w:rPr>
        <w:t>erdőgazdálkodás</w:t>
      </w:r>
      <w:r>
        <w:t xml:space="preserve"> </w:t>
      </w:r>
      <w:r w:rsidRPr="00D54B4E">
        <w:rPr>
          <w:b/>
        </w:rPr>
        <w:t>céljait</w:t>
      </w:r>
      <w:r>
        <w:t>, ezek elsősorban a fakitermelési t</w:t>
      </w:r>
      <w:r>
        <w:t>e</w:t>
      </w:r>
      <w:r>
        <w:t xml:space="preserve">vékenységben vesznek részt. A </w:t>
      </w:r>
      <w:r w:rsidRPr="00D54B4E">
        <w:rPr>
          <w:b/>
        </w:rPr>
        <w:t>piacra jutást és a piaci részesedés növelését</w:t>
      </w:r>
      <w:r>
        <w:t xml:space="preserve"> alapvetően ezek a beruházások </w:t>
      </w:r>
      <w:r w:rsidRPr="00D54B4E">
        <w:rPr>
          <w:b/>
        </w:rPr>
        <w:t>nem befolyásolják</w:t>
      </w:r>
      <w:r>
        <w:t xml:space="preserve"> a megújuló energia ágazatában sem.</w:t>
      </w:r>
    </w:p>
    <w:p w:rsidR="00020AFE" w:rsidRPr="00A7051C" w:rsidRDefault="00020AFE" w:rsidP="00020AFE">
      <w:pPr>
        <w:jc w:val="both"/>
      </w:pPr>
    </w:p>
    <w:p w:rsidR="00020AFE" w:rsidRDefault="00020AFE" w:rsidP="00020AFE">
      <w:pPr>
        <w:pStyle w:val="StyleHUNHeading3Justified"/>
        <w:ind w:left="0" w:firstLine="0"/>
      </w:pPr>
      <w:r w:rsidRPr="00A7051C">
        <w:t>A támogatott beruházások milyen mértékben járultak hozzá a fenntartható erd</w:t>
      </w:r>
      <w:r w:rsidRPr="00A7051C">
        <w:t>ő</w:t>
      </w:r>
      <w:r w:rsidRPr="00A7051C">
        <w:t>gazdálkodás megtartásához vagy javításához? (122. intézkedés)</w:t>
      </w:r>
    </w:p>
    <w:p w:rsidR="00020AFE" w:rsidRDefault="00020AFE" w:rsidP="00020AFE">
      <w:pPr>
        <w:pStyle w:val="HUNNormal"/>
      </w:pPr>
      <w:r w:rsidRPr="00506DAC">
        <w:t>Az Új Magyaror</w:t>
      </w:r>
      <w:r>
        <w:t>szág Vidékfejlesztési Program az intézkedésen belül két tevékenységet irányzott elő:</w:t>
      </w:r>
    </w:p>
    <w:p w:rsidR="00020AFE" w:rsidRDefault="00020AFE" w:rsidP="00D5521F">
      <w:pPr>
        <w:pStyle w:val="HUNNormal"/>
        <w:numPr>
          <w:ilvl w:val="0"/>
          <w:numId w:val="40"/>
        </w:numPr>
      </w:pPr>
      <w:r w:rsidRPr="00506DAC">
        <w:t>A fakitermelési szakaszig használatos erdészeti célú gépek vásárlása</w:t>
      </w:r>
      <w:r>
        <w:t>;</w:t>
      </w:r>
    </w:p>
    <w:p w:rsidR="00020AFE" w:rsidRDefault="00020AFE" w:rsidP="00D5521F">
      <w:pPr>
        <w:pStyle w:val="HUNNormal"/>
        <w:numPr>
          <w:ilvl w:val="0"/>
          <w:numId w:val="40"/>
        </w:numPr>
      </w:pPr>
      <w:r w:rsidRPr="00506DAC">
        <w:t>A fiatal erd</w:t>
      </w:r>
      <w:r>
        <w:t>ő</w:t>
      </w:r>
      <w:r w:rsidRPr="00506DAC">
        <w:t>állományok támogatása az els</w:t>
      </w:r>
      <w:r>
        <w:t>ő</w:t>
      </w:r>
      <w:r w:rsidRPr="00506DAC">
        <w:t xml:space="preserve"> gyérítésig az erd</w:t>
      </w:r>
      <w:r>
        <w:t>ő</w:t>
      </w:r>
      <w:r w:rsidRPr="00506DAC">
        <w:t>gazdálkodási</w:t>
      </w:r>
      <w:r>
        <w:t xml:space="preserve"> </w:t>
      </w:r>
      <w:r w:rsidRPr="00506DAC">
        <w:t>tervek alapján</w:t>
      </w:r>
      <w:r>
        <w:t>.</w:t>
      </w:r>
    </w:p>
    <w:p w:rsidR="00020AFE" w:rsidRDefault="00020AFE" w:rsidP="00020AFE">
      <w:pPr>
        <w:pStyle w:val="HUNNormal"/>
      </w:pPr>
      <w:r>
        <w:t xml:space="preserve">A fentiek közül jelen értékelés készítéséig csak az első tevékenység támogatása valósult meg (144/2008 (XI.7.) FVM rendelet, amelynek </w:t>
      </w:r>
      <w:r w:rsidRPr="00D232E5">
        <w:t>célja az erdészeti géppark fejlesztése és</w:t>
      </w:r>
      <w:r>
        <w:t xml:space="preserve"> </w:t>
      </w:r>
      <w:r w:rsidRPr="00D232E5">
        <w:t>korszer</w:t>
      </w:r>
      <w:r>
        <w:t>ű</w:t>
      </w:r>
      <w:r w:rsidRPr="00D232E5">
        <w:t>sítése, ideértve további gépek</w:t>
      </w:r>
      <w:r>
        <w:t xml:space="preserve"> és berendezések vásárlását is. Mivel jelen értékelés készítésének időpontjáig a „F</w:t>
      </w:r>
      <w:r w:rsidRPr="00506DAC">
        <w:t>iatal erd</w:t>
      </w:r>
      <w:r>
        <w:t>ő</w:t>
      </w:r>
      <w:r w:rsidRPr="00506DAC">
        <w:t>állom</w:t>
      </w:r>
      <w:r w:rsidRPr="00506DAC">
        <w:t>á</w:t>
      </w:r>
      <w:r w:rsidRPr="00506DAC">
        <w:t>nyok támogatása az els</w:t>
      </w:r>
      <w:r>
        <w:t>ő</w:t>
      </w:r>
      <w:r w:rsidRPr="00506DAC">
        <w:t xml:space="preserve"> gyérítésig az erd</w:t>
      </w:r>
      <w:r>
        <w:t>ő</w:t>
      </w:r>
      <w:r w:rsidRPr="00506DAC">
        <w:t>gazdálkodási</w:t>
      </w:r>
      <w:r>
        <w:t xml:space="preserve"> </w:t>
      </w:r>
      <w:r w:rsidRPr="00506DAC">
        <w:t>tervek alapján</w:t>
      </w:r>
      <w:r>
        <w:t xml:space="preserve">” támogatás nem valósult meg, ezért </w:t>
      </w:r>
      <w:r w:rsidRPr="00A375D6">
        <w:rPr>
          <w:b/>
        </w:rPr>
        <w:t>a kérdés nem válaszolható meg teljes körűen</w:t>
      </w:r>
      <w:r>
        <w:t>.</w:t>
      </w:r>
    </w:p>
    <w:p w:rsidR="00020AFE" w:rsidRDefault="00020AFE" w:rsidP="00020AFE">
      <w:pPr>
        <w:pStyle w:val="HUNNormal"/>
      </w:pPr>
      <w:r>
        <w:t xml:space="preserve">A géppark fejlesztésének támogatása az értékelés időpontjáig 139 erdőgazdálkodó számára 427 db erőgép és 1658 db munkagép beszerzését tette lehetővé. Magyarországon napjainkban mintegy 35.000 közösségi- </w:t>
      </w:r>
      <w:r>
        <w:lastRenderedPageBreak/>
        <w:t>és magántulajdonban lévő erdőterületre bejegyzett erdőgazdálkodó van. Jellemzően az átlagosan kezelt területek nagysága 17-19 ha/erdőgazdálkodó, ami alapvetően nehézzé teszi a fenntartható erdőgazdálk</w:t>
      </w:r>
      <w:r>
        <w:t>o</w:t>
      </w:r>
      <w:r>
        <w:t>dás követelményeinek megtartását, illetve javítását.</w:t>
      </w:r>
    </w:p>
    <w:p w:rsidR="00020AFE" w:rsidRDefault="00020AFE" w:rsidP="00020AFE">
      <w:pPr>
        <w:pStyle w:val="HUNNormal"/>
      </w:pPr>
      <w:r>
        <w:t>A fenntartható erdőgazdálkodás követelményeinek szempontjából viszonylag megfelelő üzemmérettel re</w:t>
      </w:r>
      <w:r>
        <w:t>n</w:t>
      </w:r>
      <w:r>
        <w:t xml:space="preserve">delkező (120-220 ha/gazdálkodó) mintegy 1000 </w:t>
      </w:r>
      <w:proofErr w:type="spellStart"/>
      <w:r>
        <w:t>erdőbirtokossági</w:t>
      </w:r>
      <w:proofErr w:type="spellEnd"/>
      <w:r>
        <w:t xml:space="preserve"> társulat és erdőszövetkezet összesen 18 kérelmet nyújtott be, melyből mindössze 7 került jóváhagyásra.</w:t>
      </w:r>
    </w:p>
    <w:p w:rsidR="00020AFE" w:rsidRDefault="00020AFE" w:rsidP="00020AFE">
      <w:pPr>
        <w:pStyle w:val="HUNNormal"/>
      </w:pPr>
      <w:r>
        <w:t xml:space="preserve">A fentiek alapján, valamint az intézkedéshez kapcsolódó korábbi kérdésekre adott válaszaink </w:t>
      </w:r>
      <w:proofErr w:type="gramStart"/>
      <w:r>
        <w:t>alapján</w:t>
      </w:r>
      <w:proofErr w:type="gramEnd"/>
      <w:r>
        <w:t xml:space="preserve"> </w:t>
      </w:r>
      <w:proofErr w:type="spellStart"/>
      <w:r>
        <w:t>ala</w:t>
      </w:r>
      <w:r>
        <w:t>p</w:t>
      </w:r>
      <w:r>
        <w:t>ján</w:t>
      </w:r>
      <w:proofErr w:type="spellEnd"/>
      <w:r>
        <w:t xml:space="preserve"> (zömében mezőgazdasági célokat szolgáló erőgépek beszerzése) a </w:t>
      </w:r>
      <w:r w:rsidRPr="00A375D6">
        <w:rPr>
          <w:b/>
        </w:rPr>
        <w:t xml:space="preserve">támogatás alacsony mértékben járult hozzá </w:t>
      </w:r>
      <w:r>
        <w:t>a fenntartható erdőgazdálkodás megtartásához, javításához.</w:t>
      </w:r>
    </w:p>
    <w:p w:rsidR="00020AFE" w:rsidRPr="00A7051C" w:rsidRDefault="00020AFE" w:rsidP="00020AFE">
      <w:pPr>
        <w:jc w:val="both"/>
      </w:pPr>
    </w:p>
    <w:p w:rsidR="00020AFE" w:rsidRDefault="00020AFE" w:rsidP="00020AFE">
      <w:pPr>
        <w:pStyle w:val="StyleHUNHeading3Justified"/>
        <w:ind w:left="0" w:firstLine="0"/>
      </w:pPr>
      <w:r w:rsidRPr="00A7051C">
        <w:t>A támogatott beruházások milyen mértékben járultak hozzá az erdőgazdaságok versenyképességének növeléséhez? (122. intézkedés)</w:t>
      </w:r>
    </w:p>
    <w:p w:rsidR="00020AFE" w:rsidRDefault="00020AFE" w:rsidP="00020AFE">
      <w:pPr>
        <w:pStyle w:val="HUNNormal"/>
      </w:pPr>
      <w:r w:rsidRPr="00506DAC">
        <w:t>Az Új Magyaror</w:t>
      </w:r>
      <w:r>
        <w:t>szág Vidékfejlesztési Program az intézkedésen belül két tevékenységet irányzott elő:</w:t>
      </w:r>
    </w:p>
    <w:p w:rsidR="00020AFE" w:rsidRDefault="00020AFE" w:rsidP="00D5521F">
      <w:pPr>
        <w:pStyle w:val="HUNNormal"/>
        <w:numPr>
          <w:ilvl w:val="0"/>
          <w:numId w:val="40"/>
        </w:numPr>
      </w:pPr>
      <w:r w:rsidRPr="00506DAC">
        <w:t>A fakitermelési szakaszig használatos erdészeti célú gépek vásárlása</w:t>
      </w:r>
    </w:p>
    <w:p w:rsidR="00020AFE" w:rsidRDefault="00020AFE" w:rsidP="00D5521F">
      <w:pPr>
        <w:pStyle w:val="HUNNormal"/>
        <w:numPr>
          <w:ilvl w:val="0"/>
          <w:numId w:val="40"/>
        </w:numPr>
      </w:pPr>
      <w:r w:rsidRPr="00506DAC">
        <w:t>A fiatal erd</w:t>
      </w:r>
      <w:r>
        <w:t>ő</w:t>
      </w:r>
      <w:r w:rsidRPr="00506DAC">
        <w:t>állományok támogatása az els</w:t>
      </w:r>
      <w:r>
        <w:t>ő</w:t>
      </w:r>
      <w:r w:rsidRPr="00506DAC">
        <w:t xml:space="preserve"> gyérítésig az erd</w:t>
      </w:r>
      <w:r>
        <w:t>ő</w:t>
      </w:r>
      <w:r w:rsidRPr="00506DAC">
        <w:t>gazdálkodási</w:t>
      </w:r>
      <w:r>
        <w:t xml:space="preserve"> </w:t>
      </w:r>
      <w:r w:rsidRPr="00506DAC">
        <w:t>tervek alapján</w:t>
      </w:r>
    </w:p>
    <w:p w:rsidR="00020AFE" w:rsidRDefault="00020AFE" w:rsidP="00020AFE">
      <w:pPr>
        <w:pStyle w:val="HUNNormal"/>
      </w:pPr>
      <w:r>
        <w:t xml:space="preserve">A fentiek közül jelen értékelés készítéséig csak az első tevékenység támogatása valósult meg (144/2008 (XI.7.) FVM rendelet, amelynek </w:t>
      </w:r>
      <w:r w:rsidRPr="00D232E5">
        <w:t>célja az erdészeti géppark fejlesztése és</w:t>
      </w:r>
      <w:r>
        <w:t xml:space="preserve"> </w:t>
      </w:r>
      <w:r w:rsidRPr="00D232E5">
        <w:t>korszer</w:t>
      </w:r>
      <w:r>
        <w:t>ű</w:t>
      </w:r>
      <w:r w:rsidRPr="00D232E5">
        <w:t>sítése, ideértve további gépek</w:t>
      </w:r>
      <w:r>
        <w:t xml:space="preserve"> és berendezések vásárlását is. Mivel jelen értékelés készítésének időpontjáig a „F</w:t>
      </w:r>
      <w:r w:rsidRPr="00506DAC">
        <w:t>iatal erd</w:t>
      </w:r>
      <w:r>
        <w:t>ő</w:t>
      </w:r>
      <w:r w:rsidRPr="00506DAC">
        <w:t>állom</w:t>
      </w:r>
      <w:r w:rsidRPr="00506DAC">
        <w:t>á</w:t>
      </w:r>
      <w:r w:rsidRPr="00506DAC">
        <w:t>nyok támogatása az els</w:t>
      </w:r>
      <w:r>
        <w:t>ő</w:t>
      </w:r>
      <w:r w:rsidRPr="00506DAC">
        <w:t xml:space="preserve"> gyérítésig az erd</w:t>
      </w:r>
      <w:r>
        <w:t>ő</w:t>
      </w:r>
      <w:r w:rsidRPr="00506DAC">
        <w:t>gazdálkodási</w:t>
      </w:r>
      <w:r>
        <w:t xml:space="preserve"> </w:t>
      </w:r>
      <w:r w:rsidRPr="00506DAC">
        <w:t>tervek alapján</w:t>
      </w:r>
      <w:r>
        <w:t>” támogatás nem valósult meg, ezért a kérdés nem válaszolható meg teljes körűen.</w:t>
      </w:r>
    </w:p>
    <w:p w:rsidR="00020AFE" w:rsidRDefault="00020AFE" w:rsidP="00020AFE">
      <w:pPr>
        <w:pStyle w:val="HUNNormal"/>
      </w:pPr>
      <w:r>
        <w:t>A géppark fejlesztésének támogatása az értékelés időpontjáig 139 erdőgazdálkodó számára 427 db erőgép és 1658 db munkagép beszerzését tette lehetővé (forrás: interjú). Magyarországon napjainkban mintegy 35.000 közösségi- és magántulajdonban lévő erdőterületre bejegyzett erdőgazdálkodó van. Jellemzően az átlagosan kezelt területek nagysága 17-19 ha/erdőgazdálkodó (forrás: MGSZH adatok), ami egyértelműen megnehezíti a versenyképesség növelését. A versenyképesség szempontjából viszonylag megfelelő üze</w:t>
      </w:r>
      <w:r>
        <w:t>m</w:t>
      </w:r>
      <w:r>
        <w:t xml:space="preserve">mérettel (120-220 ha/gazdálkodó) rendelkező mintegy 1000 </w:t>
      </w:r>
      <w:proofErr w:type="spellStart"/>
      <w:r>
        <w:t>erdőbirtokossági</w:t>
      </w:r>
      <w:proofErr w:type="spellEnd"/>
      <w:r>
        <w:t xml:space="preserve"> társulat és erdőszövetkezet összesen 18 kérelmet nyújtott be, melyből mindössze 7 került jóváhagyásra. Jól látható tehát, hogy a közö</w:t>
      </w:r>
      <w:r>
        <w:t>s</w:t>
      </w:r>
      <w:r>
        <w:t>ségi és magánszférában található erdőgazdaságok esetében a támogatás elenyésző mértékben javította a versenyképességet.</w:t>
      </w:r>
    </w:p>
    <w:p w:rsidR="00020AFE" w:rsidRDefault="00020AFE" w:rsidP="00020AFE">
      <w:pPr>
        <w:pStyle w:val="HUNNormal"/>
      </w:pPr>
      <w:r>
        <w:t>A fentiek alapján, valamint az intézkedéshez kapcsolódó korábbi kérdésekre adott válaszaink alapján (z</w:t>
      </w:r>
      <w:r>
        <w:t>ö</w:t>
      </w:r>
      <w:r>
        <w:t xml:space="preserve">mében mezőgazdasági célokat szolgáló erőgépek beszerzése) a támogatás </w:t>
      </w:r>
      <w:r w:rsidRPr="00993C6B">
        <w:rPr>
          <w:b/>
        </w:rPr>
        <w:t>alacsony mértékben járult hozzá</w:t>
      </w:r>
      <w:r>
        <w:t xml:space="preserve"> az erdőgazdaságok versenyképességének növeléséhez.</w:t>
      </w:r>
    </w:p>
    <w:p w:rsidR="00020AFE" w:rsidRPr="00A7051C" w:rsidRDefault="00020AFE" w:rsidP="00020AFE">
      <w:pPr>
        <w:jc w:val="both"/>
      </w:pPr>
    </w:p>
    <w:p w:rsidR="00020AFE" w:rsidRDefault="00020AFE" w:rsidP="00020AFE">
      <w:pPr>
        <w:pStyle w:val="StyleHUNHeading3Justified"/>
        <w:ind w:left="0" w:firstLine="0"/>
      </w:pPr>
      <w:r w:rsidRPr="00A7051C">
        <w:t>A támogatott beruházások milyen mértékben járultak hozzá az új technológiák és az innováció bevezetéséhez? (123. intézkedés)</w:t>
      </w:r>
    </w:p>
    <w:p w:rsidR="00020AFE" w:rsidRDefault="00020AFE" w:rsidP="00020AFE">
      <w:pPr>
        <w:jc w:val="both"/>
      </w:pPr>
      <w:r w:rsidRPr="003B7092">
        <w:t xml:space="preserve">A 123. intézkedés értékelési szempontrendszerében az innovációs és K+F eredmény megvalósítása - a nem mezőgazdasági termelők pályázatánál kiemelten - többlet pontot eredményezhetett. Ehhez csatolni kellett az állítást igazoló dokumentum másolatát </w:t>
      </w:r>
      <w:r>
        <w:t>(</w:t>
      </w:r>
      <w:r w:rsidRPr="003B7092">
        <w:t>pl.</w:t>
      </w:r>
      <w:r>
        <w:t>:</w:t>
      </w:r>
      <w:r w:rsidRPr="003B7092">
        <w:t xml:space="preserve"> együttműködési megállapodás, szerződés stb.</w:t>
      </w:r>
      <w:r>
        <w:t>).</w:t>
      </w:r>
      <w:r w:rsidRPr="003B7092">
        <w:t xml:space="preserve"> </w:t>
      </w:r>
      <w:proofErr w:type="gramStart"/>
      <w:r w:rsidRPr="003B7092">
        <w:t>A</w:t>
      </w:r>
      <w:proofErr w:type="gramEnd"/>
      <w:r w:rsidRPr="003B7092">
        <w:t xml:space="preserve"> támogatási kérelemhez csatolt igazolás minősítéséhez ugyanakkor </w:t>
      </w:r>
      <w:r>
        <w:t xml:space="preserve">objektív értékelési szempontok </w:t>
      </w:r>
      <w:r w:rsidRPr="003B7092">
        <w:t xml:space="preserve">nem készültek, a </w:t>
      </w:r>
      <w:r w:rsidRPr="003B7092">
        <w:lastRenderedPageBreak/>
        <w:t xml:space="preserve">szempont érvényesülését a kérelem elbírálását követően külön nem követte nyomon az MVH. Tekintettel arra, hogy a gépek beszerzésénél a gépkatalógus alkalmazása kedvező volt a kérelem elkészítésénél, így a kérelmezők </w:t>
      </w:r>
      <w:r w:rsidRPr="00017124">
        <w:rPr>
          <w:b/>
        </w:rPr>
        <w:t>elsősorban már másutt alkalmazott technológiát és eszközöket alkalmaztak</w:t>
      </w:r>
      <w:r w:rsidRPr="003B7092">
        <w:t>.</w:t>
      </w:r>
    </w:p>
    <w:p w:rsidR="00020AFE" w:rsidRPr="00A7051C" w:rsidRDefault="00020AFE" w:rsidP="00020AFE">
      <w:pPr>
        <w:jc w:val="both"/>
      </w:pPr>
    </w:p>
    <w:p w:rsidR="00020AFE" w:rsidRDefault="00020AFE" w:rsidP="00020AFE">
      <w:pPr>
        <w:pStyle w:val="StyleHUNHeading3Justified"/>
        <w:ind w:left="0" w:firstLine="0"/>
      </w:pPr>
      <w:r w:rsidRPr="00A7051C">
        <w:t>A támogatott beruházások milyen mértékben járultak hozzá a mezőgazdasági és erdészeti termékek minőségének javításához? (123. intézkedés)</w:t>
      </w:r>
    </w:p>
    <w:p w:rsidR="00020AFE" w:rsidRDefault="00020AFE" w:rsidP="00020AFE">
      <w:pPr>
        <w:jc w:val="both"/>
      </w:pPr>
      <w:r w:rsidRPr="003B7092">
        <w:t>A</w:t>
      </w:r>
      <w:r>
        <w:t xml:space="preserve">z intézkedés vizsgálata során megállapítottuk, hogy </w:t>
      </w:r>
      <w:r w:rsidRPr="003B7092">
        <w:t>a</w:t>
      </w:r>
      <w:r>
        <w:t xml:space="preserve"> minőség javításával leginkább összefüggő célterüle</w:t>
      </w:r>
      <w:r>
        <w:t>t</w:t>
      </w:r>
      <w:r>
        <w:t>re (2. célterület – élelmiszerbiztonság) a támogatási kérelmek mintegy 20%-</w:t>
      </w:r>
      <w:proofErr w:type="gramStart"/>
      <w:r>
        <w:t>a</w:t>
      </w:r>
      <w:proofErr w:type="gramEnd"/>
      <w:r>
        <w:t xml:space="preserve"> irányult (azon kérelmeket is tartalmazza ez az arány, amelyek az élelmiszerbiztonság célterület mellett mást is megjelöltek). A beruház</w:t>
      </w:r>
      <w:r>
        <w:t>á</w:t>
      </w:r>
      <w:r>
        <w:t xml:space="preserve">sok megvalósítása jelenleg </w:t>
      </w:r>
      <w:r w:rsidRPr="002D32B9">
        <w:rPr>
          <w:b/>
        </w:rPr>
        <w:t>nem tart olyan szakaszban</w:t>
      </w:r>
      <w:r>
        <w:t xml:space="preserve"> (összesen 40 lezárt beruházást találtunk az értékelés összeállításáig), ami </w:t>
      </w:r>
      <w:r w:rsidRPr="002D32B9">
        <w:rPr>
          <w:b/>
        </w:rPr>
        <w:t>statisztikailag</w:t>
      </w:r>
      <w:r>
        <w:t xml:space="preserve"> is </w:t>
      </w:r>
      <w:r w:rsidRPr="002D32B9">
        <w:rPr>
          <w:b/>
        </w:rPr>
        <w:t>kimutatható</w:t>
      </w:r>
      <w:r>
        <w:t xml:space="preserve"> hatást gyakorolt volna a kérdésben szereplő cél elérésére.</w:t>
      </w:r>
      <w:r w:rsidRPr="003B7092">
        <w:t xml:space="preserve"> </w:t>
      </w:r>
    </w:p>
    <w:p w:rsidR="00020AFE" w:rsidRPr="003B7092" w:rsidRDefault="00020AFE" w:rsidP="00020AFE">
      <w:pPr>
        <w:jc w:val="both"/>
      </w:pPr>
    </w:p>
    <w:p w:rsidR="00020AFE" w:rsidRDefault="00020AFE" w:rsidP="00020AFE">
      <w:pPr>
        <w:pStyle w:val="StyleHUNHeading3Justified"/>
        <w:ind w:left="0" w:firstLine="0"/>
      </w:pPr>
      <w:r w:rsidRPr="00A7051C">
        <w:t>A támogatott beruházások milyen mértékben járultak hozzá a mezőgazdasági és erdészeti termékek feldolgozása és piaci értékesítése terén a hatékonyság javításához? (123. intézkedés)</w:t>
      </w:r>
    </w:p>
    <w:p w:rsidR="00020AFE" w:rsidRPr="003B7092" w:rsidRDefault="00020AFE" w:rsidP="00020AFE">
      <w:pPr>
        <w:jc w:val="both"/>
      </w:pPr>
      <w:r w:rsidRPr="003B7092">
        <w:t xml:space="preserve">Tekintettel arra, hogy a jogcím meghirdetése 2008-ban történt és azóta még nincs reprezentatív adatforrás a fejlesztés eredményeiről, a piaci értékesítés helyzetéről, így </w:t>
      </w:r>
      <w:proofErr w:type="gramStart"/>
      <w:r>
        <w:t>ezen</w:t>
      </w:r>
      <w:proofErr w:type="gramEnd"/>
      <w:r>
        <w:t xml:space="preserve"> kérdés</w:t>
      </w:r>
      <w:r w:rsidRPr="003B7092">
        <w:t xml:space="preserve"> </w:t>
      </w:r>
      <w:r w:rsidRPr="00EA4F22">
        <w:rPr>
          <w:b/>
        </w:rPr>
        <w:t>értékelés</w:t>
      </w:r>
      <w:r>
        <w:rPr>
          <w:b/>
        </w:rPr>
        <w:t>ét</w:t>
      </w:r>
      <w:r w:rsidRPr="003B7092">
        <w:t xml:space="preserve"> </w:t>
      </w:r>
      <w:r>
        <w:t xml:space="preserve">a </w:t>
      </w:r>
      <w:proofErr w:type="spellStart"/>
      <w:r>
        <w:t>mid-term</w:t>
      </w:r>
      <w:proofErr w:type="spellEnd"/>
      <w:r>
        <w:t xml:space="preserve"> értékelés keretein belül megalapozottan elvégezni nem lehetett.</w:t>
      </w:r>
    </w:p>
    <w:p w:rsidR="00020AFE" w:rsidRPr="00A7051C" w:rsidRDefault="00020AFE" w:rsidP="00020AFE">
      <w:pPr>
        <w:jc w:val="both"/>
      </w:pPr>
    </w:p>
    <w:p w:rsidR="00020AFE" w:rsidRDefault="00020AFE" w:rsidP="00020AFE">
      <w:pPr>
        <w:pStyle w:val="StyleHUNHeading3Justified"/>
        <w:ind w:left="0" w:firstLine="0"/>
      </w:pPr>
      <w:r w:rsidRPr="00A7051C">
        <w:t>A támogatott beruházások milyen mértékben járultak hozzá a mezőgazdasági üz</w:t>
      </w:r>
      <w:r w:rsidRPr="00A7051C">
        <w:t>e</w:t>
      </w:r>
      <w:r w:rsidRPr="00A7051C">
        <w:t>mek és az erdőgazdaságok piacra jutásának és piaci részesedésének növeléséhez, beleértve az olyan ágazatokat, mint a megújuló energia ágazata? (123. intézkedés)</w:t>
      </w:r>
    </w:p>
    <w:p w:rsidR="00020AFE" w:rsidRPr="003B7092" w:rsidRDefault="00020AFE" w:rsidP="00020AFE">
      <w:pPr>
        <w:jc w:val="both"/>
      </w:pPr>
      <w:r w:rsidRPr="003B7092">
        <w:t xml:space="preserve">Tekintettel arra, hogy a jogcím meghirdetése 2008-ban történt és </w:t>
      </w:r>
      <w:proofErr w:type="gramStart"/>
      <w:r w:rsidRPr="003B7092">
        <w:t>azóta</w:t>
      </w:r>
      <w:proofErr w:type="gramEnd"/>
      <w:r w:rsidRPr="003B7092">
        <w:t xml:space="preserve"> még nincs reprezentatív adatforrás a fejlesztés eredményeiről, a piaci értékesítés helyzetéről, így a szempont értékelése az ex-post értékelésben lehetséges. A jogcímen belül a mezőgazdasági termékek energetikai célú felhasználására benyújtott kére</w:t>
      </w:r>
      <w:r w:rsidRPr="003B7092">
        <w:t>l</w:t>
      </w:r>
      <w:r w:rsidRPr="003B7092">
        <w:t xml:space="preserve">mek elbírálása megtörtént, ám a beruházások megvalósítására még nem került sor, így ennek értékelése ezen </w:t>
      </w:r>
      <w:r w:rsidRPr="00DC72DD">
        <w:rPr>
          <w:b/>
        </w:rPr>
        <w:t>értékelés</w:t>
      </w:r>
      <w:r w:rsidRPr="003B7092">
        <w:t xml:space="preserve"> során </w:t>
      </w:r>
      <w:r w:rsidRPr="00DC72DD">
        <w:rPr>
          <w:b/>
        </w:rPr>
        <w:t>nem</w:t>
      </w:r>
      <w:r w:rsidRPr="003B7092">
        <w:t xml:space="preserve"> </w:t>
      </w:r>
      <w:r w:rsidRPr="00DC72DD">
        <w:rPr>
          <w:b/>
        </w:rPr>
        <w:t>lehetséges</w:t>
      </w:r>
      <w:r w:rsidRPr="003B7092">
        <w:t>.</w:t>
      </w:r>
    </w:p>
    <w:p w:rsidR="00020AFE" w:rsidRPr="003B7092" w:rsidRDefault="00020AFE" w:rsidP="00020AFE">
      <w:pPr>
        <w:jc w:val="both"/>
      </w:pPr>
    </w:p>
    <w:p w:rsidR="00020AFE" w:rsidRDefault="00020AFE" w:rsidP="00020AFE">
      <w:pPr>
        <w:pStyle w:val="StyleHUNHeading3Justified"/>
        <w:ind w:left="0" w:firstLine="0"/>
      </w:pPr>
      <w:r w:rsidRPr="00A7051C">
        <w:t>A támogatott beruházások milyen mértékben járultak hozzá a mezőgazdasági és erdészeti ágazat versenyképességének javításához? (123. intézkedés)</w:t>
      </w:r>
    </w:p>
    <w:p w:rsidR="00020AFE" w:rsidRPr="003B7092" w:rsidRDefault="00020AFE" w:rsidP="00020AFE">
      <w:pPr>
        <w:jc w:val="both"/>
      </w:pPr>
      <w:r w:rsidRPr="003B7092">
        <w:t xml:space="preserve">Tekintettel arra, hogy a jogcím meghirdetése 2008-ban történt és azóta még nincs reprezentatív adatforrás a fejlesztés eredményeiről, a versenyképesség beruházások által generált változásáról, így </w:t>
      </w:r>
      <w:proofErr w:type="gramStart"/>
      <w:r>
        <w:t>ezen</w:t>
      </w:r>
      <w:proofErr w:type="gramEnd"/>
      <w:r>
        <w:t xml:space="preserve"> kérdés</w:t>
      </w:r>
      <w:r w:rsidRPr="003B7092">
        <w:t xml:space="preserve"> </w:t>
      </w:r>
      <w:r w:rsidRPr="00EA4F22">
        <w:rPr>
          <w:b/>
        </w:rPr>
        <w:t>ért</w:t>
      </w:r>
      <w:r w:rsidRPr="00EA4F22">
        <w:rPr>
          <w:b/>
        </w:rPr>
        <w:t>é</w:t>
      </w:r>
      <w:r w:rsidRPr="00EA4F22">
        <w:rPr>
          <w:b/>
        </w:rPr>
        <w:t>kelés</w:t>
      </w:r>
      <w:r>
        <w:rPr>
          <w:b/>
        </w:rPr>
        <w:t>ét</w:t>
      </w:r>
      <w:r w:rsidRPr="003B7092">
        <w:t xml:space="preserve"> </w:t>
      </w:r>
      <w:r>
        <w:t xml:space="preserve">a </w:t>
      </w:r>
      <w:proofErr w:type="spellStart"/>
      <w:r>
        <w:t>mid-term</w:t>
      </w:r>
      <w:proofErr w:type="spellEnd"/>
      <w:r>
        <w:t xml:space="preserve"> értékelés keretein belül megalapozottan elvégezni nem lehetett.</w:t>
      </w:r>
    </w:p>
    <w:p w:rsidR="00020AFE" w:rsidRPr="003B7092" w:rsidRDefault="00020AFE" w:rsidP="00020AFE">
      <w:pPr>
        <w:jc w:val="both"/>
      </w:pPr>
    </w:p>
    <w:p w:rsidR="00020AFE" w:rsidRDefault="00020AFE" w:rsidP="00020AFE">
      <w:pPr>
        <w:pStyle w:val="StyleHUNHeading3Justified"/>
        <w:ind w:left="0" w:firstLine="0"/>
      </w:pPr>
      <w:r w:rsidRPr="00A7051C">
        <w:lastRenderedPageBreak/>
        <w:t>A rendszer az infrastruktúrák javításán át milyen mértékben járult hozzá a fizikai erőforrások szerkezetátalakításához és fejlesztéséhez? (125. intézkedés)</w:t>
      </w:r>
    </w:p>
    <w:p w:rsidR="00020AFE" w:rsidRDefault="00020AFE" w:rsidP="00020AFE">
      <w:pPr>
        <w:pStyle w:val="HUNNormal"/>
        <w:tabs>
          <w:tab w:val="left" w:pos="709"/>
        </w:tabs>
      </w:pPr>
      <w:r>
        <w:t>A jogcímet relevánsnak találtuk a megfogalmazott célok szempontjából, mert az öntözés korszerűsítése s</w:t>
      </w:r>
      <w:r>
        <w:t>o</w:t>
      </w:r>
      <w:r>
        <w:t xml:space="preserve">rán modern technológiájú eszközök beszerzése és üzembe helyezése történt meg. A támogatott projektek száma (268 db) már meg is haladja az </w:t>
      </w:r>
      <w:proofErr w:type="spellStart"/>
      <w:r>
        <w:t>ÚMVP-ben</w:t>
      </w:r>
      <w:proofErr w:type="spellEnd"/>
      <w:r>
        <w:t xml:space="preserve"> a vízgazdálkodásra kitűzött 250-es értéket.</w:t>
      </w:r>
    </w:p>
    <w:p w:rsidR="00020AFE" w:rsidRPr="00A7051C" w:rsidRDefault="00020AFE" w:rsidP="00020AFE">
      <w:pPr>
        <w:jc w:val="both"/>
      </w:pPr>
    </w:p>
    <w:p w:rsidR="00020AFE" w:rsidRDefault="00020AFE" w:rsidP="00020AFE">
      <w:pPr>
        <w:pStyle w:val="StyleHUNHeading3Justified"/>
        <w:ind w:left="0" w:firstLine="0"/>
      </w:pPr>
      <w:r w:rsidRPr="00A7051C">
        <w:t>A rendszer az infrastruktúrák javításán át milyen mértékben támogatta a mez</w:t>
      </w:r>
      <w:r w:rsidRPr="00A7051C">
        <w:t>ő</w:t>
      </w:r>
      <w:r w:rsidRPr="00A7051C">
        <w:t>gazdasági üzemek és az erdőgazdaságok versenyképességét? (125. intézkedés)</w:t>
      </w:r>
    </w:p>
    <w:p w:rsidR="00020AFE" w:rsidRDefault="00020AFE" w:rsidP="00020AFE">
      <w:pPr>
        <w:pStyle w:val="HUNNormal"/>
        <w:tabs>
          <w:tab w:val="left" w:pos="709"/>
        </w:tabs>
      </w:pPr>
      <w:r>
        <w:t>A jogcímet relevánsnak találtuk a megfogalmazott célok szempontjából, mert az öntözés korszerűsítése eg</w:t>
      </w:r>
      <w:r>
        <w:t>y</w:t>
      </w:r>
      <w:r>
        <w:t xml:space="preserve">szerre javíthatja a versenyképességet és csökkentheti a fajlagos vízfelhasználást. A támogatott projektek száma (268 db) már meg is haladja az </w:t>
      </w:r>
      <w:proofErr w:type="spellStart"/>
      <w:r>
        <w:t>ÚMVP-ben</w:t>
      </w:r>
      <w:proofErr w:type="spellEnd"/>
      <w:r>
        <w:t xml:space="preserve"> a vízgazdálkodásra kitűzött 250-es értéket.</w:t>
      </w:r>
    </w:p>
    <w:p w:rsidR="00020AFE" w:rsidRDefault="00020AFE" w:rsidP="00020AFE">
      <w:pPr>
        <w:pStyle w:val="HUNNormal"/>
        <w:tabs>
          <w:tab w:val="left" w:pos="709"/>
        </w:tabs>
      </w:pPr>
      <w:r>
        <w:t xml:space="preserve">A FADN adatbázisára épülő </w:t>
      </w:r>
      <w:proofErr w:type="spellStart"/>
      <w:r>
        <w:t>ökonometriai</w:t>
      </w:r>
      <w:proofErr w:type="spellEnd"/>
      <w:r>
        <w:t xml:space="preserve"> modellünkben a jövedelmezőség változásában enyhe pozitív irányú elmozdulást tapasztaltunk, továbbá a munka-termelékenységre vonatkozó vizsgálat is hasonló változást jelzett. Ismételten fel kell azonban hívnunk a figyelmet az óvatos interpretáció szükségességére, hiszen a beruházások </w:t>
      </w:r>
      <w:proofErr w:type="gramStart"/>
      <w:r>
        <w:t>lezárulta óta</w:t>
      </w:r>
      <w:proofErr w:type="gramEnd"/>
      <w:r>
        <w:t xml:space="preserve"> eltelt rövid idő miatt a modellek egy része nem is szignifikáns, másik része is csak gyenge </w:t>
      </w:r>
      <w:proofErr w:type="spellStart"/>
      <w:r>
        <w:t>szignifikancia</w:t>
      </w:r>
      <w:proofErr w:type="spellEnd"/>
      <w:r>
        <w:t xml:space="preserve"> szintet mutat.</w:t>
      </w:r>
    </w:p>
    <w:p w:rsidR="00020AFE" w:rsidRPr="00A7051C" w:rsidRDefault="00020AFE" w:rsidP="00020AFE">
      <w:pPr>
        <w:jc w:val="both"/>
      </w:pPr>
    </w:p>
    <w:p w:rsidR="00020AFE" w:rsidRDefault="00020AFE" w:rsidP="00020AFE">
      <w:pPr>
        <w:pStyle w:val="StyleHUNHeading3Justified"/>
        <w:ind w:left="0" w:firstLine="0"/>
      </w:pPr>
      <w:r w:rsidRPr="00A7051C">
        <w:t>A támogatás milyen mértékben segítette az új tagállamokban a félig önellátó ga</w:t>
      </w:r>
      <w:r w:rsidRPr="00A7051C">
        <w:t>z</w:t>
      </w:r>
      <w:r w:rsidRPr="00A7051C">
        <w:t>daságok tartós szerkezeti kiigazítását? (141. intézkedés)</w:t>
      </w:r>
    </w:p>
    <w:p w:rsidR="00020AFE" w:rsidRDefault="00020AFE" w:rsidP="00020AFE">
      <w:pPr>
        <w:jc w:val="both"/>
      </w:pPr>
      <w:r>
        <w:t>Az ÚMVP keretén belül az intézkedés nem került meghirdetésre: a kifizetések NVT determinációból szá</w:t>
      </w:r>
      <w:r>
        <w:t>r</w:t>
      </w:r>
      <w:r>
        <w:t xml:space="preserve">maznak. Az ÚMVP </w:t>
      </w:r>
      <w:proofErr w:type="spellStart"/>
      <w:r>
        <w:t>mid-term</w:t>
      </w:r>
      <w:proofErr w:type="spellEnd"/>
      <w:r>
        <w:t xml:space="preserve"> értékelés mindezek miatt nem releváns az intézkedésre.</w:t>
      </w:r>
    </w:p>
    <w:p w:rsidR="00020AFE" w:rsidRPr="00A7051C" w:rsidRDefault="00020AFE" w:rsidP="00020AFE">
      <w:pPr>
        <w:jc w:val="both"/>
      </w:pPr>
    </w:p>
    <w:p w:rsidR="00020AFE" w:rsidRDefault="00020AFE" w:rsidP="00020AFE">
      <w:pPr>
        <w:pStyle w:val="StyleHUNHeading3Justified"/>
        <w:ind w:left="0" w:firstLine="0"/>
      </w:pPr>
      <w:r w:rsidRPr="00A7051C">
        <w:t>A támogatás milyen mértékben könnyítette meg az új tagállamokban a félig önell</w:t>
      </w:r>
      <w:r w:rsidRPr="00A7051C">
        <w:t>á</w:t>
      </w:r>
      <w:r w:rsidRPr="00A7051C">
        <w:t>tó gazdaságok piacra való belépését? (141. intézkedés)</w:t>
      </w:r>
    </w:p>
    <w:p w:rsidR="00020AFE" w:rsidRDefault="00020AFE" w:rsidP="00020AFE">
      <w:pPr>
        <w:jc w:val="both"/>
      </w:pPr>
      <w:r>
        <w:t>Az ÚMVP keretén belül az intézkedés nem került meghirdetésre: a kifizetések NVT determinációból szá</w:t>
      </w:r>
      <w:r>
        <w:t>r</w:t>
      </w:r>
      <w:r>
        <w:t xml:space="preserve">maznak. Az ÚMVP </w:t>
      </w:r>
      <w:proofErr w:type="spellStart"/>
      <w:r>
        <w:t>mid-term</w:t>
      </w:r>
      <w:proofErr w:type="spellEnd"/>
      <w:r>
        <w:t xml:space="preserve"> értékelés mindezek miatt nem releváns az intézkedésre.</w:t>
      </w:r>
    </w:p>
    <w:p w:rsidR="00020AFE" w:rsidRPr="00A7051C" w:rsidRDefault="00020AFE" w:rsidP="00020AFE">
      <w:pPr>
        <w:jc w:val="both"/>
      </w:pPr>
    </w:p>
    <w:p w:rsidR="00020AFE" w:rsidRDefault="00020AFE" w:rsidP="00020AFE">
      <w:pPr>
        <w:pStyle w:val="StyleHUNHeading3Justified"/>
        <w:ind w:left="0" w:firstLine="0"/>
      </w:pPr>
      <w:r w:rsidRPr="00A7051C">
        <w:t>A támogatás milyen mértékben csökkentette az új tagállamok mezőgazdasági ág</w:t>
      </w:r>
      <w:r w:rsidRPr="00A7051C">
        <w:t>a</w:t>
      </w:r>
      <w:r w:rsidRPr="00A7051C">
        <w:t>zata és az EU-15-höz tartozó tagállamok mezőgazdasági ágazata közötti szerkezeti k</w:t>
      </w:r>
      <w:r w:rsidRPr="00A7051C">
        <w:t>ü</w:t>
      </w:r>
      <w:r w:rsidRPr="00A7051C">
        <w:t>lönbséget? (141. intézkedés)</w:t>
      </w:r>
    </w:p>
    <w:p w:rsidR="00020AFE" w:rsidRDefault="00020AFE" w:rsidP="00020AFE">
      <w:pPr>
        <w:jc w:val="both"/>
      </w:pPr>
      <w:r>
        <w:t>Az ÚMVP keretén belül az intézkedés nem került meghirdetésre: a kifizetések NVT determinációból szá</w:t>
      </w:r>
      <w:r>
        <w:t>r</w:t>
      </w:r>
      <w:r>
        <w:t xml:space="preserve">maznak. Az ÚMVP </w:t>
      </w:r>
      <w:proofErr w:type="spellStart"/>
      <w:r>
        <w:t>mid-term</w:t>
      </w:r>
      <w:proofErr w:type="spellEnd"/>
      <w:r>
        <w:t xml:space="preserve"> értékelés mindezek miatt nem releváns az intézkedésre.</w:t>
      </w:r>
    </w:p>
    <w:p w:rsidR="00020AFE" w:rsidRPr="00A7051C" w:rsidRDefault="00020AFE" w:rsidP="00020AFE">
      <w:pPr>
        <w:jc w:val="both"/>
      </w:pPr>
    </w:p>
    <w:p w:rsidR="00020AFE" w:rsidRDefault="00020AFE" w:rsidP="00020AFE">
      <w:pPr>
        <w:pStyle w:val="StyleHUNHeading3Justified"/>
        <w:ind w:left="0" w:firstLine="0"/>
      </w:pPr>
      <w:r w:rsidRPr="00A7051C">
        <w:lastRenderedPageBreak/>
        <w:t>A támogatás milyen mértékben járult hozzá az új tagállamokban a mezőgazdasági ágazat versenyképességének javításához? (141. intézkedés)</w:t>
      </w:r>
    </w:p>
    <w:p w:rsidR="00020AFE" w:rsidRDefault="00020AFE" w:rsidP="00020AFE">
      <w:pPr>
        <w:jc w:val="both"/>
      </w:pPr>
      <w:r>
        <w:t>Az ÚMVP keretén belül az intézkedés nem került meghirdetésre: a kifizetések NVT determinációból szá</w:t>
      </w:r>
      <w:r>
        <w:t>r</w:t>
      </w:r>
      <w:r>
        <w:t xml:space="preserve">maznak. Az ÚMVP </w:t>
      </w:r>
      <w:proofErr w:type="spellStart"/>
      <w:r>
        <w:t>mid-term</w:t>
      </w:r>
      <w:proofErr w:type="spellEnd"/>
      <w:r>
        <w:t xml:space="preserve"> értékelés mindezek miatt nem releváns az intézkedésre.</w:t>
      </w:r>
    </w:p>
    <w:p w:rsidR="00020AFE" w:rsidRPr="00A7051C" w:rsidRDefault="00020AFE" w:rsidP="00020AFE">
      <w:pPr>
        <w:jc w:val="both"/>
      </w:pPr>
    </w:p>
    <w:p w:rsidR="00020AFE" w:rsidRDefault="00020AFE" w:rsidP="00020AFE">
      <w:pPr>
        <w:pStyle w:val="StyleHUNHeading3Justified"/>
        <w:ind w:left="0" w:firstLine="0"/>
      </w:pPr>
      <w:r w:rsidRPr="00A7051C">
        <w:t>A támogatás milyen mértékben javította az új tagállamokban a termelés piaci köv</w:t>
      </w:r>
      <w:r w:rsidRPr="00A7051C">
        <w:t>e</w:t>
      </w:r>
      <w:r w:rsidRPr="00A7051C">
        <w:t>telményekhez való igazítását? (142. intézkedés)</w:t>
      </w:r>
    </w:p>
    <w:p w:rsidR="00020AFE" w:rsidRPr="003B7092" w:rsidRDefault="00020AFE" w:rsidP="00020AFE">
      <w:pPr>
        <w:jc w:val="both"/>
      </w:pPr>
      <w:r w:rsidRPr="003B7092">
        <w:t>A termelői csoportok állami elismerésének alapfeltétele a működési terv, amelyben meghatározó követe</w:t>
      </w:r>
      <w:r w:rsidRPr="003B7092">
        <w:t>l</w:t>
      </w:r>
      <w:r w:rsidRPr="003B7092">
        <w:t xml:space="preserve">mény, hogy a termelői csoport tegyen intézkedéseket a tagjai termelésének a piaci mennyiségi és minőségi követelményeinek igazítása érdekében. Ezért, tagságuk és szervezetük érdekében, valamint a </w:t>
      </w:r>
      <w:proofErr w:type="spellStart"/>
      <w:r w:rsidRPr="003B7092">
        <w:t>támogatotti</w:t>
      </w:r>
      <w:proofErr w:type="spellEnd"/>
      <w:r w:rsidRPr="003B7092">
        <w:t xml:space="preserve"> körből való kiesés kockázata miatt a termelői csoportok a piaci követelményekhez való igazodást kiemelten kezelik, lényegében valamennyi elismert szervezet tevékenységének középpontjában áll e feladat teljesít</w:t>
      </w:r>
      <w:r w:rsidRPr="003B7092">
        <w:t>é</w:t>
      </w:r>
      <w:r w:rsidRPr="003B7092">
        <w:t xml:space="preserve">se. A termelői csoport e tevékenysége ugyanakkor csak a termelői kör általa integrált hányadára terjed ki, és mivel a termelői szervezettség általánosan alacsony, így </w:t>
      </w:r>
      <w:r w:rsidRPr="001D783F">
        <w:rPr>
          <w:b/>
        </w:rPr>
        <w:t>hatása viszonylag szűk kört érint</w:t>
      </w:r>
      <w:r w:rsidRPr="003B7092">
        <w:t>.</w:t>
      </w:r>
    </w:p>
    <w:p w:rsidR="00020AFE" w:rsidRPr="003B7092" w:rsidRDefault="00020AFE" w:rsidP="00020AFE">
      <w:pPr>
        <w:jc w:val="both"/>
      </w:pPr>
    </w:p>
    <w:p w:rsidR="00020AFE" w:rsidRDefault="00020AFE" w:rsidP="00020AFE">
      <w:pPr>
        <w:pStyle w:val="StyleHUNHeading3Justified"/>
        <w:ind w:left="0" w:firstLine="0"/>
      </w:pPr>
      <w:r w:rsidRPr="00A7051C">
        <w:t>A támogatás milyen mértékben csökkentette az új tagállamok mezőgazdasági ág</w:t>
      </w:r>
      <w:r w:rsidRPr="00A7051C">
        <w:t>a</w:t>
      </w:r>
      <w:r w:rsidRPr="00A7051C">
        <w:t>zata és az EU-15-höz tartozó tagállamok mezőgazdasági ágazata közötti szerkezeti k</w:t>
      </w:r>
      <w:r w:rsidRPr="00A7051C">
        <w:t>ü</w:t>
      </w:r>
      <w:r w:rsidRPr="00A7051C">
        <w:t>lönbséget? (142. intézkedés)</w:t>
      </w:r>
    </w:p>
    <w:p w:rsidR="00020AFE" w:rsidRPr="004B5E1D" w:rsidRDefault="00020AFE" w:rsidP="00020AFE">
      <w:pPr>
        <w:jc w:val="both"/>
      </w:pPr>
      <w:r w:rsidRPr="004B5E1D">
        <w:t xml:space="preserve">Az új tagországok és az EU-15-ök közötti szerkezeti különbség elsősorban a birtokszerkezetben és a termelői szervezettség szintjében mutatkozik meg. A </w:t>
      </w:r>
      <w:r w:rsidRPr="001D783F">
        <w:rPr>
          <w:b/>
        </w:rPr>
        <w:t>birtokszerkezetre</w:t>
      </w:r>
      <w:r w:rsidRPr="004B5E1D">
        <w:t xml:space="preserve"> az </w:t>
      </w:r>
      <w:r w:rsidRPr="001D783F">
        <w:rPr>
          <w:b/>
        </w:rPr>
        <w:t>intézkedés</w:t>
      </w:r>
      <w:r w:rsidRPr="004B5E1D">
        <w:t xml:space="preserve"> csak </w:t>
      </w:r>
      <w:r w:rsidRPr="001D783F">
        <w:rPr>
          <w:b/>
        </w:rPr>
        <w:t>közvetett</w:t>
      </w:r>
      <w:r w:rsidRPr="004B5E1D">
        <w:t xml:space="preserve"> </w:t>
      </w:r>
      <w:r w:rsidRPr="001D783F">
        <w:rPr>
          <w:b/>
        </w:rPr>
        <w:t>hatást</w:t>
      </w:r>
      <w:r w:rsidRPr="004B5E1D">
        <w:t xml:space="preserve"> gyakoro</w:t>
      </w:r>
      <w:r w:rsidRPr="004B5E1D">
        <w:t>l</w:t>
      </w:r>
      <w:r w:rsidRPr="004B5E1D">
        <w:t xml:space="preserve">hat a sikeres termelői együttműködésben résztvevők egyéni fejlődésén keresztül. Az intézkedésnek az </w:t>
      </w:r>
      <w:proofErr w:type="spellStart"/>
      <w:r w:rsidRPr="004B5E1D">
        <w:t>NVT-ben</w:t>
      </w:r>
      <w:proofErr w:type="spellEnd"/>
      <w:r w:rsidRPr="004B5E1D">
        <w:t xml:space="preserve"> megindult lendülete lelassult (az elismert termelői csoportok száma a monitoring indikátorok értéke szerint alig változott), ami azt mutatja, hogy az </w:t>
      </w:r>
      <w:r w:rsidRPr="001D783F">
        <w:rPr>
          <w:b/>
        </w:rPr>
        <w:t>együttműködésre</w:t>
      </w:r>
      <w:r w:rsidRPr="004B5E1D">
        <w:t xml:space="preserve"> kész tudatos gazdálkodói </w:t>
      </w:r>
      <w:r w:rsidRPr="001D783F">
        <w:rPr>
          <w:b/>
        </w:rPr>
        <w:t>réteg</w:t>
      </w:r>
      <w:r w:rsidRPr="004B5E1D">
        <w:t xml:space="preserve"> </w:t>
      </w:r>
      <w:r w:rsidRPr="001D783F">
        <w:rPr>
          <w:b/>
        </w:rPr>
        <w:t>nagysága</w:t>
      </w:r>
      <w:r w:rsidRPr="004B5E1D">
        <w:t xml:space="preserve"> </w:t>
      </w:r>
      <w:r w:rsidRPr="001D783F">
        <w:rPr>
          <w:b/>
        </w:rPr>
        <w:t>korlátozott</w:t>
      </w:r>
      <w:r w:rsidRPr="004B5E1D">
        <w:t>. Az intézkedés jogi hátterének 2009-ben történt módosítása (65/</w:t>
      </w:r>
      <w:proofErr w:type="gramStart"/>
      <w:r w:rsidRPr="004B5E1D">
        <w:t>2009(</w:t>
      </w:r>
      <w:proofErr w:type="gramEnd"/>
      <w:r w:rsidRPr="004B5E1D">
        <w:t>VI.4.) FVM rendelet) ugyanakkor új érdekeltségi elemek beépítésével elősegítette a termelői szervezettség iránti hajlandóság fokozását.</w:t>
      </w:r>
    </w:p>
    <w:p w:rsidR="00020AFE" w:rsidRPr="00A7051C" w:rsidRDefault="00020AFE" w:rsidP="00020AFE">
      <w:pPr>
        <w:jc w:val="both"/>
      </w:pPr>
    </w:p>
    <w:p w:rsidR="00020AFE" w:rsidRDefault="00020AFE" w:rsidP="00020AFE">
      <w:pPr>
        <w:pStyle w:val="StyleHUNHeading3Justified"/>
        <w:ind w:left="0" w:firstLine="0"/>
      </w:pPr>
      <w:r w:rsidRPr="00A7051C">
        <w:t>A támogatás milyen mértékben járult hozzá az új tagállamokban a mezőgazdasági ágazat versenyképességének javításához? (142. intézkedés)</w:t>
      </w:r>
    </w:p>
    <w:p w:rsidR="00020AFE" w:rsidRPr="00A36E15" w:rsidRDefault="00020AFE" w:rsidP="00020AFE">
      <w:pPr>
        <w:pStyle w:val="HUNNormal"/>
      </w:pPr>
      <w:r w:rsidRPr="00A36E15">
        <w:t>A támogatás versenyképességi hatásának mérése nehezen választható el a makrogazdasági adatoktól. Így jóllehet az intézkedések keretében támogatott termelői csoportok fejlődésük érdekében szervezettséggel, a piaci igényekhez való alkalmazkodást szolgáló eszközökkel, a minőség- és a környezettudatos fejlesztése</w:t>
      </w:r>
      <w:r w:rsidRPr="00A36E15">
        <w:t>k</w:t>
      </w:r>
      <w:r w:rsidRPr="00A36E15">
        <w:t>kel kívánják elősegíteni saját és tagságuk versenyképességét, a csekély piacbefolyásoló képességük, a sz</w:t>
      </w:r>
      <w:r w:rsidRPr="00A36E15">
        <w:t>a</w:t>
      </w:r>
      <w:r w:rsidRPr="00A36E15">
        <w:t xml:space="preserve">bályozási és általános gazdasági feltételek következtében ennek </w:t>
      </w:r>
      <w:r w:rsidRPr="001D783F">
        <w:rPr>
          <w:b/>
        </w:rPr>
        <w:t>hatása kevéssé mérhető</w:t>
      </w:r>
      <w:r w:rsidRPr="00A36E15">
        <w:t>. Jól mutatja ezt az agrárgazdaság helyzetéről szóló 2009 évi jelentés, amelyben a látszólag kedvező arányú termelői szerv</w:t>
      </w:r>
      <w:r w:rsidRPr="00A36E15">
        <w:t>e</w:t>
      </w:r>
      <w:r w:rsidRPr="00A36E15">
        <w:t>zettség mellett is az ágazat jelentős veszteséget szenved el.</w:t>
      </w:r>
    </w:p>
    <w:p w:rsidR="00020AFE" w:rsidRPr="00A36E15" w:rsidRDefault="00020AFE" w:rsidP="00020AFE">
      <w:pPr>
        <w:pStyle w:val="HUNNormal"/>
      </w:pPr>
    </w:p>
    <w:p w:rsidR="00020AFE" w:rsidRDefault="00020AFE" w:rsidP="00020AFE">
      <w:pPr>
        <w:pStyle w:val="StyleHUNHeading2Justified"/>
      </w:pPr>
      <w:r>
        <w:br w:type="page"/>
      </w:r>
      <w:bookmarkStart w:id="38" w:name="_Toc279592175"/>
      <w:bookmarkStart w:id="39" w:name="_Toc280788357"/>
      <w:r>
        <w:lastRenderedPageBreak/>
        <w:t>Agrár-környezet Gazdálkodásra (AKG) vonatkozó kérdések (</w:t>
      </w:r>
      <w:r w:rsidR="002D73BB">
        <w:t>II</w:t>
      </w:r>
      <w:r>
        <w:t>. tengely)</w:t>
      </w:r>
      <w:bookmarkEnd w:id="38"/>
      <w:bookmarkEnd w:id="39"/>
    </w:p>
    <w:p w:rsidR="00020AFE" w:rsidRDefault="00020AFE" w:rsidP="00020AFE">
      <w:pPr>
        <w:pStyle w:val="StyleHUNHeading3Justified"/>
        <w:ind w:left="504"/>
      </w:pPr>
      <w:r w:rsidRPr="00A7051C">
        <w:t>A kompenzációs támogatás milyen mértékben segítette a hegyvidéki területeken k</w:t>
      </w:r>
      <w:r w:rsidRPr="00A7051C">
        <w:t>í</w:t>
      </w:r>
      <w:r w:rsidRPr="00A7051C">
        <w:t>vüli hátrányos helyzetű területeken a folyamatos termőföld-hasznosítás biztosít</w:t>
      </w:r>
      <w:r w:rsidRPr="00A7051C">
        <w:t>á</w:t>
      </w:r>
      <w:r w:rsidRPr="00A7051C">
        <w:t>sát? (212. intézkedés)</w:t>
      </w:r>
    </w:p>
    <w:p w:rsidR="00020AFE" w:rsidRDefault="00020AFE" w:rsidP="00020AFE">
      <w:pPr>
        <w:pStyle w:val="HUNNormal"/>
        <w:rPr>
          <w:iCs/>
          <w:szCs w:val="22"/>
        </w:rPr>
      </w:pPr>
      <w:r>
        <w:rPr>
          <w:iCs/>
          <w:szCs w:val="22"/>
        </w:rPr>
        <w:t xml:space="preserve">Önmagában a </w:t>
      </w:r>
      <w:r w:rsidRPr="000B489D">
        <w:rPr>
          <w:iCs/>
          <w:szCs w:val="22"/>
        </w:rPr>
        <w:t>Természeti hátrány, nem hegyvidék</w:t>
      </w:r>
      <w:r>
        <w:rPr>
          <w:iCs/>
          <w:szCs w:val="22"/>
        </w:rPr>
        <w:t xml:space="preserve"> intézkedés (KAT) hozzájárulását a folyamatos termőföld-hasznosításhoz, megítélésünk szerint objektíven nem lehet vizsgálni. Az intézkedés kifizetéseit a támogato</w:t>
      </w:r>
      <w:r>
        <w:rPr>
          <w:iCs/>
          <w:szCs w:val="22"/>
        </w:rPr>
        <w:t>t</w:t>
      </w:r>
      <w:r>
        <w:rPr>
          <w:iCs/>
          <w:szCs w:val="22"/>
        </w:rPr>
        <w:t xml:space="preserve">tak jellemzően más jogcímek kifizetései mellett veszik igénybe (minden KAT támogatott érintett legalább a SAPS kifizetésekben is). A </w:t>
      </w:r>
      <w:proofErr w:type="spellStart"/>
      <w:r>
        <w:rPr>
          <w:iCs/>
          <w:szCs w:val="22"/>
        </w:rPr>
        <w:t>mid-term</w:t>
      </w:r>
      <w:proofErr w:type="spellEnd"/>
      <w:r>
        <w:rPr>
          <w:iCs/>
          <w:szCs w:val="22"/>
        </w:rPr>
        <w:t xml:space="preserve"> értékelés során a kedvezményezettekkel folytatott mélyinterjúk, val</w:t>
      </w:r>
      <w:r>
        <w:rPr>
          <w:iCs/>
          <w:szCs w:val="22"/>
        </w:rPr>
        <w:t>a</w:t>
      </w:r>
      <w:r>
        <w:rPr>
          <w:iCs/>
          <w:szCs w:val="22"/>
        </w:rPr>
        <w:t>mint az on-line kérdőívek adatai alapján megállapítható volt, hogy mind a területalapú támogatások, mint a KAT támogatás a gazdálkodás fenntartásának elengedhetetlen részévé vált, így elmondható, hogy a KAT kifizetések is jelentős mértékben hozzájárulnak a hasznosítás fenntartásához.</w:t>
      </w:r>
    </w:p>
    <w:p w:rsidR="00020AFE" w:rsidRPr="00A7051C" w:rsidRDefault="00020AFE" w:rsidP="00020AFE">
      <w:pPr>
        <w:jc w:val="both"/>
      </w:pPr>
    </w:p>
    <w:p w:rsidR="00020AFE" w:rsidRDefault="00020AFE" w:rsidP="00020AFE">
      <w:pPr>
        <w:pStyle w:val="StyleHUNHeading3Justified"/>
        <w:ind w:left="504"/>
      </w:pPr>
      <w:r w:rsidRPr="00A7051C">
        <w:t>A kompenzációs támogatás milyen mértékben járult hozzá a hegyvidéki területeken kívüli hátrányos helyzetű területeken az életképes vidéki közösség fenntartásához? (212. intézkedés)</w:t>
      </w:r>
    </w:p>
    <w:p w:rsidR="00020AFE" w:rsidRPr="0074591F" w:rsidRDefault="00020AFE" w:rsidP="00020AFE">
      <w:pPr>
        <w:pStyle w:val="HUNNormal"/>
        <w:rPr>
          <w:iCs/>
          <w:szCs w:val="22"/>
        </w:rPr>
      </w:pPr>
      <w:r w:rsidRPr="00B930E3">
        <w:rPr>
          <w:iCs/>
          <w:szCs w:val="22"/>
        </w:rPr>
        <w:t>A</w:t>
      </w:r>
      <w:r>
        <w:rPr>
          <w:iCs/>
          <w:szCs w:val="22"/>
        </w:rPr>
        <w:t>z intézkedés</w:t>
      </w:r>
      <w:r w:rsidRPr="00B930E3">
        <w:rPr>
          <w:iCs/>
          <w:szCs w:val="22"/>
        </w:rPr>
        <w:t xml:space="preserve"> jellegéből adódóan nem alkalmas vidéki közösségek fenntartására, mivel az eszközrendszere egyéni gazdálkodók jövedelem kiegészítésére alkalmas, vagyis közösségépítő, fenntartó funkciókat a jogcím nem tud betölteni. A támogatások egyéni szintű hatásai elsősorban a </w:t>
      </w:r>
      <w:proofErr w:type="gramStart"/>
      <w:r w:rsidRPr="00B930E3">
        <w:rPr>
          <w:iCs/>
          <w:szCs w:val="22"/>
        </w:rPr>
        <w:t>föld művelésben</w:t>
      </w:r>
      <w:proofErr w:type="gramEnd"/>
      <w:r w:rsidRPr="00B930E3">
        <w:rPr>
          <w:iCs/>
          <w:szCs w:val="22"/>
        </w:rPr>
        <w:t xml:space="preserve"> tartásánál, illetve a mezőgazdasági tevékenység folytatásánál jelennek meg.</w:t>
      </w:r>
    </w:p>
    <w:p w:rsidR="00020AFE" w:rsidRPr="0074591F" w:rsidRDefault="00020AFE" w:rsidP="00020AFE">
      <w:pPr>
        <w:pStyle w:val="HUNNormal"/>
        <w:rPr>
          <w:iCs/>
          <w:szCs w:val="22"/>
        </w:rPr>
      </w:pPr>
    </w:p>
    <w:p w:rsidR="00020AFE" w:rsidRDefault="00020AFE" w:rsidP="00020AFE">
      <w:pPr>
        <w:pStyle w:val="StyleHUNHeading3Justified"/>
        <w:ind w:left="504"/>
      </w:pPr>
      <w:r w:rsidRPr="00A7051C">
        <w:t>A rendszer milyen mértékben járult hozzá a fenntartható gazdálkodási rendszerek megőrzéséhez vagy elősegítéséhez? (212. intézkedés)</w:t>
      </w:r>
    </w:p>
    <w:p w:rsidR="00020AFE" w:rsidRDefault="00020AFE" w:rsidP="00020AFE">
      <w:pPr>
        <w:pStyle w:val="HUNNormal"/>
        <w:rPr>
          <w:iCs/>
          <w:szCs w:val="22"/>
        </w:rPr>
      </w:pPr>
      <w:r>
        <w:rPr>
          <w:iCs/>
          <w:szCs w:val="22"/>
        </w:rPr>
        <w:t xml:space="preserve">A </w:t>
      </w:r>
      <w:proofErr w:type="spellStart"/>
      <w:r>
        <w:rPr>
          <w:iCs/>
          <w:szCs w:val="22"/>
        </w:rPr>
        <w:t>mid-term</w:t>
      </w:r>
      <w:proofErr w:type="spellEnd"/>
      <w:r>
        <w:rPr>
          <w:iCs/>
          <w:szCs w:val="22"/>
        </w:rPr>
        <w:t xml:space="preserve"> értékelés során, on-line kérdőíves felméréssel összesen 4316 támogatott gazda véleményét kérdeztük meg a II. tengely intézkedéseiről. A KAT intézkedésben 974 kedvezményezett volt érintett – a v</w:t>
      </w:r>
      <w:r>
        <w:rPr>
          <w:iCs/>
          <w:szCs w:val="22"/>
        </w:rPr>
        <w:t>á</w:t>
      </w:r>
      <w:r>
        <w:rPr>
          <w:iCs/>
          <w:szCs w:val="22"/>
        </w:rPr>
        <w:t xml:space="preserve">laszadók </w:t>
      </w:r>
      <w:r w:rsidRPr="00B753D8">
        <w:rPr>
          <w:iCs/>
          <w:szCs w:val="22"/>
        </w:rPr>
        <w:t>több mint kétharmadának a támogatás nem ho</w:t>
      </w:r>
      <w:r>
        <w:rPr>
          <w:iCs/>
          <w:szCs w:val="22"/>
        </w:rPr>
        <w:t>zott érdemi változást</w:t>
      </w:r>
      <w:r w:rsidRPr="00B753D8">
        <w:rPr>
          <w:iCs/>
          <w:szCs w:val="22"/>
        </w:rPr>
        <w:t xml:space="preserve">. </w:t>
      </w:r>
      <w:r>
        <w:rPr>
          <w:iCs/>
          <w:szCs w:val="22"/>
        </w:rPr>
        <w:t>A kérdőíves válaszokból az is kirajzolódott, hogy a gazdák döntő többségét nem az intézkedésben elnyerhető támogatás motiválja a ga</w:t>
      </w:r>
      <w:r>
        <w:rPr>
          <w:iCs/>
          <w:szCs w:val="22"/>
        </w:rPr>
        <w:t>z</w:t>
      </w:r>
      <w:r>
        <w:rPr>
          <w:iCs/>
          <w:szCs w:val="22"/>
        </w:rPr>
        <w:t>dálkodás fenntartására: a relatív többség több jogcímen is felvesz támogatást, melyek együttesen már fen</w:t>
      </w:r>
      <w:r>
        <w:rPr>
          <w:iCs/>
          <w:szCs w:val="22"/>
        </w:rPr>
        <w:t>n</w:t>
      </w:r>
      <w:r>
        <w:rPr>
          <w:iCs/>
          <w:szCs w:val="22"/>
        </w:rPr>
        <w:t xml:space="preserve">tarthatóvá teszik a gazdálkodást. </w:t>
      </w:r>
      <w:r w:rsidRPr="00B753D8">
        <w:rPr>
          <w:iCs/>
          <w:szCs w:val="22"/>
        </w:rPr>
        <w:t xml:space="preserve">A hatás minimális mértékét a gyenge igénylési szint is alátámasztja, hiszen </w:t>
      </w:r>
      <w:r w:rsidRPr="00B930E3">
        <w:rPr>
          <w:iCs/>
          <w:szCs w:val="22"/>
        </w:rPr>
        <w:t xml:space="preserve">csupán </w:t>
      </w:r>
      <w:r>
        <w:rPr>
          <w:iCs/>
          <w:szCs w:val="22"/>
        </w:rPr>
        <w:t xml:space="preserve">a támogatható terület </w:t>
      </w:r>
      <w:r w:rsidRPr="00B930E3">
        <w:rPr>
          <w:iCs/>
          <w:szCs w:val="22"/>
        </w:rPr>
        <w:t>25%-</w:t>
      </w:r>
      <w:r>
        <w:rPr>
          <w:iCs/>
          <w:szCs w:val="22"/>
        </w:rPr>
        <w:t>ára nyújtottak be kérelmet a gazdák.</w:t>
      </w:r>
      <w:r w:rsidRPr="00B930E3">
        <w:rPr>
          <w:iCs/>
          <w:szCs w:val="22"/>
        </w:rPr>
        <w:t xml:space="preserve"> </w:t>
      </w:r>
      <w:proofErr w:type="gramStart"/>
      <w:r w:rsidRPr="00B930E3">
        <w:rPr>
          <w:iCs/>
          <w:szCs w:val="22"/>
        </w:rPr>
        <w:t xml:space="preserve">Bár a jelentősebb támogatással járó lehatárolás </w:t>
      </w:r>
      <w:r>
        <w:rPr>
          <w:iCs/>
          <w:szCs w:val="22"/>
        </w:rPr>
        <w:t xml:space="preserve">(KAT19) </w:t>
      </w:r>
      <w:r w:rsidRPr="00B930E3">
        <w:rPr>
          <w:iCs/>
          <w:szCs w:val="22"/>
        </w:rPr>
        <w:t>esetében a területi arány több mint 10%-al magasabb, azonban megállapítható, hogy még a 20 000 Ft/ha összegű támogatás mellett is inkább megéri a megszokott, „piac</w:t>
      </w:r>
      <w:r>
        <w:rPr>
          <w:iCs/>
          <w:szCs w:val="22"/>
        </w:rPr>
        <w:t>képes</w:t>
      </w:r>
      <w:r w:rsidRPr="00B930E3">
        <w:rPr>
          <w:iCs/>
          <w:szCs w:val="22"/>
        </w:rPr>
        <w:t>” veté</w:t>
      </w:r>
      <w:r w:rsidRPr="00B930E3">
        <w:rPr>
          <w:iCs/>
          <w:szCs w:val="22"/>
        </w:rPr>
        <w:t>s</w:t>
      </w:r>
      <w:r w:rsidRPr="00B930E3">
        <w:rPr>
          <w:iCs/>
          <w:szCs w:val="22"/>
        </w:rPr>
        <w:t xml:space="preserve">szerkezetet fenntartani, semmint áttérni </w:t>
      </w:r>
      <w:r>
        <w:rPr>
          <w:iCs/>
          <w:szCs w:val="22"/>
        </w:rPr>
        <w:t xml:space="preserve">fenntarthatóbbnak tekinthető, </w:t>
      </w:r>
      <w:r w:rsidRPr="00B930E3">
        <w:rPr>
          <w:iCs/>
          <w:szCs w:val="22"/>
        </w:rPr>
        <w:t>extenzívebb gazdálkodásra, vagy takarmánytermesztésre (ez utóbbi nyilván csak állattenyésztés mellett képzelhető el, aminek a bővülését viszont a takarmánytermesztés támogatásán keresztül nem lehet megvalósítani).</w:t>
      </w:r>
      <w:proofErr w:type="gramEnd"/>
      <w:r w:rsidRPr="00B930E3">
        <w:rPr>
          <w:iCs/>
          <w:szCs w:val="22"/>
        </w:rPr>
        <w:t xml:space="preserve"> Ez alapján vélelmezhető, hogy KAT támogatást elsősorban azok veszik igénybe, akik a gazdálkodásuk szerkezetéből adódóan megf</w:t>
      </w:r>
      <w:r w:rsidRPr="00B930E3">
        <w:rPr>
          <w:iCs/>
          <w:szCs w:val="22"/>
        </w:rPr>
        <w:t>e</w:t>
      </w:r>
      <w:r w:rsidRPr="00B930E3">
        <w:rPr>
          <w:iCs/>
          <w:szCs w:val="22"/>
        </w:rPr>
        <w:t>lelnek a program előírásainak.</w:t>
      </w:r>
    </w:p>
    <w:p w:rsidR="00020AFE" w:rsidRPr="00D75644" w:rsidRDefault="00020AFE" w:rsidP="00020AFE">
      <w:pPr>
        <w:pStyle w:val="HUNNormal"/>
        <w:rPr>
          <w:iCs/>
          <w:szCs w:val="22"/>
        </w:rPr>
      </w:pPr>
    </w:p>
    <w:p w:rsidR="00020AFE" w:rsidRDefault="00020AFE" w:rsidP="00020AFE">
      <w:pPr>
        <w:pStyle w:val="StyleHUNHeading3Justified"/>
        <w:ind w:left="504"/>
      </w:pPr>
      <w:r w:rsidRPr="00A7051C">
        <w:lastRenderedPageBreak/>
        <w:t>A rendszer milyen mértékben járult hozzá a vidék megőrzéséhez és a környezet j</w:t>
      </w:r>
      <w:r w:rsidRPr="00A7051C">
        <w:t>a</w:t>
      </w:r>
      <w:r w:rsidRPr="00A7051C">
        <w:t>vításához? (212. intézkedés)</w:t>
      </w:r>
    </w:p>
    <w:p w:rsidR="00020AFE" w:rsidRDefault="00020AFE" w:rsidP="00020AFE">
      <w:pPr>
        <w:jc w:val="both"/>
        <w:rPr>
          <w:iCs/>
          <w:szCs w:val="22"/>
        </w:rPr>
      </w:pPr>
      <w:r>
        <w:rPr>
          <w:iCs/>
          <w:szCs w:val="22"/>
        </w:rPr>
        <w:t>Az on-line</w:t>
      </w:r>
      <w:r w:rsidRPr="00B930E3">
        <w:rPr>
          <w:iCs/>
          <w:szCs w:val="22"/>
        </w:rPr>
        <w:t xml:space="preserve"> k</w:t>
      </w:r>
      <w:r>
        <w:rPr>
          <w:iCs/>
          <w:szCs w:val="22"/>
        </w:rPr>
        <w:t>érdőíves vizsgálatban résztvevő 974 kedvezményezett</w:t>
      </w:r>
      <w:r w:rsidRPr="00B930E3">
        <w:rPr>
          <w:iCs/>
          <w:szCs w:val="22"/>
        </w:rPr>
        <w:t xml:space="preserve"> 80%-</w:t>
      </w:r>
      <w:proofErr w:type="gramStart"/>
      <w:r w:rsidRPr="00B930E3">
        <w:rPr>
          <w:iCs/>
          <w:szCs w:val="22"/>
        </w:rPr>
        <w:t>a</w:t>
      </w:r>
      <w:proofErr w:type="gramEnd"/>
      <w:r w:rsidRPr="00B930E3">
        <w:rPr>
          <w:iCs/>
          <w:szCs w:val="22"/>
        </w:rPr>
        <w:t xml:space="preserve"> 50 hektár alatt gazdálkodik, </w:t>
      </w:r>
      <w:r>
        <w:rPr>
          <w:iCs/>
          <w:szCs w:val="22"/>
        </w:rPr>
        <w:t xml:space="preserve">így </w:t>
      </w:r>
      <w:r w:rsidRPr="00B930E3">
        <w:rPr>
          <w:iCs/>
          <w:szCs w:val="22"/>
        </w:rPr>
        <w:t>a program vélhetően elsősorban a kisgazdálkodóknak jelent támogatást. Ezt erősíti a támogatás mértéke me</w:t>
      </w:r>
      <w:r w:rsidRPr="00B930E3">
        <w:rPr>
          <w:iCs/>
          <w:szCs w:val="22"/>
        </w:rPr>
        <w:t>l</w:t>
      </w:r>
      <w:r w:rsidRPr="00B930E3">
        <w:rPr>
          <w:iCs/>
          <w:szCs w:val="22"/>
        </w:rPr>
        <w:t>lett meghatározott degresszív kifizetési rendszer, ami szintén ezt a méretkategóriát helyezi előtérbe. Ennek alapján úgy gondoljuk, hogy a támogatás elsősorban a kisgazdálkodók jövedelemszerzési lehetőségeihez járul hozzá.</w:t>
      </w:r>
    </w:p>
    <w:p w:rsidR="00020AFE" w:rsidRDefault="00020AFE" w:rsidP="00020AFE">
      <w:pPr>
        <w:jc w:val="both"/>
      </w:pPr>
      <w:r>
        <w:rPr>
          <w:iCs/>
          <w:szCs w:val="22"/>
        </w:rPr>
        <w:t xml:space="preserve">Az intézkedés </w:t>
      </w:r>
      <w:r w:rsidRPr="00B930E3">
        <w:rPr>
          <w:iCs/>
          <w:szCs w:val="22"/>
        </w:rPr>
        <w:t>nem tartalmaz olyan előírásokat, melyek a környezettudatosság fejlesztését célozzák meg</w:t>
      </w:r>
      <w:r>
        <w:rPr>
          <w:iCs/>
          <w:szCs w:val="22"/>
        </w:rPr>
        <w:t xml:space="preserve">: </w:t>
      </w:r>
      <w:r w:rsidRPr="00B930E3">
        <w:rPr>
          <w:iCs/>
          <w:szCs w:val="22"/>
        </w:rPr>
        <w:t>jelenleg a SAPS területalapú támogatásának az alapfeltétel rendszerét veszi át, így megállapítható, hogy a KAT vonatkozásában nincsenek olyan előírások megfogalmazva, amelyek nem vonatkoznának a programon kívül, de SAPS támogatásban részesülő gazdálkodókra. Mivel azonban a kölcsönös megfeleltetés alapvető célja a támogatási feltételek folyósítása fejében alapvető környezeti célok teljesítése, elmondható, hogy ez a KAT támogatást igénylőkre is vonatkozik.</w:t>
      </w:r>
    </w:p>
    <w:p w:rsidR="00020AFE" w:rsidRDefault="00020AFE" w:rsidP="00020AFE">
      <w:pPr>
        <w:jc w:val="both"/>
      </w:pPr>
      <w:r>
        <w:rPr>
          <w:iCs/>
          <w:szCs w:val="22"/>
        </w:rPr>
        <w:t xml:space="preserve">Megállapítható továbbá, hogy az intézkedés nem tesz megállapításokat a </w:t>
      </w:r>
      <w:r w:rsidRPr="00B930E3">
        <w:rPr>
          <w:iCs/>
          <w:szCs w:val="22"/>
        </w:rPr>
        <w:t xml:space="preserve">táji </w:t>
      </w:r>
      <w:r>
        <w:rPr>
          <w:iCs/>
          <w:szCs w:val="22"/>
        </w:rPr>
        <w:t>adottságok szerinti differenc</w:t>
      </w:r>
      <w:r>
        <w:rPr>
          <w:iCs/>
          <w:szCs w:val="22"/>
        </w:rPr>
        <w:t>i</w:t>
      </w:r>
      <w:r>
        <w:rPr>
          <w:iCs/>
          <w:szCs w:val="22"/>
        </w:rPr>
        <w:t xml:space="preserve">ált gazdálkodási </w:t>
      </w:r>
      <w:r w:rsidRPr="00B930E3">
        <w:rPr>
          <w:iCs/>
          <w:szCs w:val="22"/>
        </w:rPr>
        <w:t>modellek megerősítésére vonatkozóan</w:t>
      </w:r>
      <w:r>
        <w:rPr>
          <w:iCs/>
          <w:szCs w:val="22"/>
        </w:rPr>
        <w:t>, t</w:t>
      </w:r>
      <w:r w:rsidRPr="00B930E3">
        <w:rPr>
          <w:iCs/>
          <w:szCs w:val="22"/>
        </w:rPr>
        <w:t>ovábbá, mivel országos szinten került kidolgozásra</w:t>
      </w:r>
      <w:r>
        <w:rPr>
          <w:iCs/>
          <w:szCs w:val="22"/>
        </w:rPr>
        <w:t>,</w:t>
      </w:r>
      <w:r w:rsidRPr="00B930E3">
        <w:rPr>
          <w:iCs/>
          <w:szCs w:val="22"/>
        </w:rPr>
        <w:t xml:space="preserve"> a tájhasználat erősítésére vonatkozó célokat nem lehet</w:t>
      </w:r>
      <w:r>
        <w:rPr>
          <w:iCs/>
          <w:szCs w:val="22"/>
        </w:rPr>
        <w:t>ett</w:t>
      </w:r>
      <w:r w:rsidRPr="00B930E3">
        <w:rPr>
          <w:iCs/>
          <w:szCs w:val="22"/>
        </w:rPr>
        <w:t xml:space="preserve"> vizsgálni</w:t>
      </w:r>
      <w:r>
        <w:rPr>
          <w:iCs/>
          <w:szCs w:val="22"/>
        </w:rPr>
        <w:t>.</w:t>
      </w:r>
    </w:p>
    <w:p w:rsidR="00020AFE" w:rsidRDefault="00020AFE" w:rsidP="00020AFE">
      <w:pPr>
        <w:jc w:val="both"/>
      </w:pPr>
    </w:p>
    <w:p w:rsidR="00020AFE" w:rsidRDefault="00020AFE" w:rsidP="00020AFE">
      <w:pPr>
        <w:pStyle w:val="StyleHUNHeading3Justified"/>
        <w:ind w:left="504"/>
      </w:pPr>
      <w:r w:rsidRPr="00A7051C">
        <w:t xml:space="preserve">A kompenzációs támogatás milyen mértékben járult hozzá a </w:t>
      </w:r>
      <w:proofErr w:type="spellStart"/>
      <w:r w:rsidRPr="00A7051C">
        <w:t>Natura</w:t>
      </w:r>
      <w:proofErr w:type="spellEnd"/>
      <w:r w:rsidRPr="00A7051C">
        <w:t xml:space="preserve"> 2000 terület</w:t>
      </w:r>
      <w:r w:rsidRPr="00A7051C">
        <w:t>e</w:t>
      </w:r>
      <w:r w:rsidRPr="00A7051C">
        <w:t>ken a fenntartható termőföld-hasznosításhoz? (213. intézkedés)</w:t>
      </w:r>
    </w:p>
    <w:p w:rsidR="00020AFE" w:rsidRPr="00282856" w:rsidRDefault="00020AFE" w:rsidP="00020AFE">
      <w:pPr>
        <w:jc w:val="both"/>
        <w:rPr>
          <w:iCs/>
          <w:szCs w:val="22"/>
        </w:rPr>
      </w:pPr>
      <w:r>
        <w:rPr>
          <w:iCs/>
          <w:szCs w:val="22"/>
        </w:rPr>
        <w:t>A NATURA 2000 intézkedésben k</w:t>
      </w:r>
      <w:r w:rsidRPr="00282856">
        <w:rPr>
          <w:iCs/>
          <w:szCs w:val="22"/>
        </w:rPr>
        <w:t>ompenzációs kifizetés jelenleg csak a gyepterületekre vonatkoz</w:t>
      </w:r>
      <w:r>
        <w:rPr>
          <w:iCs/>
          <w:szCs w:val="22"/>
        </w:rPr>
        <w:t>óan indult meg. A s</w:t>
      </w:r>
      <w:r w:rsidRPr="00282856">
        <w:rPr>
          <w:iCs/>
          <w:szCs w:val="22"/>
        </w:rPr>
        <w:t>zántó</w:t>
      </w:r>
      <w:r>
        <w:rPr>
          <w:iCs/>
          <w:szCs w:val="22"/>
        </w:rPr>
        <w:t>- és erdő</w:t>
      </w:r>
      <w:r w:rsidRPr="00282856">
        <w:rPr>
          <w:iCs/>
          <w:szCs w:val="22"/>
        </w:rPr>
        <w:t>művelés esetében jelenleg nem kapcsolódik kifizetés, ezeken a területeken nem v</w:t>
      </w:r>
      <w:r w:rsidRPr="00282856">
        <w:rPr>
          <w:iCs/>
          <w:szCs w:val="22"/>
        </w:rPr>
        <w:t>o</w:t>
      </w:r>
      <w:r w:rsidRPr="00282856">
        <w:rPr>
          <w:iCs/>
          <w:szCs w:val="22"/>
        </w:rPr>
        <w:t>natkoznak kötelező előírások a gazdálkodók számára. A kijelölt közel 2 000 000 hektárhoz képest jelenleg 172 000 hektáron került igénybevétel</w:t>
      </w:r>
      <w:r>
        <w:rPr>
          <w:iCs/>
          <w:szCs w:val="22"/>
        </w:rPr>
        <w:t xml:space="preserve">re a </w:t>
      </w:r>
      <w:proofErr w:type="gramStart"/>
      <w:r>
        <w:rPr>
          <w:iCs/>
          <w:szCs w:val="22"/>
        </w:rPr>
        <w:t>kifizetés</w:t>
      </w:r>
      <w:r>
        <w:rPr>
          <w:rStyle w:val="FootnoteReference"/>
          <w:iCs/>
          <w:szCs w:val="22"/>
        </w:rPr>
        <w:footnoteReference w:id="52"/>
      </w:r>
      <w:r>
        <w:rPr>
          <w:iCs/>
          <w:szCs w:val="22"/>
        </w:rPr>
        <w:t>:</w:t>
      </w:r>
      <w:proofErr w:type="gramEnd"/>
      <w:r w:rsidRPr="00282856">
        <w:rPr>
          <w:iCs/>
          <w:szCs w:val="22"/>
        </w:rPr>
        <w:t xml:space="preserve"> </w:t>
      </w:r>
      <w:r>
        <w:rPr>
          <w:iCs/>
          <w:szCs w:val="22"/>
        </w:rPr>
        <w:t>f</w:t>
      </w:r>
      <w:r w:rsidRPr="00282856">
        <w:rPr>
          <w:iCs/>
          <w:szCs w:val="22"/>
        </w:rPr>
        <w:t xml:space="preserve">igyelembe véve, hogy az összterületből </w:t>
      </w:r>
      <w:r>
        <w:rPr>
          <w:iCs/>
          <w:szCs w:val="22"/>
        </w:rPr>
        <w:t>hozzávetől</w:t>
      </w:r>
      <w:r>
        <w:rPr>
          <w:iCs/>
          <w:szCs w:val="22"/>
        </w:rPr>
        <w:t>e</w:t>
      </w:r>
      <w:r>
        <w:rPr>
          <w:iCs/>
          <w:szCs w:val="22"/>
        </w:rPr>
        <w:t>gesen</w:t>
      </w:r>
      <w:r w:rsidRPr="00282856">
        <w:rPr>
          <w:iCs/>
          <w:szCs w:val="22"/>
        </w:rPr>
        <w:t xml:space="preserve"> 250 000 </w:t>
      </w:r>
      <w:r>
        <w:rPr>
          <w:iCs/>
          <w:szCs w:val="22"/>
        </w:rPr>
        <w:t>hektár</w:t>
      </w:r>
      <w:r w:rsidRPr="00282856">
        <w:rPr>
          <w:iCs/>
          <w:szCs w:val="22"/>
        </w:rPr>
        <w:t xml:space="preserve"> gyepterület van magán (nem állami) használatban, a kompenzációs terület mértéke nem tekinthető alacsonynak. Ugyanakkor a szántó</w:t>
      </w:r>
      <w:r>
        <w:rPr>
          <w:iCs/>
          <w:szCs w:val="22"/>
        </w:rPr>
        <w:t>-</w:t>
      </w:r>
      <w:r w:rsidRPr="00282856">
        <w:rPr>
          <w:iCs/>
          <w:szCs w:val="22"/>
        </w:rPr>
        <w:t xml:space="preserve"> és erdőművelési ágú N</w:t>
      </w:r>
      <w:r>
        <w:rPr>
          <w:iCs/>
          <w:szCs w:val="22"/>
        </w:rPr>
        <w:t>ATURA</w:t>
      </w:r>
      <w:r w:rsidRPr="00282856">
        <w:rPr>
          <w:iCs/>
          <w:szCs w:val="22"/>
        </w:rPr>
        <w:t xml:space="preserve"> területek kedvezőbb te</w:t>
      </w:r>
      <w:r w:rsidRPr="00282856">
        <w:rPr>
          <w:iCs/>
          <w:szCs w:val="22"/>
        </w:rPr>
        <w:t>r</w:t>
      </w:r>
      <w:r w:rsidRPr="00282856">
        <w:rPr>
          <w:iCs/>
          <w:szCs w:val="22"/>
        </w:rPr>
        <w:t>mőföld hasznosítása – kompenzáció hiányában – még nem megoldott.</w:t>
      </w:r>
    </w:p>
    <w:p w:rsidR="00020AFE" w:rsidRPr="00282856" w:rsidRDefault="00020AFE" w:rsidP="00020AFE">
      <w:pPr>
        <w:jc w:val="both"/>
        <w:rPr>
          <w:iCs/>
          <w:szCs w:val="22"/>
        </w:rPr>
      </w:pPr>
    </w:p>
    <w:p w:rsidR="00020AFE" w:rsidRDefault="00020AFE" w:rsidP="00020AFE">
      <w:pPr>
        <w:pStyle w:val="StyleHUNHeading3Justified"/>
        <w:ind w:left="504"/>
      </w:pPr>
      <w:r w:rsidRPr="00A7051C">
        <w:t>A kompenzációs támogatás milyen mértékben járult hozzá a 2000/60/EK irányelv által érintett vízgyűjtő területeken a hatékony termőföld-hasznosításhoz? (213. i</w:t>
      </w:r>
      <w:r w:rsidRPr="00A7051C">
        <w:t>n</w:t>
      </w:r>
      <w:r w:rsidRPr="00A7051C">
        <w:t>tézkedés)</w:t>
      </w:r>
    </w:p>
    <w:p w:rsidR="00020AFE" w:rsidRPr="00282856" w:rsidRDefault="00020AFE" w:rsidP="00020AFE">
      <w:pPr>
        <w:jc w:val="both"/>
        <w:rPr>
          <w:iCs/>
          <w:szCs w:val="22"/>
        </w:rPr>
      </w:pPr>
      <w:r w:rsidRPr="00282856">
        <w:rPr>
          <w:iCs/>
          <w:szCs w:val="22"/>
        </w:rPr>
        <w:t>Az UMVP keretén belül nem került kidolgozásra olyan kifizetési rendszer, ami ösztönözné a fenntartható termőföld hasznosítást a vízgyűjtő területeken. A Vízkeret Irányelvben megfogalmazott elvárásoknak megf</w:t>
      </w:r>
      <w:r w:rsidRPr="00282856">
        <w:rPr>
          <w:iCs/>
          <w:szCs w:val="22"/>
        </w:rPr>
        <w:t>e</w:t>
      </w:r>
      <w:r w:rsidRPr="00282856">
        <w:rPr>
          <w:iCs/>
          <w:szCs w:val="22"/>
        </w:rPr>
        <w:t>lelő területhasználati módok, és ehhez kapcsolódó támogatási rendszerek alapjait a vízgyűjtő gazdálkodási tervek fogalmazzák meg. Ennek kidolgozása 2010-ben zárult, ebből adódóan az UMVP tervezési időszak</w:t>
      </w:r>
      <w:r w:rsidRPr="00282856">
        <w:rPr>
          <w:iCs/>
          <w:szCs w:val="22"/>
        </w:rPr>
        <w:t>á</w:t>
      </w:r>
      <w:r w:rsidRPr="00282856">
        <w:rPr>
          <w:iCs/>
          <w:szCs w:val="22"/>
        </w:rPr>
        <w:t xml:space="preserve">ban nem állt rendelkezésre megfelelő ismeret ahhoz, hogy az </w:t>
      </w:r>
      <w:proofErr w:type="spellStart"/>
      <w:r w:rsidRPr="00282856">
        <w:rPr>
          <w:iCs/>
          <w:szCs w:val="22"/>
        </w:rPr>
        <w:t>UMVP-nek</w:t>
      </w:r>
      <w:proofErr w:type="spellEnd"/>
      <w:r w:rsidRPr="00282856">
        <w:rPr>
          <w:iCs/>
          <w:szCs w:val="22"/>
        </w:rPr>
        <w:t xml:space="preserve"> is részét képezzék az akkor még meg nem fogalmazott célok.</w:t>
      </w:r>
    </w:p>
    <w:p w:rsidR="00020AFE" w:rsidRPr="00282856" w:rsidRDefault="00020AFE" w:rsidP="00020AFE">
      <w:pPr>
        <w:jc w:val="both"/>
        <w:rPr>
          <w:iCs/>
          <w:szCs w:val="22"/>
        </w:rPr>
      </w:pPr>
    </w:p>
    <w:p w:rsidR="00020AFE" w:rsidRDefault="00020AFE" w:rsidP="00020AFE">
      <w:pPr>
        <w:pStyle w:val="StyleHUNHeading3Justified"/>
        <w:ind w:left="504"/>
      </w:pPr>
      <w:r w:rsidRPr="00A7051C">
        <w:lastRenderedPageBreak/>
        <w:t>A kompenzációs támogatás milyen mértékben járult hozzá ezeken a területeken a gazdálkodás megőrzéséhez? (213. intézkedés)</w:t>
      </w:r>
    </w:p>
    <w:p w:rsidR="00020AFE" w:rsidRPr="00282856" w:rsidRDefault="00020AFE" w:rsidP="00020AFE">
      <w:pPr>
        <w:jc w:val="both"/>
        <w:rPr>
          <w:iCs/>
          <w:szCs w:val="22"/>
        </w:rPr>
      </w:pPr>
      <w:r w:rsidRPr="00282856">
        <w:rPr>
          <w:iCs/>
          <w:szCs w:val="22"/>
        </w:rPr>
        <w:t xml:space="preserve">A </w:t>
      </w:r>
      <w:r>
        <w:rPr>
          <w:iCs/>
          <w:szCs w:val="22"/>
        </w:rPr>
        <w:t>NATURA</w:t>
      </w:r>
      <w:r w:rsidRPr="00282856">
        <w:rPr>
          <w:iCs/>
          <w:szCs w:val="22"/>
        </w:rPr>
        <w:t xml:space="preserve"> 2000 területeken az elsődleges cél nem a gazdálkodás fenntartása, hanem az értékes élőhelyek és fajok megőrzése és fejlesztése a gazdálkodók bevonásán keresztül. Az </w:t>
      </w:r>
      <w:r>
        <w:rPr>
          <w:iCs/>
          <w:szCs w:val="22"/>
        </w:rPr>
        <w:t xml:space="preserve">IIER rendszerben rögzített, </w:t>
      </w:r>
      <w:r w:rsidRPr="00282856">
        <w:rPr>
          <w:iCs/>
          <w:szCs w:val="22"/>
        </w:rPr>
        <w:t>igényelt területek arányában elmondható, hogy a kifizetés hozzájárult ahhoz, hogy ezek a területek művelésben m</w:t>
      </w:r>
      <w:r w:rsidRPr="00282856">
        <w:rPr>
          <w:iCs/>
          <w:szCs w:val="22"/>
        </w:rPr>
        <w:t>a</w:t>
      </w:r>
      <w:r w:rsidRPr="00282856">
        <w:rPr>
          <w:iCs/>
          <w:szCs w:val="22"/>
        </w:rPr>
        <w:t>radjanak.</w:t>
      </w:r>
    </w:p>
    <w:p w:rsidR="00020AFE" w:rsidRPr="00282856" w:rsidRDefault="00020AFE" w:rsidP="00020AFE">
      <w:pPr>
        <w:jc w:val="both"/>
        <w:rPr>
          <w:iCs/>
          <w:szCs w:val="22"/>
        </w:rPr>
      </w:pPr>
    </w:p>
    <w:p w:rsidR="00020AFE" w:rsidRDefault="00020AFE" w:rsidP="00020AFE">
      <w:pPr>
        <w:pStyle w:val="StyleHUNHeading3Justified"/>
        <w:ind w:left="504"/>
      </w:pPr>
      <w:r w:rsidRPr="00A7051C">
        <w:t>A kompenzációs támogatás milyen mértékben járult hozzá a vidék megőrzéséhez és a környezet javításához? (213. intézkedés)</w:t>
      </w:r>
    </w:p>
    <w:p w:rsidR="00020AFE" w:rsidRPr="00282856" w:rsidRDefault="00020AFE" w:rsidP="00020AFE">
      <w:pPr>
        <w:jc w:val="both"/>
        <w:rPr>
          <w:iCs/>
          <w:szCs w:val="22"/>
        </w:rPr>
      </w:pPr>
      <w:r w:rsidRPr="00282856">
        <w:rPr>
          <w:iCs/>
          <w:szCs w:val="22"/>
        </w:rPr>
        <w:t>Megfelelő hatást egy fenntartási terveken alapuló kifizetési rendszer működtetése jelenthetné, mivel azo</w:t>
      </w:r>
      <w:r w:rsidRPr="00282856">
        <w:rPr>
          <w:iCs/>
          <w:szCs w:val="22"/>
        </w:rPr>
        <w:t>n</w:t>
      </w:r>
      <w:r w:rsidRPr="00282856">
        <w:rPr>
          <w:iCs/>
          <w:szCs w:val="22"/>
        </w:rPr>
        <w:t>ban jelenleg ennek a feltételei nem adottak, a kifizetésnek nincs mérhető eredménye a vidék megőrzésével, illetve a környezet javításával kapcsolatban. A környezet javítására vonatkozó hatás megítéléséhez a körny</w:t>
      </w:r>
      <w:r w:rsidRPr="00282856">
        <w:rPr>
          <w:iCs/>
          <w:szCs w:val="22"/>
        </w:rPr>
        <w:t>e</w:t>
      </w:r>
      <w:r w:rsidRPr="00282856">
        <w:rPr>
          <w:iCs/>
          <w:szCs w:val="22"/>
        </w:rPr>
        <w:t>zetben bekövetkezett változások mérésére, monitorozására volna szükség, ez jelenleg a támogatással éri</w:t>
      </w:r>
      <w:r w:rsidRPr="00282856">
        <w:rPr>
          <w:iCs/>
          <w:szCs w:val="22"/>
        </w:rPr>
        <w:t>n</w:t>
      </w:r>
      <w:r w:rsidRPr="00282856">
        <w:rPr>
          <w:iCs/>
          <w:szCs w:val="22"/>
        </w:rPr>
        <w:t xml:space="preserve">tett </w:t>
      </w:r>
      <w:r>
        <w:rPr>
          <w:iCs/>
          <w:szCs w:val="22"/>
        </w:rPr>
        <w:t>NATURA</w:t>
      </w:r>
      <w:r w:rsidRPr="00282856">
        <w:rPr>
          <w:iCs/>
          <w:szCs w:val="22"/>
        </w:rPr>
        <w:t xml:space="preserve"> 2000 gyepterületeken nem történik, vagy nincs összekötve a kifizetési rendszerrel, ezért a t</w:t>
      </w:r>
      <w:r w:rsidRPr="00282856">
        <w:rPr>
          <w:iCs/>
          <w:szCs w:val="22"/>
        </w:rPr>
        <w:t>á</w:t>
      </w:r>
      <w:r w:rsidRPr="00282856">
        <w:rPr>
          <w:iCs/>
          <w:szCs w:val="22"/>
        </w:rPr>
        <w:t>mogatás hatásait a környezetre vonatkozóan nem lehet megítélni. Az is elmondható azonban, hogy a félidős jelentés vizsgálati időszaka (3 év) alatt nem elvárható, hogy szignifikáns eredmények jelentkezzenek a kö</w:t>
      </w:r>
      <w:r w:rsidRPr="00282856">
        <w:rPr>
          <w:iCs/>
          <w:szCs w:val="22"/>
        </w:rPr>
        <w:t>r</w:t>
      </w:r>
      <w:r w:rsidRPr="00282856">
        <w:rPr>
          <w:iCs/>
          <w:szCs w:val="22"/>
        </w:rPr>
        <w:t>nyezeti állapot javulása tekintetében. A vidék megőrzéséhez kapcsolódóan a területalapú kifizetések els</w:t>
      </w:r>
      <w:r w:rsidRPr="00282856">
        <w:rPr>
          <w:iCs/>
          <w:szCs w:val="22"/>
        </w:rPr>
        <w:t>ő</w:t>
      </w:r>
      <w:r w:rsidRPr="00282856">
        <w:rPr>
          <w:iCs/>
          <w:szCs w:val="22"/>
        </w:rPr>
        <w:t>sorban a művelésben tartás okán játszhatnak szerepet a vidék fenntartásában, és ebből adódóan önmag</w:t>
      </w:r>
      <w:r w:rsidRPr="00282856">
        <w:rPr>
          <w:iCs/>
          <w:szCs w:val="22"/>
        </w:rPr>
        <w:t>á</w:t>
      </w:r>
      <w:r w:rsidRPr="00282856">
        <w:rPr>
          <w:iCs/>
          <w:szCs w:val="22"/>
        </w:rPr>
        <w:t>ban nem értelmezhető ennek a jogcímnek a hatása a vidék megőrzésében, figyelembe véve a vidék foga</w:t>
      </w:r>
      <w:r w:rsidRPr="00282856">
        <w:rPr>
          <w:iCs/>
          <w:szCs w:val="22"/>
        </w:rPr>
        <w:t>l</w:t>
      </w:r>
      <w:r w:rsidRPr="00282856">
        <w:rPr>
          <w:iCs/>
          <w:szCs w:val="22"/>
        </w:rPr>
        <w:t xml:space="preserve">mának sokrétűségét. Mindemellett úgy ítéljük meg, hogy ez a kérdés a </w:t>
      </w:r>
      <w:r>
        <w:rPr>
          <w:iCs/>
          <w:szCs w:val="22"/>
        </w:rPr>
        <w:t>NATURA</w:t>
      </w:r>
      <w:r w:rsidRPr="00282856">
        <w:rPr>
          <w:iCs/>
          <w:szCs w:val="22"/>
        </w:rPr>
        <w:t xml:space="preserve"> 2000 céljai között nem is szerepel prioritásként az Uniós jogszabályokban.</w:t>
      </w:r>
    </w:p>
    <w:p w:rsidR="00020AFE" w:rsidRPr="00282856" w:rsidRDefault="00020AFE" w:rsidP="00020AFE">
      <w:pPr>
        <w:jc w:val="both"/>
        <w:rPr>
          <w:iCs/>
          <w:szCs w:val="22"/>
        </w:rPr>
      </w:pPr>
    </w:p>
    <w:p w:rsidR="00020AFE" w:rsidRDefault="00020AFE" w:rsidP="00020AFE">
      <w:pPr>
        <w:pStyle w:val="StyleHUNHeading3Justified"/>
        <w:ind w:left="504"/>
      </w:pPr>
      <w:r w:rsidRPr="00A7051C">
        <w:t>Az agrár-környezetvédelmi intézkedések milyen mértékben járultak hozzá a fen</w:t>
      </w:r>
      <w:r w:rsidRPr="00A7051C">
        <w:t>n</w:t>
      </w:r>
      <w:r w:rsidRPr="00A7051C">
        <w:t>tartható gazdálkodási rendszerek megőrzéséhez vagy elősegítéséhez? (214. intézk</w:t>
      </w:r>
      <w:r w:rsidRPr="00A7051C">
        <w:t>e</w:t>
      </w:r>
      <w:r w:rsidRPr="00A7051C">
        <w:t>dés)</w:t>
      </w:r>
    </w:p>
    <w:p w:rsidR="00020AFE" w:rsidRPr="001A7B33" w:rsidRDefault="00020AFE" w:rsidP="00020AFE">
      <w:pPr>
        <w:jc w:val="both"/>
        <w:rPr>
          <w:iCs/>
          <w:szCs w:val="22"/>
        </w:rPr>
      </w:pPr>
      <w:r w:rsidRPr="001A7B33">
        <w:rPr>
          <w:iCs/>
          <w:szCs w:val="22"/>
        </w:rPr>
        <w:t>A kérdés megválaszolása előtt tisztázni kell a fenntarthatóság és a fenntartható gazdálkodási rendszer f</w:t>
      </w:r>
      <w:r w:rsidRPr="001A7B33">
        <w:rPr>
          <w:iCs/>
          <w:szCs w:val="22"/>
        </w:rPr>
        <w:t>o</w:t>
      </w:r>
      <w:r w:rsidRPr="001A7B33">
        <w:rPr>
          <w:iCs/>
          <w:szCs w:val="22"/>
        </w:rPr>
        <w:t xml:space="preserve">galmát. Előbbihez a H. </w:t>
      </w:r>
      <w:proofErr w:type="spellStart"/>
      <w:r w:rsidRPr="001A7B33">
        <w:rPr>
          <w:iCs/>
          <w:szCs w:val="22"/>
        </w:rPr>
        <w:t>Daly-féle</w:t>
      </w:r>
      <w:proofErr w:type="spellEnd"/>
      <w:r w:rsidRPr="001A7B33">
        <w:rPr>
          <w:iCs/>
          <w:szCs w:val="22"/>
        </w:rPr>
        <w:t xml:space="preserve"> „erős” fenntarthatósági koncepciót használjuk, mely szerint a fenntarthat</w:t>
      </w:r>
      <w:r w:rsidRPr="001A7B33">
        <w:rPr>
          <w:iCs/>
          <w:szCs w:val="22"/>
        </w:rPr>
        <w:t>ó</w:t>
      </w:r>
      <w:r w:rsidRPr="001A7B33">
        <w:rPr>
          <w:iCs/>
          <w:szCs w:val="22"/>
        </w:rPr>
        <w:t>ság három pillére (</w:t>
      </w:r>
      <w:proofErr w:type="spellStart"/>
      <w:r w:rsidRPr="001A7B33">
        <w:rPr>
          <w:iCs/>
          <w:szCs w:val="22"/>
        </w:rPr>
        <w:t>környezet-társadalom-gazdaság</w:t>
      </w:r>
      <w:proofErr w:type="spellEnd"/>
      <w:r w:rsidRPr="001A7B33">
        <w:rPr>
          <w:iCs/>
          <w:szCs w:val="22"/>
        </w:rPr>
        <w:t xml:space="preserve">) egymásba ágyazottan működik úgy, hogy a természeti tőke nem helyettesíthető más tőke-javakkal és értéke időben nem csökkenhet. Ebben a koncepcióban tehát a gazdaság és a társadalom mozgásterét a környezet határozza meg, aminek véges határa miatt a gazdaság és a társadalom környezeti fogyasztása csak korlátozott mértékű lehet. Fenntartani tehát a környezetet </w:t>
      </w:r>
      <w:proofErr w:type="gramStart"/>
      <w:r w:rsidRPr="001A7B33">
        <w:rPr>
          <w:iCs/>
          <w:szCs w:val="22"/>
        </w:rPr>
        <w:t>kell</w:t>
      </w:r>
      <w:proofErr w:type="gramEnd"/>
      <w:r w:rsidRPr="001A7B33">
        <w:rPr>
          <w:iCs/>
          <w:szCs w:val="22"/>
        </w:rPr>
        <w:t xml:space="preserve"> és a társadalomra hárul az a feladat, hogy a környezeti fenntarthatóságban alapvetően ellenérdekelt “ga</w:t>
      </w:r>
      <w:r w:rsidRPr="001A7B33">
        <w:rPr>
          <w:iCs/>
          <w:szCs w:val="22"/>
        </w:rPr>
        <w:t>z</w:t>
      </w:r>
      <w:r w:rsidRPr="001A7B33">
        <w:rPr>
          <w:iCs/>
          <w:szCs w:val="22"/>
        </w:rPr>
        <w:t>daság” ne kövessen el jóvátehetetlen hibákat.</w:t>
      </w:r>
    </w:p>
    <w:p w:rsidR="00020AFE" w:rsidRPr="001A7B33" w:rsidRDefault="00020AFE" w:rsidP="00020AFE">
      <w:pPr>
        <w:jc w:val="both"/>
        <w:rPr>
          <w:iCs/>
          <w:szCs w:val="22"/>
        </w:rPr>
      </w:pPr>
      <w:r w:rsidRPr="001A7B33">
        <w:rPr>
          <w:iCs/>
          <w:szCs w:val="22"/>
        </w:rPr>
        <w:t xml:space="preserve">E koncepció alapján fenntarthatónak azokat a gazdálkodási rendszereket tekinthetjük, melyek a környezeti adottságokból indulnak ki és a környezethez való alkalmazkodás képezi stratégiájuk alapját. Olyan tehát a fenntartható gazdálkodás, ahol az értékes </w:t>
      </w:r>
      <w:proofErr w:type="spellStart"/>
      <w:r w:rsidRPr="001A7B33">
        <w:rPr>
          <w:iCs/>
          <w:szCs w:val="22"/>
        </w:rPr>
        <w:t>beltartalmú</w:t>
      </w:r>
      <w:proofErr w:type="spellEnd"/>
      <w:r w:rsidRPr="001A7B33">
        <w:rPr>
          <w:iCs/>
          <w:szCs w:val="22"/>
        </w:rPr>
        <w:t>, szermaradvány</w:t>
      </w:r>
      <w:r w:rsidRPr="001A7B33">
        <w:rPr>
          <w:rFonts w:hint="eastAsia"/>
          <w:iCs/>
          <w:szCs w:val="22"/>
        </w:rPr>
        <w:t>-</w:t>
      </w:r>
      <w:r w:rsidRPr="001A7B33">
        <w:rPr>
          <w:iCs/>
          <w:szCs w:val="22"/>
        </w:rPr>
        <w:t xml:space="preserve">mentes, egészséges és biztonságos termékek előállítása mellett alapvető cél a meg nem újítható nyersanyagok és </w:t>
      </w:r>
      <w:proofErr w:type="gramStart"/>
      <w:r w:rsidRPr="001A7B33">
        <w:rPr>
          <w:iCs/>
          <w:szCs w:val="22"/>
        </w:rPr>
        <w:t>e</w:t>
      </w:r>
      <w:r>
        <w:rPr>
          <w:iCs/>
          <w:szCs w:val="22"/>
        </w:rPr>
        <w:t xml:space="preserve">nergia </w:t>
      </w:r>
      <w:r w:rsidRPr="001A7B33">
        <w:rPr>
          <w:iCs/>
          <w:szCs w:val="22"/>
        </w:rPr>
        <w:t>takarékos</w:t>
      </w:r>
      <w:proofErr w:type="gramEnd"/>
      <w:r w:rsidRPr="001A7B33">
        <w:rPr>
          <w:iCs/>
          <w:szCs w:val="22"/>
        </w:rPr>
        <w:t xml:space="preserve"> felhaszn</w:t>
      </w:r>
      <w:r w:rsidRPr="001A7B33">
        <w:rPr>
          <w:iCs/>
          <w:szCs w:val="22"/>
        </w:rPr>
        <w:t>á</w:t>
      </w:r>
      <w:r w:rsidRPr="001A7B33">
        <w:rPr>
          <w:iCs/>
          <w:szCs w:val="22"/>
        </w:rPr>
        <w:t>lása, a talajt, vizeket, levegőt érintő környezetterhelés csökkentése, ill</w:t>
      </w:r>
      <w:r>
        <w:rPr>
          <w:iCs/>
          <w:szCs w:val="22"/>
        </w:rPr>
        <w:t>etve</w:t>
      </w:r>
      <w:r w:rsidRPr="001A7B33">
        <w:rPr>
          <w:iCs/>
          <w:szCs w:val="22"/>
        </w:rPr>
        <w:t xml:space="preserve"> elkerülése, a </w:t>
      </w:r>
      <w:proofErr w:type="spellStart"/>
      <w:r w:rsidRPr="001A7B33">
        <w:rPr>
          <w:iCs/>
          <w:szCs w:val="22"/>
        </w:rPr>
        <w:t>kultúrtáj</w:t>
      </w:r>
      <w:proofErr w:type="spellEnd"/>
      <w:r w:rsidRPr="001A7B33">
        <w:rPr>
          <w:iCs/>
          <w:szCs w:val="22"/>
        </w:rPr>
        <w:t xml:space="preserve"> ápolása és a </w:t>
      </w:r>
      <w:proofErr w:type="spellStart"/>
      <w:r w:rsidRPr="001A7B33">
        <w:rPr>
          <w:iCs/>
          <w:szCs w:val="22"/>
        </w:rPr>
        <w:t>biodiverzitás</w:t>
      </w:r>
      <w:proofErr w:type="spellEnd"/>
      <w:r w:rsidRPr="001A7B33">
        <w:rPr>
          <w:iCs/>
          <w:szCs w:val="22"/>
        </w:rPr>
        <w:t xml:space="preserve"> fenntartása valamint a vidék kulturális és </w:t>
      </w:r>
      <w:proofErr w:type="spellStart"/>
      <w:r w:rsidRPr="001A7B33">
        <w:rPr>
          <w:iCs/>
          <w:szCs w:val="22"/>
        </w:rPr>
        <w:t>agrikulturális</w:t>
      </w:r>
      <w:proofErr w:type="spellEnd"/>
      <w:r w:rsidRPr="001A7B33">
        <w:rPr>
          <w:iCs/>
          <w:szCs w:val="22"/>
        </w:rPr>
        <w:t xml:space="preserve"> értékeinek megőrzése úgy, hogy mindezekkel a feladatokkal munkalehetőség és elfogadható jövedel</w:t>
      </w:r>
      <w:r>
        <w:rPr>
          <w:iCs/>
          <w:szCs w:val="22"/>
        </w:rPr>
        <w:t>e</w:t>
      </w:r>
      <w:r w:rsidRPr="001A7B33">
        <w:rPr>
          <w:iCs/>
          <w:szCs w:val="22"/>
        </w:rPr>
        <w:t>m képződjön a lehető legtöbb ember számára.</w:t>
      </w:r>
    </w:p>
    <w:p w:rsidR="00020AFE" w:rsidRPr="001A7B33" w:rsidRDefault="00020AFE" w:rsidP="00020AFE">
      <w:pPr>
        <w:jc w:val="both"/>
        <w:rPr>
          <w:iCs/>
          <w:szCs w:val="22"/>
        </w:rPr>
      </w:pPr>
      <w:r w:rsidRPr="001A7B33">
        <w:rPr>
          <w:iCs/>
          <w:szCs w:val="22"/>
        </w:rPr>
        <w:lastRenderedPageBreak/>
        <w:t>Nem kétséges, hogy ezen fenntarthatósági elvek megvalósulásában az agrár-környezetvédelmi intézked</w:t>
      </w:r>
      <w:r w:rsidRPr="001A7B33">
        <w:rPr>
          <w:iCs/>
          <w:szCs w:val="22"/>
        </w:rPr>
        <w:t>é</w:t>
      </w:r>
      <w:r w:rsidRPr="001A7B33">
        <w:rPr>
          <w:iCs/>
          <w:szCs w:val="22"/>
        </w:rPr>
        <w:t>seknek a kiemelt szerepük van, hiszen éppen a fenntarthatóság „alappillérét” kívánják erősíteni. Mindazo</w:t>
      </w:r>
      <w:r w:rsidRPr="001A7B33">
        <w:rPr>
          <w:iCs/>
          <w:szCs w:val="22"/>
        </w:rPr>
        <w:t>n</w:t>
      </w:r>
      <w:r w:rsidRPr="001A7B33">
        <w:rPr>
          <w:iCs/>
          <w:szCs w:val="22"/>
        </w:rPr>
        <w:t>által rendkívül nehéz megítélni, hogy az egyes intézkedések</w:t>
      </w:r>
      <w:r>
        <w:rPr>
          <w:iCs/>
          <w:szCs w:val="22"/>
        </w:rPr>
        <w:t xml:space="preserve"> milyen hatást gyakorolnak egy </w:t>
      </w:r>
      <w:r w:rsidRPr="001A7B33">
        <w:rPr>
          <w:iCs/>
          <w:szCs w:val="22"/>
        </w:rPr>
        <w:t>gazdálkodási stratégiára, hiszen a támogatások, melyeket a gazdálkodók igényelnek, nem különülnek el a bevételi old</w:t>
      </w:r>
      <w:r w:rsidRPr="001A7B33">
        <w:rPr>
          <w:iCs/>
          <w:szCs w:val="22"/>
        </w:rPr>
        <w:t>a</w:t>
      </w:r>
      <w:r w:rsidRPr="001A7B33">
        <w:rPr>
          <w:iCs/>
          <w:szCs w:val="22"/>
        </w:rPr>
        <w:t>lon. Mivel a gazdálkodók több támogatást is felvesznek, így csupán ezek együttes hatását lehet vizsgálni. Kérdőíves elemzéseink rámutattak arra, hogy a támogatások a jelenlegi piaci körülmények között a gazdá</w:t>
      </w:r>
      <w:r w:rsidRPr="001A7B33">
        <w:rPr>
          <w:iCs/>
          <w:szCs w:val="22"/>
        </w:rPr>
        <w:t>l</w:t>
      </w:r>
      <w:r w:rsidRPr="001A7B33">
        <w:rPr>
          <w:iCs/>
          <w:szCs w:val="22"/>
        </w:rPr>
        <w:t>kodás fenntartásában alapvető fontosságúak, ezek nélkül számos mezőgazdasági szereplő válna működé</w:t>
      </w:r>
      <w:r w:rsidRPr="001A7B33">
        <w:rPr>
          <w:iCs/>
          <w:szCs w:val="22"/>
        </w:rPr>
        <w:t>s</w:t>
      </w:r>
      <w:r w:rsidRPr="001A7B33">
        <w:rPr>
          <w:iCs/>
          <w:szCs w:val="22"/>
        </w:rPr>
        <w:t>képtelenné (a megkérdezettek kétharmada vélekedett úgy, hogy a támogatások nélkül nem tudna eredm</w:t>
      </w:r>
      <w:r w:rsidRPr="001A7B33">
        <w:rPr>
          <w:iCs/>
          <w:szCs w:val="22"/>
        </w:rPr>
        <w:t>é</w:t>
      </w:r>
      <w:r w:rsidRPr="001A7B33">
        <w:rPr>
          <w:iCs/>
          <w:szCs w:val="22"/>
        </w:rPr>
        <w:t>nyesen gazdálkodni, és már felszámolta volna a gazdálkodást). Az elvándorlás csökkentésében a támogat</w:t>
      </w:r>
      <w:r w:rsidRPr="001A7B33">
        <w:rPr>
          <w:iCs/>
          <w:szCs w:val="22"/>
        </w:rPr>
        <w:t>á</w:t>
      </w:r>
      <w:r w:rsidRPr="001A7B33">
        <w:rPr>
          <w:iCs/>
          <w:szCs w:val="22"/>
        </w:rPr>
        <w:t>soknak azonban már nincs egyértelmű hatása, mivel azt jelezték vissza a válaszadók, hogy bár támogatások nélkül felhagynának a gazdálkodással, mégsem költöznének el jelenlegi lakóhelyükről. Ez nyilván annak is köszönhető, hogy a mezőgazdaságból élők számára nincsenek egyéb megélhetési alternatívák a lakóhel</w:t>
      </w:r>
      <w:r w:rsidRPr="001A7B33">
        <w:rPr>
          <w:iCs/>
          <w:szCs w:val="22"/>
        </w:rPr>
        <w:t>y</w:t>
      </w:r>
      <w:r w:rsidRPr="001A7B33">
        <w:rPr>
          <w:iCs/>
          <w:szCs w:val="22"/>
        </w:rPr>
        <w:t xml:space="preserve">ükön kívül. </w:t>
      </w:r>
    </w:p>
    <w:p w:rsidR="00020AFE" w:rsidRPr="001A7B33" w:rsidRDefault="00020AFE" w:rsidP="00020AFE">
      <w:pPr>
        <w:jc w:val="both"/>
        <w:rPr>
          <w:iCs/>
          <w:szCs w:val="22"/>
        </w:rPr>
      </w:pPr>
      <w:r w:rsidRPr="001A7B33">
        <w:rPr>
          <w:iCs/>
          <w:szCs w:val="22"/>
        </w:rPr>
        <w:t>Összességében az AKG intézkedésről megállapítható, hogy – még kevésbé sikeres célprogramjai esetében is – jelentős mértékben hozzájárult ahhoz, hogy a környezeti szempontokat érvényesítő</w:t>
      </w:r>
      <w:r>
        <w:rPr>
          <w:iCs/>
          <w:szCs w:val="22"/>
        </w:rPr>
        <w:t>,</w:t>
      </w:r>
      <w:r w:rsidRPr="001A7B33">
        <w:rPr>
          <w:iCs/>
          <w:szCs w:val="22"/>
        </w:rPr>
        <w:t xml:space="preserve"> fenntartható ga</w:t>
      </w:r>
      <w:r w:rsidRPr="001A7B33">
        <w:rPr>
          <w:iCs/>
          <w:szCs w:val="22"/>
        </w:rPr>
        <w:t>z</w:t>
      </w:r>
      <w:r w:rsidRPr="001A7B33">
        <w:rPr>
          <w:iCs/>
          <w:szCs w:val="22"/>
        </w:rPr>
        <w:t>dálkodási rendszerek fontossága széles körben elfogadottá váljon. Tíz évvel az első agrár-környezetvédelmi program (NAKP) elindulása óta azt tapasztalhatjuk, hogy a környezet „ügye” immáron szinte minden gazdá</w:t>
      </w:r>
      <w:r w:rsidRPr="001A7B33">
        <w:rPr>
          <w:iCs/>
          <w:szCs w:val="22"/>
        </w:rPr>
        <w:t>l</w:t>
      </w:r>
      <w:r w:rsidRPr="001A7B33">
        <w:rPr>
          <w:iCs/>
          <w:szCs w:val="22"/>
        </w:rPr>
        <w:t>kodó gondolkodásának részét képezi.</w:t>
      </w:r>
    </w:p>
    <w:p w:rsidR="00020AFE" w:rsidRPr="001A7B33" w:rsidRDefault="00020AFE" w:rsidP="00020AFE">
      <w:pPr>
        <w:jc w:val="both"/>
        <w:rPr>
          <w:iCs/>
          <w:szCs w:val="22"/>
        </w:rPr>
      </w:pPr>
    </w:p>
    <w:p w:rsidR="00020AFE" w:rsidRDefault="00020AFE" w:rsidP="00020AFE">
      <w:pPr>
        <w:pStyle w:val="StyleHUNHeading3Justified"/>
        <w:ind w:left="504"/>
      </w:pPr>
      <w:r w:rsidRPr="00A7051C">
        <w:t>Az agrár-környezetvédelmi intézkedések milyen mértékben járultak hozzá az él</w:t>
      </w:r>
      <w:r w:rsidRPr="00A7051C">
        <w:t>ő</w:t>
      </w:r>
      <w:r w:rsidRPr="00A7051C">
        <w:t>helyek és a biológiai sokféleség megőrzéséhez vagy javításához? (214. intézkedés)</w:t>
      </w:r>
    </w:p>
    <w:p w:rsidR="00020AFE" w:rsidRPr="004D7588" w:rsidRDefault="00020AFE" w:rsidP="00020AFE">
      <w:pPr>
        <w:jc w:val="both"/>
        <w:rPr>
          <w:iCs/>
          <w:szCs w:val="22"/>
        </w:rPr>
      </w:pPr>
      <w:r w:rsidRPr="004D7588">
        <w:rPr>
          <w:iCs/>
          <w:szCs w:val="22"/>
        </w:rPr>
        <w:t>Az előző tervezés</w:t>
      </w:r>
      <w:r>
        <w:rPr>
          <w:iCs/>
          <w:szCs w:val="22"/>
        </w:rPr>
        <w:t>i</w:t>
      </w:r>
      <w:r w:rsidRPr="004D7588">
        <w:rPr>
          <w:iCs/>
          <w:szCs w:val="22"/>
        </w:rPr>
        <w:t xml:space="preserve"> időszak ÉTT zónarendszeréhez képest a jelenlegi programban immár </w:t>
      </w:r>
      <w:proofErr w:type="spellStart"/>
      <w:r w:rsidRPr="004D7588">
        <w:rPr>
          <w:iCs/>
          <w:szCs w:val="22"/>
        </w:rPr>
        <w:t>MTÉT-nek</w:t>
      </w:r>
      <w:proofErr w:type="spellEnd"/>
      <w:r w:rsidRPr="004D7588">
        <w:rPr>
          <w:iCs/>
          <w:szCs w:val="22"/>
        </w:rPr>
        <w:t xml:space="preserve"> nevezett zónák jelentős mértékben növekedtek, és az </w:t>
      </w:r>
      <w:proofErr w:type="gramStart"/>
      <w:r w:rsidRPr="004D7588">
        <w:rPr>
          <w:iCs/>
          <w:szCs w:val="22"/>
        </w:rPr>
        <w:t>ezen</w:t>
      </w:r>
      <w:proofErr w:type="gramEnd"/>
      <w:r w:rsidRPr="004D7588">
        <w:rPr>
          <w:iCs/>
          <w:szCs w:val="22"/>
        </w:rPr>
        <w:t xml:space="preserve"> területre kidolgozott zonális célprogramok területi lef</w:t>
      </w:r>
      <w:r w:rsidRPr="004D7588">
        <w:rPr>
          <w:iCs/>
          <w:szCs w:val="22"/>
        </w:rPr>
        <w:t>e</w:t>
      </w:r>
      <w:r w:rsidRPr="004D7588">
        <w:rPr>
          <w:iCs/>
          <w:szCs w:val="22"/>
        </w:rPr>
        <w:t>dettsége is jelentősen nőtt. Ennek eredményeként 200 000 hektáron kifejezetten természetvédelmi sze</w:t>
      </w:r>
      <w:r w:rsidRPr="004D7588">
        <w:rPr>
          <w:iCs/>
          <w:szCs w:val="22"/>
        </w:rPr>
        <w:t>m</w:t>
      </w:r>
      <w:r w:rsidRPr="004D7588">
        <w:rPr>
          <w:iCs/>
          <w:szCs w:val="22"/>
        </w:rPr>
        <w:t xml:space="preserve">pontú gazdálkodási módszereket alkalmaznak a gazdálkodók. </w:t>
      </w:r>
    </w:p>
    <w:p w:rsidR="00020AFE" w:rsidRPr="004D7588" w:rsidRDefault="00020AFE" w:rsidP="00020AFE">
      <w:pPr>
        <w:jc w:val="both"/>
        <w:rPr>
          <w:iCs/>
          <w:szCs w:val="22"/>
        </w:rPr>
      </w:pPr>
      <w:r w:rsidRPr="004D7588">
        <w:rPr>
          <w:iCs/>
          <w:szCs w:val="22"/>
        </w:rPr>
        <w:t xml:space="preserve">A Magas Természeti Értékű Területek a </w:t>
      </w:r>
      <w:proofErr w:type="spellStart"/>
      <w:r w:rsidRPr="004D7588">
        <w:rPr>
          <w:iCs/>
          <w:szCs w:val="22"/>
        </w:rPr>
        <w:t>biodiverzitás</w:t>
      </w:r>
      <w:proofErr w:type="spellEnd"/>
      <w:r w:rsidRPr="004D7588">
        <w:rPr>
          <w:iCs/>
          <w:szCs w:val="22"/>
        </w:rPr>
        <w:t xml:space="preserve"> megőrzésében potenciálisan jelentős szerepet játsz</w:t>
      </w:r>
      <w:r w:rsidRPr="004D7588">
        <w:rPr>
          <w:iCs/>
          <w:szCs w:val="22"/>
        </w:rPr>
        <w:t>a</w:t>
      </w:r>
      <w:r w:rsidRPr="004D7588">
        <w:rPr>
          <w:iCs/>
          <w:szCs w:val="22"/>
        </w:rPr>
        <w:t>nak. Ezt támasztja alá az a tény, hogy az ország területének összesen 13%-át lefedő Magas Természeti Ért</w:t>
      </w:r>
      <w:r w:rsidRPr="004D7588">
        <w:rPr>
          <w:iCs/>
          <w:szCs w:val="22"/>
        </w:rPr>
        <w:t>é</w:t>
      </w:r>
      <w:r w:rsidRPr="004D7588">
        <w:rPr>
          <w:iCs/>
          <w:szCs w:val="22"/>
        </w:rPr>
        <w:t>kű Területeken az agrártájak természet közeli élőhelyeinek döntő többsége az országos elterjedéséhez v</w:t>
      </w:r>
      <w:r w:rsidRPr="004D7588">
        <w:rPr>
          <w:iCs/>
          <w:szCs w:val="22"/>
        </w:rPr>
        <w:t>i</w:t>
      </w:r>
      <w:r w:rsidRPr="004D7588">
        <w:rPr>
          <w:iCs/>
          <w:szCs w:val="22"/>
        </w:rPr>
        <w:t xml:space="preserve">szonyítva ennél lényegesen nagyobb arányában van jelen. </w:t>
      </w:r>
    </w:p>
    <w:p w:rsidR="00020AFE" w:rsidRPr="004D7588" w:rsidRDefault="00020AFE" w:rsidP="00020AFE">
      <w:pPr>
        <w:jc w:val="both"/>
        <w:rPr>
          <w:iCs/>
          <w:szCs w:val="22"/>
        </w:rPr>
      </w:pPr>
      <w:r w:rsidRPr="004D7588">
        <w:rPr>
          <w:iCs/>
          <w:szCs w:val="22"/>
        </w:rPr>
        <w:t>A különböző célprogram közül az agrártájak természetes és természet közeli élőhelyeinek megóvásában a legnagyobb potenciális hatással jelenleg a gyepgazdálkodási célprogramok rendelkeznek, ugyanis a gye</w:t>
      </w:r>
      <w:r w:rsidRPr="004D7588">
        <w:rPr>
          <w:iCs/>
          <w:szCs w:val="22"/>
        </w:rPr>
        <w:t>p</w:t>
      </w:r>
      <w:r w:rsidRPr="004D7588">
        <w:rPr>
          <w:iCs/>
          <w:szCs w:val="22"/>
        </w:rPr>
        <w:t>gazdálkodási célprogramok által támogatott parcellákban, vagy azok közelében egyes élőhelyeknek nagyobb arányban találjuk a magas természetességű állományait, mint amilyen ezen állományok országos aránya. A gyepgazdálkodási programoknak tehát nagy szerepük van abban, hogy a szikes élőhelyek, mocsarak, m</w:t>
      </w:r>
      <w:r w:rsidRPr="004D7588">
        <w:rPr>
          <w:iCs/>
          <w:szCs w:val="22"/>
        </w:rPr>
        <w:t>o</w:t>
      </w:r>
      <w:r w:rsidRPr="004D7588">
        <w:rPr>
          <w:iCs/>
          <w:szCs w:val="22"/>
        </w:rPr>
        <w:t xml:space="preserve">csárrétek, </w:t>
      </w:r>
      <w:proofErr w:type="spellStart"/>
      <w:r w:rsidRPr="004D7588">
        <w:rPr>
          <w:iCs/>
          <w:szCs w:val="22"/>
        </w:rPr>
        <w:t>magassásosok</w:t>
      </w:r>
      <w:proofErr w:type="spellEnd"/>
      <w:r w:rsidRPr="004D7588">
        <w:rPr>
          <w:iCs/>
          <w:szCs w:val="22"/>
        </w:rPr>
        <w:t xml:space="preserve"> és sztyepprétek legjobb állapotban levő, kimagasló </w:t>
      </w:r>
      <w:proofErr w:type="spellStart"/>
      <w:r w:rsidRPr="004D7588">
        <w:rPr>
          <w:iCs/>
          <w:szCs w:val="22"/>
        </w:rPr>
        <w:t>biodiverzitással</w:t>
      </w:r>
      <w:proofErr w:type="spellEnd"/>
      <w:r w:rsidRPr="004D7588">
        <w:rPr>
          <w:iCs/>
          <w:szCs w:val="22"/>
        </w:rPr>
        <w:t xml:space="preserve"> rendelkező állományai megőrizzék kedvező ökológiai állapotukat</w:t>
      </w:r>
      <w:r>
        <w:rPr>
          <w:iCs/>
          <w:szCs w:val="22"/>
        </w:rPr>
        <w:t>.</w:t>
      </w:r>
    </w:p>
    <w:p w:rsidR="00020AFE" w:rsidRPr="004D7588" w:rsidRDefault="00020AFE" w:rsidP="00020AFE">
      <w:pPr>
        <w:jc w:val="both"/>
        <w:rPr>
          <w:iCs/>
          <w:szCs w:val="22"/>
        </w:rPr>
      </w:pPr>
      <w:r w:rsidRPr="004D7588">
        <w:rPr>
          <w:iCs/>
          <w:szCs w:val="22"/>
        </w:rPr>
        <w:t>Bizonyos élőhelyek tekintetében (pl.</w:t>
      </w:r>
      <w:r>
        <w:rPr>
          <w:iCs/>
          <w:szCs w:val="22"/>
        </w:rPr>
        <w:t>:</w:t>
      </w:r>
      <w:r w:rsidRPr="004D7588">
        <w:rPr>
          <w:iCs/>
          <w:szCs w:val="22"/>
        </w:rPr>
        <w:t xml:space="preserve"> szikesek) a szántóföldi növénytermesztési célprogramok is potenciál</w:t>
      </w:r>
      <w:r w:rsidRPr="004D7588">
        <w:rPr>
          <w:iCs/>
          <w:szCs w:val="22"/>
        </w:rPr>
        <w:t>i</w:t>
      </w:r>
      <w:r w:rsidRPr="004D7588">
        <w:rPr>
          <w:iCs/>
          <w:szCs w:val="22"/>
        </w:rPr>
        <w:t>san számottevő jelentőséggel bírhatnak, mert szikes tájakban viszonylag nagy gyakorisággal került sor arra, hogy a gazdálkodó a parcellájával valamely szántóföldi növénytermesztési célprogramba belépett. Ugyana</w:t>
      </w:r>
      <w:r w:rsidRPr="004D7588">
        <w:rPr>
          <w:iCs/>
          <w:szCs w:val="22"/>
        </w:rPr>
        <w:t>k</w:t>
      </w:r>
      <w:r w:rsidRPr="004D7588">
        <w:rPr>
          <w:iCs/>
          <w:szCs w:val="22"/>
        </w:rPr>
        <w:t>kor a gyepgazdálkodási, a gyeptelepítési vagy a vizes élőhely (többnyire nádgazdálkodás) célprogramokban részt vevő, adott méretű parcella a körülötte elhelyezkedő (vagy a területén előforduló) természetes és te</w:t>
      </w:r>
      <w:r w:rsidRPr="004D7588">
        <w:rPr>
          <w:iCs/>
          <w:szCs w:val="22"/>
        </w:rPr>
        <w:t>r</w:t>
      </w:r>
      <w:r w:rsidRPr="004D7588">
        <w:rPr>
          <w:iCs/>
          <w:szCs w:val="22"/>
        </w:rPr>
        <w:t>mészet közeli élőhelyeknek ötször-tízszer akkora hányadára hathat kedvezően, mintha a szántóföldi vagy a gyümölcs- és szőlőtermesztési célprogramokban venne részt.</w:t>
      </w:r>
    </w:p>
    <w:p w:rsidR="00020AFE" w:rsidRPr="004D7588" w:rsidRDefault="00020AFE" w:rsidP="00020AFE">
      <w:pPr>
        <w:jc w:val="both"/>
        <w:rPr>
          <w:iCs/>
          <w:szCs w:val="22"/>
        </w:rPr>
      </w:pPr>
      <w:r w:rsidRPr="004D7588">
        <w:rPr>
          <w:iCs/>
          <w:szCs w:val="22"/>
        </w:rPr>
        <w:lastRenderedPageBreak/>
        <w:t xml:space="preserve">Összességében elmondható, hogy az agrár-környezetgazdálkodási program jelenlegi szerkezetét figyelembe véve a faj és </w:t>
      </w:r>
      <w:proofErr w:type="spellStart"/>
      <w:r w:rsidRPr="004D7588">
        <w:rPr>
          <w:iCs/>
          <w:szCs w:val="22"/>
        </w:rPr>
        <w:t>élőhelyvédelmi</w:t>
      </w:r>
      <w:proofErr w:type="spellEnd"/>
      <w:r w:rsidRPr="004D7588">
        <w:rPr>
          <w:iCs/>
          <w:szCs w:val="22"/>
        </w:rPr>
        <w:t xml:space="preserve"> zonális célprogramokhoz kapcsolt kifizetések hasznosulása tekinthető a legh</w:t>
      </w:r>
      <w:r w:rsidRPr="004D7588">
        <w:rPr>
          <w:iCs/>
          <w:szCs w:val="22"/>
        </w:rPr>
        <w:t>a</w:t>
      </w:r>
      <w:r w:rsidRPr="004D7588">
        <w:rPr>
          <w:iCs/>
          <w:szCs w:val="22"/>
        </w:rPr>
        <w:t>tékonyabbnak.</w:t>
      </w:r>
    </w:p>
    <w:p w:rsidR="00020AFE" w:rsidRPr="004D7588" w:rsidRDefault="00020AFE" w:rsidP="00020AFE">
      <w:pPr>
        <w:jc w:val="both"/>
        <w:rPr>
          <w:iCs/>
          <w:szCs w:val="22"/>
        </w:rPr>
      </w:pPr>
    </w:p>
    <w:p w:rsidR="00020AFE" w:rsidRDefault="00020AFE" w:rsidP="00020AFE">
      <w:pPr>
        <w:pStyle w:val="StyleHUNHeading3Justified"/>
        <w:ind w:left="504"/>
      </w:pPr>
      <w:r w:rsidRPr="00A7051C">
        <w:t>Az agrár-környezetvédelmi intézkedések milyen mértékben járultak hozzá a vízm</w:t>
      </w:r>
      <w:r w:rsidRPr="00A7051C">
        <w:t>i</w:t>
      </w:r>
      <w:r w:rsidRPr="00A7051C">
        <w:t>nőség megőrzéséhez vagy javításához? (214. intézkedés)</w:t>
      </w:r>
    </w:p>
    <w:p w:rsidR="00020AFE" w:rsidRPr="004D7588" w:rsidRDefault="00020AFE" w:rsidP="00020AFE">
      <w:pPr>
        <w:jc w:val="both"/>
        <w:rPr>
          <w:iCs/>
          <w:szCs w:val="22"/>
        </w:rPr>
      </w:pPr>
      <w:r w:rsidRPr="004D7588">
        <w:rPr>
          <w:iCs/>
          <w:szCs w:val="22"/>
        </w:rPr>
        <w:t xml:space="preserve">A mezőgazdasági eredetű szennyezés csökkentését a tápanyag utánpótlás, illetve a </w:t>
      </w:r>
      <w:proofErr w:type="spellStart"/>
      <w:r w:rsidRPr="004D7588">
        <w:rPr>
          <w:iCs/>
          <w:szCs w:val="22"/>
        </w:rPr>
        <w:t>növényvédőszer</w:t>
      </w:r>
      <w:proofErr w:type="spellEnd"/>
      <w:r w:rsidRPr="004D7588">
        <w:rPr>
          <w:iCs/>
          <w:szCs w:val="22"/>
        </w:rPr>
        <w:t xml:space="preserve"> haszn</w:t>
      </w:r>
      <w:r w:rsidRPr="004D7588">
        <w:rPr>
          <w:iCs/>
          <w:szCs w:val="22"/>
        </w:rPr>
        <w:t>á</w:t>
      </w:r>
      <w:r w:rsidRPr="004D7588">
        <w:rPr>
          <w:iCs/>
          <w:szCs w:val="22"/>
        </w:rPr>
        <w:t xml:space="preserve">lat korlátozásán keresztül kívánta a program biztosítani. A kérdőívezés során </w:t>
      </w:r>
      <w:r>
        <w:rPr>
          <w:iCs/>
          <w:szCs w:val="22"/>
        </w:rPr>
        <w:t>megállapítható</w:t>
      </w:r>
      <w:r w:rsidRPr="004D7588">
        <w:rPr>
          <w:iCs/>
          <w:szCs w:val="22"/>
        </w:rPr>
        <w:t xml:space="preserve"> volt, hogy a legnagyobb területi lefedettséggel bíró integrált szántóföldi növénytermesztési célprogram esetében minim</w:t>
      </w:r>
      <w:r w:rsidRPr="004D7588">
        <w:rPr>
          <w:iCs/>
          <w:szCs w:val="22"/>
        </w:rPr>
        <w:t>á</w:t>
      </w:r>
      <w:r w:rsidRPr="004D7588">
        <w:rPr>
          <w:iCs/>
          <w:szCs w:val="22"/>
        </w:rPr>
        <w:t>lis korlátozást jelentettek az előírások, vagyis ebből adódóan a hatás is csekélynek tekinthető. Azt is meg kell említeni, hogy hazánkban a tápanyag-kijuttatás rendkívül alacsony szintje miatt, illetve amiatt, hogy szennyvíz, szennyvíziszap rendkívül kevés esetben kerül kijuttatásra, elsősorban nem ilyen általános korl</w:t>
      </w:r>
      <w:r w:rsidRPr="004D7588">
        <w:rPr>
          <w:iCs/>
          <w:szCs w:val="22"/>
        </w:rPr>
        <w:t>á</w:t>
      </w:r>
      <w:r w:rsidRPr="004D7588">
        <w:rPr>
          <w:iCs/>
          <w:szCs w:val="22"/>
        </w:rPr>
        <w:t>tok meghatározásával lehet a vízminőséget megőrizni, hanem olyan speciális intézkedéseken keresztül (pl.</w:t>
      </w:r>
      <w:r>
        <w:rPr>
          <w:iCs/>
          <w:szCs w:val="22"/>
        </w:rPr>
        <w:t>:</w:t>
      </w:r>
      <w:r w:rsidRPr="004D7588">
        <w:rPr>
          <w:iCs/>
          <w:szCs w:val="22"/>
        </w:rPr>
        <w:t xml:space="preserve"> </w:t>
      </w:r>
      <w:proofErr w:type="spellStart"/>
      <w:r w:rsidRPr="004D7588">
        <w:rPr>
          <w:iCs/>
          <w:szCs w:val="22"/>
        </w:rPr>
        <w:t>partmenti</w:t>
      </w:r>
      <w:proofErr w:type="spellEnd"/>
      <w:r w:rsidRPr="004D7588">
        <w:rPr>
          <w:iCs/>
          <w:szCs w:val="22"/>
        </w:rPr>
        <w:t xml:space="preserve"> területeken </w:t>
      </w:r>
      <w:proofErr w:type="spellStart"/>
      <w:r w:rsidRPr="004D7588">
        <w:rPr>
          <w:iCs/>
          <w:szCs w:val="22"/>
        </w:rPr>
        <w:t>pufferzónák</w:t>
      </w:r>
      <w:proofErr w:type="spellEnd"/>
      <w:r w:rsidRPr="004D7588">
        <w:rPr>
          <w:iCs/>
          <w:szCs w:val="22"/>
        </w:rPr>
        <w:t xml:space="preserve"> kialakításával), melyek működési alapját elsősorban a Vízgyűjtő Gazdá</w:t>
      </w:r>
      <w:r w:rsidRPr="004D7588">
        <w:rPr>
          <w:iCs/>
          <w:szCs w:val="22"/>
        </w:rPr>
        <w:t>l</w:t>
      </w:r>
      <w:r w:rsidRPr="004D7588">
        <w:rPr>
          <w:iCs/>
          <w:szCs w:val="22"/>
        </w:rPr>
        <w:t xml:space="preserve">kodási Tervek hivatottak megteremteni. </w:t>
      </w:r>
    </w:p>
    <w:p w:rsidR="00020AFE" w:rsidRPr="004D7588" w:rsidRDefault="00020AFE" w:rsidP="00020AFE">
      <w:pPr>
        <w:jc w:val="both"/>
        <w:rPr>
          <w:iCs/>
          <w:szCs w:val="22"/>
        </w:rPr>
      </w:pPr>
      <w:r w:rsidRPr="004D7588">
        <w:rPr>
          <w:iCs/>
          <w:szCs w:val="22"/>
        </w:rPr>
        <w:t>Az MTÉT gyepterületeken kialakuló belvizek megőrzése, vizes élőhelyek kialakítása pozitív eredménynek tekinthető, illetve a vizes élőhelyek kialakítására, illetve megőrzésére irányuló célprogramok szintén pozitív hozadékkal bírhatnak, azonban az utóbbi két célprogram – csekély területi kiterjedésük miatt – országos szinten is mérhető hatást nem tud elérni.</w:t>
      </w:r>
    </w:p>
    <w:p w:rsidR="00020AFE" w:rsidRPr="004D7588" w:rsidRDefault="00020AFE" w:rsidP="00020AFE">
      <w:pPr>
        <w:jc w:val="both"/>
        <w:rPr>
          <w:iCs/>
          <w:szCs w:val="22"/>
        </w:rPr>
      </w:pPr>
      <w:r w:rsidRPr="004D7588">
        <w:rPr>
          <w:iCs/>
          <w:szCs w:val="22"/>
        </w:rPr>
        <w:t>Általánosságban elmondható, hogy az AKG jogcím alatt igényelt területek jól korrelálnak azokkal a területe</w:t>
      </w:r>
      <w:r w:rsidRPr="004D7588">
        <w:rPr>
          <w:iCs/>
          <w:szCs w:val="22"/>
        </w:rPr>
        <w:t>k</w:t>
      </w:r>
      <w:r w:rsidRPr="004D7588">
        <w:rPr>
          <w:iCs/>
          <w:szCs w:val="22"/>
        </w:rPr>
        <w:t>kel, amelyek valamilyen szempontból sérülékenyek. A nitrát érzékeny területeken és a sérülékeny vízbázis védelmi területeken k</w:t>
      </w:r>
      <w:r>
        <w:rPr>
          <w:iCs/>
          <w:szCs w:val="22"/>
        </w:rPr>
        <w:t>özel azonos a lefedettség (25,3</w:t>
      </w:r>
      <w:r w:rsidRPr="004D7588">
        <w:rPr>
          <w:iCs/>
          <w:szCs w:val="22"/>
        </w:rPr>
        <w:t>% és 24,4%), azonban a területi kiterjedésben nagysá</w:t>
      </w:r>
      <w:r w:rsidRPr="004D7588">
        <w:rPr>
          <w:iCs/>
          <w:szCs w:val="22"/>
        </w:rPr>
        <w:t>g</w:t>
      </w:r>
      <w:r w:rsidRPr="004D7588">
        <w:rPr>
          <w:iCs/>
          <w:szCs w:val="22"/>
        </w:rPr>
        <w:t>rendi eltérés van: a nitrát érzékeny területeken 553</w:t>
      </w:r>
      <w:r>
        <w:rPr>
          <w:iCs/>
          <w:szCs w:val="22"/>
        </w:rPr>
        <w:t xml:space="preserve"> </w:t>
      </w:r>
      <w:r w:rsidRPr="004D7588">
        <w:rPr>
          <w:iCs/>
          <w:szCs w:val="22"/>
        </w:rPr>
        <w:t xml:space="preserve">507 hektár AKG terület van, az </w:t>
      </w:r>
      <w:proofErr w:type="spellStart"/>
      <w:r w:rsidRPr="004D7588">
        <w:rPr>
          <w:iCs/>
          <w:szCs w:val="22"/>
        </w:rPr>
        <w:t>SVBVT-en</w:t>
      </w:r>
      <w:proofErr w:type="spellEnd"/>
      <w:r w:rsidRPr="004D7588">
        <w:rPr>
          <w:iCs/>
          <w:szCs w:val="22"/>
        </w:rPr>
        <w:t xml:space="preserve"> ennek alig egyötöde: 94</w:t>
      </w:r>
      <w:r>
        <w:rPr>
          <w:iCs/>
          <w:szCs w:val="22"/>
        </w:rPr>
        <w:t xml:space="preserve"> </w:t>
      </w:r>
      <w:r w:rsidRPr="004D7588">
        <w:rPr>
          <w:iCs/>
          <w:szCs w:val="22"/>
        </w:rPr>
        <w:t>839 hektár. Az árvízzel veszélyeztetett területek a folyók parti sávjában helyezke</w:t>
      </w:r>
      <w:r>
        <w:rPr>
          <w:iCs/>
          <w:szCs w:val="22"/>
        </w:rPr>
        <w:t>dnek el. Itt a lefedettség 28,2</w:t>
      </w:r>
      <w:r w:rsidRPr="004D7588">
        <w:rPr>
          <w:iCs/>
          <w:szCs w:val="22"/>
        </w:rPr>
        <w:t>%, aminek kisebb hányada, 11</w:t>
      </w:r>
      <w:r>
        <w:rPr>
          <w:iCs/>
          <w:szCs w:val="22"/>
        </w:rPr>
        <w:t xml:space="preserve"> </w:t>
      </w:r>
      <w:r w:rsidRPr="004D7588">
        <w:rPr>
          <w:iCs/>
          <w:szCs w:val="22"/>
        </w:rPr>
        <w:t>472 hektár gyepterület és nagyobb része, 17</w:t>
      </w:r>
      <w:r>
        <w:rPr>
          <w:iCs/>
          <w:szCs w:val="22"/>
        </w:rPr>
        <w:t xml:space="preserve"> </w:t>
      </w:r>
      <w:r w:rsidRPr="004D7588">
        <w:rPr>
          <w:iCs/>
          <w:szCs w:val="22"/>
        </w:rPr>
        <w:t xml:space="preserve">988 </w:t>
      </w:r>
      <w:proofErr w:type="gramStart"/>
      <w:r w:rsidRPr="004D7588">
        <w:rPr>
          <w:iCs/>
          <w:szCs w:val="22"/>
        </w:rPr>
        <w:t>hektár szántó</w:t>
      </w:r>
      <w:proofErr w:type="gramEnd"/>
      <w:r w:rsidRPr="004D7588">
        <w:rPr>
          <w:iCs/>
          <w:szCs w:val="22"/>
        </w:rPr>
        <w:t>. Ezeken a területeken kívánatosabb lenne a gyepterületek növelése a szántók rovására.</w:t>
      </w:r>
    </w:p>
    <w:p w:rsidR="00020AFE" w:rsidRPr="004D7588" w:rsidRDefault="00020AFE" w:rsidP="00020AFE">
      <w:pPr>
        <w:jc w:val="both"/>
        <w:rPr>
          <w:iCs/>
          <w:szCs w:val="22"/>
        </w:rPr>
      </w:pPr>
    </w:p>
    <w:p w:rsidR="00020AFE" w:rsidRDefault="00020AFE" w:rsidP="00020AFE">
      <w:pPr>
        <w:pStyle w:val="StyleHUNHeading3Justified"/>
        <w:ind w:left="504"/>
      </w:pPr>
      <w:r w:rsidRPr="00A7051C">
        <w:t>Az agrár-környezetvédelmi intézkedések milyen mértékben járultak hozzá a tala</w:t>
      </w:r>
      <w:r w:rsidRPr="00A7051C">
        <w:t>j</w:t>
      </w:r>
      <w:r w:rsidRPr="00A7051C">
        <w:t>minőség megőrzéséhez vagy javításához? (214. intézkedés)</w:t>
      </w:r>
    </w:p>
    <w:p w:rsidR="00020AFE" w:rsidRPr="004D7588" w:rsidRDefault="00020AFE" w:rsidP="00020AFE">
      <w:pPr>
        <w:jc w:val="both"/>
        <w:rPr>
          <w:iCs/>
          <w:szCs w:val="22"/>
        </w:rPr>
      </w:pPr>
      <w:r w:rsidRPr="004D7588">
        <w:rPr>
          <w:iCs/>
          <w:szCs w:val="22"/>
        </w:rPr>
        <w:t>Amiatt, hogy jelenleg még nem működik az agrár-környezetvédelmi programok környezeti hatásait monitor</w:t>
      </w:r>
      <w:r w:rsidRPr="004D7588">
        <w:rPr>
          <w:iCs/>
          <w:szCs w:val="22"/>
        </w:rPr>
        <w:t>o</w:t>
      </w:r>
      <w:r w:rsidRPr="004D7588">
        <w:rPr>
          <w:iCs/>
          <w:szCs w:val="22"/>
        </w:rPr>
        <w:t xml:space="preserve">zó rendszer, az intézkedések talajminőségre gyakorolt hatása nem mérhető, csak becsülhető. A szántóföldi kultúrák esetében a zöldtrágya növény termesztése, a </w:t>
      </w:r>
      <w:proofErr w:type="spellStart"/>
      <w:r w:rsidRPr="004D7588">
        <w:rPr>
          <w:iCs/>
          <w:szCs w:val="22"/>
        </w:rPr>
        <w:t>középmély</w:t>
      </w:r>
      <w:proofErr w:type="spellEnd"/>
      <w:r w:rsidRPr="004D7588">
        <w:rPr>
          <w:iCs/>
          <w:szCs w:val="22"/>
        </w:rPr>
        <w:t xml:space="preserve"> lazítás elvégzése, illetve az erózióvédelmi célprogramok pozitív hatást jelenthetnek. Jelenleg a program a </w:t>
      </w:r>
      <w:r>
        <w:rPr>
          <w:iCs/>
          <w:szCs w:val="22"/>
        </w:rPr>
        <w:t>tápanyag-</w:t>
      </w:r>
      <w:r w:rsidRPr="004D7588">
        <w:rPr>
          <w:iCs/>
          <w:szCs w:val="22"/>
        </w:rPr>
        <w:t>kijuttatás szabályozását korlátoz</w:t>
      </w:r>
      <w:r w:rsidRPr="004D7588">
        <w:rPr>
          <w:iCs/>
          <w:szCs w:val="22"/>
        </w:rPr>
        <w:t>á</w:t>
      </w:r>
      <w:r w:rsidRPr="004D7588">
        <w:rPr>
          <w:iCs/>
          <w:szCs w:val="22"/>
        </w:rPr>
        <w:t>son ke</w:t>
      </w:r>
      <w:r>
        <w:rPr>
          <w:iCs/>
          <w:szCs w:val="22"/>
        </w:rPr>
        <w:t xml:space="preserve">resztül kívánja megvalósítani. </w:t>
      </w:r>
      <w:r w:rsidRPr="004D7588">
        <w:rPr>
          <w:iCs/>
          <w:szCs w:val="22"/>
        </w:rPr>
        <w:t>Figyelve a statisztikai adatokat az látszik, hogy hazánkban jelenleg a növények megfelelő hozamát biztosító tápanyag-kijuttatás sem történik meg, ezért indokoltabb lenne olyan előírások kidolgozása, melyek az okszerű – a környezeti terhelést elkerülő, de a talaj tápanyag-tartalmát legalább szinten tartó - tápanyag-gazdálkodást ösztönzik.</w:t>
      </w:r>
    </w:p>
    <w:p w:rsidR="00020AFE" w:rsidRPr="004D7588" w:rsidRDefault="00020AFE" w:rsidP="00020AFE">
      <w:pPr>
        <w:jc w:val="both"/>
        <w:rPr>
          <w:iCs/>
          <w:szCs w:val="22"/>
        </w:rPr>
      </w:pPr>
    </w:p>
    <w:p w:rsidR="00020AFE" w:rsidRDefault="00020AFE" w:rsidP="00020AFE">
      <w:pPr>
        <w:pStyle w:val="StyleHUNHeading3Justified"/>
        <w:ind w:left="504"/>
      </w:pPr>
      <w:r w:rsidRPr="00A7051C">
        <w:lastRenderedPageBreak/>
        <w:t>Az agrár-környezetvédelmi intézkedések milyen mértékben járultak hozzá az é</w:t>
      </w:r>
      <w:r w:rsidRPr="00A7051C">
        <w:t>g</w:t>
      </w:r>
      <w:r w:rsidRPr="00A7051C">
        <w:t>hajlatváltozás enyhítéséhez? (214. intézkedés)</w:t>
      </w:r>
    </w:p>
    <w:p w:rsidR="00020AFE" w:rsidRPr="00A7051C" w:rsidRDefault="008B0EB7" w:rsidP="00020AFE">
      <w:pPr>
        <w:jc w:val="both"/>
      </w:pPr>
      <w:r>
        <w:t xml:space="preserve">Az AKG intézkedés két módon is hozzájárul az éghajlatváltozás-enyhítéséhez, bár ezek egyelőre még nem mérhetőek. Egyfelől a résztvevő gazdálkodók az adott terület </w:t>
      </w:r>
      <w:proofErr w:type="spellStart"/>
      <w:r>
        <w:t>ökotípusának</w:t>
      </w:r>
      <w:proofErr w:type="spellEnd"/>
      <w:r>
        <w:t xml:space="preserve"> jobban megfelelő gazdálkodást folytatnak, ami kisebb alkalmazkodási kényszert indukál az éghajlatváltozás hatásainak lekezeléséhez. Má</w:t>
      </w:r>
      <w:r>
        <w:t>s</w:t>
      </w:r>
      <w:r>
        <w:t>részt a környezetkímélő gazdálkodás egyben kisebb vegyszerhasználatot jelent, ami a műtrágyahasználat csökkentésén keresztül csökkenti az ÜHG kibocsátást is. Mindkét szempontból a zonális célprogramok a kedvezőbbek, mert szigorúbb kötöttségeket tartalmaznak. Ugyanakkor meg kell jegyezni, hogy a földekre kijutatott tápanyag már így is a szükséges mérték alatt van, vagyis a talajminőség és az éghajlatváltozás elleni küzdelem ezen előírás kapcsán konfliktusba kerül.</w:t>
      </w:r>
    </w:p>
    <w:p w:rsidR="00020AFE" w:rsidRDefault="00020AFE" w:rsidP="00020AFE">
      <w:pPr>
        <w:pStyle w:val="StyleHUNHeading3Justified"/>
        <w:ind w:left="504"/>
      </w:pPr>
      <w:r w:rsidRPr="00A7051C">
        <w:t>Az agrár-környezetvédelmi intézkedések milyen mértékben járultak hozzá a táj és annak jellemzői megőrzéséhez vagy javításához? (214. intézkedés)</w:t>
      </w:r>
    </w:p>
    <w:p w:rsidR="00660338" w:rsidRPr="00660338" w:rsidRDefault="00660338" w:rsidP="00660338">
      <w:pPr>
        <w:jc w:val="both"/>
        <w:rPr>
          <w:iCs/>
          <w:szCs w:val="22"/>
        </w:rPr>
      </w:pPr>
      <w:r w:rsidRPr="00660338">
        <w:rPr>
          <w:iCs/>
          <w:szCs w:val="22"/>
        </w:rPr>
        <w:t xml:space="preserve">A legnagyobb számban támogatott integrált szántóföldi és növénytermesztési célprogram a táj szerkezetét, képét nem változtatja meg a támogatás előtti állapothoz képest. Hatása negatív, mert konzerválja a szántó területhasználatot, amelyet országosan csökkenteni kellene. </w:t>
      </w:r>
    </w:p>
    <w:p w:rsidR="00660338" w:rsidRPr="00660338" w:rsidRDefault="00660338" w:rsidP="00660338">
      <w:pPr>
        <w:jc w:val="both"/>
        <w:rPr>
          <w:iCs/>
          <w:szCs w:val="22"/>
        </w:rPr>
      </w:pPr>
      <w:r w:rsidRPr="00660338">
        <w:rPr>
          <w:iCs/>
          <w:szCs w:val="22"/>
        </w:rPr>
        <w:t>A gyepgazdálkodási, gyeptelepítési célprogramok a tájhasználatot és tájképet pozitívan alakítják</w:t>
      </w:r>
      <w:proofErr w:type="gramStart"/>
      <w:r w:rsidRPr="00660338">
        <w:rPr>
          <w:iCs/>
          <w:szCs w:val="22"/>
        </w:rPr>
        <w:t>,  újra</w:t>
      </w:r>
      <w:proofErr w:type="gramEnd"/>
      <w:r w:rsidRPr="00660338">
        <w:rPr>
          <w:iCs/>
          <w:szCs w:val="22"/>
        </w:rPr>
        <w:t xml:space="preserve"> has</w:t>
      </w:r>
      <w:r w:rsidRPr="00660338">
        <w:rPr>
          <w:iCs/>
          <w:szCs w:val="22"/>
        </w:rPr>
        <w:t>z</w:t>
      </w:r>
      <w:r w:rsidRPr="00660338">
        <w:rPr>
          <w:iCs/>
          <w:szCs w:val="22"/>
        </w:rPr>
        <w:t>nálatba kerültek a rétek. A gyep területhasználat országos szintű növekedése további vizsgálatot kíván, mert nem egyértelmű a növekedés a gyepfelszántások miatt. Cél, hogy a gyepek területe növekedjen.</w:t>
      </w:r>
    </w:p>
    <w:p w:rsidR="00660338" w:rsidRPr="00660338" w:rsidRDefault="00660338" w:rsidP="00660338">
      <w:pPr>
        <w:jc w:val="both"/>
        <w:rPr>
          <w:iCs/>
          <w:szCs w:val="22"/>
        </w:rPr>
      </w:pPr>
      <w:r w:rsidRPr="00660338">
        <w:rPr>
          <w:iCs/>
          <w:szCs w:val="22"/>
        </w:rPr>
        <w:t>A szőlő- gyümölcstermeszt</w:t>
      </w:r>
      <w:r>
        <w:rPr>
          <w:iCs/>
          <w:szCs w:val="22"/>
        </w:rPr>
        <w:t>és célprogramok közül a hagyomány</w:t>
      </w:r>
      <w:r w:rsidRPr="00660338">
        <w:rPr>
          <w:iCs/>
          <w:szCs w:val="22"/>
        </w:rPr>
        <w:t>os szőlő-gyümölcstermesztésnek vannak a táj értékeit növelő hatásai, míg az intenzív, ökológiai gazdálkodás ugyanazt a szintet tartja, mint a támogatás előtti tevékenység.</w:t>
      </w:r>
    </w:p>
    <w:p w:rsidR="00020AFE" w:rsidRDefault="00660338" w:rsidP="00660338">
      <w:pPr>
        <w:jc w:val="both"/>
        <w:rPr>
          <w:iCs/>
          <w:szCs w:val="22"/>
        </w:rPr>
      </w:pPr>
      <w:r w:rsidRPr="00660338">
        <w:rPr>
          <w:iCs/>
          <w:szCs w:val="22"/>
        </w:rPr>
        <w:t>A vizes célprogramok az ország medence jellegéből fakadóan igen fontosak, a tájat pozitívan befolyásolják, azonban a támogatható területek szűk behatárolása miatt (VTT=7 település, nádas művelési ág) csekély a támogatottság,</w:t>
      </w:r>
      <w:r>
        <w:rPr>
          <w:iCs/>
          <w:szCs w:val="22"/>
        </w:rPr>
        <w:t xml:space="preserve"> és országosan nem értékelhető.</w:t>
      </w:r>
    </w:p>
    <w:p w:rsidR="00660338" w:rsidRPr="004D7588" w:rsidRDefault="00660338" w:rsidP="00660338">
      <w:pPr>
        <w:jc w:val="both"/>
        <w:rPr>
          <w:iCs/>
          <w:szCs w:val="22"/>
        </w:rPr>
      </w:pPr>
      <w:r>
        <w:rPr>
          <w:iCs/>
          <w:szCs w:val="22"/>
        </w:rPr>
        <w:t>A legfontosabb konklúzió a táj szempontjából, hogy a beavatkozásokat minél inkább zonális (lokális) szinten kell megtervezni és felügyelni, mert a táj csak az adott területre értelmezhető. A horizontális célprogramok tájhoz való illeszkedése rendszerszerűen nem biztosítható.</w:t>
      </w:r>
    </w:p>
    <w:p w:rsidR="00020AFE" w:rsidRDefault="00020AFE" w:rsidP="00020AFE">
      <w:pPr>
        <w:pStyle w:val="StyleHUNHeading3Justified"/>
        <w:ind w:left="504"/>
      </w:pPr>
      <w:r w:rsidRPr="00A7051C">
        <w:t>Az agrár-környezetvédelmi intézkedések milyen mértékben járultak hozzá a kö</w:t>
      </w:r>
      <w:r w:rsidRPr="00A7051C">
        <w:t>r</w:t>
      </w:r>
      <w:r w:rsidRPr="00A7051C">
        <w:t>nyezet javításához? Tegyen különbséget a végrehajtott agrár</w:t>
      </w:r>
      <w:r>
        <w:t>-</w:t>
      </w:r>
      <w:r w:rsidRPr="00A7051C">
        <w:t>környezetvédelmi inté</w:t>
      </w:r>
      <w:r w:rsidRPr="00A7051C">
        <w:t>z</w:t>
      </w:r>
      <w:r w:rsidRPr="00A7051C">
        <w:t>kedések, mint fokozott követelményeket támasztó, területhez kötődő intézkedések és a kevesebb követelményt támasztó, szélesebb körben elterjedt intézkedések között. (214. intézkedés)</w:t>
      </w:r>
    </w:p>
    <w:p w:rsidR="00020AFE" w:rsidRPr="00F03DB2" w:rsidRDefault="00020AFE" w:rsidP="00020AFE">
      <w:pPr>
        <w:jc w:val="both"/>
        <w:rPr>
          <w:iCs/>
          <w:szCs w:val="22"/>
        </w:rPr>
      </w:pPr>
      <w:r w:rsidRPr="00F03DB2">
        <w:rPr>
          <w:iCs/>
          <w:szCs w:val="22"/>
        </w:rPr>
        <w:t>Összefoglalva az agrár-környezetgazdálkodási program értékelését, fontos hangsúlyozni, hogy a program eddig eltelt időszaka alatt nem várható el mérhető környezeti hatás. Ebből adódóan az értékelés során nem a hatásokat vizsgáltuk, hanem indirekt módszerrel</w:t>
      </w:r>
      <w:r>
        <w:rPr>
          <w:iCs/>
          <w:szCs w:val="22"/>
        </w:rPr>
        <w:t xml:space="preserve"> (potenciálvizsgálattal)</w:t>
      </w:r>
      <w:r w:rsidRPr="00F03DB2">
        <w:rPr>
          <w:iCs/>
          <w:szCs w:val="22"/>
        </w:rPr>
        <w:t xml:space="preserve"> az előírásokon keresztül azt pr</w:t>
      </w:r>
      <w:r w:rsidRPr="00F03DB2">
        <w:rPr>
          <w:iCs/>
          <w:szCs w:val="22"/>
        </w:rPr>
        <w:t>ó</w:t>
      </w:r>
      <w:r w:rsidRPr="00F03DB2">
        <w:rPr>
          <w:iCs/>
          <w:szCs w:val="22"/>
        </w:rPr>
        <w:t xml:space="preserve">báltuk mérhetővé tenni, hogy a program érhet-e </w:t>
      </w:r>
      <w:proofErr w:type="gramStart"/>
      <w:r w:rsidRPr="00F03DB2">
        <w:rPr>
          <w:iCs/>
          <w:szCs w:val="22"/>
        </w:rPr>
        <w:t>el hatást</w:t>
      </w:r>
      <w:proofErr w:type="gramEnd"/>
      <w:r w:rsidRPr="00F03DB2">
        <w:rPr>
          <w:iCs/>
          <w:szCs w:val="22"/>
        </w:rPr>
        <w:t xml:space="preserve"> a jövőben? Nagy hiányosságnak tartjuk azonban, hogy a hatások vizsgálatát szolgáló monitoring rendszer nincs a programhoz rendelve, ami pedig az eredm</w:t>
      </w:r>
      <w:r w:rsidRPr="00F03DB2">
        <w:rPr>
          <w:iCs/>
          <w:szCs w:val="22"/>
        </w:rPr>
        <w:t>é</w:t>
      </w:r>
      <w:r w:rsidRPr="00F03DB2">
        <w:rPr>
          <w:iCs/>
          <w:szCs w:val="22"/>
        </w:rPr>
        <w:t>nyesség mérése szempontjából alapvető fontosságú lenne.</w:t>
      </w:r>
    </w:p>
    <w:p w:rsidR="00020AFE" w:rsidRPr="00F03DB2" w:rsidRDefault="00020AFE" w:rsidP="00020AFE">
      <w:pPr>
        <w:jc w:val="both"/>
        <w:rPr>
          <w:iCs/>
          <w:szCs w:val="22"/>
        </w:rPr>
      </w:pPr>
      <w:r w:rsidRPr="00F03DB2">
        <w:rPr>
          <w:iCs/>
          <w:szCs w:val="22"/>
        </w:rPr>
        <w:t>A vizsgálataink alapján megállapítható, hogy az integrált szántóföldi célprogram környezetre gyakorolt hat</w:t>
      </w:r>
      <w:r w:rsidRPr="00F03DB2">
        <w:rPr>
          <w:iCs/>
          <w:szCs w:val="22"/>
        </w:rPr>
        <w:t>á</w:t>
      </w:r>
      <w:r w:rsidRPr="00F03DB2">
        <w:rPr>
          <w:iCs/>
          <w:szCs w:val="22"/>
        </w:rPr>
        <w:t>sa megkérdőjelezhető, illetve a hozzá rendelt kifizetés nem tekinthető arányosnak. A természetvédelmi z</w:t>
      </w:r>
      <w:r w:rsidRPr="00F03DB2">
        <w:rPr>
          <w:iCs/>
          <w:szCs w:val="22"/>
        </w:rPr>
        <w:t>o</w:t>
      </w:r>
      <w:r w:rsidRPr="00F03DB2">
        <w:rPr>
          <w:iCs/>
          <w:szCs w:val="22"/>
        </w:rPr>
        <w:lastRenderedPageBreak/>
        <w:t xml:space="preserve">nális célprogramok szigorú előírásai vélhetően pozitívan fognak hatni a </w:t>
      </w:r>
      <w:proofErr w:type="spellStart"/>
      <w:r w:rsidRPr="00F03DB2">
        <w:rPr>
          <w:iCs/>
          <w:szCs w:val="22"/>
        </w:rPr>
        <w:t>biodiverzitásra</w:t>
      </w:r>
      <w:proofErr w:type="spellEnd"/>
      <w:r w:rsidRPr="00F03DB2">
        <w:rPr>
          <w:iCs/>
          <w:szCs w:val="22"/>
        </w:rPr>
        <w:t xml:space="preserve">. A szél és vízeróziós célprogramok, illetve a vizes élőhelyek megőrzéséhez kapcsolódó célprogramok látványosan kis területi </w:t>
      </w:r>
      <w:proofErr w:type="spellStart"/>
      <w:r w:rsidRPr="00F03DB2">
        <w:rPr>
          <w:iCs/>
          <w:szCs w:val="22"/>
        </w:rPr>
        <w:t>lefedettségűek</w:t>
      </w:r>
      <w:proofErr w:type="spellEnd"/>
      <w:r w:rsidRPr="00F03DB2">
        <w:rPr>
          <w:iCs/>
          <w:szCs w:val="22"/>
        </w:rPr>
        <w:t>, ezért bár környezeti hatásuk lehetne, nagy jelentőségűnek a program ideje alatt nem tekin</w:t>
      </w:r>
      <w:r w:rsidRPr="00F03DB2">
        <w:rPr>
          <w:iCs/>
          <w:szCs w:val="22"/>
        </w:rPr>
        <w:t>t</w:t>
      </w:r>
      <w:r w:rsidRPr="00F03DB2">
        <w:rPr>
          <w:iCs/>
          <w:szCs w:val="22"/>
        </w:rPr>
        <w:t>hetők. Ez elsősorban a program szerkezetéből, illetve a célprogramok közötti kifizetési aránytalanságnak köszönhető. Az integrált célprogram előírásai egyes területeken megkérdőjelezhető hatást gyakorolnak, h</w:t>
      </w:r>
      <w:r w:rsidRPr="00F03DB2">
        <w:rPr>
          <w:iCs/>
          <w:szCs w:val="22"/>
        </w:rPr>
        <w:t>e</w:t>
      </w:r>
      <w:r w:rsidRPr="00F03DB2">
        <w:rPr>
          <w:iCs/>
          <w:szCs w:val="22"/>
        </w:rPr>
        <w:t>lyenként akár hátrányosan is érinthetik a környezeti erőforrásokat.</w:t>
      </w:r>
    </w:p>
    <w:p w:rsidR="00020AFE" w:rsidRPr="00F03DB2" w:rsidRDefault="00020AFE" w:rsidP="00020AFE">
      <w:pPr>
        <w:jc w:val="both"/>
        <w:rPr>
          <w:iCs/>
          <w:szCs w:val="22"/>
        </w:rPr>
      </w:pPr>
      <w:r w:rsidRPr="00F03DB2">
        <w:rPr>
          <w:iCs/>
          <w:szCs w:val="22"/>
        </w:rPr>
        <w:t xml:space="preserve">A gyepgazdálkodás esetében sok terület az állatlétszámhoz kötött jogosultság miatt esett ki a programból. Ez – megítélésünk szerint – negatív környezeti hatást eredményez, hiszen olyan értékes gyepek is kieshettek </w:t>
      </w:r>
      <w:proofErr w:type="gramStart"/>
      <w:r w:rsidRPr="00F03DB2">
        <w:rPr>
          <w:iCs/>
          <w:szCs w:val="22"/>
        </w:rPr>
        <w:t>ezáltal</w:t>
      </w:r>
      <w:proofErr w:type="gramEnd"/>
      <w:r w:rsidRPr="00F03DB2">
        <w:rPr>
          <w:iCs/>
          <w:szCs w:val="22"/>
        </w:rPr>
        <w:t xml:space="preserve"> a programból, melyek megőrzése indokolt és fontos lehet.</w:t>
      </w:r>
    </w:p>
    <w:p w:rsidR="00020AFE" w:rsidRPr="00F03DB2" w:rsidRDefault="00020AFE" w:rsidP="00020AFE">
      <w:pPr>
        <w:jc w:val="both"/>
        <w:rPr>
          <w:iCs/>
          <w:szCs w:val="22"/>
        </w:rPr>
      </w:pPr>
    </w:p>
    <w:p w:rsidR="00020AFE" w:rsidRDefault="00020AFE" w:rsidP="00020AFE">
      <w:pPr>
        <w:pStyle w:val="StyleHUNHeading3Justified"/>
        <w:ind w:left="504"/>
      </w:pPr>
      <w:r w:rsidRPr="00A7051C">
        <w:t>A támogatott beruházások milyen mértékben járultak hozzá az agrár</w:t>
      </w:r>
      <w:r>
        <w:t>-</w:t>
      </w:r>
      <w:r w:rsidRPr="00A7051C">
        <w:t>környezetvédelmi célkitűzések eléréséhez? (216. intézkedés)</w:t>
      </w:r>
    </w:p>
    <w:p w:rsidR="00020AFE" w:rsidRPr="009245E1" w:rsidRDefault="00020AFE" w:rsidP="00020AFE">
      <w:pPr>
        <w:jc w:val="both"/>
        <w:rPr>
          <w:iCs/>
          <w:szCs w:val="22"/>
        </w:rPr>
      </w:pPr>
      <w:r w:rsidRPr="009245E1">
        <w:rPr>
          <w:iCs/>
          <w:szCs w:val="22"/>
        </w:rPr>
        <w:t xml:space="preserve">A jogcímek jogosultsági alapon kerültek összekapcsolásra, vagyis AKG, vagy </w:t>
      </w:r>
      <w:r>
        <w:rPr>
          <w:iCs/>
          <w:szCs w:val="22"/>
        </w:rPr>
        <w:t>NATURA 2000</w:t>
      </w:r>
      <w:r w:rsidRPr="009245E1">
        <w:rPr>
          <w:iCs/>
          <w:szCs w:val="22"/>
        </w:rPr>
        <w:t xml:space="preserve"> programban résztvevő gazdálkodók pályázhattak a nem termelő beruházásokra. </w:t>
      </w:r>
      <w:r>
        <w:rPr>
          <w:iCs/>
          <w:szCs w:val="22"/>
        </w:rPr>
        <w:t>Ezen kívül a</w:t>
      </w:r>
      <w:r w:rsidRPr="009245E1">
        <w:rPr>
          <w:iCs/>
          <w:szCs w:val="22"/>
        </w:rPr>
        <w:t xml:space="preserve"> tervezés során kiemelt szempont volt a speciális területeken (lejtős területek, MTÉT, sérülékeny ivóvízbázis védőterületei stb.) nem termelő beruházás támogatása. Az AKG </w:t>
      </w:r>
      <w:r>
        <w:rPr>
          <w:iCs/>
          <w:szCs w:val="22"/>
        </w:rPr>
        <w:t xml:space="preserve">estében a tájhasználat váltást célzó </w:t>
      </w:r>
      <w:r w:rsidRPr="009245E1">
        <w:rPr>
          <w:iCs/>
          <w:szCs w:val="22"/>
        </w:rPr>
        <w:t>gyeptelepítési célprogram</w:t>
      </w:r>
      <w:r>
        <w:rPr>
          <w:iCs/>
          <w:szCs w:val="22"/>
        </w:rPr>
        <w:t>ok</w:t>
      </w:r>
      <w:r w:rsidRPr="009245E1">
        <w:rPr>
          <w:iCs/>
          <w:szCs w:val="22"/>
        </w:rPr>
        <w:t>, valamint az ültetvény célprogramok esetében a madárodú kihelyezése tekintetében a nem termelő beruh</w:t>
      </w:r>
      <w:r w:rsidRPr="009245E1">
        <w:rPr>
          <w:iCs/>
          <w:szCs w:val="22"/>
        </w:rPr>
        <w:t>á</w:t>
      </w:r>
      <w:r w:rsidRPr="009245E1">
        <w:rPr>
          <w:iCs/>
          <w:szCs w:val="22"/>
        </w:rPr>
        <w:t>zások a kialakításhoz szükséges forrást biztosítják, ebből kifolyólag elmondható, hogy a két támogatás eg</w:t>
      </w:r>
      <w:r w:rsidRPr="009245E1">
        <w:rPr>
          <w:iCs/>
          <w:szCs w:val="22"/>
        </w:rPr>
        <w:t>y</w:t>
      </w:r>
      <w:r w:rsidRPr="009245E1">
        <w:rPr>
          <w:iCs/>
          <w:szCs w:val="22"/>
        </w:rPr>
        <w:t>másra épülése</w:t>
      </w:r>
    </w:p>
    <w:p w:rsidR="00020AFE" w:rsidRPr="009245E1" w:rsidRDefault="00020AFE" w:rsidP="00020AFE">
      <w:pPr>
        <w:jc w:val="both"/>
        <w:rPr>
          <w:iCs/>
          <w:szCs w:val="22"/>
        </w:rPr>
      </w:pPr>
    </w:p>
    <w:p w:rsidR="00020AFE" w:rsidRDefault="00020AFE" w:rsidP="00020AFE">
      <w:pPr>
        <w:pStyle w:val="StyleHUNHeading3Justified"/>
        <w:ind w:left="504"/>
      </w:pPr>
      <w:r w:rsidRPr="00A7051C">
        <w:t xml:space="preserve">A támogatott beruházások milyen mértékben járultak hozzá a </w:t>
      </w:r>
      <w:proofErr w:type="spellStart"/>
      <w:r w:rsidRPr="00A7051C">
        <w:t>Natura</w:t>
      </w:r>
      <w:proofErr w:type="spellEnd"/>
      <w:r w:rsidRPr="00A7051C">
        <w:t xml:space="preserve"> 2000 terül</w:t>
      </w:r>
      <w:r w:rsidRPr="00A7051C">
        <w:t>e</w:t>
      </w:r>
      <w:r w:rsidRPr="00A7051C">
        <w:t>tek és/vagy más magas természeti értékű területek közjóléti értékének növeléséhez? (216. intézkedés)</w:t>
      </w:r>
    </w:p>
    <w:p w:rsidR="00020AFE" w:rsidRPr="009245E1" w:rsidRDefault="004734AA" w:rsidP="00020AFE">
      <w:pPr>
        <w:jc w:val="both"/>
        <w:rPr>
          <w:iCs/>
          <w:szCs w:val="22"/>
        </w:rPr>
      </w:pPr>
      <w:r>
        <w:rPr>
          <w:iCs/>
          <w:szCs w:val="22"/>
        </w:rPr>
        <w:t>A projektek megvalósításának csekély előrehaladottsága miatt a kérdés jelen értékelés keretében nem v</w:t>
      </w:r>
      <w:r>
        <w:rPr>
          <w:iCs/>
          <w:szCs w:val="22"/>
        </w:rPr>
        <w:t>á</w:t>
      </w:r>
      <w:r>
        <w:rPr>
          <w:iCs/>
          <w:szCs w:val="22"/>
        </w:rPr>
        <w:t>laszolható meg.</w:t>
      </w:r>
    </w:p>
    <w:p w:rsidR="00020AFE" w:rsidRPr="00A7051C" w:rsidRDefault="00020AFE" w:rsidP="00020AFE">
      <w:pPr>
        <w:jc w:val="both"/>
      </w:pPr>
    </w:p>
    <w:p w:rsidR="00020AFE" w:rsidRDefault="00020AFE" w:rsidP="00020AFE">
      <w:pPr>
        <w:pStyle w:val="StyleHUNHeading3Justified"/>
        <w:ind w:left="504"/>
      </w:pPr>
      <w:r w:rsidRPr="00A7051C">
        <w:t>A támogatott beruházások milyen mértékben járultak hozzá a vidék megőrzéséhez és a környezet javításához? (216. intézkedés)</w:t>
      </w:r>
    </w:p>
    <w:p w:rsidR="00020AFE" w:rsidRPr="009245E1" w:rsidRDefault="00020AFE" w:rsidP="00020AFE">
      <w:pPr>
        <w:jc w:val="both"/>
        <w:rPr>
          <w:iCs/>
          <w:szCs w:val="22"/>
        </w:rPr>
      </w:pPr>
      <w:r w:rsidRPr="009245E1">
        <w:rPr>
          <w:iCs/>
          <w:szCs w:val="22"/>
        </w:rPr>
        <w:t>A</w:t>
      </w:r>
      <w:r>
        <w:rPr>
          <w:iCs/>
          <w:szCs w:val="22"/>
        </w:rPr>
        <w:t>z on-line</w:t>
      </w:r>
      <w:r w:rsidRPr="009245E1">
        <w:rPr>
          <w:iCs/>
          <w:szCs w:val="22"/>
        </w:rPr>
        <w:t xml:space="preserve"> kérdőíves </w:t>
      </w:r>
      <w:r>
        <w:rPr>
          <w:iCs/>
          <w:szCs w:val="22"/>
        </w:rPr>
        <w:t>felmérés eredményei</w:t>
      </w:r>
      <w:r w:rsidRPr="009245E1">
        <w:rPr>
          <w:iCs/>
          <w:szCs w:val="22"/>
        </w:rPr>
        <w:t xml:space="preserve"> alapján elmondható, hogy a vidék megőrzéséhez a program hozz</w:t>
      </w:r>
      <w:r w:rsidRPr="009245E1">
        <w:rPr>
          <w:iCs/>
          <w:szCs w:val="22"/>
        </w:rPr>
        <w:t>á</w:t>
      </w:r>
      <w:r w:rsidRPr="009245E1">
        <w:rPr>
          <w:iCs/>
          <w:szCs w:val="22"/>
        </w:rPr>
        <w:t>járul, azonban fontosnak tarjuk megemlíteni, hogy mivel ez a cél a több</w:t>
      </w:r>
      <w:r>
        <w:rPr>
          <w:iCs/>
          <w:szCs w:val="22"/>
        </w:rPr>
        <w:t>i II. t</w:t>
      </w:r>
      <w:r w:rsidRPr="009245E1">
        <w:rPr>
          <w:iCs/>
          <w:szCs w:val="22"/>
        </w:rPr>
        <w:t>engelyes intézkedés esetében is megfogalmazásra került, nehéz az intézkedések hatását egymástól elkülönülten értelmezni. Összességében megállapítható, hogy az intézkedések pozitív változást hoztak a vidék, vidéki tájkép megőrzésében.</w:t>
      </w:r>
    </w:p>
    <w:p w:rsidR="00020AFE" w:rsidRPr="00A7051C" w:rsidRDefault="00020AFE" w:rsidP="00020AFE">
      <w:pPr>
        <w:jc w:val="both"/>
      </w:pPr>
    </w:p>
    <w:p w:rsidR="00020AFE" w:rsidRDefault="00020AFE" w:rsidP="00020AFE">
      <w:pPr>
        <w:pStyle w:val="StyleHUNHeading3Justified"/>
        <w:ind w:left="504"/>
      </w:pPr>
      <w:r w:rsidRPr="00A7051C">
        <w:t>Az intézkedés milyen mértékben járult hozzá jelentős erdős területek környeze</w:t>
      </w:r>
      <w:r w:rsidRPr="00A7051C">
        <w:t>t</w:t>
      </w:r>
      <w:r w:rsidRPr="00A7051C">
        <w:t>védelemmel összhangban történő kialakításához? (221. intézkedés)</w:t>
      </w:r>
    </w:p>
    <w:p w:rsidR="00020AFE" w:rsidRDefault="00020AFE" w:rsidP="00020AFE">
      <w:pPr>
        <w:jc w:val="both"/>
      </w:pPr>
      <w:r w:rsidRPr="007F17CF">
        <w:t>A</w:t>
      </w:r>
      <w:r>
        <w:t xml:space="preserve"> támogatás segítségével megvalósuló erdőtelepítések mérete és megoszlása mutatja az intézkedés hozz</w:t>
      </w:r>
      <w:r>
        <w:t>á</w:t>
      </w:r>
      <w:r>
        <w:t>járulását az erdőterületek kialakításához:</w:t>
      </w:r>
    </w:p>
    <w:tbl>
      <w:tblPr>
        <w:tblStyle w:val="MediumShading1-Accent2"/>
        <w:tblW w:w="0" w:type="auto"/>
        <w:tblLook w:val="04A0"/>
      </w:tblPr>
      <w:tblGrid>
        <w:gridCol w:w="1550"/>
        <w:gridCol w:w="1550"/>
        <w:gridCol w:w="1550"/>
        <w:gridCol w:w="1551"/>
        <w:gridCol w:w="1551"/>
        <w:gridCol w:w="1551"/>
      </w:tblGrid>
      <w:tr w:rsidR="00020AFE" w:rsidTr="00D450E8">
        <w:trPr>
          <w:cnfStyle w:val="100000000000"/>
        </w:trPr>
        <w:tc>
          <w:tcPr>
            <w:cnfStyle w:val="001000000000"/>
            <w:tcW w:w="1550" w:type="dxa"/>
            <w:vAlign w:val="center"/>
          </w:tcPr>
          <w:p w:rsidR="00020AFE" w:rsidRPr="00063A12" w:rsidRDefault="00020AFE" w:rsidP="00D450E8">
            <w:pPr>
              <w:jc w:val="center"/>
              <w:rPr>
                <w:rFonts w:cs="Arial"/>
              </w:rPr>
            </w:pPr>
            <w:r w:rsidRPr="00063A12">
              <w:rPr>
                <w:rFonts w:cs="Arial"/>
              </w:rPr>
              <w:lastRenderedPageBreak/>
              <w:t>Megye</w:t>
            </w:r>
          </w:p>
        </w:tc>
        <w:tc>
          <w:tcPr>
            <w:tcW w:w="1550" w:type="dxa"/>
            <w:vAlign w:val="center"/>
          </w:tcPr>
          <w:p w:rsidR="00020AFE" w:rsidRPr="00063A12" w:rsidRDefault="00020AFE" w:rsidP="00D450E8">
            <w:pPr>
              <w:jc w:val="center"/>
              <w:cnfStyle w:val="100000000000"/>
              <w:rPr>
                <w:rFonts w:cs="Arial"/>
              </w:rPr>
            </w:pPr>
            <w:r w:rsidRPr="00063A12">
              <w:rPr>
                <w:rFonts w:cs="Arial"/>
              </w:rPr>
              <w:t>Terület (ha)</w:t>
            </w:r>
          </w:p>
        </w:tc>
        <w:tc>
          <w:tcPr>
            <w:tcW w:w="1550" w:type="dxa"/>
            <w:vAlign w:val="center"/>
          </w:tcPr>
          <w:p w:rsidR="00020AFE" w:rsidRPr="00063A12" w:rsidRDefault="00020AFE" w:rsidP="00D450E8">
            <w:pPr>
              <w:jc w:val="center"/>
              <w:cnfStyle w:val="100000000000"/>
              <w:rPr>
                <w:rFonts w:cs="Arial"/>
              </w:rPr>
            </w:pPr>
            <w:r w:rsidRPr="00063A12">
              <w:rPr>
                <w:rFonts w:cs="Arial"/>
              </w:rPr>
              <w:t>Arány (%)</w:t>
            </w:r>
          </w:p>
        </w:tc>
        <w:tc>
          <w:tcPr>
            <w:tcW w:w="1551" w:type="dxa"/>
            <w:vAlign w:val="center"/>
          </w:tcPr>
          <w:p w:rsidR="00020AFE" w:rsidRPr="00063A12" w:rsidRDefault="00020AFE" w:rsidP="00D450E8">
            <w:pPr>
              <w:jc w:val="center"/>
              <w:cnfStyle w:val="100000000000"/>
              <w:rPr>
                <w:rFonts w:cs="Arial"/>
              </w:rPr>
            </w:pPr>
            <w:r w:rsidRPr="00063A12">
              <w:rPr>
                <w:rFonts w:cs="Arial"/>
              </w:rPr>
              <w:t>Megye</w:t>
            </w:r>
          </w:p>
        </w:tc>
        <w:tc>
          <w:tcPr>
            <w:tcW w:w="1551" w:type="dxa"/>
            <w:vAlign w:val="center"/>
          </w:tcPr>
          <w:p w:rsidR="00020AFE" w:rsidRPr="00063A12" w:rsidRDefault="00020AFE" w:rsidP="00D450E8">
            <w:pPr>
              <w:jc w:val="center"/>
              <w:cnfStyle w:val="100000000000"/>
              <w:rPr>
                <w:rFonts w:cs="Arial"/>
              </w:rPr>
            </w:pPr>
            <w:r w:rsidRPr="00063A12">
              <w:rPr>
                <w:rFonts w:cs="Arial"/>
              </w:rPr>
              <w:t>Terület (ha)</w:t>
            </w:r>
          </w:p>
        </w:tc>
        <w:tc>
          <w:tcPr>
            <w:tcW w:w="1551" w:type="dxa"/>
            <w:vAlign w:val="center"/>
          </w:tcPr>
          <w:p w:rsidR="00020AFE" w:rsidRPr="00063A12" w:rsidRDefault="00020AFE" w:rsidP="00D450E8">
            <w:pPr>
              <w:jc w:val="center"/>
              <w:cnfStyle w:val="100000000000"/>
              <w:rPr>
                <w:rFonts w:cs="Arial"/>
              </w:rPr>
            </w:pPr>
            <w:r w:rsidRPr="00063A12">
              <w:rPr>
                <w:rFonts w:cs="Arial"/>
              </w:rPr>
              <w:t>Arány (%)</w:t>
            </w:r>
          </w:p>
        </w:tc>
      </w:tr>
      <w:tr w:rsidR="00020AFE" w:rsidTr="00D450E8">
        <w:trPr>
          <w:cnfStyle w:val="000000100000"/>
        </w:trPr>
        <w:tc>
          <w:tcPr>
            <w:cnfStyle w:val="001000000000"/>
            <w:tcW w:w="1550" w:type="dxa"/>
            <w:vAlign w:val="center"/>
          </w:tcPr>
          <w:p w:rsidR="00020AFE" w:rsidRPr="00063A12" w:rsidRDefault="00020AFE" w:rsidP="00D450E8">
            <w:pPr>
              <w:jc w:val="center"/>
              <w:rPr>
                <w:rFonts w:cs="Arial"/>
                <w:b w:val="0"/>
              </w:rPr>
            </w:pPr>
            <w:r w:rsidRPr="00063A12">
              <w:rPr>
                <w:rFonts w:cs="Arial"/>
                <w:b w:val="0"/>
              </w:rPr>
              <w:t>Szabolcs-Szatmár-Bereg</w:t>
            </w:r>
          </w:p>
        </w:tc>
        <w:tc>
          <w:tcPr>
            <w:tcW w:w="1550" w:type="dxa"/>
            <w:vAlign w:val="center"/>
          </w:tcPr>
          <w:p w:rsidR="00020AFE" w:rsidRPr="005573C3" w:rsidRDefault="00020AFE" w:rsidP="00D450E8">
            <w:pPr>
              <w:jc w:val="center"/>
              <w:cnfStyle w:val="000000100000"/>
              <w:rPr>
                <w:rFonts w:cs="Arial"/>
              </w:rPr>
            </w:pPr>
            <w:r w:rsidRPr="005573C3">
              <w:rPr>
                <w:rFonts w:cs="Arial"/>
              </w:rPr>
              <w:t>5418,76</w:t>
            </w:r>
          </w:p>
        </w:tc>
        <w:tc>
          <w:tcPr>
            <w:tcW w:w="1550" w:type="dxa"/>
            <w:vAlign w:val="center"/>
          </w:tcPr>
          <w:p w:rsidR="00020AFE" w:rsidRPr="005573C3" w:rsidRDefault="00020AFE" w:rsidP="00D450E8">
            <w:pPr>
              <w:jc w:val="center"/>
              <w:cnfStyle w:val="000000100000"/>
              <w:rPr>
                <w:rFonts w:cs="Arial"/>
              </w:rPr>
            </w:pPr>
            <w:r w:rsidRPr="005573C3">
              <w:rPr>
                <w:rFonts w:cs="Arial"/>
              </w:rPr>
              <w:t>26,9</w:t>
            </w:r>
          </w:p>
        </w:tc>
        <w:tc>
          <w:tcPr>
            <w:tcW w:w="1551" w:type="dxa"/>
            <w:vAlign w:val="center"/>
          </w:tcPr>
          <w:p w:rsidR="00020AFE" w:rsidRPr="005573C3" w:rsidRDefault="00020AFE" w:rsidP="00D450E8">
            <w:pPr>
              <w:jc w:val="center"/>
              <w:cnfStyle w:val="000000100000"/>
              <w:rPr>
                <w:rFonts w:cs="Arial"/>
              </w:rPr>
            </w:pPr>
            <w:r w:rsidRPr="005573C3">
              <w:rPr>
                <w:rFonts w:cs="Arial"/>
              </w:rPr>
              <w:t>Baranya</w:t>
            </w:r>
          </w:p>
        </w:tc>
        <w:tc>
          <w:tcPr>
            <w:tcW w:w="1551" w:type="dxa"/>
            <w:vAlign w:val="center"/>
          </w:tcPr>
          <w:p w:rsidR="00020AFE" w:rsidRPr="005573C3" w:rsidRDefault="00020AFE" w:rsidP="00D450E8">
            <w:pPr>
              <w:jc w:val="center"/>
              <w:cnfStyle w:val="000000100000"/>
              <w:rPr>
                <w:rFonts w:cs="Arial"/>
              </w:rPr>
            </w:pPr>
            <w:r w:rsidRPr="005573C3">
              <w:rPr>
                <w:rFonts w:cs="Arial"/>
              </w:rPr>
              <w:t>453,68</w:t>
            </w:r>
          </w:p>
        </w:tc>
        <w:tc>
          <w:tcPr>
            <w:tcW w:w="1551" w:type="dxa"/>
            <w:vAlign w:val="center"/>
          </w:tcPr>
          <w:p w:rsidR="00020AFE" w:rsidRPr="005573C3" w:rsidRDefault="00020AFE" w:rsidP="00D450E8">
            <w:pPr>
              <w:jc w:val="center"/>
              <w:cnfStyle w:val="000000100000"/>
              <w:rPr>
                <w:rFonts w:cs="Arial"/>
              </w:rPr>
            </w:pPr>
            <w:r w:rsidRPr="005573C3">
              <w:rPr>
                <w:rFonts w:cs="Arial"/>
              </w:rPr>
              <w:t>2,3</w:t>
            </w:r>
          </w:p>
        </w:tc>
      </w:tr>
      <w:tr w:rsidR="00020AFE" w:rsidTr="00D450E8">
        <w:trPr>
          <w:cnfStyle w:val="000000010000"/>
        </w:trPr>
        <w:tc>
          <w:tcPr>
            <w:cnfStyle w:val="001000000000"/>
            <w:tcW w:w="1550" w:type="dxa"/>
            <w:vAlign w:val="center"/>
          </w:tcPr>
          <w:p w:rsidR="00020AFE" w:rsidRPr="00063A12" w:rsidRDefault="00020AFE" w:rsidP="00D450E8">
            <w:pPr>
              <w:jc w:val="center"/>
              <w:rPr>
                <w:rFonts w:cs="Arial"/>
                <w:b w:val="0"/>
              </w:rPr>
            </w:pPr>
            <w:r w:rsidRPr="00063A12">
              <w:rPr>
                <w:rFonts w:cs="Arial"/>
                <w:b w:val="0"/>
              </w:rPr>
              <w:t>Bács-Kiskun</w:t>
            </w:r>
          </w:p>
        </w:tc>
        <w:tc>
          <w:tcPr>
            <w:tcW w:w="1550" w:type="dxa"/>
            <w:vAlign w:val="center"/>
          </w:tcPr>
          <w:p w:rsidR="00020AFE" w:rsidRPr="005573C3" w:rsidRDefault="00020AFE" w:rsidP="00D450E8">
            <w:pPr>
              <w:jc w:val="center"/>
              <w:cnfStyle w:val="000000010000"/>
              <w:rPr>
                <w:rFonts w:cs="Arial"/>
              </w:rPr>
            </w:pPr>
            <w:r w:rsidRPr="005573C3">
              <w:rPr>
                <w:rFonts w:cs="Arial"/>
              </w:rPr>
              <w:t>4210,76</w:t>
            </w:r>
          </w:p>
        </w:tc>
        <w:tc>
          <w:tcPr>
            <w:tcW w:w="1550" w:type="dxa"/>
            <w:vAlign w:val="center"/>
          </w:tcPr>
          <w:p w:rsidR="00020AFE" w:rsidRPr="005573C3" w:rsidRDefault="00020AFE" w:rsidP="00D450E8">
            <w:pPr>
              <w:jc w:val="center"/>
              <w:cnfStyle w:val="000000010000"/>
              <w:rPr>
                <w:rFonts w:cs="Arial"/>
              </w:rPr>
            </w:pPr>
            <w:r w:rsidRPr="005573C3">
              <w:rPr>
                <w:rFonts w:cs="Arial"/>
              </w:rPr>
              <w:t>20,9</w:t>
            </w:r>
          </w:p>
        </w:tc>
        <w:tc>
          <w:tcPr>
            <w:tcW w:w="1551" w:type="dxa"/>
            <w:vAlign w:val="center"/>
          </w:tcPr>
          <w:p w:rsidR="00020AFE" w:rsidRPr="005573C3" w:rsidRDefault="00020AFE" w:rsidP="00D450E8">
            <w:pPr>
              <w:jc w:val="center"/>
              <w:cnfStyle w:val="000000010000"/>
              <w:rPr>
                <w:rFonts w:cs="Arial"/>
              </w:rPr>
            </w:pPr>
            <w:r w:rsidRPr="005573C3">
              <w:rPr>
                <w:rFonts w:cs="Arial"/>
              </w:rPr>
              <w:t>Nógrád</w:t>
            </w:r>
          </w:p>
        </w:tc>
        <w:tc>
          <w:tcPr>
            <w:tcW w:w="1551" w:type="dxa"/>
            <w:vAlign w:val="center"/>
          </w:tcPr>
          <w:p w:rsidR="00020AFE" w:rsidRPr="005573C3" w:rsidRDefault="00020AFE" w:rsidP="00D450E8">
            <w:pPr>
              <w:jc w:val="center"/>
              <w:cnfStyle w:val="000000010000"/>
              <w:rPr>
                <w:rFonts w:cs="Arial"/>
              </w:rPr>
            </w:pPr>
            <w:r w:rsidRPr="005573C3">
              <w:rPr>
                <w:rFonts w:cs="Arial"/>
              </w:rPr>
              <w:t>427,72</w:t>
            </w:r>
          </w:p>
        </w:tc>
        <w:tc>
          <w:tcPr>
            <w:tcW w:w="1551" w:type="dxa"/>
            <w:vAlign w:val="center"/>
          </w:tcPr>
          <w:p w:rsidR="00020AFE" w:rsidRPr="005573C3" w:rsidRDefault="00020AFE" w:rsidP="00D450E8">
            <w:pPr>
              <w:jc w:val="center"/>
              <w:cnfStyle w:val="000000010000"/>
              <w:rPr>
                <w:rFonts w:cs="Arial"/>
              </w:rPr>
            </w:pPr>
            <w:r w:rsidRPr="005573C3">
              <w:rPr>
                <w:rFonts w:cs="Arial"/>
              </w:rPr>
              <w:t>2,1</w:t>
            </w:r>
          </w:p>
        </w:tc>
      </w:tr>
      <w:tr w:rsidR="00020AFE" w:rsidTr="00D450E8">
        <w:trPr>
          <w:cnfStyle w:val="000000100000"/>
        </w:trPr>
        <w:tc>
          <w:tcPr>
            <w:cnfStyle w:val="001000000000"/>
            <w:tcW w:w="1550" w:type="dxa"/>
            <w:vAlign w:val="center"/>
          </w:tcPr>
          <w:p w:rsidR="00020AFE" w:rsidRPr="00063A12" w:rsidRDefault="00020AFE" w:rsidP="00D450E8">
            <w:pPr>
              <w:jc w:val="center"/>
              <w:rPr>
                <w:rFonts w:cs="Arial"/>
                <w:b w:val="0"/>
              </w:rPr>
            </w:pPr>
            <w:r w:rsidRPr="00063A12">
              <w:rPr>
                <w:rFonts w:cs="Arial"/>
                <w:b w:val="0"/>
              </w:rPr>
              <w:t>Csongrád</w:t>
            </w:r>
          </w:p>
        </w:tc>
        <w:tc>
          <w:tcPr>
            <w:tcW w:w="1550" w:type="dxa"/>
            <w:vAlign w:val="center"/>
          </w:tcPr>
          <w:p w:rsidR="00020AFE" w:rsidRPr="005573C3" w:rsidRDefault="00020AFE" w:rsidP="00D450E8">
            <w:pPr>
              <w:jc w:val="center"/>
              <w:cnfStyle w:val="000000100000"/>
              <w:rPr>
                <w:rFonts w:cs="Arial"/>
              </w:rPr>
            </w:pPr>
            <w:r w:rsidRPr="005573C3">
              <w:rPr>
                <w:rFonts w:cs="Arial"/>
              </w:rPr>
              <w:t>2094,54</w:t>
            </w:r>
          </w:p>
        </w:tc>
        <w:tc>
          <w:tcPr>
            <w:tcW w:w="1550" w:type="dxa"/>
            <w:vAlign w:val="center"/>
          </w:tcPr>
          <w:p w:rsidR="00020AFE" w:rsidRPr="005573C3" w:rsidRDefault="00020AFE" w:rsidP="00D450E8">
            <w:pPr>
              <w:jc w:val="center"/>
              <w:cnfStyle w:val="000000100000"/>
              <w:rPr>
                <w:rFonts w:cs="Arial"/>
              </w:rPr>
            </w:pPr>
            <w:r w:rsidRPr="005573C3">
              <w:rPr>
                <w:rFonts w:cs="Arial"/>
              </w:rPr>
              <w:t>10,4</w:t>
            </w:r>
          </w:p>
        </w:tc>
        <w:tc>
          <w:tcPr>
            <w:tcW w:w="1551" w:type="dxa"/>
            <w:vAlign w:val="center"/>
          </w:tcPr>
          <w:p w:rsidR="00020AFE" w:rsidRPr="005573C3" w:rsidRDefault="00020AFE" w:rsidP="00D450E8">
            <w:pPr>
              <w:jc w:val="center"/>
              <w:cnfStyle w:val="000000100000"/>
              <w:rPr>
                <w:rFonts w:cs="Arial"/>
              </w:rPr>
            </w:pPr>
            <w:r w:rsidRPr="005573C3">
              <w:rPr>
                <w:rFonts w:cs="Arial"/>
              </w:rPr>
              <w:t>Tolna</w:t>
            </w:r>
          </w:p>
        </w:tc>
        <w:tc>
          <w:tcPr>
            <w:tcW w:w="1551" w:type="dxa"/>
            <w:vAlign w:val="center"/>
          </w:tcPr>
          <w:p w:rsidR="00020AFE" w:rsidRPr="005573C3" w:rsidRDefault="00020AFE" w:rsidP="00D450E8">
            <w:pPr>
              <w:jc w:val="center"/>
              <w:cnfStyle w:val="000000100000"/>
              <w:rPr>
                <w:rFonts w:cs="Arial"/>
              </w:rPr>
            </w:pPr>
            <w:r w:rsidRPr="005573C3">
              <w:rPr>
                <w:rFonts w:cs="Arial"/>
              </w:rPr>
              <w:t>312,27</w:t>
            </w:r>
          </w:p>
        </w:tc>
        <w:tc>
          <w:tcPr>
            <w:tcW w:w="1551" w:type="dxa"/>
            <w:vAlign w:val="center"/>
          </w:tcPr>
          <w:p w:rsidR="00020AFE" w:rsidRPr="005573C3" w:rsidRDefault="00020AFE" w:rsidP="00D450E8">
            <w:pPr>
              <w:jc w:val="center"/>
              <w:cnfStyle w:val="000000100000"/>
              <w:rPr>
                <w:rFonts w:cs="Arial"/>
              </w:rPr>
            </w:pPr>
            <w:r w:rsidRPr="005573C3">
              <w:rPr>
                <w:rFonts w:cs="Arial"/>
              </w:rPr>
              <w:t>1,6</w:t>
            </w:r>
          </w:p>
        </w:tc>
      </w:tr>
      <w:tr w:rsidR="00020AFE" w:rsidTr="00D450E8">
        <w:trPr>
          <w:cnfStyle w:val="000000010000"/>
        </w:trPr>
        <w:tc>
          <w:tcPr>
            <w:cnfStyle w:val="001000000000"/>
            <w:tcW w:w="1550" w:type="dxa"/>
            <w:vAlign w:val="center"/>
          </w:tcPr>
          <w:p w:rsidR="00020AFE" w:rsidRPr="00063A12" w:rsidRDefault="00020AFE" w:rsidP="00D450E8">
            <w:pPr>
              <w:jc w:val="center"/>
              <w:rPr>
                <w:rFonts w:cs="Arial"/>
                <w:b w:val="0"/>
              </w:rPr>
            </w:pPr>
            <w:r w:rsidRPr="00063A12">
              <w:rPr>
                <w:rFonts w:cs="Arial"/>
                <w:b w:val="0"/>
              </w:rPr>
              <w:t>Pest</w:t>
            </w:r>
          </w:p>
        </w:tc>
        <w:tc>
          <w:tcPr>
            <w:tcW w:w="1550" w:type="dxa"/>
            <w:vAlign w:val="center"/>
          </w:tcPr>
          <w:p w:rsidR="00020AFE" w:rsidRPr="005573C3" w:rsidRDefault="00020AFE" w:rsidP="00D450E8">
            <w:pPr>
              <w:jc w:val="center"/>
              <w:cnfStyle w:val="000000010000"/>
              <w:rPr>
                <w:rFonts w:cs="Arial"/>
              </w:rPr>
            </w:pPr>
            <w:r w:rsidRPr="005573C3">
              <w:rPr>
                <w:rFonts w:cs="Arial"/>
              </w:rPr>
              <w:t>1578,96</w:t>
            </w:r>
          </w:p>
        </w:tc>
        <w:tc>
          <w:tcPr>
            <w:tcW w:w="1550" w:type="dxa"/>
            <w:vAlign w:val="center"/>
          </w:tcPr>
          <w:p w:rsidR="00020AFE" w:rsidRPr="005573C3" w:rsidRDefault="00020AFE" w:rsidP="00D450E8">
            <w:pPr>
              <w:jc w:val="center"/>
              <w:cnfStyle w:val="000000010000"/>
              <w:rPr>
                <w:rFonts w:cs="Arial"/>
              </w:rPr>
            </w:pPr>
            <w:r w:rsidRPr="005573C3">
              <w:rPr>
                <w:rFonts w:cs="Arial"/>
              </w:rPr>
              <w:t>7,9</w:t>
            </w:r>
          </w:p>
        </w:tc>
        <w:tc>
          <w:tcPr>
            <w:tcW w:w="1551" w:type="dxa"/>
            <w:vAlign w:val="center"/>
          </w:tcPr>
          <w:p w:rsidR="00020AFE" w:rsidRPr="005573C3" w:rsidRDefault="00020AFE" w:rsidP="00D450E8">
            <w:pPr>
              <w:jc w:val="center"/>
              <w:cnfStyle w:val="000000010000"/>
              <w:rPr>
                <w:rFonts w:cs="Arial"/>
              </w:rPr>
            </w:pPr>
            <w:r w:rsidRPr="005573C3">
              <w:rPr>
                <w:rFonts w:cs="Arial"/>
              </w:rPr>
              <w:t>Győr-Moson-Sopron</w:t>
            </w:r>
          </w:p>
        </w:tc>
        <w:tc>
          <w:tcPr>
            <w:tcW w:w="1551" w:type="dxa"/>
            <w:vAlign w:val="center"/>
          </w:tcPr>
          <w:p w:rsidR="00020AFE" w:rsidRPr="005573C3" w:rsidRDefault="00020AFE" w:rsidP="00D450E8">
            <w:pPr>
              <w:jc w:val="center"/>
              <w:cnfStyle w:val="000000010000"/>
              <w:rPr>
                <w:rFonts w:cs="Arial"/>
              </w:rPr>
            </w:pPr>
            <w:r w:rsidRPr="005573C3">
              <w:rPr>
                <w:rFonts w:cs="Arial"/>
              </w:rPr>
              <w:t>279,11</w:t>
            </w:r>
          </w:p>
        </w:tc>
        <w:tc>
          <w:tcPr>
            <w:tcW w:w="1551" w:type="dxa"/>
            <w:vAlign w:val="center"/>
          </w:tcPr>
          <w:p w:rsidR="00020AFE" w:rsidRPr="005573C3" w:rsidRDefault="00020AFE" w:rsidP="00D450E8">
            <w:pPr>
              <w:jc w:val="center"/>
              <w:cnfStyle w:val="000000010000"/>
              <w:rPr>
                <w:rFonts w:cs="Arial"/>
              </w:rPr>
            </w:pPr>
            <w:r w:rsidRPr="005573C3">
              <w:rPr>
                <w:rFonts w:cs="Arial"/>
              </w:rPr>
              <w:t>1,4</w:t>
            </w:r>
          </w:p>
        </w:tc>
      </w:tr>
      <w:tr w:rsidR="00020AFE" w:rsidTr="00D450E8">
        <w:trPr>
          <w:cnfStyle w:val="000000100000"/>
        </w:trPr>
        <w:tc>
          <w:tcPr>
            <w:cnfStyle w:val="001000000000"/>
            <w:tcW w:w="1550" w:type="dxa"/>
            <w:vAlign w:val="center"/>
          </w:tcPr>
          <w:p w:rsidR="00020AFE" w:rsidRPr="00063A12" w:rsidRDefault="00020AFE" w:rsidP="00D450E8">
            <w:pPr>
              <w:jc w:val="center"/>
              <w:rPr>
                <w:rFonts w:cs="Arial"/>
                <w:b w:val="0"/>
              </w:rPr>
            </w:pPr>
            <w:r w:rsidRPr="00063A12">
              <w:rPr>
                <w:rFonts w:cs="Arial"/>
                <w:b w:val="0"/>
              </w:rPr>
              <w:t>Somogy</w:t>
            </w:r>
          </w:p>
        </w:tc>
        <w:tc>
          <w:tcPr>
            <w:tcW w:w="1550" w:type="dxa"/>
            <w:vAlign w:val="center"/>
          </w:tcPr>
          <w:p w:rsidR="00020AFE" w:rsidRPr="005573C3" w:rsidRDefault="00020AFE" w:rsidP="00D450E8">
            <w:pPr>
              <w:jc w:val="center"/>
              <w:cnfStyle w:val="000000100000"/>
              <w:rPr>
                <w:rFonts w:cs="Arial"/>
              </w:rPr>
            </w:pPr>
            <w:r w:rsidRPr="005573C3">
              <w:rPr>
                <w:rFonts w:cs="Arial"/>
              </w:rPr>
              <w:t>1554,02</w:t>
            </w:r>
          </w:p>
        </w:tc>
        <w:tc>
          <w:tcPr>
            <w:tcW w:w="1550" w:type="dxa"/>
            <w:vAlign w:val="center"/>
          </w:tcPr>
          <w:p w:rsidR="00020AFE" w:rsidRPr="005573C3" w:rsidRDefault="00020AFE" w:rsidP="00D450E8">
            <w:pPr>
              <w:jc w:val="center"/>
              <w:cnfStyle w:val="000000100000"/>
              <w:rPr>
                <w:rFonts w:cs="Arial"/>
              </w:rPr>
            </w:pPr>
            <w:r w:rsidRPr="005573C3">
              <w:rPr>
                <w:rFonts w:cs="Arial"/>
              </w:rPr>
              <w:t>7,7</w:t>
            </w:r>
          </w:p>
        </w:tc>
        <w:tc>
          <w:tcPr>
            <w:tcW w:w="1551" w:type="dxa"/>
            <w:vAlign w:val="center"/>
          </w:tcPr>
          <w:p w:rsidR="00020AFE" w:rsidRPr="005573C3" w:rsidRDefault="00020AFE" w:rsidP="00D450E8">
            <w:pPr>
              <w:jc w:val="center"/>
              <w:cnfStyle w:val="000000100000"/>
              <w:rPr>
                <w:rFonts w:cs="Arial"/>
              </w:rPr>
            </w:pPr>
            <w:r w:rsidRPr="005573C3">
              <w:rPr>
                <w:rFonts w:cs="Arial"/>
              </w:rPr>
              <w:t>Zala</w:t>
            </w:r>
          </w:p>
        </w:tc>
        <w:tc>
          <w:tcPr>
            <w:tcW w:w="1551" w:type="dxa"/>
            <w:vAlign w:val="center"/>
          </w:tcPr>
          <w:p w:rsidR="00020AFE" w:rsidRPr="005573C3" w:rsidRDefault="00020AFE" w:rsidP="00D450E8">
            <w:pPr>
              <w:jc w:val="center"/>
              <w:cnfStyle w:val="000000100000"/>
              <w:rPr>
                <w:rFonts w:cs="Arial"/>
              </w:rPr>
            </w:pPr>
            <w:r w:rsidRPr="005573C3">
              <w:rPr>
                <w:rFonts w:cs="Arial"/>
              </w:rPr>
              <w:t>167,21</w:t>
            </w:r>
          </w:p>
        </w:tc>
        <w:tc>
          <w:tcPr>
            <w:tcW w:w="1551" w:type="dxa"/>
            <w:vAlign w:val="center"/>
          </w:tcPr>
          <w:p w:rsidR="00020AFE" w:rsidRPr="005573C3" w:rsidRDefault="00020AFE" w:rsidP="00D450E8">
            <w:pPr>
              <w:jc w:val="center"/>
              <w:cnfStyle w:val="000000100000"/>
              <w:rPr>
                <w:rFonts w:cs="Arial"/>
              </w:rPr>
            </w:pPr>
            <w:r w:rsidRPr="005573C3">
              <w:rPr>
                <w:rFonts w:cs="Arial"/>
              </w:rPr>
              <w:t>0,8</w:t>
            </w:r>
          </w:p>
        </w:tc>
      </w:tr>
      <w:tr w:rsidR="00020AFE" w:rsidTr="00D450E8">
        <w:trPr>
          <w:cnfStyle w:val="000000010000"/>
        </w:trPr>
        <w:tc>
          <w:tcPr>
            <w:cnfStyle w:val="001000000000"/>
            <w:tcW w:w="1550" w:type="dxa"/>
            <w:vAlign w:val="center"/>
          </w:tcPr>
          <w:p w:rsidR="00020AFE" w:rsidRPr="00063A12" w:rsidRDefault="00020AFE" w:rsidP="00D450E8">
            <w:pPr>
              <w:jc w:val="center"/>
              <w:rPr>
                <w:rFonts w:cs="Arial"/>
                <w:b w:val="0"/>
              </w:rPr>
            </w:pPr>
            <w:r w:rsidRPr="00063A12">
              <w:rPr>
                <w:rFonts w:cs="Arial"/>
                <w:b w:val="0"/>
              </w:rPr>
              <w:t>Borsod-Abaúj-Zemplén</w:t>
            </w:r>
          </w:p>
        </w:tc>
        <w:tc>
          <w:tcPr>
            <w:tcW w:w="1550" w:type="dxa"/>
            <w:vAlign w:val="center"/>
          </w:tcPr>
          <w:p w:rsidR="00020AFE" w:rsidRPr="005573C3" w:rsidRDefault="00020AFE" w:rsidP="00D450E8">
            <w:pPr>
              <w:jc w:val="center"/>
              <w:cnfStyle w:val="000000010000"/>
              <w:rPr>
                <w:rFonts w:cs="Arial"/>
              </w:rPr>
            </w:pPr>
            <w:r w:rsidRPr="005573C3">
              <w:rPr>
                <w:rFonts w:cs="Arial"/>
              </w:rPr>
              <w:t>906,92</w:t>
            </w:r>
          </w:p>
        </w:tc>
        <w:tc>
          <w:tcPr>
            <w:tcW w:w="1550" w:type="dxa"/>
            <w:vAlign w:val="center"/>
          </w:tcPr>
          <w:p w:rsidR="00020AFE" w:rsidRPr="005573C3" w:rsidRDefault="00020AFE" w:rsidP="00D450E8">
            <w:pPr>
              <w:jc w:val="center"/>
              <w:cnfStyle w:val="000000010000"/>
              <w:rPr>
                <w:rFonts w:cs="Arial"/>
              </w:rPr>
            </w:pPr>
            <w:r w:rsidRPr="005573C3">
              <w:rPr>
                <w:rFonts w:cs="Arial"/>
              </w:rPr>
              <w:t>4,5</w:t>
            </w:r>
          </w:p>
        </w:tc>
        <w:tc>
          <w:tcPr>
            <w:tcW w:w="1551" w:type="dxa"/>
            <w:vAlign w:val="center"/>
          </w:tcPr>
          <w:p w:rsidR="00020AFE" w:rsidRPr="005573C3" w:rsidRDefault="00020AFE" w:rsidP="00D450E8">
            <w:pPr>
              <w:jc w:val="center"/>
              <w:cnfStyle w:val="000000010000"/>
              <w:rPr>
                <w:rFonts w:cs="Arial"/>
              </w:rPr>
            </w:pPr>
            <w:r w:rsidRPr="005573C3">
              <w:rPr>
                <w:rFonts w:cs="Arial"/>
              </w:rPr>
              <w:t>Heves</w:t>
            </w:r>
          </w:p>
        </w:tc>
        <w:tc>
          <w:tcPr>
            <w:tcW w:w="1551" w:type="dxa"/>
            <w:vAlign w:val="center"/>
          </w:tcPr>
          <w:p w:rsidR="00020AFE" w:rsidRPr="005573C3" w:rsidRDefault="00020AFE" w:rsidP="00D450E8">
            <w:pPr>
              <w:jc w:val="center"/>
              <w:cnfStyle w:val="000000010000"/>
              <w:rPr>
                <w:rFonts w:cs="Arial"/>
              </w:rPr>
            </w:pPr>
            <w:r w:rsidRPr="005573C3">
              <w:rPr>
                <w:rFonts w:cs="Arial"/>
              </w:rPr>
              <w:t>125,35</w:t>
            </w:r>
          </w:p>
        </w:tc>
        <w:tc>
          <w:tcPr>
            <w:tcW w:w="1551" w:type="dxa"/>
            <w:vAlign w:val="center"/>
          </w:tcPr>
          <w:p w:rsidR="00020AFE" w:rsidRPr="005573C3" w:rsidRDefault="00020AFE" w:rsidP="00D450E8">
            <w:pPr>
              <w:jc w:val="center"/>
              <w:cnfStyle w:val="000000010000"/>
              <w:rPr>
                <w:rFonts w:cs="Arial"/>
              </w:rPr>
            </w:pPr>
            <w:r w:rsidRPr="005573C3">
              <w:rPr>
                <w:rFonts w:cs="Arial"/>
              </w:rPr>
              <w:t>0,6</w:t>
            </w:r>
          </w:p>
        </w:tc>
      </w:tr>
      <w:tr w:rsidR="00020AFE" w:rsidTr="00D450E8">
        <w:trPr>
          <w:cnfStyle w:val="000000100000"/>
        </w:trPr>
        <w:tc>
          <w:tcPr>
            <w:cnfStyle w:val="001000000000"/>
            <w:tcW w:w="1550" w:type="dxa"/>
            <w:vAlign w:val="center"/>
          </w:tcPr>
          <w:p w:rsidR="00020AFE" w:rsidRPr="00063A12" w:rsidRDefault="00020AFE" w:rsidP="00D450E8">
            <w:pPr>
              <w:jc w:val="center"/>
              <w:rPr>
                <w:rFonts w:cs="Arial"/>
                <w:b w:val="0"/>
              </w:rPr>
            </w:pPr>
            <w:r w:rsidRPr="00063A12">
              <w:rPr>
                <w:rFonts w:cs="Arial"/>
                <w:b w:val="0"/>
              </w:rPr>
              <w:t>Hajdú-Bihar</w:t>
            </w:r>
          </w:p>
        </w:tc>
        <w:tc>
          <w:tcPr>
            <w:tcW w:w="1550" w:type="dxa"/>
            <w:vAlign w:val="center"/>
          </w:tcPr>
          <w:p w:rsidR="00020AFE" w:rsidRPr="005573C3" w:rsidRDefault="00020AFE" w:rsidP="00D450E8">
            <w:pPr>
              <w:jc w:val="center"/>
              <w:cnfStyle w:val="000000100000"/>
              <w:rPr>
                <w:rFonts w:cs="Arial"/>
              </w:rPr>
            </w:pPr>
            <w:r w:rsidRPr="005573C3">
              <w:rPr>
                <w:rFonts w:cs="Arial"/>
              </w:rPr>
              <w:t>903,73</w:t>
            </w:r>
          </w:p>
        </w:tc>
        <w:tc>
          <w:tcPr>
            <w:tcW w:w="1550" w:type="dxa"/>
            <w:vAlign w:val="center"/>
          </w:tcPr>
          <w:p w:rsidR="00020AFE" w:rsidRPr="005573C3" w:rsidRDefault="00020AFE" w:rsidP="00D450E8">
            <w:pPr>
              <w:jc w:val="center"/>
              <w:cnfStyle w:val="000000100000"/>
              <w:rPr>
                <w:rFonts w:cs="Arial"/>
              </w:rPr>
            </w:pPr>
            <w:r w:rsidRPr="005573C3">
              <w:rPr>
                <w:rFonts w:cs="Arial"/>
              </w:rPr>
              <w:t>4,5</w:t>
            </w:r>
          </w:p>
        </w:tc>
        <w:tc>
          <w:tcPr>
            <w:tcW w:w="1551" w:type="dxa"/>
            <w:vAlign w:val="center"/>
          </w:tcPr>
          <w:p w:rsidR="00020AFE" w:rsidRPr="005573C3" w:rsidRDefault="00020AFE" w:rsidP="00D450E8">
            <w:pPr>
              <w:jc w:val="center"/>
              <w:cnfStyle w:val="000000100000"/>
              <w:rPr>
                <w:rFonts w:cs="Arial"/>
              </w:rPr>
            </w:pPr>
            <w:r w:rsidRPr="005573C3">
              <w:rPr>
                <w:rFonts w:cs="Arial"/>
              </w:rPr>
              <w:t>Vas</w:t>
            </w:r>
          </w:p>
        </w:tc>
        <w:tc>
          <w:tcPr>
            <w:tcW w:w="1551" w:type="dxa"/>
            <w:vAlign w:val="center"/>
          </w:tcPr>
          <w:p w:rsidR="00020AFE" w:rsidRPr="005573C3" w:rsidRDefault="00020AFE" w:rsidP="00D450E8">
            <w:pPr>
              <w:jc w:val="center"/>
              <w:cnfStyle w:val="000000100000"/>
              <w:rPr>
                <w:rFonts w:cs="Arial"/>
              </w:rPr>
            </w:pPr>
            <w:r w:rsidRPr="005573C3">
              <w:rPr>
                <w:rFonts w:cs="Arial"/>
              </w:rPr>
              <w:t>93,74</w:t>
            </w:r>
          </w:p>
        </w:tc>
        <w:tc>
          <w:tcPr>
            <w:tcW w:w="1551" w:type="dxa"/>
            <w:vAlign w:val="center"/>
          </w:tcPr>
          <w:p w:rsidR="00020AFE" w:rsidRPr="005573C3" w:rsidRDefault="00020AFE" w:rsidP="00D450E8">
            <w:pPr>
              <w:jc w:val="center"/>
              <w:cnfStyle w:val="000000100000"/>
              <w:rPr>
                <w:rFonts w:cs="Arial"/>
              </w:rPr>
            </w:pPr>
            <w:r w:rsidRPr="005573C3">
              <w:rPr>
                <w:rFonts w:cs="Arial"/>
              </w:rPr>
              <w:t>0,5</w:t>
            </w:r>
          </w:p>
        </w:tc>
      </w:tr>
      <w:tr w:rsidR="00020AFE" w:rsidTr="00D450E8">
        <w:trPr>
          <w:cnfStyle w:val="000000010000"/>
        </w:trPr>
        <w:tc>
          <w:tcPr>
            <w:cnfStyle w:val="001000000000"/>
            <w:tcW w:w="1550" w:type="dxa"/>
            <w:vAlign w:val="center"/>
          </w:tcPr>
          <w:p w:rsidR="00020AFE" w:rsidRPr="00063A12" w:rsidRDefault="00020AFE" w:rsidP="00D450E8">
            <w:pPr>
              <w:jc w:val="center"/>
              <w:rPr>
                <w:rFonts w:cs="Arial"/>
                <w:b w:val="0"/>
              </w:rPr>
            </w:pPr>
            <w:r w:rsidRPr="00063A12">
              <w:rPr>
                <w:rFonts w:cs="Arial"/>
                <w:b w:val="0"/>
              </w:rPr>
              <w:t>Békés</w:t>
            </w:r>
          </w:p>
        </w:tc>
        <w:tc>
          <w:tcPr>
            <w:tcW w:w="1550" w:type="dxa"/>
            <w:vAlign w:val="center"/>
          </w:tcPr>
          <w:p w:rsidR="00020AFE" w:rsidRPr="005573C3" w:rsidRDefault="00020AFE" w:rsidP="00D450E8">
            <w:pPr>
              <w:jc w:val="center"/>
              <w:cnfStyle w:val="000000010000"/>
              <w:rPr>
                <w:rFonts w:cs="Arial"/>
              </w:rPr>
            </w:pPr>
            <w:r w:rsidRPr="005573C3">
              <w:rPr>
                <w:rFonts w:cs="Arial"/>
              </w:rPr>
              <w:t>616,62</w:t>
            </w:r>
          </w:p>
        </w:tc>
        <w:tc>
          <w:tcPr>
            <w:tcW w:w="1550" w:type="dxa"/>
            <w:vAlign w:val="center"/>
          </w:tcPr>
          <w:p w:rsidR="00020AFE" w:rsidRPr="005573C3" w:rsidRDefault="00020AFE" w:rsidP="00D450E8">
            <w:pPr>
              <w:jc w:val="center"/>
              <w:cnfStyle w:val="000000010000"/>
              <w:rPr>
                <w:rFonts w:cs="Arial"/>
              </w:rPr>
            </w:pPr>
            <w:r w:rsidRPr="005573C3">
              <w:rPr>
                <w:rFonts w:cs="Arial"/>
              </w:rPr>
              <w:t>3,1</w:t>
            </w:r>
          </w:p>
        </w:tc>
        <w:tc>
          <w:tcPr>
            <w:tcW w:w="1551" w:type="dxa"/>
            <w:vAlign w:val="center"/>
          </w:tcPr>
          <w:p w:rsidR="00020AFE" w:rsidRPr="005573C3" w:rsidRDefault="00020AFE" w:rsidP="00D450E8">
            <w:pPr>
              <w:jc w:val="center"/>
              <w:cnfStyle w:val="000000010000"/>
              <w:rPr>
                <w:rFonts w:cs="Arial"/>
              </w:rPr>
            </w:pPr>
            <w:r w:rsidRPr="005573C3">
              <w:rPr>
                <w:rFonts w:cs="Arial"/>
              </w:rPr>
              <w:t>Fejér</w:t>
            </w:r>
          </w:p>
        </w:tc>
        <w:tc>
          <w:tcPr>
            <w:tcW w:w="1551" w:type="dxa"/>
            <w:vAlign w:val="center"/>
          </w:tcPr>
          <w:p w:rsidR="00020AFE" w:rsidRPr="005573C3" w:rsidRDefault="00020AFE" w:rsidP="00D450E8">
            <w:pPr>
              <w:jc w:val="center"/>
              <w:cnfStyle w:val="000000010000"/>
              <w:rPr>
                <w:rFonts w:cs="Arial"/>
              </w:rPr>
            </w:pPr>
            <w:r w:rsidRPr="005573C3">
              <w:rPr>
                <w:rFonts w:cs="Arial"/>
              </w:rPr>
              <w:t>24,82</w:t>
            </w:r>
          </w:p>
        </w:tc>
        <w:tc>
          <w:tcPr>
            <w:tcW w:w="1551" w:type="dxa"/>
            <w:vAlign w:val="center"/>
          </w:tcPr>
          <w:p w:rsidR="00020AFE" w:rsidRPr="005573C3" w:rsidRDefault="00020AFE" w:rsidP="00D450E8">
            <w:pPr>
              <w:jc w:val="center"/>
              <w:cnfStyle w:val="000000010000"/>
              <w:rPr>
                <w:rFonts w:cs="Arial"/>
              </w:rPr>
            </w:pPr>
            <w:r w:rsidRPr="005573C3">
              <w:rPr>
                <w:rFonts w:cs="Arial"/>
              </w:rPr>
              <w:t>0,1</w:t>
            </w:r>
          </w:p>
        </w:tc>
      </w:tr>
      <w:tr w:rsidR="00020AFE" w:rsidTr="00D450E8">
        <w:trPr>
          <w:cnfStyle w:val="000000100000"/>
        </w:trPr>
        <w:tc>
          <w:tcPr>
            <w:cnfStyle w:val="001000000000"/>
            <w:tcW w:w="1550" w:type="dxa"/>
            <w:vAlign w:val="center"/>
          </w:tcPr>
          <w:p w:rsidR="00020AFE" w:rsidRPr="00063A12" w:rsidRDefault="00020AFE" w:rsidP="00D450E8">
            <w:pPr>
              <w:jc w:val="center"/>
              <w:rPr>
                <w:rFonts w:cs="Arial"/>
                <w:b w:val="0"/>
              </w:rPr>
            </w:pPr>
            <w:r w:rsidRPr="00063A12">
              <w:rPr>
                <w:rFonts w:cs="Arial"/>
                <w:b w:val="0"/>
              </w:rPr>
              <w:t>Jász-Nagykun-Szolnok</w:t>
            </w:r>
          </w:p>
        </w:tc>
        <w:tc>
          <w:tcPr>
            <w:tcW w:w="1550" w:type="dxa"/>
            <w:vAlign w:val="center"/>
          </w:tcPr>
          <w:p w:rsidR="00020AFE" w:rsidRPr="005573C3" w:rsidRDefault="00020AFE" w:rsidP="00D450E8">
            <w:pPr>
              <w:jc w:val="center"/>
              <w:cnfStyle w:val="000000100000"/>
              <w:rPr>
                <w:rFonts w:cs="Arial"/>
              </w:rPr>
            </w:pPr>
            <w:r w:rsidRPr="005573C3">
              <w:rPr>
                <w:rFonts w:cs="Arial"/>
              </w:rPr>
              <w:t>478,92</w:t>
            </w:r>
          </w:p>
        </w:tc>
        <w:tc>
          <w:tcPr>
            <w:tcW w:w="1550" w:type="dxa"/>
            <w:vAlign w:val="center"/>
          </w:tcPr>
          <w:p w:rsidR="00020AFE" w:rsidRPr="005573C3" w:rsidRDefault="00020AFE" w:rsidP="00D450E8">
            <w:pPr>
              <w:jc w:val="center"/>
              <w:cnfStyle w:val="000000100000"/>
              <w:rPr>
                <w:rFonts w:cs="Arial"/>
              </w:rPr>
            </w:pPr>
            <w:r w:rsidRPr="005573C3">
              <w:rPr>
                <w:rFonts w:cs="Arial"/>
              </w:rPr>
              <w:t>2,4</w:t>
            </w:r>
          </w:p>
        </w:tc>
        <w:tc>
          <w:tcPr>
            <w:tcW w:w="1551" w:type="dxa"/>
            <w:vAlign w:val="center"/>
          </w:tcPr>
          <w:p w:rsidR="00020AFE" w:rsidRPr="005573C3" w:rsidRDefault="00020AFE" w:rsidP="00D450E8">
            <w:pPr>
              <w:jc w:val="center"/>
              <w:cnfStyle w:val="000000100000"/>
              <w:rPr>
                <w:rFonts w:cs="Arial"/>
              </w:rPr>
            </w:pPr>
            <w:r w:rsidRPr="005573C3">
              <w:rPr>
                <w:rFonts w:cs="Arial"/>
              </w:rPr>
              <w:t>Komárom-Esztergom</w:t>
            </w:r>
          </w:p>
        </w:tc>
        <w:tc>
          <w:tcPr>
            <w:tcW w:w="1551" w:type="dxa"/>
            <w:vAlign w:val="center"/>
          </w:tcPr>
          <w:p w:rsidR="00020AFE" w:rsidRPr="005573C3" w:rsidRDefault="00020AFE" w:rsidP="00D450E8">
            <w:pPr>
              <w:jc w:val="center"/>
              <w:cnfStyle w:val="000000100000"/>
              <w:rPr>
                <w:rFonts w:cs="Arial"/>
              </w:rPr>
            </w:pPr>
            <w:r w:rsidRPr="005573C3">
              <w:rPr>
                <w:rFonts w:cs="Arial"/>
              </w:rPr>
              <w:t>2,3</w:t>
            </w:r>
          </w:p>
        </w:tc>
        <w:tc>
          <w:tcPr>
            <w:tcW w:w="1551" w:type="dxa"/>
            <w:vAlign w:val="center"/>
          </w:tcPr>
          <w:p w:rsidR="00020AFE" w:rsidRPr="005573C3" w:rsidRDefault="00020AFE" w:rsidP="00D450E8">
            <w:pPr>
              <w:jc w:val="center"/>
              <w:cnfStyle w:val="000000100000"/>
              <w:rPr>
                <w:rFonts w:cs="Arial"/>
              </w:rPr>
            </w:pPr>
            <w:r w:rsidRPr="005573C3">
              <w:rPr>
                <w:rFonts w:cs="Arial"/>
              </w:rPr>
              <w:t>0,0</w:t>
            </w:r>
          </w:p>
        </w:tc>
      </w:tr>
      <w:tr w:rsidR="00020AFE" w:rsidTr="00D450E8">
        <w:trPr>
          <w:cnfStyle w:val="000000010000"/>
        </w:trPr>
        <w:tc>
          <w:tcPr>
            <w:cnfStyle w:val="001000000000"/>
            <w:tcW w:w="1550" w:type="dxa"/>
            <w:vAlign w:val="center"/>
          </w:tcPr>
          <w:p w:rsidR="00020AFE" w:rsidRPr="00063A12" w:rsidRDefault="00020AFE" w:rsidP="00D450E8">
            <w:pPr>
              <w:jc w:val="center"/>
              <w:rPr>
                <w:rFonts w:cs="Arial"/>
                <w:b w:val="0"/>
              </w:rPr>
            </w:pPr>
            <w:r w:rsidRPr="00063A12">
              <w:rPr>
                <w:rFonts w:cs="Arial"/>
                <w:b w:val="0"/>
              </w:rPr>
              <w:t>Veszprém</w:t>
            </w:r>
          </w:p>
        </w:tc>
        <w:tc>
          <w:tcPr>
            <w:tcW w:w="1550" w:type="dxa"/>
            <w:vAlign w:val="center"/>
          </w:tcPr>
          <w:p w:rsidR="00020AFE" w:rsidRPr="005573C3" w:rsidRDefault="00020AFE" w:rsidP="00D450E8">
            <w:pPr>
              <w:jc w:val="center"/>
              <w:cnfStyle w:val="000000010000"/>
              <w:rPr>
                <w:rFonts w:cs="Arial"/>
              </w:rPr>
            </w:pPr>
            <w:r w:rsidRPr="005573C3">
              <w:rPr>
                <w:rFonts w:cs="Arial"/>
              </w:rPr>
              <w:t>462,89</w:t>
            </w:r>
          </w:p>
        </w:tc>
        <w:tc>
          <w:tcPr>
            <w:tcW w:w="1550" w:type="dxa"/>
            <w:vAlign w:val="center"/>
          </w:tcPr>
          <w:p w:rsidR="00020AFE" w:rsidRPr="005573C3" w:rsidRDefault="00020AFE" w:rsidP="00D450E8">
            <w:pPr>
              <w:jc w:val="center"/>
              <w:cnfStyle w:val="000000010000"/>
              <w:rPr>
                <w:rFonts w:cs="Arial"/>
              </w:rPr>
            </w:pPr>
            <w:r w:rsidRPr="005573C3">
              <w:rPr>
                <w:rFonts w:cs="Arial"/>
              </w:rPr>
              <w:t>2,3</w:t>
            </w:r>
          </w:p>
        </w:tc>
        <w:tc>
          <w:tcPr>
            <w:tcW w:w="1551" w:type="dxa"/>
            <w:vAlign w:val="center"/>
          </w:tcPr>
          <w:p w:rsidR="00020AFE" w:rsidRPr="00063A12" w:rsidRDefault="00020AFE" w:rsidP="00D450E8">
            <w:pPr>
              <w:jc w:val="center"/>
              <w:cnfStyle w:val="000000010000"/>
              <w:rPr>
                <w:rFonts w:cs="Arial"/>
                <w:b/>
                <w:i/>
              </w:rPr>
            </w:pPr>
            <w:r w:rsidRPr="00063A12">
              <w:rPr>
                <w:rFonts w:cs="Arial"/>
                <w:b/>
                <w:i/>
              </w:rPr>
              <w:t>Összesen</w:t>
            </w:r>
          </w:p>
        </w:tc>
        <w:tc>
          <w:tcPr>
            <w:tcW w:w="1551" w:type="dxa"/>
            <w:vAlign w:val="center"/>
          </w:tcPr>
          <w:p w:rsidR="00020AFE" w:rsidRPr="00063A12" w:rsidRDefault="00020AFE" w:rsidP="00D450E8">
            <w:pPr>
              <w:jc w:val="center"/>
              <w:cnfStyle w:val="000000010000"/>
              <w:rPr>
                <w:rFonts w:cs="Arial"/>
                <w:b/>
                <w:i/>
              </w:rPr>
            </w:pPr>
            <w:r w:rsidRPr="00063A12">
              <w:rPr>
                <w:rFonts w:cs="Arial"/>
                <w:b/>
                <w:i/>
              </w:rPr>
              <w:t>20112,32</w:t>
            </w:r>
          </w:p>
        </w:tc>
        <w:tc>
          <w:tcPr>
            <w:tcW w:w="1551" w:type="dxa"/>
            <w:vAlign w:val="center"/>
          </w:tcPr>
          <w:p w:rsidR="00020AFE" w:rsidRPr="00063A12" w:rsidRDefault="00020AFE" w:rsidP="00D450E8">
            <w:pPr>
              <w:jc w:val="center"/>
              <w:cnfStyle w:val="000000010000"/>
              <w:rPr>
                <w:rFonts w:cs="Arial"/>
                <w:b/>
                <w:i/>
              </w:rPr>
            </w:pPr>
            <w:r w:rsidRPr="00063A12">
              <w:rPr>
                <w:rFonts w:cs="Arial"/>
                <w:b/>
                <w:i/>
              </w:rPr>
              <w:t>100,0</w:t>
            </w:r>
          </w:p>
        </w:tc>
      </w:tr>
    </w:tbl>
    <w:p w:rsidR="00020AFE" w:rsidRPr="008617FB" w:rsidRDefault="00CF0DD4" w:rsidP="00020AFE">
      <w:pPr>
        <w:pStyle w:val="Caption"/>
        <w:spacing w:before="60" w:after="120" w:line="280" w:lineRule="atLeast"/>
        <w:jc w:val="center"/>
        <w:rPr>
          <w:color w:val="auto"/>
        </w:rPr>
      </w:pPr>
      <w:r w:rsidRPr="008617FB">
        <w:rPr>
          <w:color w:val="auto"/>
        </w:rPr>
        <w:fldChar w:fldCharType="begin"/>
      </w:r>
      <w:r w:rsidR="00020AFE" w:rsidRPr="008617FB">
        <w:rPr>
          <w:color w:val="auto"/>
        </w:rPr>
        <w:instrText xml:space="preserve"> SEQ táblázat \* ARABIC </w:instrText>
      </w:r>
      <w:r w:rsidRPr="008617FB">
        <w:rPr>
          <w:color w:val="auto"/>
        </w:rPr>
        <w:fldChar w:fldCharType="separate"/>
      </w:r>
      <w:r w:rsidR="00660338">
        <w:rPr>
          <w:noProof/>
          <w:color w:val="auto"/>
        </w:rPr>
        <w:t>8</w:t>
      </w:r>
      <w:r w:rsidRPr="008617FB">
        <w:rPr>
          <w:color w:val="auto"/>
        </w:rPr>
        <w:fldChar w:fldCharType="end"/>
      </w:r>
      <w:r w:rsidR="00020AFE" w:rsidRPr="008617FB">
        <w:rPr>
          <w:color w:val="auto"/>
        </w:rPr>
        <w:t>. táblázat: Erdőtelepítések mérete</w:t>
      </w:r>
    </w:p>
    <w:p w:rsidR="00020AFE" w:rsidRDefault="00020AFE" w:rsidP="00020AFE">
      <w:pPr>
        <w:jc w:val="both"/>
      </w:pPr>
      <w:r>
        <w:t>Magyarországon erdő telepítése a hatályos jogszabályok értelmében kizárólag a Mezőgazdasági Szakigazg</w:t>
      </w:r>
      <w:r>
        <w:t>a</w:t>
      </w:r>
      <w:r>
        <w:t>tási Hivatal Erdészeti Igazgatósága által jóváhagyott erdőtelepítési terv birtokában végezhető. Védett term</w:t>
      </w:r>
      <w:r>
        <w:t>é</w:t>
      </w:r>
      <w:r>
        <w:t>szeti területek esetében a jóváhagyó Erdészeti Igazgatóság az illetékes hatóság szakhatósági állásfoglalás</w:t>
      </w:r>
      <w:r>
        <w:t>á</w:t>
      </w:r>
      <w:r>
        <w:t>nak megfelelően engedélyezi erdő telepítését védett területen. Az intézkedés során a jóváhagyott erdőtelep</w:t>
      </w:r>
      <w:r>
        <w:t>í</w:t>
      </w:r>
      <w:r>
        <w:t>tések töredéke került csak természetvédelmi területre.</w:t>
      </w:r>
    </w:p>
    <w:p w:rsidR="00020AFE" w:rsidRDefault="00020AFE" w:rsidP="00020AFE">
      <w:pPr>
        <w:jc w:val="both"/>
      </w:pPr>
    </w:p>
    <w:tbl>
      <w:tblPr>
        <w:tblStyle w:val="MediumShading2-Accent2"/>
        <w:tblW w:w="0" w:type="auto"/>
        <w:jc w:val="center"/>
        <w:tblLook w:val="04A0"/>
      </w:tblPr>
      <w:tblGrid>
        <w:gridCol w:w="3510"/>
        <w:gridCol w:w="2268"/>
      </w:tblGrid>
      <w:tr w:rsidR="00020AFE" w:rsidTr="00D450E8">
        <w:trPr>
          <w:cnfStyle w:val="100000000000"/>
          <w:tblHeader/>
          <w:jc w:val="center"/>
        </w:trPr>
        <w:tc>
          <w:tcPr>
            <w:cnfStyle w:val="001000000100"/>
            <w:tcW w:w="3510" w:type="dxa"/>
          </w:tcPr>
          <w:p w:rsidR="00020AFE" w:rsidRPr="00063A12" w:rsidRDefault="00020AFE" w:rsidP="00D450E8">
            <w:pPr>
              <w:jc w:val="center"/>
              <w:rPr>
                <w:rFonts w:cs="Arial"/>
              </w:rPr>
            </w:pPr>
            <w:r w:rsidRPr="00063A12">
              <w:rPr>
                <w:rFonts w:cs="Arial"/>
              </w:rPr>
              <w:t>Terület védettsége</w:t>
            </w:r>
          </w:p>
        </w:tc>
        <w:tc>
          <w:tcPr>
            <w:tcW w:w="2268" w:type="dxa"/>
          </w:tcPr>
          <w:p w:rsidR="00020AFE" w:rsidRPr="00063A12" w:rsidRDefault="00020AFE" w:rsidP="00D450E8">
            <w:pPr>
              <w:jc w:val="center"/>
              <w:cnfStyle w:val="100000000000"/>
              <w:rPr>
                <w:rFonts w:cs="Arial"/>
              </w:rPr>
            </w:pPr>
            <w:r w:rsidRPr="00063A12">
              <w:rPr>
                <w:rFonts w:cs="Arial"/>
              </w:rPr>
              <w:t>Terület (ha)</w:t>
            </w:r>
          </w:p>
        </w:tc>
      </w:tr>
      <w:tr w:rsidR="00020AFE" w:rsidTr="00D450E8">
        <w:trPr>
          <w:cnfStyle w:val="000000100000"/>
          <w:jc w:val="center"/>
        </w:trPr>
        <w:tc>
          <w:tcPr>
            <w:cnfStyle w:val="001000000000"/>
            <w:tcW w:w="3510" w:type="dxa"/>
          </w:tcPr>
          <w:p w:rsidR="00020AFE" w:rsidRPr="005A3DCE" w:rsidRDefault="00020AFE" w:rsidP="00D450E8">
            <w:pPr>
              <w:rPr>
                <w:rFonts w:cs="Arial"/>
              </w:rPr>
            </w:pPr>
            <w:r w:rsidRPr="005A3DCE">
              <w:rPr>
                <w:rFonts w:cs="Arial"/>
              </w:rPr>
              <w:t>Nem védett terület</w:t>
            </w:r>
          </w:p>
        </w:tc>
        <w:tc>
          <w:tcPr>
            <w:tcW w:w="2268" w:type="dxa"/>
          </w:tcPr>
          <w:p w:rsidR="00020AFE" w:rsidRPr="005A3DCE" w:rsidRDefault="00020AFE" w:rsidP="00D450E8">
            <w:pPr>
              <w:jc w:val="right"/>
              <w:cnfStyle w:val="000000100000"/>
              <w:rPr>
                <w:rFonts w:cs="Arial"/>
              </w:rPr>
            </w:pPr>
            <w:r w:rsidRPr="005A3DCE">
              <w:rPr>
                <w:rFonts w:cs="Arial"/>
              </w:rPr>
              <w:t>20008,91</w:t>
            </w:r>
          </w:p>
        </w:tc>
      </w:tr>
      <w:tr w:rsidR="00020AFE" w:rsidTr="00D450E8">
        <w:trPr>
          <w:jc w:val="center"/>
        </w:trPr>
        <w:tc>
          <w:tcPr>
            <w:cnfStyle w:val="001000000000"/>
            <w:tcW w:w="3510" w:type="dxa"/>
          </w:tcPr>
          <w:p w:rsidR="00020AFE" w:rsidRPr="005A3DCE" w:rsidRDefault="00020AFE" w:rsidP="00D450E8">
            <w:pPr>
              <w:rPr>
                <w:rFonts w:cs="Arial"/>
              </w:rPr>
            </w:pPr>
            <w:r w:rsidRPr="005A3DCE">
              <w:rPr>
                <w:rFonts w:cs="Arial"/>
              </w:rPr>
              <w:t>Védett természeti terület</w:t>
            </w:r>
          </w:p>
        </w:tc>
        <w:tc>
          <w:tcPr>
            <w:tcW w:w="2268" w:type="dxa"/>
          </w:tcPr>
          <w:p w:rsidR="00020AFE" w:rsidRPr="005A3DCE" w:rsidRDefault="00020AFE" w:rsidP="00D450E8">
            <w:pPr>
              <w:jc w:val="right"/>
              <w:cnfStyle w:val="000000000000"/>
              <w:rPr>
                <w:rFonts w:cs="Arial"/>
              </w:rPr>
            </w:pPr>
            <w:r w:rsidRPr="005A3DCE">
              <w:rPr>
                <w:rFonts w:cs="Arial"/>
              </w:rPr>
              <w:t>103,41</w:t>
            </w:r>
          </w:p>
        </w:tc>
      </w:tr>
      <w:tr w:rsidR="00020AFE" w:rsidTr="00D450E8">
        <w:trPr>
          <w:cnfStyle w:val="000000100000"/>
          <w:jc w:val="center"/>
        </w:trPr>
        <w:tc>
          <w:tcPr>
            <w:cnfStyle w:val="001000000000"/>
            <w:tcW w:w="3510" w:type="dxa"/>
          </w:tcPr>
          <w:p w:rsidR="00020AFE" w:rsidRPr="005A3DCE" w:rsidRDefault="00020AFE" w:rsidP="00D450E8">
            <w:pPr>
              <w:rPr>
                <w:rFonts w:cs="Arial"/>
                <w:b w:val="0"/>
              </w:rPr>
            </w:pPr>
            <w:r>
              <w:rPr>
                <w:rFonts w:cs="Arial"/>
                <w:b w:val="0"/>
              </w:rPr>
              <w:t>Összesen</w:t>
            </w:r>
          </w:p>
        </w:tc>
        <w:tc>
          <w:tcPr>
            <w:tcW w:w="2268" w:type="dxa"/>
          </w:tcPr>
          <w:p w:rsidR="00020AFE" w:rsidRPr="005A3DCE" w:rsidRDefault="00020AFE" w:rsidP="00D450E8">
            <w:pPr>
              <w:jc w:val="right"/>
              <w:cnfStyle w:val="000000100000"/>
              <w:rPr>
                <w:rFonts w:cs="Arial"/>
                <w:b/>
              </w:rPr>
            </w:pPr>
            <w:r w:rsidRPr="005A3DCE">
              <w:rPr>
                <w:rFonts w:cs="Arial"/>
                <w:b/>
              </w:rPr>
              <w:t>20112,32</w:t>
            </w:r>
          </w:p>
        </w:tc>
      </w:tr>
    </w:tbl>
    <w:p w:rsidR="00020AFE" w:rsidRPr="008617FB" w:rsidRDefault="00CF0DD4" w:rsidP="00020AFE">
      <w:pPr>
        <w:pStyle w:val="Caption"/>
        <w:spacing w:before="60" w:after="120" w:line="280" w:lineRule="atLeast"/>
        <w:jc w:val="center"/>
        <w:rPr>
          <w:color w:val="auto"/>
        </w:rPr>
      </w:pPr>
      <w:r w:rsidRPr="008617FB">
        <w:rPr>
          <w:color w:val="auto"/>
        </w:rPr>
        <w:fldChar w:fldCharType="begin"/>
      </w:r>
      <w:r w:rsidR="00020AFE" w:rsidRPr="008617FB">
        <w:rPr>
          <w:color w:val="auto"/>
        </w:rPr>
        <w:instrText xml:space="preserve"> SEQ táblázat \* ARABIC </w:instrText>
      </w:r>
      <w:r w:rsidRPr="008617FB">
        <w:rPr>
          <w:color w:val="auto"/>
        </w:rPr>
        <w:fldChar w:fldCharType="separate"/>
      </w:r>
      <w:r w:rsidR="00447BB8">
        <w:rPr>
          <w:noProof/>
          <w:color w:val="auto"/>
        </w:rPr>
        <w:t>9</w:t>
      </w:r>
      <w:r w:rsidRPr="008617FB">
        <w:rPr>
          <w:color w:val="auto"/>
        </w:rPr>
        <w:fldChar w:fldCharType="end"/>
      </w:r>
      <w:r w:rsidR="00020AFE" w:rsidRPr="008617FB">
        <w:rPr>
          <w:color w:val="auto"/>
        </w:rPr>
        <w:t>. táblázat: Védettség</w:t>
      </w:r>
    </w:p>
    <w:p w:rsidR="00020AFE" w:rsidRDefault="00020AFE" w:rsidP="00020AFE">
      <w:pPr>
        <w:jc w:val="both"/>
      </w:pPr>
      <w:proofErr w:type="spellStart"/>
      <w:r>
        <w:t>Natura</w:t>
      </w:r>
      <w:proofErr w:type="spellEnd"/>
      <w:r>
        <w:t xml:space="preserve"> 2000 területek esetében nem került sor erdőtelepítésre. Ennek oka, hogy a támogatási rendelet értelmében </w:t>
      </w:r>
      <w:proofErr w:type="spellStart"/>
      <w:r>
        <w:t>Natura</w:t>
      </w:r>
      <w:proofErr w:type="spellEnd"/>
      <w:r>
        <w:t xml:space="preserve"> 2000 területen erdő telepítésére csak a </w:t>
      </w:r>
      <w:r w:rsidRPr="003B334E">
        <w:t xml:space="preserve">külön jogszabályban előírt fenntartási/fejlesztési tervek elkészítését </w:t>
      </w:r>
      <w:r>
        <w:t>követően lehetséges támogatás odaítélése, ezek a tervek azonban még nem készültek el.</w:t>
      </w:r>
    </w:p>
    <w:p w:rsidR="00020AFE" w:rsidRDefault="00020AFE" w:rsidP="00020AFE">
      <w:pPr>
        <w:pStyle w:val="StyleHUNHeading3Justified"/>
        <w:ind w:left="504"/>
      </w:pPr>
      <w:r w:rsidRPr="00A7051C">
        <w:lastRenderedPageBreak/>
        <w:t>Az intézkedés milyen mértékben járult hozzá olyan fenntartható gazdálkodású e</w:t>
      </w:r>
      <w:r w:rsidRPr="00A7051C">
        <w:t>r</w:t>
      </w:r>
      <w:r w:rsidRPr="00A7051C">
        <w:t>dős területek létrehozásához, amelyek hozzájárulnak az erdők ökológiai funkciój</w:t>
      </w:r>
      <w:r w:rsidRPr="00A7051C">
        <w:t>á</w:t>
      </w:r>
      <w:r w:rsidRPr="00A7051C">
        <w:t>nak megőrzéséhez és a természeti kockázatok és tüzek megelőzéséhez? (221. intézk</w:t>
      </w:r>
      <w:r w:rsidRPr="00A7051C">
        <w:t>e</w:t>
      </w:r>
      <w:r w:rsidRPr="00A7051C">
        <w:t>dés)</w:t>
      </w:r>
    </w:p>
    <w:p w:rsidR="00020AFE" w:rsidRDefault="00020AFE" w:rsidP="00020AFE">
      <w:pPr>
        <w:jc w:val="both"/>
      </w:pPr>
      <w:r>
        <w:t>A támogatási határozatokban jóváhagyott telepítendő erdők fafajának megválasztását több szempont bef</w:t>
      </w:r>
      <w:r>
        <w:t>o</w:t>
      </w:r>
      <w:r>
        <w:t>lyásolja. A jóváhagyott erdőtelepítési kiviteli terv termőhelyi, és gazdálkodói szempontok figyelembevételével határozza meg a telepíthető fafajokat. A támogatott erdőtelepítések célállomány-típusonkénti megoszlása az alábbi táblázat:</w:t>
      </w:r>
    </w:p>
    <w:tbl>
      <w:tblPr>
        <w:tblStyle w:val="MediumShading1-Accent2"/>
        <w:tblW w:w="0" w:type="auto"/>
        <w:tblLook w:val="04A0"/>
      </w:tblPr>
      <w:tblGrid>
        <w:gridCol w:w="3101"/>
        <w:gridCol w:w="3101"/>
        <w:gridCol w:w="3101"/>
      </w:tblGrid>
      <w:tr w:rsidR="00020AFE" w:rsidTr="00D450E8">
        <w:trPr>
          <w:cnfStyle w:val="100000000000"/>
        </w:trPr>
        <w:tc>
          <w:tcPr>
            <w:cnfStyle w:val="001000000000"/>
            <w:tcW w:w="3101" w:type="dxa"/>
          </w:tcPr>
          <w:p w:rsidR="00020AFE" w:rsidRPr="00482080" w:rsidRDefault="00020AFE" w:rsidP="00D450E8">
            <w:pPr>
              <w:jc w:val="center"/>
              <w:rPr>
                <w:rFonts w:cs="Arial"/>
              </w:rPr>
            </w:pPr>
            <w:r w:rsidRPr="00482080">
              <w:rPr>
                <w:rFonts w:cs="Arial"/>
              </w:rPr>
              <w:t>Célállomány típus csoport</w:t>
            </w:r>
          </w:p>
        </w:tc>
        <w:tc>
          <w:tcPr>
            <w:tcW w:w="3101" w:type="dxa"/>
          </w:tcPr>
          <w:p w:rsidR="00020AFE" w:rsidRPr="00482080" w:rsidRDefault="00020AFE" w:rsidP="00D450E8">
            <w:pPr>
              <w:jc w:val="center"/>
              <w:cnfStyle w:val="100000000000"/>
              <w:rPr>
                <w:rFonts w:cs="Arial"/>
              </w:rPr>
            </w:pPr>
            <w:r w:rsidRPr="00482080">
              <w:rPr>
                <w:rFonts w:cs="Arial"/>
              </w:rPr>
              <w:t>Terület (ha)</w:t>
            </w:r>
          </w:p>
        </w:tc>
        <w:tc>
          <w:tcPr>
            <w:tcW w:w="3101" w:type="dxa"/>
          </w:tcPr>
          <w:p w:rsidR="00020AFE" w:rsidRPr="00482080" w:rsidRDefault="00020AFE" w:rsidP="00D450E8">
            <w:pPr>
              <w:jc w:val="center"/>
              <w:cnfStyle w:val="100000000000"/>
              <w:rPr>
                <w:rFonts w:cs="Arial"/>
              </w:rPr>
            </w:pPr>
            <w:r w:rsidRPr="00482080">
              <w:rPr>
                <w:rFonts w:cs="Arial"/>
              </w:rPr>
              <w:t>Arány (%)</w:t>
            </w:r>
          </w:p>
        </w:tc>
      </w:tr>
      <w:tr w:rsidR="00020AFE" w:rsidTr="00D450E8">
        <w:trPr>
          <w:cnfStyle w:val="000000100000"/>
        </w:trPr>
        <w:tc>
          <w:tcPr>
            <w:cnfStyle w:val="001000000000"/>
            <w:tcW w:w="3101" w:type="dxa"/>
          </w:tcPr>
          <w:p w:rsidR="00020AFE" w:rsidRPr="001C454D" w:rsidRDefault="00020AFE" w:rsidP="00D450E8">
            <w:pPr>
              <w:rPr>
                <w:rFonts w:cs="Arial"/>
              </w:rPr>
            </w:pPr>
            <w:r w:rsidRPr="001C454D">
              <w:rPr>
                <w:rFonts w:cs="Arial"/>
              </w:rPr>
              <w:t>Akác</w:t>
            </w:r>
          </w:p>
        </w:tc>
        <w:tc>
          <w:tcPr>
            <w:tcW w:w="3101" w:type="dxa"/>
            <w:vAlign w:val="center"/>
          </w:tcPr>
          <w:p w:rsidR="00020AFE" w:rsidRPr="001C454D" w:rsidRDefault="00020AFE" w:rsidP="00D450E8">
            <w:pPr>
              <w:jc w:val="center"/>
              <w:cnfStyle w:val="000000100000"/>
              <w:rPr>
                <w:rFonts w:cs="Arial"/>
              </w:rPr>
            </w:pPr>
            <w:r w:rsidRPr="001C454D">
              <w:rPr>
                <w:rFonts w:cs="Arial"/>
              </w:rPr>
              <w:t>6516,63</w:t>
            </w:r>
          </w:p>
        </w:tc>
        <w:tc>
          <w:tcPr>
            <w:tcW w:w="3101" w:type="dxa"/>
            <w:vAlign w:val="center"/>
          </w:tcPr>
          <w:p w:rsidR="00020AFE" w:rsidRPr="001C454D" w:rsidRDefault="00020AFE" w:rsidP="00D450E8">
            <w:pPr>
              <w:jc w:val="center"/>
              <w:cnfStyle w:val="000000100000"/>
              <w:rPr>
                <w:rFonts w:cs="Arial"/>
              </w:rPr>
            </w:pPr>
            <w:r w:rsidRPr="001C454D">
              <w:rPr>
                <w:rFonts w:cs="Arial"/>
              </w:rPr>
              <w:t>32,4</w:t>
            </w:r>
          </w:p>
        </w:tc>
      </w:tr>
      <w:tr w:rsidR="00020AFE" w:rsidTr="00D450E8">
        <w:trPr>
          <w:cnfStyle w:val="000000010000"/>
        </w:trPr>
        <w:tc>
          <w:tcPr>
            <w:cnfStyle w:val="001000000000"/>
            <w:tcW w:w="3101" w:type="dxa"/>
          </w:tcPr>
          <w:p w:rsidR="00020AFE" w:rsidRPr="001C454D" w:rsidRDefault="00020AFE" w:rsidP="00D450E8">
            <w:pPr>
              <w:rPr>
                <w:rFonts w:cs="Arial"/>
              </w:rPr>
            </w:pPr>
            <w:r w:rsidRPr="001C454D">
              <w:rPr>
                <w:rFonts w:cs="Arial"/>
              </w:rPr>
              <w:t>Tölgy</w:t>
            </w:r>
          </w:p>
        </w:tc>
        <w:tc>
          <w:tcPr>
            <w:tcW w:w="3101" w:type="dxa"/>
            <w:vAlign w:val="center"/>
          </w:tcPr>
          <w:p w:rsidR="00020AFE" w:rsidRPr="001C454D" w:rsidRDefault="00020AFE" w:rsidP="00D450E8">
            <w:pPr>
              <w:jc w:val="center"/>
              <w:cnfStyle w:val="000000010000"/>
              <w:rPr>
                <w:rFonts w:cs="Arial"/>
              </w:rPr>
            </w:pPr>
            <w:r w:rsidRPr="001C454D">
              <w:rPr>
                <w:rFonts w:cs="Arial"/>
              </w:rPr>
              <w:t>5942,31</w:t>
            </w:r>
          </w:p>
        </w:tc>
        <w:tc>
          <w:tcPr>
            <w:tcW w:w="3101" w:type="dxa"/>
            <w:vAlign w:val="center"/>
          </w:tcPr>
          <w:p w:rsidR="00020AFE" w:rsidRPr="001C454D" w:rsidRDefault="00020AFE" w:rsidP="00D450E8">
            <w:pPr>
              <w:jc w:val="center"/>
              <w:cnfStyle w:val="000000010000"/>
              <w:rPr>
                <w:rFonts w:cs="Arial"/>
              </w:rPr>
            </w:pPr>
            <w:r w:rsidRPr="001C454D">
              <w:rPr>
                <w:rFonts w:cs="Arial"/>
              </w:rPr>
              <w:t>29,5</w:t>
            </w:r>
          </w:p>
        </w:tc>
      </w:tr>
      <w:tr w:rsidR="00020AFE" w:rsidTr="00D450E8">
        <w:trPr>
          <w:cnfStyle w:val="000000100000"/>
        </w:trPr>
        <w:tc>
          <w:tcPr>
            <w:cnfStyle w:val="001000000000"/>
            <w:tcW w:w="3101" w:type="dxa"/>
          </w:tcPr>
          <w:p w:rsidR="00020AFE" w:rsidRPr="001C454D" w:rsidRDefault="00020AFE" w:rsidP="00D450E8">
            <w:pPr>
              <w:rPr>
                <w:rFonts w:cs="Arial"/>
              </w:rPr>
            </w:pPr>
            <w:proofErr w:type="spellStart"/>
            <w:r w:rsidRPr="001C454D">
              <w:rPr>
                <w:rFonts w:cs="Arial"/>
              </w:rPr>
              <w:t>Hazainyár</w:t>
            </w:r>
            <w:proofErr w:type="spellEnd"/>
            <w:r w:rsidRPr="001C454D">
              <w:rPr>
                <w:rFonts w:cs="Arial"/>
              </w:rPr>
              <w:t>, egyéb lágylomb</w:t>
            </w:r>
          </w:p>
        </w:tc>
        <w:tc>
          <w:tcPr>
            <w:tcW w:w="3101" w:type="dxa"/>
            <w:vAlign w:val="center"/>
          </w:tcPr>
          <w:p w:rsidR="00020AFE" w:rsidRPr="001C454D" w:rsidRDefault="00020AFE" w:rsidP="00D450E8">
            <w:pPr>
              <w:jc w:val="center"/>
              <w:cnfStyle w:val="000000100000"/>
              <w:rPr>
                <w:rFonts w:cs="Arial"/>
              </w:rPr>
            </w:pPr>
            <w:r w:rsidRPr="001C454D">
              <w:rPr>
                <w:rFonts w:cs="Arial"/>
              </w:rPr>
              <w:t>4407,7</w:t>
            </w:r>
          </w:p>
        </w:tc>
        <w:tc>
          <w:tcPr>
            <w:tcW w:w="3101" w:type="dxa"/>
            <w:vAlign w:val="center"/>
          </w:tcPr>
          <w:p w:rsidR="00020AFE" w:rsidRPr="001C454D" w:rsidRDefault="00020AFE" w:rsidP="00D450E8">
            <w:pPr>
              <w:jc w:val="center"/>
              <w:cnfStyle w:val="000000100000"/>
              <w:rPr>
                <w:rFonts w:cs="Arial"/>
              </w:rPr>
            </w:pPr>
            <w:r w:rsidRPr="001C454D">
              <w:rPr>
                <w:rFonts w:cs="Arial"/>
              </w:rPr>
              <w:t>21,9</w:t>
            </w:r>
          </w:p>
        </w:tc>
      </w:tr>
      <w:tr w:rsidR="00020AFE" w:rsidTr="00D450E8">
        <w:trPr>
          <w:cnfStyle w:val="000000010000"/>
        </w:trPr>
        <w:tc>
          <w:tcPr>
            <w:cnfStyle w:val="001000000000"/>
            <w:tcW w:w="3101" w:type="dxa"/>
          </w:tcPr>
          <w:p w:rsidR="00020AFE" w:rsidRPr="001C454D" w:rsidRDefault="00020AFE" w:rsidP="00D450E8">
            <w:pPr>
              <w:rPr>
                <w:rFonts w:cs="Arial"/>
              </w:rPr>
            </w:pPr>
            <w:proofErr w:type="spellStart"/>
            <w:r w:rsidRPr="001C454D">
              <w:rPr>
                <w:rFonts w:cs="Arial"/>
              </w:rPr>
              <w:t>Nemesnyár</w:t>
            </w:r>
            <w:proofErr w:type="spellEnd"/>
            <w:r w:rsidRPr="001C454D">
              <w:rPr>
                <w:rFonts w:cs="Arial"/>
              </w:rPr>
              <w:t xml:space="preserve">, </w:t>
            </w:r>
            <w:proofErr w:type="spellStart"/>
            <w:r w:rsidRPr="001C454D">
              <w:rPr>
                <w:rFonts w:cs="Arial"/>
              </w:rPr>
              <w:t>nemesfűz</w:t>
            </w:r>
            <w:proofErr w:type="spellEnd"/>
          </w:p>
        </w:tc>
        <w:tc>
          <w:tcPr>
            <w:tcW w:w="3101" w:type="dxa"/>
            <w:vAlign w:val="center"/>
          </w:tcPr>
          <w:p w:rsidR="00020AFE" w:rsidRPr="001C454D" w:rsidRDefault="00020AFE" w:rsidP="00D450E8">
            <w:pPr>
              <w:jc w:val="center"/>
              <w:cnfStyle w:val="000000010000"/>
              <w:rPr>
                <w:rFonts w:cs="Arial"/>
              </w:rPr>
            </w:pPr>
            <w:r w:rsidRPr="001C454D">
              <w:rPr>
                <w:rFonts w:cs="Arial"/>
              </w:rPr>
              <w:t>2187,62</w:t>
            </w:r>
          </w:p>
        </w:tc>
        <w:tc>
          <w:tcPr>
            <w:tcW w:w="3101" w:type="dxa"/>
            <w:vAlign w:val="center"/>
          </w:tcPr>
          <w:p w:rsidR="00020AFE" w:rsidRPr="001C454D" w:rsidRDefault="00020AFE" w:rsidP="00D450E8">
            <w:pPr>
              <w:jc w:val="center"/>
              <w:cnfStyle w:val="000000010000"/>
              <w:rPr>
                <w:rFonts w:cs="Arial"/>
              </w:rPr>
            </w:pPr>
            <w:r w:rsidRPr="001C454D">
              <w:rPr>
                <w:rFonts w:cs="Arial"/>
              </w:rPr>
              <w:t>10,9</w:t>
            </w:r>
          </w:p>
        </w:tc>
      </w:tr>
      <w:tr w:rsidR="00020AFE" w:rsidTr="00D450E8">
        <w:trPr>
          <w:cnfStyle w:val="000000100000"/>
        </w:trPr>
        <w:tc>
          <w:tcPr>
            <w:cnfStyle w:val="001000000000"/>
            <w:tcW w:w="3101" w:type="dxa"/>
          </w:tcPr>
          <w:p w:rsidR="00020AFE" w:rsidRPr="001C454D" w:rsidRDefault="00020AFE" w:rsidP="00D450E8">
            <w:pPr>
              <w:rPr>
                <w:rFonts w:cs="Arial"/>
              </w:rPr>
            </w:pPr>
            <w:r w:rsidRPr="001C454D">
              <w:rPr>
                <w:rFonts w:cs="Arial"/>
              </w:rPr>
              <w:t>Egyéb keménylomb</w:t>
            </w:r>
          </w:p>
        </w:tc>
        <w:tc>
          <w:tcPr>
            <w:tcW w:w="3101" w:type="dxa"/>
            <w:vAlign w:val="center"/>
          </w:tcPr>
          <w:p w:rsidR="00020AFE" w:rsidRPr="001C454D" w:rsidRDefault="00020AFE" w:rsidP="00D450E8">
            <w:pPr>
              <w:jc w:val="center"/>
              <w:cnfStyle w:val="000000100000"/>
              <w:rPr>
                <w:rFonts w:cs="Arial"/>
              </w:rPr>
            </w:pPr>
            <w:r w:rsidRPr="001C454D">
              <w:rPr>
                <w:rFonts w:cs="Arial"/>
              </w:rPr>
              <w:t>944,59</w:t>
            </w:r>
          </w:p>
        </w:tc>
        <w:tc>
          <w:tcPr>
            <w:tcW w:w="3101" w:type="dxa"/>
            <w:vAlign w:val="center"/>
          </w:tcPr>
          <w:p w:rsidR="00020AFE" w:rsidRPr="001C454D" w:rsidRDefault="00020AFE" w:rsidP="00D450E8">
            <w:pPr>
              <w:jc w:val="center"/>
              <w:cnfStyle w:val="000000100000"/>
              <w:rPr>
                <w:rFonts w:cs="Arial"/>
              </w:rPr>
            </w:pPr>
            <w:r w:rsidRPr="001C454D">
              <w:rPr>
                <w:rFonts w:cs="Arial"/>
              </w:rPr>
              <w:t>4,7</w:t>
            </w:r>
          </w:p>
        </w:tc>
      </w:tr>
      <w:tr w:rsidR="00020AFE" w:rsidTr="00D450E8">
        <w:trPr>
          <w:cnfStyle w:val="000000010000"/>
        </w:trPr>
        <w:tc>
          <w:tcPr>
            <w:cnfStyle w:val="001000000000"/>
            <w:tcW w:w="3101" w:type="dxa"/>
          </w:tcPr>
          <w:p w:rsidR="00020AFE" w:rsidRPr="001C454D" w:rsidRDefault="00020AFE" w:rsidP="00D450E8">
            <w:pPr>
              <w:rPr>
                <w:rFonts w:cs="Arial"/>
              </w:rPr>
            </w:pPr>
            <w:r w:rsidRPr="001C454D">
              <w:rPr>
                <w:rFonts w:cs="Arial"/>
              </w:rPr>
              <w:t>Fenyő</w:t>
            </w:r>
          </w:p>
        </w:tc>
        <w:tc>
          <w:tcPr>
            <w:tcW w:w="3101" w:type="dxa"/>
            <w:vAlign w:val="center"/>
          </w:tcPr>
          <w:p w:rsidR="00020AFE" w:rsidRPr="001C454D" w:rsidRDefault="00020AFE" w:rsidP="00D450E8">
            <w:pPr>
              <w:jc w:val="center"/>
              <w:cnfStyle w:val="000000010000"/>
              <w:rPr>
                <w:rFonts w:cs="Arial"/>
              </w:rPr>
            </w:pPr>
            <w:r w:rsidRPr="001C454D">
              <w:rPr>
                <w:rFonts w:cs="Arial"/>
              </w:rPr>
              <w:t>113,47</w:t>
            </w:r>
          </w:p>
        </w:tc>
        <w:tc>
          <w:tcPr>
            <w:tcW w:w="3101" w:type="dxa"/>
            <w:vAlign w:val="center"/>
          </w:tcPr>
          <w:p w:rsidR="00020AFE" w:rsidRPr="001C454D" w:rsidRDefault="00020AFE" w:rsidP="00D450E8">
            <w:pPr>
              <w:jc w:val="center"/>
              <w:cnfStyle w:val="000000010000"/>
              <w:rPr>
                <w:rFonts w:cs="Arial"/>
              </w:rPr>
            </w:pPr>
            <w:r w:rsidRPr="001C454D">
              <w:rPr>
                <w:rFonts w:cs="Arial"/>
              </w:rPr>
              <w:t>0,6</w:t>
            </w:r>
          </w:p>
        </w:tc>
      </w:tr>
      <w:tr w:rsidR="00020AFE" w:rsidTr="00D450E8">
        <w:trPr>
          <w:cnfStyle w:val="000000100000"/>
        </w:trPr>
        <w:tc>
          <w:tcPr>
            <w:cnfStyle w:val="001000000000"/>
            <w:tcW w:w="3101" w:type="dxa"/>
          </w:tcPr>
          <w:p w:rsidR="00020AFE" w:rsidRPr="001C454D" w:rsidRDefault="00020AFE" w:rsidP="00D450E8">
            <w:pPr>
              <w:rPr>
                <w:rFonts w:cs="Arial"/>
              </w:rPr>
            </w:pPr>
            <w:r>
              <w:rPr>
                <w:rFonts w:cs="Arial"/>
              </w:rPr>
              <w:t>Összesen</w:t>
            </w:r>
          </w:p>
        </w:tc>
        <w:tc>
          <w:tcPr>
            <w:tcW w:w="3101" w:type="dxa"/>
            <w:vAlign w:val="center"/>
          </w:tcPr>
          <w:p w:rsidR="00020AFE" w:rsidRPr="001C454D" w:rsidRDefault="00020AFE" w:rsidP="00D450E8">
            <w:pPr>
              <w:jc w:val="center"/>
              <w:cnfStyle w:val="000000100000"/>
              <w:rPr>
                <w:rFonts w:cs="Arial"/>
                <w:b/>
              </w:rPr>
            </w:pPr>
            <w:r w:rsidRPr="001C454D">
              <w:rPr>
                <w:rFonts w:cs="Arial"/>
                <w:b/>
              </w:rPr>
              <w:t>20112,32</w:t>
            </w:r>
          </w:p>
        </w:tc>
        <w:tc>
          <w:tcPr>
            <w:tcW w:w="3101" w:type="dxa"/>
            <w:vAlign w:val="center"/>
          </w:tcPr>
          <w:p w:rsidR="00020AFE" w:rsidRPr="001C454D" w:rsidRDefault="00020AFE" w:rsidP="00D450E8">
            <w:pPr>
              <w:jc w:val="center"/>
              <w:cnfStyle w:val="000000100000"/>
              <w:rPr>
                <w:rFonts w:cs="Arial"/>
                <w:b/>
              </w:rPr>
            </w:pPr>
            <w:r w:rsidRPr="001C454D">
              <w:rPr>
                <w:rFonts w:cs="Arial"/>
                <w:b/>
              </w:rPr>
              <w:t>100,0</w:t>
            </w:r>
          </w:p>
        </w:tc>
      </w:tr>
    </w:tbl>
    <w:p w:rsidR="00020AFE" w:rsidRPr="008617FB" w:rsidRDefault="00CF0DD4" w:rsidP="00020AFE">
      <w:pPr>
        <w:pStyle w:val="Caption"/>
        <w:spacing w:before="60" w:after="120" w:line="280" w:lineRule="atLeast"/>
        <w:jc w:val="center"/>
        <w:rPr>
          <w:color w:val="auto"/>
        </w:rPr>
      </w:pPr>
      <w:r w:rsidRPr="008617FB">
        <w:rPr>
          <w:color w:val="auto"/>
        </w:rPr>
        <w:fldChar w:fldCharType="begin"/>
      </w:r>
      <w:r w:rsidR="00020AFE" w:rsidRPr="008617FB">
        <w:rPr>
          <w:color w:val="auto"/>
        </w:rPr>
        <w:instrText xml:space="preserve"> SEQ táblázat \* ARABIC </w:instrText>
      </w:r>
      <w:r w:rsidRPr="008617FB">
        <w:rPr>
          <w:color w:val="auto"/>
        </w:rPr>
        <w:fldChar w:fldCharType="separate"/>
      </w:r>
      <w:r w:rsidR="00660338">
        <w:rPr>
          <w:noProof/>
          <w:color w:val="auto"/>
        </w:rPr>
        <w:t>10</w:t>
      </w:r>
      <w:r w:rsidRPr="008617FB">
        <w:rPr>
          <w:color w:val="auto"/>
        </w:rPr>
        <w:fldChar w:fldCharType="end"/>
      </w:r>
      <w:r w:rsidR="00020AFE" w:rsidRPr="008617FB">
        <w:rPr>
          <w:color w:val="auto"/>
        </w:rPr>
        <w:t>. táblázat: Támogatott erdőtelepítések célállomány-típusonkénti megoszlása</w:t>
      </w:r>
    </w:p>
    <w:p w:rsidR="00020AFE" w:rsidRDefault="00020AFE" w:rsidP="00020AFE">
      <w:pPr>
        <w:jc w:val="both"/>
      </w:pPr>
      <w:r>
        <w:t>A támogatott erdőtelepítések jelentős része, 56,1%-</w:t>
      </w:r>
      <w:proofErr w:type="gramStart"/>
      <w:r>
        <w:t>a</w:t>
      </w:r>
      <w:proofErr w:type="gramEnd"/>
      <w:r>
        <w:t xml:space="preserve"> őshonos fafajokkal valósult meg, amelyek hozzájáru</w:t>
      </w:r>
      <w:r>
        <w:t>l</w:t>
      </w:r>
      <w:r>
        <w:t>nak az erdők ökológiai funkciójának megőrzéséhez, és a természeti kockázatok mérsékléséhez. A támog</w:t>
      </w:r>
      <w:r>
        <w:t>a</w:t>
      </w:r>
      <w:r>
        <w:t>tás elbírálása érdekében létrehozott pontozási rendszer jelentősen támogatta az erdők elegyes telepítését (7 pont a lehetséges 100-ból).</w:t>
      </w:r>
    </w:p>
    <w:p w:rsidR="00020AFE" w:rsidRDefault="00020AFE" w:rsidP="00020AFE">
      <w:pPr>
        <w:jc w:val="both"/>
      </w:pPr>
      <w:r>
        <w:t>Az erdőtüzek megelőzése érdekében a támogatott erdőrészletek tűzveszélyességi besorolását mutatja az alábbi táblázat:</w:t>
      </w:r>
    </w:p>
    <w:tbl>
      <w:tblPr>
        <w:tblStyle w:val="MediumShading1-Accent2"/>
        <w:tblW w:w="0" w:type="auto"/>
        <w:tblLook w:val="04A0"/>
      </w:tblPr>
      <w:tblGrid>
        <w:gridCol w:w="3101"/>
        <w:gridCol w:w="3101"/>
        <w:gridCol w:w="3101"/>
      </w:tblGrid>
      <w:tr w:rsidR="00020AFE" w:rsidTr="00D450E8">
        <w:trPr>
          <w:cnfStyle w:val="100000000000"/>
        </w:trPr>
        <w:tc>
          <w:tcPr>
            <w:cnfStyle w:val="001000000000"/>
            <w:tcW w:w="3101" w:type="dxa"/>
          </w:tcPr>
          <w:p w:rsidR="00020AFE" w:rsidRPr="00482080" w:rsidRDefault="00020AFE" w:rsidP="00D450E8">
            <w:pPr>
              <w:jc w:val="center"/>
              <w:rPr>
                <w:rFonts w:cs="Arial"/>
              </w:rPr>
            </w:pPr>
            <w:r w:rsidRPr="00482080">
              <w:rPr>
                <w:rFonts w:cs="Arial"/>
              </w:rPr>
              <w:t>Tűzveszélyesség</w:t>
            </w:r>
          </w:p>
        </w:tc>
        <w:tc>
          <w:tcPr>
            <w:tcW w:w="3101" w:type="dxa"/>
          </w:tcPr>
          <w:p w:rsidR="00020AFE" w:rsidRPr="00482080" w:rsidRDefault="00020AFE" w:rsidP="00D450E8">
            <w:pPr>
              <w:jc w:val="center"/>
              <w:cnfStyle w:val="100000000000"/>
              <w:rPr>
                <w:rFonts w:cs="Arial"/>
              </w:rPr>
            </w:pPr>
            <w:r w:rsidRPr="00482080">
              <w:rPr>
                <w:rFonts w:cs="Arial"/>
              </w:rPr>
              <w:t>Terület (ha)</w:t>
            </w:r>
          </w:p>
        </w:tc>
        <w:tc>
          <w:tcPr>
            <w:tcW w:w="3101" w:type="dxa"/>
          </w:tcPr>
          <w:p w:rsidR="00020AFE" w:rsidRPr="00482080" w:rsidRDefault="00020AFE" w:rsidP="00D450E8">
            <w:pPr>
              <w:jc w:val="center"/>
              <w:cnfStyle w:val="100000000000"/>
              <w:rPr>
                <w:rFonts w:cs="Arial"/>
              </w:rPr>
            </w:pPr>
            <w:r w:rsidRPr="00482080">
              <w:rPr>
                <w:rFonts w:cs="Arial"/>
              </w:rPr>
              <w:t>Arány (%)</w:t>
            </w:r>
          </w:p>
        </w:tc>
      </w:tr>
      <w:tr w:rsidR="00020AFE" w:rsidTr="00D450E8">
        <w:trPr>
          <w:cnfStyle w:val="000000100000"/>
        </w:trPr>
        <w:tc>
          <w:tcPr>
            <w:cnfStyle w:val="001000000000"/>
            <w:tcW w:w="3101" w:type="dxa"/>
          </w:tcPr>
          <w:p w:rsidR="00020AFE" w:rsidRPr="009D7EF7" w:rsidRDefault="00020AFE" w:rsidP="00D450E8">
            <w:pPr>
              <w:rPr>
                <w:rFonts w:cs="Arial"/>
              </w:rPr>
            </w:pPr>
            <w:r w:rsidRPr="009D7EF7">
              <w:rPr>
                <w:rFonts w:cs="Arial"/>
              </w:rPr>
              <w:t>Kismértékben tűzveszélyes</w:t>
            </w:r>
          </w:p>
        </w:tc>
        <w:tc>
          <w:tcPr>
            <w:tcW w:w="3101" w:type="dxa"/>
            <w:vAlign w:val="center"/>
          </w:tcPr>
          <w:p w:rsidR="00020AFE" w:rsidRPr="009D7EF7" w:rsidRDefault="00020AFE" w:rsidP="00D450E8">
            <w:pPr>
              <w:jc w:val="center"/>
              <w:cnfStyle w:val="000000100000"/>
              <w:rPr>
                <w:rFonts w:cs="Arial"/>
              </w:rPr>
            </w:pPr>
            <w:r w:rsidRPr="009D7EF7">
              <w:rPr>
                <w:rFonts w:cs="Arial"/>
              </w:rPr>
              <w:t>18945,68</w:t>
            </w:r>
          </w:p>
        </w:tc>
        <w:tc>
          <w:tcPr>
            <w:tcW w:w="3101" w:type="dxa"/>
            <w:vAlign w:val="center"/>
          </w:tcPr>
          <w:p w:rsidR="00020AFE" w:rsidRPr="009D7EF7" w:rsidRDefault="00020AFE" w:rsidP="00D450E8">
            <w:pPr>
              <w:jc w:val="center"/>
              <w:cnfStyle w:val="000000100000"/>
              <w:rPr>
                <w:rFonts w:cs="Arial"/>
              </w:rPr>
            </w:pPr>
            <w:r w:rsidRPr="009D7EF7">
              <w:rPr>
                <w:rFonts w:cs="Arial"/>
              </w:rPr>
              <w:t>94,2</w:t>
            </w:r>
          </w:p>
        </w:tc>
      </w:tr>
      <w:tr w:rsidR="00020AFE" w:rsidTr="00D450E8">
        <w:trPr>
          <w:cnfStyle w:val="000000010000"/>
        </w:trPr>
        <w:tc>
          <w:tcPr>
            <w:cnfStyle w:val="001000000000"/>
            <w:tcW w:w="3101" w:type="dxa"/>
          </w:tcPr>
          <w:p w:rsidR="00020AFE" w:rsidRPr="009D7EF7" w:rsidRDefault="00020AFE" w:rsidP="00D450E8">
            <w:pPr>
              <w:rPr>
                <w:rFonts w:cs="Arial"/>
              </w:rPr>
            </w:pPr>
            <w:r w:rsidRPr="009D7EF7">
              <w:rPr>
                <w:rFonts w:cs="Arial"/>
              </w:rPr>
              <w:t>Nagymértékben tűzveszélyes</w:t>
            </w:r>
          </w:p>
        </w:tc>
        <w:tc>
          <w:tcPr>
            <w:tcW w:w="3101" w:type="dxa"/>
            <w:vAlign w:val="center"/>
          </w:tcPr>
          <w:p w:rsidR="00020AFE" w:rsidRPr="009D7EF7" w:rsidRDefault="00020AFE" w:rsidP="00D450E8">
            <w:pPr>
              <w:jc w:val="center"/>
              <w:cnfStyle w:val="000000010000"/>
              <w:rPr>
                <w:rFonts w:cs="Arial"/>
              </w:rPr>
            </w:pPr>
            <w:r w:rsidRPr="009D7EF7">
              <w:rPr>
                <w:rFonts w:cs="Arial"/>
              </w:rPr>
              <w:t>1149,08</w:t>
            </w:r>
          </w:p>
        </w:tc>
        <w:tc>
          <w:tcPr>
            <w:tcW w:w="3101" w:type="dxa"/>
            <w:vAlign w:val="center"/>
          </w:tcPr>
          <w:p w:rsidR="00020AFE" w:rsidRPr="009D7EF7" w:rsidRDefault="00020AFE" w:rsidP="00D450E8">
            <w:pPr>
              <w:jc w:val="center"/>
              <w:cnfStyle w:val="000000010000"/>
              <w:rPr>
                <w:rFonts w:cs="Arial"/>
              </w:rPr>
            </w:pPr>
            <w:r w:rsidRPr="009D7EF7">
              <w:rPr>
                <w:rFonts w:cs="Arial"/>
              </w:rPr>
              <w:t>5,7</w:t>
            </w:r>
          </w:p>
        </w:tc>
      </w:tr>
      <w:tr w:rsidR="00020AFE" w:rsidTr="00D450E8">
        <w:trPr>
          <w:cnfStyle w:val="000000100000"/>
        </w:trPr>
        <w:tc>
          <w:tcPr>
            <w:cnfStyle w:val="001000000000"/>
            <w:tcW w:w="3101" w:type="dxa"/>
          </w:tcPr>
          <w:p w:rsidR="00020AFE" w:rsidRPr="009D7EF7" w:rsidRDefault="00020AFE" w:rsidP="00D450E8">
            <w:pPr>
              <w:rPr>
                <w:rFonts w:cs="Arial"/>
              </w:rPr>
            </w:pPr>
            <w:r>
              <w:rPr>
                <w:rFonts w:cs="Arial"/>
              </w:rPr>
              <w:t>Nem besorolt</w:t>
            </w:r>
          </w:p>
        </w:tc>
        <w:tc>
          <w:tcPr>
            <w:tcW w:w="3101" w:type="dxa"/>
            <w:vAlign w:val="center"/>
          </w:tcPr>
          <w:p w:rsidR="00020AFE" w:rsidRPr="009D7EF7" w:rsidRDefault="00020AFE" w:rsidP="00D450E8">
            <w:pPr>
              <w:jc w:val="center"/>
              <w:cnfStyle w:val="000000100000"/>
              <w:rPr>
                <w:rFonts w:cs="Arial"/>
              </w:rPr>
            </w:pPr>
            <w:r w:rsidRPr="009D7EF7">
              <w:rPr>
                <w:rFonts w:cs="Arial"/>
              </w:rPr>
              <w:t>17,56</w:t>
            </w:r>
          </w:p>
        </w:tc>
        <w:tc>
          <w:tcPr>
            <w:tcW w:w="3101" w:type="dxa"/>
            <w:vAlign w:val="center"/>
          </w:tcPr>
          <w:p w:rsidR="00020AFE" w:rsidRPr="009D7EF7" w:rsidRDefault="00020AFE" w:rsidP="00D450E8">
            <w:pPr>
              <w:jc w:val="center"/>
              <w:cnfStyle w:val="000000100000"/>
              <w:rPr>
                <w:rFonts w:cs="Arial"/>
              </w:rPr>
            </w:pPr>
            <w:r w:rsidRPr="009D7EF7">
              <w:rPr>
                <w:rFonts w:cs="Arial"/>
              </w:rPr>
              <w:t>0,1</w:t>
            </w:r>
          </w:p>
        </w:tc>
      </w:tr>
      <w:tr w:rsidR="00020AFE" w:rsidTr="00D450E8">
        <w:trPr>
          <w:cnfStyle w:val="000000010000"/>
        </w:trPr>
        <w:tc>
          <w:tcPr>
            <w:cnfStyle w:val="001000000000"/>
            <w:tcW w:w="3101" w:type="dxa"/>
          </w:tcPr>
          <w:p w:rsidR="00020AFE" w:rsidRPr="009D7EF7" w:rsidRDefault="00020AFE" w:rsidP="00D450E8">
            <w:pPr>
              <w:rPr>
                <w:rFonts w:cs="Arial"/>
                <w:b w:val="0"/>
              </w:rPr>
            </w:pPr>
            <w:r w:rsidRPr="00482080">
              <w:rPr>
                <w:rFonts w:cs="Arial"/>
              </w:rPr>
              <w:t>Összesen</w:t>
            </w:r>
          </w:p>
        </w:tc>
        <w:tc>
          <w:tcPr>
            <w:tcW w:w="3101" w:type="dxa"/>
            <w:vAlign w:val="center"/>
          </w:tcPr>
          <w:p w:rsidR="00020AFE" w:rsidRPr="009D7EF7" w:rsidRDefault="00020AFE" w:rsidP="00D450E8">
            <w:pPr>
              <w:jc w:val="center"/>
              <w:cnfStyle w:val="000000010000"/>
              <w:rPr>
                <w:rFonts w:cs="Arial"/>
                <w:b/>
              </w:rPr>
            </w:pPr>
            <w:r w:rsidRPr="009D7EF7">
              <w:rPr>
                <w:rFonts w:cs="Arial"/>
                <w:b/>
              </w:rPr>
              <w:t>20112,32</w:t>
            </w:r>
          </w:p>
        </w:tc>
        <w:tc>
          <w:tcPr>
            <w:tcW w:w="3101" w:type="dxa"/>
            <w:vAlign w:val="center"/>
          </w:tcPr>
          <w:p w:rsidR="00020AFE" w:rsidRPr="009D7EF7" w:rsidRDefault="00020AFE" w:rsidP="00D450E8">
            <w:pPr>
              <w:jc w:val="center"/>
              <w:cnfStyle w:val="000000010000"/>
              <w:rPr>
                <w:rFonts w:cs="Arial"/>
                <w:b/>
              </w:rPr>
            </w:pPr>
            <w:r w:rsidRPr="009D7EF7">
              <w:rPr>
                <w:rFonts w:cs="Arial"/>
                <w:b/>
              </w:rPr>
              <w:t>100,0</w:t>
            </w:r>
          </w:p>
        </w:tc>
      </w:tr>
    </w:tbl>
    <w:p w:rsidR="00020AFE" w:rsidRPr="008617FB" w:rsidRDefault="00CF0DD4" w:rsidP="00020AFE">
      <w:pPr>
        <w:pStyle w:val="Caption"/>
        <w:spacing w:before="60" w:after="120" w:line="280" w:lineRule="atLeast"/>
        <w:jc w:val="center"/>
        <w:rPr>
          <w:color w:val="auto"/>
        </w:rPr>
      </w:pPr>
      <w:r w:rsidRPr="008617FB">
        <w:rPr>
          <w:color w:val="auto"/>
        </w:rPr>
        <w:fldChar w:fldCharType="begin"/>
      </w:r>
      <w:r w:rsidR="00020AFE" w:rsidRPr="008617FB">
        <w:rPr>
          <w:color w:val="auto"/>
        </w:rPr>
        <w:instrText xml:space="preserve"> SEQ táblázat \* ARABIC </w:instrText>
      </w:r>
      <w:r w:rsidRPr="008617FB">
        <w:rPr>
          <w:color w:val="auto"/>
        </w:rPr>
        <w:fldChar w:fldCharType="separate"/>
      </w:r>
      <w:r w:rsidR="00660338">
        <w:rPr>
          <w:noProof/>
          <w:color w:val="auto"/>
        </w:rPr>
        <w:t>11</w:t>
      </w:r>
      <w:r w:rsidRPr="008617FB">
        <w:rPr>
          <w:color w:val="auto"/>
        </w:rPr>
        <w:fldChar w:fldCharType="end"/>
      </w:r>
      <w:r w:rsidR="00020AFE" w:rsidRPr="008617FB">
        <w:rPr>
          <w:color w:val="auto"/>
        </w:rPr>
        <w:t>. táblázat: Tűzveszélyességi adatok</w:t>
      </w:r>
    </w:p>
    <w:p w:rsidR="00020AFE" w:rsidRDefault="00020AFE" w:rsidP="00020AFE">
      <w:pPr>
        <w:jc w:val="both"/>
      </w:pPr>
      <w:r>
        <w:t xml:space="preserve">A támogatott erdőrészletek jelentős része kismértékben tűzveszélyes besorolást kapott, mindössze 5,7%-a került </w:t>
      </w:r>
      <w:proofErr w:type="gramStart"/>
      <w:r>
        <w:t>nagy mértékben</w:t>
      </w:r>
      <w:proofErr w:type="gramEnd"/>
      <w:r>
        <w:t xml:space="preserve"> tűzveszélyes kategóriába.</w:t>
      </w:r>
    </w:p>
    <w:p w:rsidR="00020AFE" w:rsidRDefault="00020AFE" w:rsidP="00020AFE">
      <w:pPr>
        <w:jc w:val="both"/>
      </w:pPr>
      <w:r>
        <w:t>A korábbi időszakkal (Nemzeti Vidékfejlesztési Terv) szemben az Új Magyarország Vidékfejlesztési Program nem támogatta tűzvédelmi pászták létrehozását az erdőtelepítéssel összefüggésben.</w:t>
      </w:r>
    </w:p>
    <w:p w:rsidR="00020AFE" w:rsidRDefault="00020AFE" w:rsidP="00020AFE">
      <w:pPr>
        <w:pStyle w:val="StyleHUNHeading3Justified"/>
        <w:ind w:left="504"/>
      </w:pPr>
      <w:r w:rsidRPr="00A7051C">
        <w:lastRenderedPageBreak/>
        <w:t>Az intézkedés milyen mértékben járult hozzá a vidék megőrzéséhez és a környezet javításához? (221. intézkedés)</w:t>
      </w:r>
    </w:p>
    <w:p w:rsidR="00020AFE" w:rsidRDefault="00020AFE" w:rsidP="00020AFE">
      <w:pPr>
        <w:jc w:val="both"/>
      </w:pPr>
      <w:r>
        <w:t>A támogatott erdőrészletek elsődleges rendeltetés szerinti megoszlása az alábbi táblázat.</w:t>
      </w:r>
    </w:p>
    <w:tbl>
      <w:tblPr>
        <w:tblStyle w:val="MediumShading1-Accent2"/>
        <w:tblW w:w="0" w:type="auto"/>
        <w:tblLook w:val="04A0"/>
      </w:tblPr>
      <w:tblGrid>
        <w:gridCol w:w="1756"/>
        <w:gridCol w:w="1531"/>
        <w:gridCol w:w="1516"/>
        <w:gridCol w:w="1537"/>
        <w:gridCol w:w="1522"/>
        <w:gridCol w:w="1517"/>
      </w:tblGrid>
      <w:tr w:rsidR="00020AFE" w:rsidTr="00D450E8">
        <w:trPr>
          <w:cnfStyle w:val="100000000000"/>
        </w:trPr>
        <w:tc>
          <w:tcPr>
            <w:cnfStyle w:val="001000000000"/>
            <w:tcW w:w="1754" w:type="dxa"/>
            <w:vAlign w:val="center"/>
          </w:tcPr>
          <w:p w:rsidR="00020AFE" w:rsidRPr="008A7A76" w:rsidRDefault="00020AFE" w:rsidP="00D450E8">
            <w:pPr>
              <w:jc w:val="center"/>
              <w:rPr>
                <w:rFonts w:cs="Arial"/>
              </w:rPr>
            </w:pPr>
            <w:r w:rsidRPr="008A7A76">
              <w:rPr>
                <w:rFonts w:cs="Arial"/>
              </w:rPr>
              <w:t>Elsődleges re</w:t>
            </w:r>
            <w:r w:rsidRPr="008A7A76">
              <w:rPr>
                <w:rFonts w:cs="Arial"/>
              </w:rPr>
              <w:t>n</w:t>
            </w:r>
            <w:r w:rsidRPr="008A7A76">
              <w:rPr>
                <w:rFonts w:cs="Arial"/>
              </w:rPr>
              <w:t>deltetés</w:t>
            </w:r>
          </w:p>
        </w:tc>
        <w:tc>
          <w:tcPr>
            <w:tcW w:w="1531" w:type="dxa"/>
            <w:vAlign w:val="center"/>
          </w:tcPr>
          <w:p w:rsidR="00020AFE" w:rsidRPr="008A7A76" w:rsidRDefault="00020AFE" w:rsidP="00D450E8">
            <w:pPr>
              <w:jc w:val="center"/>
              <w:cnfStyle w:val="100000000000"/>
              <w:rPr>
                <w:rFonts w:cs="Arial"/>
              </w:rPr>
            </w:pPr>
            <w:r w:rsidRPr="008A7A76">
              <w:rPr>
                <w:rFonts w:cs="Arial"/>
              </w:rPr>
              <w:t>Terület (ha)</w:t>
            </w:r>
          </w:p>
        </w:tc>
        <w:tc>
          <w:tcPr>
            <w:tcW w:w="1517" w:type="dxa"/>
            <w:vAlign w:val="center"/>
          </w:tcPr>
          <w:p w:rsidR="00020AFE" w:rsidRPr="008A7A76" w:rsidRDefault="00020AFE" w:rsidP="00D450E8">
            <w:pPr>
              <w:jc w:val="center"/>
              <w:cnfStyle w:val="100000000000"/>
              <w:rPr>
                <w:rFonts w:cs="Arial"/>
              </w:rPr>
            </w:pPr>
            <w:r w:rsidRPr="008A7A76">
              <w:rPr>
                <w:rFonts w:cs="Arial"/>
              </w:rPr>
              <w:t>Arány (%)</w:t>
            </w:r>
          </w:p>
        </w:tc>
        <w:tc>
          <w:tcPr>
            <w:tcW w:w="1537" w:type="dxa"/>
            <w:vAlign w:val="center"/>
          </w:tcPr>
          <w:p w:rsidR="00020AFE" w:rsidRPr="008A7A76" w:rsidRDefault="00020AFE" w:rsidP="00D450E8">
            <w:pPr>
              <w:jc w:val="center"/>
              <w:cnfStyle w:val="100000000000"/>
              <w:rPr>
                <w:rFonts w:cs="Arial"/>
              </w:rPr>
            </w:pPr>
            <w:r w:rsidRPr="008A7A76">
              <w:rPr>
                <w:rFonts w:cs="Arial"/>
              </w:rPr>
              <w:t>Elsődleges rendeltetés</w:t>
            </w:r>
          </w:p>
        </w:tc>
        <w:tc>
          <w:tcPr>
            <w:tcW w:w="1522" w:type="dxa"/>
            <w:vAlign w:val="center"/>
          </w:tcPr>
          <w:p w:rsidR="00020AFE" w:rsidRPr="008A7A76" w:rsidRDefault="00020AFE" w:rsidP="00D450E8">
            <w:pPr>
              <w:jc w:val="center"/>
              <w:cnfStyle w:val="100000000000"/>
              <w:rPr>
                <w:rFonts w:cs="Arial"/>
              </w:rPr>
            </w:pPr>
            <w:r w:rsidRPr="008A7A76">
              <w:rPr>
                <w:rFonts w:cs="Arial"/>
              </w:rPr>
              <w:t>Terület (ha)</w:t>
            </w:r>
          </w:p>
        </w:tc>
        <w:tc>
          <w:tcPr>
            <w:tcW w:w="1518" w:type="dxa"/>
            <w:vAlign w:val="center"/>
          </w:tcPr>
          <w:p w:rsidR="00020AFE" w:rsidRPr="008A7A76" w:rsidRDefault="00020AFE" w:rsidP="00D450E8">
            <w:pPr>
              <w:jc w:val="center"/>
              <w:cnfStyle w:val="100000000000"/>
              <w:rPr>
                <w:rFonts w:cs="Arial"/>
              </w:rPr>
            </w:pPr>
            <w:r w:rsidRPr="008A7A76">
              <w:rPr>
                <w:rFonts w:cs="Arial"/>
              </w:rPr>
              <w:t>Arány (%)</w:t>
            </w:r>
          </w:p>
        </w:tc>
      </w:tr>
      <w:tr w:rsidR="00020AFE" w:rsidTr="00D450E8">
        <w:trPr>
          <w:cnfStyle w:val="000000100000"/>
        </w:trPr>
        <w:tc>
          <w:tcPr>
            <w:cnfStyle w:val="001000000000"/>
            <w:tcW w:w="1754" w:type="dxa"/>
          </w:tcPr>
          <w:p w:rsidR="00020AFE" w:rsidRPr="007515ED" w:rsidRDefault="00020AFE" w:rsidP="00D450E8">
            <w:pPr>
              <w:rPr>
                <w:rFonts w:cs="Arial"/>
              </w:rPr>
            </w:pPr>
            <w:r w:rsidRPr="007515ED">
              <w:rPr>
                <w:rFonts w:cs="Arial"/>
              </w:rPr>
              <w:t>Faanyagtermelő</w:t>
            </w:r>
          </w:p>
        </w:tc>
        <w:tc>
          <w:tcPr>
            <w:tcW w:w="1531" w:type="dxa"/>
          </w:tcPr>
          <w:p w:rsidR="00020AFE" w:rsidRPr="007515ED" w:rsidRDefault="00020AFE" w:rsidP="00D450E8">
            <w:pPr>
              <w:jc w:val="right"/>
              <w:cnfStyle w:val="000000100000"/>
              <w:rPr>
                <w:rFonts w:cs="Arial"/>
              </w:rPr>
            </w:pPr>
            <w:r w:rsidRPr="007515ED">
              <w:rPr>
                <w:rFonts w:cs="Arial"/>
              </w:rPr>
              <w:t>19059,76</w:t>
            </w:r>
          </w:p>
        </w:tc>
        <w:tc>
          <w:tcPr>
            <w:tcW w:w="1517" w:type="dxa"/>
          </w:tcPr>
          <w:p w:rsidR="00020AFE" w:rsidRPr="007515ED" w:rsidRDefault="00020AFE" w:rsidP="00D450E8">
            <w:pPr>
              <w:jc w:val="right"/>
              <w:cnfStyle w:val="000000100000"/>
              <w:rPr>
                <w:rFonts w:cs="Arial"/>
              </w:rPr>
            </w:pPr>
            <w:r w:rsidRPr="007515ED">
              <w:rPr>
                <w:rFonts w:cs="Arial"/>
              </w:rPr>
              <w:t>94,8</w:t>
            </w:r>
          </w:p>
        </w:tc>
        <w:tc>
          <w:tcPr>
            <w:tcW w:w="1537" w:type="dxa"/>
          </w:tcPr>
          <w:p w:rsidR="00020AFE" w:rsidRPr="007515ED" w:rsidRDefault="00020AFE" w:rsidP="00D450E8">
            <w:pPr>
              <w:cnfStyle w:val="000000100000"/>
              <w:rPr>
                <w:rFonts w:cs="Arial"/>
              </w:rPr>
            </w:pPr>
            <w:r w:rsidRPr="007515ED">
              <w:rPr>
                <w:rFonts w:cs="Arial"/>
              </w:rPr>
              <w:t>Partvédelmi</w:t>
            </w:r>
          </w:p>
        </w:tc>
        <w:tc>
          <w:tcPr>
            <w:tcW w:w="1522" w:type="dxa"/>
          </w:tcPr>
          <w:p w:rsidR="00020AFE" w:rsidRPr="007515ED" w:rsidRDefault="00020AFE" w:rsidP="00D450E8">
            <w:pPr>
              <w:jc w:val="right"/>
              <w:cnfStyle w:val="000000100000"/>
              <w:rPr>
                <w:rFonts w:cs="Arial"/>
              </w:rPr>
            </w:pPr>
            <w:r w:rsidRPr="007515ED">
              <w:rPr>
                <w:rFonts w:cs="Arial"/>
              </w:rPr>
              <w:t>26,18</w:t>
            </w:r>
          </w:p>
        </w:tc>
        <w:tc>
          <w:tcPr>
            <w:tcW w:w="1518" w:type="dxa"/>
          </w:tcPr>
          <w:p w:rsidR="00020AFE" w:rsidRPr="007515ED" w:rsidRDefault="00020AFE" w:rsidP="00D450E8">
            <w:pPr>
              <w:jc w:val="right"/>
              <w:cnfStyle w:val="000000100000"/>
              <w:rPr>
                <w:rFonts w:cs="Arial"/>
              </w:rPr>
            </w:pPr>
            <w:r w:rsidRPr="007515ED">
              <w:rPr>
                <w:rFonts w:cs="Arial"/>
              </w:rPr>
              <w:t>0,1</w:t>
            </w:r>
          </w:p>
        </w:tc>
      </w:tr>
      <w:tr w:rsidR="00020AFE" w:rsidTr="00D450E8">
        <w:trPr>
          <w:cnfStyle w:val="000000010000"/>
        </w:trPr>
        <w:tc>
          <w:tcPr>
            <w:cnfStyle w:val="001000000000"/>
            <w:tcW w:w="1754" w:type="dxa"/>
          </w:tcPr>
          <w:p w:rsidR="00020AFE" w:rsidRPr="007515ED" w:rsidRDefault="00020AFE" w:rsidP="00D450E8">
            <w:pPr>
              <w:rPr>
                <w:rFonts w:cs="Arial"/>
              </w:rPr>
            </w:pPr>
            <w:r w:rsidRPr="007515ED">
              <w:rPr>
                <w:rFonts w:cs="Arial"/>
              </w:rPr>
              <w:t>Talajvédelmi</w:t>
            </w:r>
          </w:p>
        </w:tc>
        <w:tc>
          <w:tcPr>
            <w:tcW w:w="1531" w:type="dxa"/>
          </w:tcPr>
          <w:p w:rsidR="00020AFE" w:rsidRPr="007515ED" w:rsidRDefault="00020AFE" w:rsidP="00D450E8">
            <w:pPr>
              <w:jc w:val="right"/>
              <w:cnfStyle w:val="000000010000"/>
              <w:rPr>
                <w:rFonts w:cs="Arial"/>
              </w:rPr>
            </w:pPr>
            <w:r w:rsidRPr="007515ED">
              <w:rPr>
                <w:rFonts w:cs="Arial"/>
              </w:rPr>
              <w:t>638,48</w:t>
            </w:r>
          </w:p>
        </w:tc>
        <w:tc>
          <w:tcPr>
            <w:tcW w:w="1517" w:type="dxa"/>
          </w:tcPr>
          <w:p w:rsidR="00020AFE" w:rsidRPr="007515ED" w:rsidRDefault="00020AFE" w:rsidP="00D450E8">
            <w:pPr>
              <w:jc w:val="right"/>
              <w:cnfStyle w:val="000000010000"/>
              <w:rPr>
                <w:rFonts w:cs="Arial"/>
              </w:rPr>
            </w:pPr>
            <w:r w:rsidRPr="007515ED">
              <w:rPr>
                <w:rFonts w:cs="Arial"/>
              </w:rPr>
              <w:t>3,2</w:t>
            </w:r>
          </w:p>
        </w:tc>
        <w:tc>
          <w:tcPr>
            <w:tcW w:w="1537" w:type="dxa"/>
          </w:tcPr>
          <w:p w:rsidR="00020AFE" w:rsidRPr="007515ED" w:rsidRDefault="00020AFE" w:rsidP="00D450E8">
            <w:pPr>
              <w:cnfStyle w:val="000000010000"/>
              <w:rPr>
                <w:rFonts w:cs="Arial"/>
              </w:rPr>
            </w:pPr>
            <w:r w:rsidRPr="007515ED">
              <w:rPr>
                <w:rFonts w:cs="Arial"/>
              </w:rPr>
              <w:t>Vízvédelmi</w:t>
            </w:r>
          </w:p>
        </w:tc>
        <w:tc>
          <w:tcPr>
            <w:tcW w:w="1522" w:type="dxa"/>
          </w:tcPr>
          <w:p w:rsidR="00020AFE" w:rsidRPr="007515ED" w:rsidRDefault="00020AFE" w:rsidP="00D450E8">
            <w:pPr>
              <w:jc w:val="right"/>
              <w:cnfStyle w:val="000000010000"/>
              <w:rPr>
                <w:rFonts w:cs="Arial"/>
              </w:rPr>
            </w:pPr>
            <w:r w:rsidRPr="007515ED">
              <w:rPr>
                <w:rFonts w:cs="Arial"/>
              </w:rPr>
              <w:t>23,76</w:t>
            </w:r>
          </w:p>
        </w:tc>
        <w:tc>
          <w:tcPr>
            <w:tcW w:w="1518" w:type="dxa"/>
          </w:tcPr>
          <w:p w:rsidR="00020AFE" w:rsidRPr="007515ED" w:rsidRDefault="00020AFE" w:rsidP="00D450E8">
            <w:pPr>
              <w:jc w:val="right"/>
              <w:cnfStyle w:val="000000010000"/>
              <w:rPr>
                <w:rFonts w:cs="Arial"/>
              </w:rPr>
            </w:pPr>
            <w:r w:rsidRPr="007515ED">
              <w:rPr>
                <w:rFonts w:cs="Arial"/>
              </w:rPr>
              <w:t>0,1</w:t>
            </w:r>
          </w:p>
        </w:tc>
      </w:tr>
      <w:tr w:rsidR="00020AFE" w:rsidTr="00D450E8">
        <w:trPr>
          <w:cnfStyle w:val="000000100000"/>
        </w:trPr>
        <w:tc>
          <w:tcPr>
            <w:cnfStyle w:val="001000000000"/>
            <w:tcW w:w="1754" w:type="dxa"/>
          </w:tcPr>
          <w:p w:rsidR="00020AFE" w:rsidRPr="007515ED" w:rsidRDefault="00020AFE" w:rsidP="00D450E8">
            <w:pPr>
              <w:rPr>
                <w:rFonts w:cs="Arial"/>
              </w:rPr>
            </w:pPr>
            <w:r w:rsidRPr="007515ED">
              <w:rPr>
                <w:rFonts w:cs="Arial"/>
              </w:rPr>
              <w:t>Mezővédő</w:t>
            </w:r>
          </w:p>
        </w:tc>
        <w:tc>
          <w:tcPr>
            <w:tcW w:w="1531" w:type="dxa"/>
          </w:tcPr>
          <w:p w:rsidR="00020AFE" w:rsidRPr="007515ED" w:rsidRDefault="00020AFE" w:rsidP="00D450E8">
            <w:pPr>
              <w:jc w:val="right"/>
              <w:cnfStyle w:val="000000100000"/>
              <w:rPr>
                <w:rFonts w:cs="Arial"/>
              </w:rPr>
            </w:pPr>
            <w:r w:rsidRPr="007515ED">
              <w:rPr>
                <w:rFonts w:cs="Arial"/>
              </w:rPr>
              <w:t>111,49</w:t>
            </w:r>
          </w:p>
        </w:tc>
        <w:tc>
          <w:tcPr>
            <w:tcW w:w="1517" w:type="dxa"/>
          </w:tcPr>
          <w:p w:rsidR="00020AFE" w:rsidRPr="007515ED" w:rsidRDefault="00020AFE" w:rsidP="00D450E8">
            <w:pPr>
              <w:jc w:val="right"/>
              <w:cnfStyle w:val="000000100000"/>
              <w:rPr>
                <w:rFonts w:cs="Arial"/>
              </w:rPr>
            </w:pPr>
            <w:r w:rsidRPr="007515ED">
              <w:rPr>
                <w:rFonts w:cs="Arial"/>
              </w:rPr>
              <w:t>0,6</w:t>
            </w:r>
          </w:p>
        </w:tc>
        <w:tc>
          <w:tcPr>
            <w:tcW w:w="1537" w:type="dxa"/>
          </w:tcPr>
          <w:p w:rsidR="00020AFE" w:rsidRPr="007515ED" w:rsidRDefault="00020AFE" w:rsidP="00D450E8">
            <w:pPr>
              <w:cnfStyle w:val="000000100000"/>
              <w:rPr>
                <w:rFonts w:cs="Arial"/>
              </w:rPr>
            </w:pPr>
            <w:r w:rsidRPr="007515ED">
              <w:rPr>
                <w:rFonts w:cs="Arial"/>
              </w:rPr>
              <w:t>Parkerdő</w:t>
            </w:r>
          </w:p>
        </w:tc>
        <w:tc>
          <w:tcPr>
            <w:tcW w:w="1522" w:type="dxa"/>
          </w:tcPr>
          <w:p w:rsidR="00020AFE" w:rsidRPr="007515ED" w:rsidRDefault="00020AFE" w:rsidP="00D450E8">
            <w:pPr>
              <w:jc w:val="right"/>
              <w:cnfStyle w:val="000000100000"/>
              <w:rPr>
                <w:rFonts w:cs="Arial"/>
              </w:rPr>
            </w:pPr>
            <w:r w:rsidRPr="007515ED">
              <w:rPr>
                <w:rFonts w:cs="Arial"/>
              </w:rPr>
              <w:t>14</w:t>
            </w:r>
          </w:p>
        </w:tc>
        <w:tc>
          <w:tcPr>
            <w:tcW w:w="1518" w:type="dxa"/>
          </w:tcPr>
          <w:p w:rsidR="00020AFE" w:rsidRPr="007515ED" w:rsidRDefault="00020AFE" w:rsidP="00D450E8">
            <w:pPr>
              <w:jc w:val="right"/>
              <w:cnfStyle w:val="000000100000"/>
              <w:rPr>
                <w:rFonts w:cs="Arial"/>
              </w:rPr>
            </w:pPr>
            <w:r w:rsidRPr="007515ED">
              <w:rPr>
                <w:rFonts w:cs="Arial"/>
              </w:rPr>
              <w:t>0,1</w:t>
            </w:r>
          </w:p>
        </w:tc>
      </w:tr>
      <w:tr w:rsidR="00020AFE" w:rsidTr="00D450E8">
        <w:trPr>
          <w:cnfStyle w:val="000000010000"/>
        </w:trPr>
        <w:tc>
          <w:tcPr>
            <w:cnfStyle w:val="001000000000"/>
            <w:tcW w:w="1754" w:type="dxa"/>
          </w:tcPr>
          <w:p w:rsidR="00020AFE" w:rsidRPr="007515ED" w:rsidRDefault="00020AFE" w:rsidP="00D450E8">
            <w:pPr>
              <w:rPr>
                <w:rFonts w:cs="Arial"/>
              </w:rPr>
            </w:pPr>
            <w:r w:rsidRPr="007515ED">
              <w:rPr>
                <w:rFonts w:cs="Arial"/>
              </w:rPr>
              <w:t>Természetvédelmi</w:t>
            </w:r>
          </w:p>
        </w:tc>
        <w:tc>
          <w:tcPr>
            <w:tcW w:w="1531" w:type="dxa"/>
          </w:tcPr>
          <w:p w:rsidR="00020AFE" w:rsidRPr="007515ED" w:rsidRDefault="00020AFE" w:rsidP="00D450E8">
            <w:pPr>
              <w:jc w:val="right"/>
              <w:cnfStyle w:val="000000010000"/>
              <w:rPr>
                <w:rFonts w:cs="Arial"/>
              </w:rPr>
            </w:pPr>
            <w:r w:rsidRPr="007515ED">
              <w:rPr>
                <w:rFonts w:cs="Arial"/>
              </w:rPr>
              <w:t>103,41</w:t>
            </w:r>
          </w:p>
        </w:tc>
        <w:tc>
          <w:tcPr>
            <w:tcW w:w="1517" w:type="dxa"/>
          </w:tcPr>
          <w:p w:rsidR="00020AFE" w:rsidRPr="007515ED" w:rsidRDefault="00020AFE" w:rsidP="00D450E8">
            <w:pPr>
              <w:jc w:val="right"/>
              <w:cnfStyle w:val="000000010000"/>
              <w:rPr>
                <w:rFonts w:cs="Arial"/>
              </w:rPr>
            </w:pPr>
            <w:r w:rsidRPr="007515ED">
              <w:rPr>
                <w:rFonts w:cs="Arial"/>
              </w:rPr>
              <w:t>0,5</w:t>
            </w:r>
          </w:p>
        </w:tc>
        <w:tc>
          <w:tcPr>
            <w:tcW w:w="1537" w:type="dxa"/>
          </w:tcPr>
          <w:p w:rsidR="00020AFE" w:rsidRPr="007515ED" w:rsidRDefault="00020AFE" w:rsidP="00D450E8">
            <w:pPr>
              <w:cnfStyle w:val="000000010000"/>
              <w:rPr>
                <w:rFonts w:cs="Arial"/>
              </w:rPr>
            </w:pPr>
            <w:r w:rsidRPr="007515ED">
              <w:rPr>
                <w:rFonts w:cs="Arial"/>
              </w:rPr>
              <w:t>Kísérleti</w:t>
            </w:r>
          </w:p>
        </w:tc>
        <w:tc>
          <w:tcPr>
            <w:tcW w:w="1522" w:type="dxa"/>
          </w:tcPr>
          <w:p w:rsidR="00020AFE" w:rsidRPr="007515ED" w:rsidRDefault="00020AFE" w:rsidP="00D450E8">
            <w:pPr>
              <w:jc w:val="right"/>
              <w:cnfStyle w:val="000000010000"/>
              <w:rPr>
                <w:rFonts w:cs="Arial"/>
              </w:rPr>
            </w:pPr>
            <w:r w:rsidRPr="007515ED">
              <w:rPr>
                <w:rFonts w:cs="Arial"/>
              </w:rPr>
              <w:t>11,4</w:t>
            </w:r>
          </w:p>
        </w:tc>
        <w:tc>
          <w:tcPr>
            <w:tcW w:w="1518" w:type="dxa"/>
          </w:tcPr>
          <w:p w:rsidR="00020AFE" w:rsidRPr="007515ED" w:rsidRDefault="00020AFE" w:rsidP="00D450E8">
            <w:pPr>
              <w:jc w:val="right"/>
              <w:cnfStyle w:val="000000010000"/>
              <w:rPr>
                <w:rFonts w:cs="Arial"/>
              </w:rPr>
            </w:pPr>
            <w:r w:rsidRPr="007515ED">
              <w:rPr>
                <w:rFonts w:cs="Arial"/>
              </w:rPr>
              <w:t>0,1</w:t>
            </w:r>
          </w:p>
        </w:tc>
      </w:tr>
      <w:tr w:rsidR="00020AFE" w:rsidTr="00D450E8">
        <w:trPr>
          <w:cnfStyle w:val="000000100000"/>
        </w:trPr>
        <w:tc>
          <w:tcPr>
            <w:cnfStyle w:val="001000000000"/>
            <w:tcW w:w="1754" w:type="dxa"/>
          </w:tcPr>
          <w:p w:rsidR="00020AFE" w:rsidRPr="007515ED" w:rsidRDefault="00020AFE" w:rsidP="00D450E8">
            <w:pPr>
              <w:rPr>
                <w:rFonts w:cs="Arial"/>
              </w:rPr>
            </w:pPr>
            <w:r w:rsidRPr="007515ED">
              <w:rPr>
                <w:rFonts w:cs="Arial"/>
              </w:rPr>
              <w:t>Vadaskert</w:t>
            </w:r>
          </w:p>
        </w:tc>
        <w:tc>
          <w:tcPr>
            <w:tcW w:w="1531" w:type="dxa"/>
          </w:tcPr>
          <w:p w:rsidR="00020AFE" w:rsidRPr="007515ED" w:rsidRDefault="00020AFE" w:rsidP="00D450E8">
            <w:pPr>
              <w:jc w:val="right"/>
              <w:cnfStyle w:val="000000100000"/>
              <w:rPr>
                <w:rFonts w:cs="Arial"/>
              </w:rPr>
            </w:pPr>
            <w:r w:rsidRPr="007515ED">
              <w:rPr>
                <w:rFonts w:cs="Arial"/>
              </w:rPr>
              <w:t>46,22</w:t>
            </w:r>
          </w:p>
        </w:tc>
        <w:tc>
          <w:tcPr>
            <w:tcW w:w="1517" w:type="dxa"/>
          </w:tcPr>
          <w:p w:rsidR="00020AFE" w:rsidRPr="007515ED" w:rsidRDefault="00020AFE" w:rsidP="00D450E8">
            <w:pPr>
              <w:jc w:val="right"/>
              <w:cnfStyle w:val="000000100000"/>
              <w:rPr>
                <w:rFonts w:cs="Arial"/>
              </w:rPr>
            </w:pPr>
            <w:r w:rsidRPr="007515ED">
              <w:rPr>
                <w:rFonts w:cs="Arial"/>
              </w:rPr>
              <w:t>0,2</w:t>
            </w:r>
          </w:p>
        </w:tc>
        <w:tc>
          <w:tcPr>
            <w:tcW w:w="1537" w:type="dxa"/>
          </w:tcPr>
          <w:p w:rsidR="00020AFE" w:rsidRPr="007515ED" w:rsidRDefault="00020AFE" w:rsidP="00D450E8">
            <w:pPr>
              <w:cnfStyle w:val="000000100000"/>
              <w:rPr>
                <w:rFonts w:cs="Arial"/>
              </w:rPr>
            </w:pPr>
            <w:r w:rsidRPr="007515ED">
              <w:rPr>
                <w:rFonts w:cs="Arial"/>
              </w:rPr>
              <w:t>Tanerdő</w:t>
            </w:r>
          </w:p>
        </w:tc>
        <w:tc>
          <w:tcPr>
            <w:tcW w:w="1522" w:type="dxa"/>
          </w:tcPr>
          <w:p w:rsidR="00020AFE" w:rsidRPr="007515ED" w:rsidRDefault="00020AFE" w:rsidP="00D450E8">
            <w:pPr>
              <w:jc w:val="right"/>
              <w:cnfStyle w:val="000000100000"/>
              <w:rPr>
                <w:rFonts w:cs="Arial"/>
              </w:rPr>
            </w:pPr>
            <w:r w:rsidRPr="007515ED">
              <w:rPr>
                <w:rFonts w:cs="Arial"/>
              </w:rPr>
              <w:t>4,55</w:t>
            </w:r>
          </w:p>
        </w:tc>
        <w:tc>
          <w:tcPr>
            <w:tcW w:w="1518" w:type="dxa"/>
          </w:tcPr>
          <w:p w:rsidR="00020AFE" w:rsidRPr="007515ED" w:rsidRDefault="00020AFE" w:rsidP="00D450E8">
            <w:pPr>
              <w:jc w:val="right"/>
              <w:cnfStyle w:val="000000100000"/>
              <w:rPr>
                <w:rFonts w:cs="Arial"/>
              </w:rPr>
            </w:pPr>
            <w:r w:rsidRPr="007515ED">
              <w:rPr>
                <w:rFonts w:cs="Arial"/>
              </w:rPr>
              <w:t>0,0</w:t>
            </w:r>
          </w:p>
        </w:tc>
      </w:tr>
      <w:tr w:rsidR="00020AFE" w:rsidTr="00D450E8">
        <w:trPr>
          <w:cnfStyle w:val="000000010000"/>
        </w:trPr>
        <w:tc>
          <w:tcPr>
            <w:cnfStyle w:val="001000000000"/>
            <w:tcW w:w="1754" w:type="dxa"/>
          </w:tcPr>
          <w:p w:rsidR="00020AFE" w:rsidRPr="007515ED" w:rsidRDefault="00020AFE" w:rsidP="00D450E8">
            <w:pPr>
              <w:rPr>
                <w:rFonts w:cs="Arial"/>
              </w:rPr>
            </w:pPr>
            <w:r w:rsidRPr="007515ED">
              <w:rPr>
                <w:rFonts w:cs="Arial"/>
              </w:rPr>
              <w:t>Településvédelmi</w:t>
            </w:r>
          </w:p>
        </w:tc>
        <w:tc>
          <w:tcPr>
            <w:tcW w:w="1531" w:type="dxa"/>
          </w:tcPr>
          <w:p w:rsidR="00020AFE" w:rsidRPr="007515ED" w:rsidRDefault="00020AFE" w:rsidP="00D450E8">
            <w:pPr>
              <w:jc w:val="right"/>
              <w:cnfStyle w:val="000000010000"/>
              <w:rPr>
                <w:rFonts w:cs="Arial"/>
              </w:rPr>
            </w:pPr>
            <w:r w:rsidRPr="007515ED">
              <w:rPr>
                <w:rFonts w:cs="Arial"/>
              </w:rPr>
              <w:t>38,8</w:t>
            </w:r>
          </w:p>
        </w:tc>
        <w:tc>
          <w:tcPr>
            <w:tcW w:w="1517" w:type="dxa"/>
          </w:tcPr>
          <w:p w:rsidR="00020AFE" w:rsidRPr="007515ED" w:rsidRDefault="00020AFE" w:rsidP="00D450E8">
            <w:pPr>
              <w:jc w:val="right"/>
              <w:cnfStyle w:val="000000010000"/>
              <w:rPr>
                <w:rFonts w:cs="Arial"/>
              </w:rPr>
            </w:pPr>
            <w:r w:rsidRPr="007515ED">
              <w:rPr>
                <w:rFonts w:cs="Arial"/>
              </w:rPr>
              <w:t>0,2</w:t>
            </w:r>
          </w:p>
        </w:tc>
        <w:tc>
          <w:tcPr>
            <w:tcW w:w="1537" w:type="dxa"/>
          </w:tcPr>
          <w:p w:rsidR="00020AFE" w:rsidRPr="007515ED" w:rsidRDefault="00020AFE" w:rsidP="00D450E8">
            <w:pPr>
              <w:cnfStyle w:val="000000010000"/>
              <w:rPr>
                <w:rFonts w:cs="Arial"/>
              </w:rPr>
            </w:pPr>
            <w:r w:rsidRPr="007515ED">
              <w:rPr>
                <w:rFonts w:cs="Arial"/>
              </w:rPr>
              <w:t>Tájképvédelmi</w:t>
            </w:r>
          </w:p>
        </w:tc>
        <w:tc>
          <w:tcPr>
            <w:tcW w:w="1522" w:type="dxa"/>
          </w:tcPr>
          <w:p w:rsidR="00020AFE" w:rsidRPr="007515ED" w:rsidRDefault="00020AFE" w:rsidP="00D450E8">
            <w:pPr>
              <w:jc w:val="right"/>
              <w:cnfStyle w:val="000000010000"/>
              <w:rPr>
                <w:rFonts w:cs="Arial"/>
              </w:rPr>
            </w:pPr>
            <w:r w:rsidRPr="007515ED">
              <w:rPr>
                <w:rFonts w:cs="Arial"/>
              </w:rPr>
              <w:t>4,1</w:t>
            </w:r>
          </w:p>
        </w:tc>
        <w:tc>
          <w:tcPr>
            <w:tcW w:w="1518" w:type="dxa"/>
          </w:tcPr>
          <w:p w:rsidR="00020AFE" w:rsidRPr="007515ED" w:rsidRDefault="00020AFE" w:rsidP="00D450E8">
            <w:pPr>
              <w:jc w:val="right"/>
              <w:cnfStyle w:val="000000010000"/>
              <w:rPr>
                <w:rFonts w:cs="Arial"/>
              </w:rPr>
            </w:pPr>
            <w:r w:rsidRPr="007515ED">
              <w:rPr>
                <w:rFonts w:cs="Arial"/>
              </w:rPr>
              <w:t>0,0</w:t>
            </w:r>
          </w:p>
        </w:tc>
      </w:tr>
      <w:tr w:rsidR="00020AFE" w:rsidTr="00D450E8">
        <w:trPr>
          <w:cnfStyle w:val="000000100000"/>
        </w:trPr>
        <w:tc>
          <w:tcPr>
            <w:cnfStyle w:val="001000000000"/>
            <w:tcW w:w="1754" w:type="dxa"/>
          </w:tcPr>
          <w:p w:rsidR="00020AFE" w:rsidRPr="007515ED" w:rsidRDefault="00020AFE" w:rsidP="00D450E8">
            <w:pPr>
              <w:rPr>
                <w:rFonts w:cs="Arial"/>
              </w:rPr>
            </w:pPr>
            <w:r w:rsidRPr="007515ED">
              <w:rPr>
                <w:rFonts w:cs="Arial"/>
              </w:rPr>
              <w:t>Faültetvény</w:t>
            </w:r>
          </w:p>
        </w:tc>
        <w:tc>
          <w:tcPr>
            <w:tcW w:w="1531" w:type="dxa"/>
          </w:tcPr>
          <w:p w:rsidR="00020AFE" w:rsidRPr="007515ED" w:rsidRDefault="00020AFE" w:rsidP="00D450E8">
            <w:pPr>
              <w:jc w:val="right"/>
              <w:cnfStyle w:val="000000100000"/>
              <w:rPr>
                <w:rFonts w:cs="Arial"/>
              </w:rPr>
            </w:pPr>
            <w:r w:rsidRPr="007515ED">
              <w:rPr>
                <w:rFonts w:cs="Arial"/>
              </w:rPr>
              <w:t>30,17</w:t>
            </w:r>
          </w:p>
        </w:tc>
        <w:tc>
          <w:tcPr>
            <w:tcW w:w="1517" w:type="dxa"/>
          </w:tcPr>
          <w:p w:rsidR="00020AFE" w:rsidRPr="007515ED" w:rsidRDefault="00020AFE" w:rsidP="00D450E8">
            <w:pPr>
              <w:jc w:val="right"/>
              <w:cnfStyle w:val="000000100000"/>
              <w:rPr>
                <w:rFonts w:cs="Arial"/>
              </w:rPr>
            </w:pPr>
            <w:r w:rsidRPr="007515ED">
              <w:rPr>
                <w:rFonts w:cs="Arial"/>
              </w:rPr>
              <w:t>0,2</w:t>
            </w:r>
          </w:p>
        </w:tc>
        <w:tc>
          <w:tcPr>
            <w:tcW w:w="1537" w:type="dxa"/>
          </w:tcPr>
          <w:p w:rsidR="00020AFE" w:rsidRPr="007515ED" w:rsidRDefault="00020AFE" w:rsidP="00D450E8">
            <w:pPr>
              <w:cnfStyle w:val="000000100000"/>
              <w:rPr>
                <w:rFonts w:cs="Arial"/>
                <w:b/>
              </w:rPr>
            </w:pPr>
            <w:r>
              <w:rPr>
                <w:rFonts w:cs="Arial"/>
                <w:b/>
              </w:rPr>
              <w:t>Összesen</w:t>
            </w:r>
          </w:p>
        </w:tc>
        <w:tc>
          <w:tcPr>
            <w:tcW w:w="1522" w:type="dxa"/>
          </w:tcPr>
          <w:p w:rsidR="00020AFE" w:rsidRPr="007515ED" w:rsidRDefault="00020AFE" w:rsidP="00D450E8">
            <w:pPr>
              <w:jc w:val="right"/>
              <w:cnfStyle w:val="000000100000"/>
              <w:rPr>
                <w:rFonts w:cs="Arial"/>
                <w:b/>
              </w:rPr>
            </w:pPr>
            <w:r w:rsidRPr="007515ED">
              <w:rPr>
                <w:rFonts w:cs="Arial"/>
                <w:b/>
              </w:rPr>
              <w:t>20112,32</w:t>
            </w:r>
          </w:p>
        </w:tc>
        <w:tc>
          <w:tcPr>
            <w:tcW w:w="1518" w:type="dxa"/>
          </w:tcPr>
          <w:p w:rsidR="00020AFE" w:rsidRPr="007515ED" w:rsidRDefault="00020AFE" w:rsidP="00D450E8">
            <w:pPr>
              <w:jc w:val="right"/>
              <w:cnfStyle w:val="000000100000"/>
              <w:rPr>
                <w:rFonts w:cs="Arial"/>
                <w:b/>
              </w:rPr>
            </w:pPr>
            <w:r w:rsidRPr="007515ED">
              <w:rPr>
                <w:rFonts w:cs="Arial"/>
                <w:b/>
              </w:rPr>
              <w:t>100,0</w:t>
            </w:r>
          </w:p>
        </w:tc>
      </w:tr>
    </w:tbl>
    <w:p w:rsidR="00020AFE" w:rsidRPr="008617FB" w:rsidRDefault="00CF0DD4" w:rsidP="00020AFE">
      <w:pPr>
        <w:pStyle w:val="Caption"/>
        <w:spacing w:before="60" w:after="120" w:line="280" w:lineRule="atLeast"/>
        <w:jc w:val="center"/>
        <w:rPr>
          <w:color w:val="auto"/>
        </w:rPr>
      </w:pPr>
      <w:r w:rsidRPr="008617FB">
        <w:rPr>
          <w:color w:val="auto"/>
        </w:rPr>
        <w:fldChar w:fldCharType="begin"/>
      </w:r>
      <w:r w:rsidR="00020AFE" w:rsidRPr="008617FB">
        <w:rPr>
          <w:color w:val="auto"/>
        </w:rPr>
        <w:instrText xml:space="preserve"> SEQ táblázat \* ARABIC </w:instrText>
      </w:r>
      <w:r w:rsidRPr="008617FB">
        <w:rPr>
          <w:color w:val="auto"/>
        </w:rPr>
        <w:fldChar w:fldCharType="separate"/>
      </w:r>
      <w:r w:rsidR="00660338">
        <w:rPr>
          <w:noProof/>
          <w:color w:val="auto"/>
        </w:rPr>
        <w:t>12</w:t>
      </w:r>
      <w:r w:rsidRPr="008617FB">
        <w:rPr>
          <w:color w:val="auto"/>
        </w:rPr>
        <w:fldChar w:fldCharType="end"/>
      </w:r>
      <w:r w:rsidR="00020AFE" w:rsidRPr="008617FB">
        <w:rPr>
          <w:color w:val="auto"/>
        </w:rPr>
        <w:t>. táblázat: Elsődleges rendeltetés szerinti megoszlás</w:t>
      </w:r>
    </w:p>
    <w:p w:rsidR="00020AFE" w:rsidRDefault="00020AFE" w:rsidP="00020AFE">
      <w:pPr>
        <w:jc w:val="both"/>
      </w:pPr>
      <w:r>
        <w:t>A támogatott erdőrészletek jelentős része (94,8%) gazdasági, faanyagtermelő rendeltetéssel telepített erdő. A különböző védelmi rendeltetésű erdőrészletek aránya viszonylag alacsony, legjelentősebb a talajvédelmi rendeltetés (3,2%). A közjóléti rendeltetésű erdők aránya elhanyagolható a támogatott erdőrészletek között.</w:t>
      </w:r>
    </w:p>
    <w:p w:rsidR="00020AFE" w:rsidRDefault="00020AFE" w:rsidP="00020AFE">
      <w:pPr>
        <w:jc w:val="both"/>
      </w:pPr>
      <w:r>
        <w:t>A telepített erdők tehát elsősorban gazdasági funkciójuknál fogva támogatták a vidék megőrzését, ugyana</w:t>
      </w:r>
      <w:r>
        <w:t>k</w:t>
      </w:r>
      <w:r>
        <w:t>kor az erdők hármas funkciójukon keresztül a gazdasági funkció mellett védelmi- és közjóléti feladatokat is ellátnak.</w:t>
      </w:r>
    </w:p>
    <w:p w:rsidR="00020AFE" w:rsidRDefault="00020AFE" w:rsidP="00020AFE">
      <w:pPr>
        <w:jc w:val="both"/>
      </w:pPr>
      <w:r>
        <w:t>A kérdőívek kiértékelése során a sajnálatosan kevés válasz is a fentieket erősíti meg:</w:t>
      </w:r>
    </w:p>
    <w:p w:rsidR="00020AFE" w:rsidRPr="00766830" w:rsidRDefault="00020AFE" w:rsidP="00D5521F">
      <w:pPr>
        <w:pStyle w:val="HUNListNumber1"/>
        <w:numPr>
          <w:ilvl w:val="0"/>
          <w:numId w:val="45"/>
        </w:numPr>
      </w:pPr>
      <w:r>
        <w:t>Arra a kérdésre, hogy „</w:t>
      </w:r>
      <w:r w:rsidRPr="00766830">
        <w:rPr>
          <w:b/>
          <w:i/>
        </w:rPr>
        <w:t>Ön szerint hozzájárult-e a támogatással létrejött erdőtelepítés a vidéki kö</w:t>
      </w:r>
      <w:r w:rsidRPr="00766830">
        <w:rPr>
          <w:b/>
          <w:i/>
        </w:rPr>
        <w:t>r</w:t>
      </w:r>
      <w:r w:rsidRPr="00766830">
        <w:rPr>
          <w:b/>
          <w:i/>
        </w:rPr>
        <w:t>nyezet megőrzéséhez?</w:t>
      </w:r>
      <w:r>
        <w:t xml:space="preserve">”, a 26 válaszadóból 22-en válaszoltak igennel, míg </w:t>
      </w:r>
      <w:r w:rsidRPr="009B3F11">
        <w:t>négy válaszadó nem t</w:t>
      </w:r>
      <w:r w:rsidRPr="009B3F11">
        <w:t>u</w:t>
      </w:r>
      <w:r w:rsidRPr="009B3F11">
        <w:t>dott állást foglalni ebben a kérdésben</w:t>
      </w:r>
      <w:r>
        <w:t>.</w:t>
      </w:r>
    </w:p>
    <w:p w:rsidR="00020AFE" w:rsidRDefault="00020AFE" w:rsidP="00D5521F">
      <w:pPr>
        <w:pStyle w:val="HUNListNumber1"/>
        <w:numPr>
          <w:ilvl w:val="0"/>
          <w:numId w:val="45"/>
        </w:numPr>
      </w:pPr>
      <w:r>
        <w:t>Az „</w:t>
      </w:r>
      <w:r w:rsidRPr="00766830">
        <w:t>Ön szerint javította-e a vidéki környezetet a támogatással létrejött erdőtelepítés?</w:t>
      </w:r>
      <w:r>
        <w:t>” kérdés eset</w:t>
      </w:r>
      <w:r>
        <w:t>é</w:t>
      </w:r>
      <w:r>
        <w:t>ben a</w:t>
      </w:r>
      <w:r w:rsidRPr="009B3F11">
        <w:t xml:space="preserve"> válaszadók jelentős része szerint az erdőtelepítés javította a vidéki környezetet. Mindössze öt válaszadó nem tudott állást foglalni ebben a kérdésben, a többiek véleménye határozott igen.</w:t>
      </w:r>
    </w:p>
    <w:p w:rsidR="00020AFE" w:rsidRPr="00A7051C" w:rsidRDefault="00020AFE" w:rsidP="00020AFE">
      <w:pPr>
        <w:jc w:val="both"/>
      </w:pPr>
    </w:p>
    <w:p w:rsidR="00020AFE" w:rsidRDefault="00020AFE" w:rsidP="00020AFE">
      <w:pPr>
        <w:pStyle w:val="StyleHUNHeading3Justified"/>
        <w:ind w:left="504"/>
      </w:pPr>
      <w:r w:rsidRPr="00A7051C">
        <w:t>Az agrár-erdészeti rendszerek milyen mértékben járultak hozzá a magas minős</w:t>
      </w:r>
      <w:r w:rsidRPr="00A7051C">
        <w:t>é</w:t>
      </w:r>
      <w:r w:rsidRPr="00A7051C">
        <w:t>gű/értékű erdészeti termékek termelésének növeléséhez? (222. intézkedés)</w:t>
      </w:r>
    </w:p>
    <w:p w:rsidR="00020AFE" w:rsidRPr="004430E2" w:rsidRDefault="00020AFE" w:rsidP="00020AFE">
      <w:pPr>
        <w:jc w:val="both"/>
      </w:pPr>
      <w:r w:rsidRPr="004430E2">
        <w:t>Az agrár-erdészeti rendszerek létrehozásának célja fás legelők létesítésére és hasznosítására, a hagyom</w:t>
      </w:r>
      <w:r w:rsidRPr="004430E2">
        <w:t>á</w:t>
      </w:r>
      <w:r w:rsidRPr="004430E2">
        <w:t xml:space="preserve">nyos, tájjellegű gazdálkodás fenntartására, a mozaikos tájszerkezet kialakítására irányul. Ennek megfelelően az agrár-erdészeti rendszerek elsősorban legeltetés céljára létrehozott területek. Magyarországon a vizsgált időszakban benyújtott támogatási kérelmek száma 48 db, amely összesen 1.162,49 </w:t>
      </w:r>
      <w:r>
        <w:t>hektár</w:t>
      </w:r>
      <w:r w:rsidRPr="004430E2">
        <w:t xml:space="preserve"> területet fedett le. A jóváhagyott támogatási kérelmek száma 38 db.</w:t>
      </w:r>
      <w:r>
        <w:t xml:space="preserve"> A létrehozott agrár-erdészeti rendszerek a fentiek ala</w:t>
      </w:r>
      <w:r>
        <w:t>p</w:t>
      </w:r>
      <w:r>
        <w:lastRenderedPageBreak/>
        <w:t xml:space="preserve">ján tehát alapvetően nem az erdészeti termékek termelésének növeléséhez, hanem </w:t>
      </w:r>
      <w:r w:rsidRPr="004430E2">
        <w:t>a hagyományos, tájj</w:t>
      </w:r>
      <w:r>
        <w:t>e</w:t>
      </w:r>
      <w:r>
        <w:t>l</w:t>
      </w:r>
      <w:r>
        <w:t>legű gazdálkodás fenntartásához</w:t>
      </w:r>
      <w:r w:rsidRPr="004430E2">
        <w:t>, a moza</w:t>
      </w:r>
      <w:r>
        <w:t>ikos tájszerkezet kialakításához járulnak hozzá.</w:t>
      </w:r>
    </w:p>
    <w:p w:rsidR="00020AFE" w:rsidRPr="00A7051C" w:rsidRDefault="00020AFE" w:rsidP="00020AFE">
      <w:pPr>
        <w:jc w:val="both"/>
      </w:pPr>
    </w:p>
    <w:p w:rsidR="00020AFE" w:rsidRDefault="00020AFE" w:rsidP="00020AFE">
      <w:pPr>
        <w:pStyle w:val="StyleHUNHeading3Justified"/>
        <w:ind w:left="504"/>
      </w:pPr>
      <w:r w:rsidRPr="00A7051C">
        <w:t>Az agrár-erdészeti rendszerek milyen mértékben járultak hozzá olyan fenntarth</w:t>
      </w:r>
      <w:r w:rsidRPr="00A7051C">
        <w:t>a</w:t>
      </w:r>
      <w:r w:rsidRPr="00A7051C">
        <w:t>tó gazdálkodású területek létrehozásához, amelyek javítják az érintett területek ökológiai rendszereit? (222. intézkedés)</w:t>
      </w:r>
    </w:p>
    <w:p w:rsidR="00020AFE" w:rsidRDefault="00020AFE" w:rsidP="00020AFE">
      <w:pPr>
        <w:jc w:val="both"/>
      </w:pPr>
      <w:r w:rsidRPr="004430E2">
        <w:t>Az agrár-erdészeti rendszerek létrehozásának célja fás legelők létesítésére és hasznosítására, a hagyom</w:t>
      </w:r>
      <w:r w:rsidRPr="004430E2">
        <w:t>á</w:t>
      </w:r>
      <w:r w:rsidRPr="004430E2">
        <w:t xml:space="preserve">nyos, tájjellegű gazdálkodás fenntartására, a mozaikos tájszerkezet kialakítására irányul. Ennek megfelelően az agrár-erdészeti rendszerek elsősorban legeltetés céljára létrehozott területek. Magyarországon a vizsgált időszakban benyújtott támogatási kérelmek száma 48 db, amely összesen 1.162,49 </w:t>
      </w:r>
      <w:r>
        <w:t>hektár</w:t>
      </w:r>
      <w:r w:rsidRPr="004430E2">
        <w:t xml:space="preserve"> területet fedett le. A jóváhagyott támogatási kérelmek száma 38 db.</w:t>
      </w:r>
      <w:r>
        <w:t xml:space="preserve"> A létrehozott agrár-erdészeti rendszerek a </w:t>
      </w:r>
      <w:r w:rsidRPr="004430E2">
        <w:t>hagyom</w:t>
      </w:r>
      <w:r w:rsidRPr="004430E2">
        <w:t>á</w:t>
      </w:r>
      <w:r w:rsidRPr="004430E2">
        <w:t>nyos, tájj</w:t>
      </w:r>
      <w:r>
        <w:t>ellegű gazdálkodás fenntartásán</w:t>
      </w:r>
      <w:r w:rsidRPr="004430E2">
        <w:t>, a moz</w:t>
      </w:r>
      <w:r>
        <w:t>aikos tájszerkezet kialakításán keresztül járultak hozzá az érintett területek ökológiai rendszereinek javításához.</w:t>
      </w:r>
    </w:p>
    <w:p w:rsidR="00020AFE" w:rsidRPr="00A7051C" w:rsidRDefault="00020AFE" w:rsidP="00020AFE">
      <w:pPr>
        <w:jc w:val="both"/>
      </w:pPr>
    </w:p>
    <w:p w:rsidR="00020AFE" w:rsidRDefault="00020AFE" w:rsidP="00020AFE">
      <w:pPr>
        <w:pStyle w:val="StyleHUNHeading3Justified"/>
        <w:ind w:left="504"/>
      </w:pPr>
      <w:r w:rsidRPr="00A7051C">
        <w:t>Az agrár-erdészeti rendszerek milyen mértékben járultak hozzá a vidék megőrz</w:t>
      </w:r>
      <w:r w:rsidRPr="00A7051C">
        <w:t>é</w:t>
      </w:r>
      <w:r w:rsidRPr="00A7051C">
        <w:t>séhez és a környezet javításához? (222. intézkedés)</w:t>
      </w:r>
    </w:p>
    <w:p w:rsidR="00020AFE" w:rsidRDefault="00020AFE" w:rsidP="00020AFE">
      <w:pPr>
        <w:jc w:val="both"/>
      </w:pPr>
      <w:r w:rsidRPr="004430E2">
        <w:t>Az agrár-erdészeti rendszerek létrehozásának célja fás legelők létesítésére és hasznosítására, a hagyom</w:t>
      </w:r>
      <w:r w:rsidRPr="004430E2">
        <w:t>á</w:t>
      </w:r>
      <w:r w:rsidRPr="004430E2">
        <w:t xml:space="preserve">nyos, tájjellegű gazdálkodás fenntartására, a mozaikos tájszerkezet kialakítására irányul. Ennek megfelelően az agrár-erdészeti rendszerek elsősorban legeltetés céljára létrehozott területek. Magyarországon a vizsgált időszakban benyújtott támogatási kérelmek száma 48 db, amely összesen 1.162,49 </w:t>
      </w:r>
      <w:r>
        <w:t>hektár</w:t>
      </w:r>
      <w:r w:rsidRPr="004430E2">
        <w:t xml:space="preserve"> területet fedett le. A jóváhagyott támogatási kérelmek száma 38 db.</w:t>
      </w:r>
      <w:r>
        <w:t xml:space="preserve"> A létrehozott agrár-erdészeti rendszerek a </w:t>
      </w:r>
      <w:r w:rsidRPr="004430E2">
        <w:t>hagyom</w:t>
      </w:r>
      <w:r w:rsidRPr="004430E2">
        <w:t>á</w:t>
      </w:r>
      <w:r w:rsidRPr="004430E2">
        <w:t>nyos, tájj</w:t>
      </w:r>
      <w:r>
        <w:t>ellegű gazdálkodás fenntartásán</w:t>
      </w:r>
      <w:r w:rsidRPr="004430E2">
        <w:t>, a moz</w:t>
      </w:r>
      <w:r>
        <w:t>aikos tájszerkezet kialakításán keresztül járultak hozzá az érintett területeken a vidék megőrzéséhez és a környezet javításához.</w:t>
      </w:r>
    </w:p>
    <w:p w:rsidR="00020AFE" w:rsidRPr="00A7051C" w:rsidRDefault="00020AFE" w:rsidP="00020AFE">
      <w:pPr>
        <w:jc w:val="both"/>
      </w:pPr>
    </w:p>
    <w:p w:rsidR="00020AFE" w:rsidRDefault="00020AFE" w:rsidP="00020AFE">
      <w:pPr>
        <w:pStyle w:val="StyleHUNHeading3Justified"/>
        <w:ind w:left="504"/>
      </w:pPr>
      <w:r w:rsidRPr="00A7051C">
        <w:t>Az erdő-környezetvédelmi kifizetések milyen mértékben őrizték meg vagy javították a nagy értékű erdei ökoszisztémákat? (225. intézkedés)</w:t>
      </w:r>
    </w:p>
    <w:p w:rsidR="00020AFE" w:rsidRDefault="00020AFE" w:rsidP="00020AFE">
      <w:pPr>
        <w:jc w:val="both"/>
      </w:pPr>
      <w:r w:rsidRPr="009B0B71">
        <w:t xml:space="preserve">Az erdő-környezetvédelmi intézkedésekhez </w:t>
      </w:r>
      <w:r>
        <w:t>kapcsolódó</w:t>
      </w:r>
      <w:r w:rsidRPr="009B0B71">
        <w:t xml:space="preserve"> kifizetések 9 (11) célprogramon keresztül fejtették ki hatásukat. Az ezekhez a célprogramokhoz benyújtott kérelmek számának </w:t>
      </w:r>
      <w:r>
        <w:t xml:space="preserve">és területének </w:t>
      </w:r>
      <w:r w:rsidRPr="009B0B71">
        <w:t>megoszlása az alábbi:</w:t>
      </w:r>
    </w:p>
    <w:p w:rsidR="00660338" w:rsidRDefault="00660338" w:rsidP="00020AFE">
      <w:pPr>
        <w:jc w:val="both"/>
      </w:pPr>
    </w:p>
    <w:tbl>
      <w:tblPr>
        <w:tblStyle w:val="MediumShading1-Accent2"/>
        <w:tblW w:w="0" w:type="auto"/>
        <w:tblLook w:val="04A0"/>
      </w:tblPr>
      <w:tblGrid>
        <w:gridCol w:w="5495"/>
        <w:gridCol w:w="1843"/>
        <w:gridCol w:w="1965"/>
      </w:tblGrid>
      <w:tr w:rsidR="00020AFE" w:rsidTr="00D450E8">
        <w:trPr>
          <w:cnfStyle w:val="100000000000"/>
        </w:trPr>
        <w:tc>
          <w:tcPr>
            <w:cnfStyle w:val="001000000000"/>
            <w:tcW w:w="5495" w:type="dxa"/>
          </w:tcPr>
          <w:p w:rsidR="00020AFE" w:rsidRPr="008577FA" w:rsidRDefault="00020AFE" w:rsidP="00D450E8">
            <w:pPr>
              <w:jc w:val="center"/>
              <w:rPr>
                <w:rFonts w:cs="Arial"/>
                <w:color w:val="FFFFFF"/>
              </w:rPr>
            </w:pPr>
            <w:r w:rsidRPr="008577FA">
              <w:rPr>
                <w:rFonts w:cs="Arial"/>
                <w:color w:val="FFFFFF"/>
              </w:rPr>
              <w:t>Célprogram</w:t>
            </w:r>
          </w:p>
        </w:tc>
        <w:tc>
          <w:tcPr>
            <w:tcW w:w="1843" w:type="dxa"/>
          </w:tcPr>
          <w:p w:rsidR="00020AFE" w:rsidRPr="008577FA" w:rsidRDefault="00020AFE" w:rsidP="00D450E8">
            <w:pPr>
              <w:jc w:val="center"/>
              <w:cnfStyle w:val="100000000000"/>
              <w:rPr>
                <w:rFonts w:cs="Arial"/>
                <w:color w:val="FFFFFF"/>
              </w:rPr>
            </w:pPr>
            <w:r w:rsidRPr="008577FA">
              <w:rPr>
                <w:rFonts w:cs="Arial"/>
                <w:color w:val="FFFFFF"/>
              </w:rPr>
              <w:t>Érintett erdőrészl</w:t>
            </w:r>
            <w:r w:rsidRPr="008577FA">
              <w:rPr>
                <w:rFonts w:cs="Arial"/>
                <w:color w:val="FFFFFF"/>
              </w:rPr>
              <w:t>e</w:t>
            </w:r>
            <w:r w:rsidRPr="008577FA">
              <w:rPr>
                <w:rFonts w:cs="Arial"/>
                <w:color w:val="FFFFFF"/>
              </w:rPr>
              <w:t>tek száma (db)</w:t>
            </w:r>
          </w:p>
        </w:tc>
        <w:tc>
          <w:tcPr>
            <w:tcW w:w="1965" w:type="dxa"/>
          </w:tcPr>
          <w:p w:rsidR="00020AFE" w:rsidRPr="008577FA" w:rsidRDefault="00020AFE" w:rsidP="00D450E8">
            <w:pPr>
              <w:jc w:val="center"/>
              <w:cnfStyle w:val="100000000000"/>
              <w:rPr>
                <w:rFonts w:cs="Arial"/>
                <w:color w:val="FFFFFF"/>
              </w:rPr>
            </w:pPr>
            <w:r w:rsidRPr="008577FA">
              <w:rPr>
                <w:rFonts w:cs="Arial"/>
                <w:color w:val="FFFFFF"/>
              </w:rPr>
              <w:t>Érintett terület (ha)</w:t>
            </w:r>
          </w:p>
        </w:tc>
      </w:tr>
      <w:tr w:rsidR="00020AFE" w:rsidTr="00D450E8">
        <w:trPr>
          <w:cnfStyle w:val="000000100000"/>
        </w:trPr>
        <w:tc>
          <w:tcPr>
            <w:cnfStyle w:val="001000000000"/>
            <w:tcW w:w="5495" w:type="dxa"/>
          </w:tcPr>
          <w:p w:rsidR="00020AFE" w:rsidRPr="008577FA" w:rsidRDefault="00020AFE" w:rsidP="00D450E8">
            <w:pPr>
              <w:jc w:val="both"/>
              <w:rPr>
                <w:rFonts w:cs="Arial"/>
                <w:b w:val="0"/>
              </w:rPr>
            </w:pPr>
            <w:r w:rsidRPr="008577FA">
              <w:rPr>
                <w:rFonts w:cs="Arial"/>
                <w:b w:val="0"/>
              </w:rPr>
              <w:t xml:space="preserve">1. </w:t>
            </w:r>
            <w:r>
              <w:rPr>
                <w:rFonts w:cs="Arial"/>
                <w:b w:val="0"/>
              </w:rPr>
              <w:t>agresszíve</w:t>
            </w:r>
            <w:r w:rsidRPr="008577FA">
              <w:rPr>
                <w:rFonts w:cs="Arial"/>
                <w:b w:val="0"/>
              </w:rPr>
              <w:t>n terjedő, idegenhonos fa- és cserjefajok vissz</w:t>
            </w:r>
            <w:r w:rsidRPr="008577FA">
              <w:rPr>
                <w:rFonts w:cs="Arial"/>
                <w:b w:val="0"/>
              </w:rPr>
              <w:t>a</w:t>
            </w:r>
            <w:r w:rsidRPr="008577FA">
              <w:rPr>
                <w:rFonts w:cs="Arial"/>
                <w:b w:val="0"/>
              </w:rPr>
              <w:t>szorítása</w:t>
            </w:r>
          </w:p>
        </w:tc>
        <w:tc>
          <w:tcPr>
            <w:tcW w:w="1843" w:type="dxa"/>
            <w:vAlign w:val="center"/>
          </w:tcPr>
          <w:p w:rsidR="00020AFE" w:rsidRPr="00F16979" w:rsidRDefault="00020AFE" w:rsidP="00D450E8">
            <w:pPr>
              <w:jc w:val="center"/>
              <w:cnfStyle w:val="000000100000"/>
              <w:rPr>
                <w:rFonts w:cs="Arial"/>
              </w:rPr>
            </w:pPr>
            <w:r w:rsidRPr="00F16979">
              <w:rPr>
                <w:rFonts w:cs="Arial"/>
              </w:rPr>
              <w:t>57</w:t>
            </w:r>
          </w:p>
        </w:tc>
        <w:tc>
          <w:tcPr>
            <w:tcW w:w="1965" w:type="dxa"/>
            <w:vAlign w:val="center"/>
          </w:tcPr>
          <w:p w:rsidR="00020AFE" w:rsidRPr="00F16979" w:rsidRDefault="00020AFE" w:rsidP="00D450E8">
            <w:pPr>
              <w:jc w:val="center"/>
              <w:cnfStyle w:val="000000100000"/>
              <w:rPr>
                <w:rFonts w:cs="Arial"/>
              </w:rPr>
            </w:pPr>
            <w:r w:rsidRPr="00F16979">
              <w:rPr>
                <w:rFonts w:cs="Arial"/>
              </w:rPr>
              <w:t>910,79</w:t>
            </w:r>
          </w:p>
        </w:tc>
      </w:tr>
      <w:tr w:rsidR="00020AFE" w:rsidTr="00D450E8">
        <w:trPr>
          <w:cnfStyle w:val="000000010000"/>
        </w:trPr>
        <w:tc>
          <w:tcPr>
            <w:cnfStyle w:val="001000000000"/>
            <w:tcW w:w="5495" w:type="dxa"/>
          </w:tcPr>
          <w:p w:rsidR="00020AFE" w:rsidRPr="008577FA" w:rsidRDefault="00020AFE" w:rsidP="00D450E8">
            <w:pPr>
              <w:jc w:val="both"/>
              <w:rPr>
                <w:rFonts w:cs="Arial"/>
                <w:b w:val="0"/>
              </w:rPr>
            </w:pPr>
            <w:r w:rsidRPr="008577FA">
              <w:rPr>
                <w:rFonts w:cs="Arial"/>
                <w:b w:val="0"/>
              </w:rPr>
              <w:t>2. szálaló erdőgazdálkodás</w:t>
            </w:r>
          </w:p>
        </w:tc>
        <w:tc>
          <w:tcPr>
            <w:tcW w:w="1843" w:type="dxa"/>
            <w:vAlign w:val="center"/>
          </w:tcPr>
          <w:p w:rsidR="00020AFE" w:rsidRPr="00F16979" w:rsidRDefault="00020AFE" w:rsidP="00D450E8">
            <w:pPr>
              <w:jc w:val="center"/>
              <w:cnfStyle w:val="000000010000"/>
              <w:rPr>
                <w:rFonts w:cs="Arial"/>
              </w:rPr>
            </w:pPr>
            <w:r w:rsidRPr="00F16979">
              <w:rPr>
                <w:rFonts w:cs="Arial"/>
              </w:rPr>
              <w:t>55</w:t>
            </w:r>
          </w:p>
        </w:tc>
        <w:tc>
          <w:tcPr>
            <w:tcW w:w="1965" w:type="dxa"/>
            <w:vAlign w:val="center"/>
          </w:tcPr>
          <w:p w:rsidR="00020AFE" w:rsidRPr="00F16979" w:rsidRDefault="00020AFE" w:rsidP="00D450E8">
            <w:pPr>
              <w:jc w:val="center"/>
              <w:cnfStyle w:val="000000010000"/>
              <w:rPr>
                <w:rFonts w:cs="Arial"/>
              </w:rPr>
            </w:pPr>
            <w:r w:rsidRPr="00F16979">
              <w:rPr>
                <w:rFonts w:cs="Arial"/>
              </w:rPr>
              <w:t>2531,90</w:t>
            </w:r>
          </w:p>
        </w:tc>
      </w:tr>
      <w:tr w:rsidR="00020AFE" w:rsidTr="00D450E8">
        <w:trPr>
          <w:cnfStyle w:val="000000100000"/>
        </w:trPr>
        <w:tc>
          <w:tcPr>
            <w:cnfStyle w:val="001000000000"/>
            <w:tcW w:w="5495" w:type="dxa"/>
          </w:tcPr>
          <w:p w:rsidR="00020AFE" w:rsidRPr="008577FA" w:rsidRDefault="00020AFE" w:rsidP="00D450E8">
            <w:pPr>
              <w:jc w:val="both"/>
              <w:rPr>
                <w:rFonts w:cs="Arial"/>
                <w:b w:val="0"/>
              </w:rPr>
            </w:pPr>
            <w:r w:rsidRPr="008577FA">
              <w:rPr>
                <w:rFonts w:cs="Arial"/>
                <w:b w:val="0"/>
              </w:rPr>
              <w:t>3. erdőállományok kézimunka igényes ápolása</w:t>
            </w:r>
          </w:p>
        </w:tc>
        <w:tc>
          <w:tcPr>
            <w:tcW w:w="1843" w:type="dxa"/>
            <w:vAlign w:val="center"/>
          </w:tcPr>
          <w:p w:rsidR="00020AFE" w:rsidRPr="00F16979" w:rsidRDefault="00020AFE" w:rsidP="00D450E8">
            <w:pPr>
              <w:jc w:val="center"/>
              <w:cnfStyle w:val="000000100000"/>
              <w:rPr>
                <w:rFonts w:cs="Arial"/>
              </w:rPr>
            </w:pPr>
            <w:r w:rsidRPr="00F16979">
              <w:rPr>
                <w:rFonts w:cs="Arial"/>
              </w:rPr>
              <w:t>41</w:t>
            </w:r>
          </w:p>
        </w:tc>
        <w:tc>
          <w:tcPr>
            <w:tcW w:w="1965" w:type="dxa"/>
            <w:vAlign w:val="center"/>
          </w:tcPr>
          <w:p w:rsidR="00020AFE" w:rsidRPr="00F16979" w:rsidRDefault="00020AFE" w:rsidP="00D450E8">
            <w:pPr>
              <w:jc w:val="center"/>
              <w:cnfStyle w:val="000000100000"/>
              <w:rPr>
                <w:rFonts w:cs="Arial"/>
              </w:rPr>
            </w:pPr>
            <w:r w:rsidRPr="00F16979">
              <w:rPr>
                <w:rFonts w:cs="Arial"/>
              </w:rPr>
              <w:t>501,76</w:t>
            </w:r>
          </w:p>
        </w:tc>
      </w:tr>
      <w:tr w:rsidR="00020AFE" w:rsidTr="00D450E8">
        <w:trPr>
          <w:cnfStyle w:val="000000010000"/>
        </w:trPr>
        <w:tc>
          <w:tcPr>
            <w:cnfStyle w:val="001000000000"/>
            <w:tcW w:w="5495" w:type="dxa"/>
          </w:tcPr>
          <w:p w:rsidR="00020AFE" w:rsidRPr="008577FA" w:rsidRDefault="00020AFE" w:rsidP="00D450E8">
            <w:pPr>
              <w:jc w:val="both"/>
              <w:rPr>
                <w:rFonts w:cs="Arial"/>
                <w:b w:val="0"/>
              </w:rPr>
            </w:pPr>
            <w:r w:rsidRPr="008577FA">
              <w:rPr>
                <w:rFonts w:cs="Arial"/>
                <w:b w:val="0"/>
              </w:rPr>
              <w:lastRenderedPageBreak/>
              <w:t>4. őshonos erdőállományok tarvágásos felújításának vissz</w:t>
            </w:r>
            <w:r w:rsidRPr="008577FA">
              <w:rPr>
                <w:rFonts w:cs="Arial"/>
                <w:b w:val="0"/>
              </w:rPr>
              <w:t>a</w:t>
            </w:r>
            <w:r w:rsidRPr="008577FA">
              <w:rPr>
                <w:rFonts w:cs="Arial"/>
                <w:b w:val="0"/>
              </w:rPr>
              <w:t>szorítása</w:t>
            </w:r>
          </w:p>
        </w:tc>
        <w:tc>
          <w:tcPr>
            <w:tcW w:w="1843" w:type="dxa"/>
            <w:vAlign w:val="center"/>
          </w:tcPr>
          <w:p w:rsidR="00020AFE" w:rsidRPr="00F16979" w:rsidRDefault="00020AFE" w:rsidP="00D450E8">
            <w:pPr>
              <w:jc w:val="center"/>
              <w:cnfStyle w:val="000000010000"/>
              <w:rPr>
                <w:rFonts w:cs="Arial"/>
              </w:rPr>
            </w:pPr>
            <w:r w:rsidRPr="00F16979">
              <w:rPr>
                <w:rFonts w:cs="Arial"/>
              </w:rPr>
              <w:t>10</w:t>
            </w:r>
          </w:p>
        </w:tc>
        <w:tc>
          <w:tcPr>
            <w:tcW w:w="1965" w:type="dxa"/>
            <w:vAlign w:val="center"/>
          </w:tcPr>
          <w:p w:rsidR="00020AFE" w:rsidRPr="00F16979" w:rsidRDefault="00020AFE" w:rsidP="00D450E8">
            <w:pPr>
              <w:jc w:val="center"/>
              <w:cnfStyle w:val="000000010000"/>
              <w:rPr>
                <w:rFonts w:cs="Arial"/>
              </w:rPr>
            </w:pPr>
            <w:r w:rsidRPr="00F16979">
              <w:rPr>
                <w:rFonts w:cs="Arial"/>
              </w:rPr>
              <w:t>93,97</w:t>
            </w:r>
          </w:p>
        </w:tc>
      </w:tr>
      <w:tr w:rsidR="00020AFE" w:rsidTr="00D450E8">
        <w:trPr>
          <w:cnfStyle w:val="000000100000"/>
        </w:trPr>
        <w:tc>
          <w:tcPr>
            <w:cnfStyle w:val="001000000000"/>
            <w:tcW w:w="5495" w:type="dxa"/>
          </w:tcPr>
          <w:p w:rsidR="00020AFE" w:rsidRPr="008577FA" w:rsidRDefault="00020AFE" w:rsidP="00D450E8">
            <w:pPr>
              <w:jc w:val="both"/>
              <w:rPr>
                <w:rFonts w:cs="Arial"/>
                <w:b w:val="0"/>
              </w:rPr>
            </w:pPr>
            <w:r w:rsidRPr="008577FA">
              <w:rPr>
                <w:rFonts w:cs="Arial"/>
                <w:b w:val="0"/>
              </w:rPr>
              <w:t>5.</w:t>
            </w:r>
            <w:proofErr w:type="gramStart"/>
            <w:r w:rsidRPr="008577FA">
              <w:rPr>
                <w:rFonts w:cs="Arial"/>
                <w:b w:val="0"/>
              </w:rPr>
              <w:t>A</w:t>
            </w:r>
            <w:r>
              <w:rPr>
                <w:rFonts w:cs="Arial"/>
                <w:b w:val="0"/>
              </w:rPr>
              <w:t>.</w:t>
            </w:r>
            <w:proofErr w:type="gramEnd"/>
            <w:r w:rsidRPr="008577FA">
              <w:rPr>
                <w:rFonts w:cs="Arial"/>
                <w:b w:val="0"/>
              </w:rPr>
              <w:t xml:space="preserve"> </w:t>
            </w:r>
            <w:proofErr w:type="spellStart"/>
            <w:r w:rsidRPr="008577FA">
              <w:rPr>
                <w:rFonts w:cs="Arial"/>
                <w:b w:val="0"/>
              </w:rPr>
              <w:t>mikroélőhelyek</w:t>
            </w:r>
            <w:proofErr w:type="spellEnd"/>
            <w:r w:rsidRPr="008577FA">
              <w:rPr>
                <w:rFonts w:cs="Arial"/>
                <w:b w:val="0"/>
              </w:rPr>
              <w:t xml:space="preserve"> kialakítása, fenntartása</w:t>
            </w:r>
          </w:p>
        </w:tc>
        <w:tc>
          <w:tcPr>
            <w:tcW w:w="1843" w:type="dxa"/>
            <w:vAlign w:val="center"/>
          </w:tcPr>
          <w:p w:rsidR="00020AFE" w:rsidRPr="00F16979" w:rsidRDefault="00020AFE" w:rsidP="00D450E8">
            <w:pPr>
              <w:jc w:val="center"/>
              <w:cnfStyle w:val="000000100000"/>
              <w:rPr>
                <w:rFonts w:cs="Arial"/>
              </w:rPr>
            </w:pPr>
            <w:r w:rsidRPr="00F16979">
              <w:rPr>
                <w:rFonts w:cs="Arial"/>
              </w:rPr>
              <w:t>47</w:t>
            </w:r>
          </w:p>
        </w:tc>
        <w:tc>
          <w:tcPr>
            <w:tcW w:w="1965" w:type="dxa"/>
            <w:vAlign w:val="center"/>
          </w:tcPr>
          <w:p w:rsidR="00020AFE" w:rsidRPr="00F16979" w:rsidRDefault="00020AFE" w:rsidP="00D450E8">
            <w:pPr>
              <w:jc w:val="center"/>
              <w:cnfStyle w:val="000000100000"/>
              <w:rPr>
                <w:rFonts w:cs="Arial"/>
              </w:rPr>
            </w:pPr>
            <w:r w:rsidRPr="00F16979">
              <w:rPr>
                <w:rFonts w:cs="Arial"/>
              </w:rPr>
              <w:t>950,96</w:t>
            </w:r>
          </w:p>
        </w:tc>
      </w:tr>
      <w:tr w:rsidR="00020AFE" w:rsidTr="00D450E8">
        <w:trPr>
          <w:cnfStyle w:val="000000010000"/>
        </w:trPr>
        <w:tc>
          <w:tcPr>
            <w:cnfStyle w:val="001000000000"/>
            <w:tcW w:w="5495" w:type="dxa"/>
          </w:tcPr>
          <w:p w:rsidR="00020AFE" w:rsidRPr="008577FA" w:rsidRDefault="00020AFE" w:rsidP="00D450E8">
            <w:pPr>
              <w:jc w:val="both"/>
              <w:rPr>
                <w:rFonts w:cs="Arial"/>
                <w:b w:val="0"/>
              </w:rPr>
            </w:pPr>
            <w:r w:rsidRPr="008577FA">
              <w:rPr>
                <w:rFonts w:cs="Arial"/>
                <w:b w:val="0"/>
              </w:rPr>
              <w:t>5.B. a véghasználat során facsoportok visszahagyása</w:t>
            </w:r>
          </w:p>
        </w:tc>
        <w:tc>
          <w:tcPr>
            <w:tcW w:w="1843" w:type="dxa"/>
            <w:vAlign w:val="center"/>
          </w:tcPr>
          <w:p w:rsidR="00020AFE" w:rsidRPr="00F16979" w:rsidRDefault="00020AFE" w:rsidP="00D450E8">
            <w:pPr>
              <w:jc w:val="center"/>
              <w:cnfStyle w:val="000000010000"/>
              <w:rPr>
                <w:rFonts w:cs="Arial"/>
              </w:rPr>
            </w:pPr>
            <w:r w:rsidRPr="00F16979">
              <w:rPr>
                <w:rFonts w:cs="Arial"/>
              </w:rPr>
              <w:t>18</w:t>
            </w:r>
          </w:p>
        </w:tc>
        <w:tc>
          <w:tcPr>
            <w:tcW w:w="1965" w:type="dxa"/>
            <w:vAlign w:val="center"/>
          </w:tcPr>
          <w:p w:rsidR="00020AFE" w:rsidRPr="00F16979" w:rsidRDefault="00020AFE" w:rsidP="00D450E8">
            <w:pPr>
              <w:jc w:val="center"/>
              <w:cnfStyle w:val="000000010000"/>
              <w:rPr>
                <w:rFonts w:cs="Arial"/>
              </w:rPr>
            </w:pPr>
            <w:r w:rsidRPr="00F16979">
              <w:rPr>
                <w:rFonts w:cs="Arial"/>
              </w:rPr>
              <w:t>238,02</w:t>
            </w:r>
          </w:p>
        </w:tc>
      </w:tr>
      <w:tr w:rsidR="00020AFE" w:rsidTr="00D450E8">
        <w:trPr>
          <w:cnfStyle w:val="000000100000"/>
        </w:trPr>
        <w:tc>
          <w:tcPr>
            <w:cnfStyle w:val="001000000000"/>
            <w:tcW w:w="5495" w:type="dxa"/>
          </w:tcPr>
          <w:p w:rsidR="00020AFE" w:rsidRPr="008577FA" w:rsidRDefault="00020AFE" w:rsidP="00D450E8">
            <w:pPr>
              <w:jc w:val="both"/>
              <w:rPr>
                <w:rFonts w:cs="Arial"/>
                <w:b w:val="0"/>
              </w:rPr>
            </w:pPr>
            <w:smartTag w:uri="urn:schemas-microsoft-com:office:smarttags" w:element="metricconverter">
              <w:smartTagPr>
                <w:attr w:name="ProductID" w:val="5.C"/>
              </w:smartTagPr>
              <w:r w:rsidRPr="008577FA">
                <w:rPr>
                  <w:rFonts w:cs="Arial"/>
                  <w:b w:val="0"/>
                </w:rPr>
                <w:t>5.C</w:t>
              </w:r>
            </w:smartTag>
            <w:r w:rsidRPr="008577FA">
              <w:rPr>
                <w:rFonts w:cs="Arial"/>
                <w:b w:val="0"/>
              </w:rPr>
              <w:t>. erdőfelújítás sikerességét biztosító cserjeszabályozás</w:t>
            </w:r>
          </w:p>
        </w:tc>
        <w:tc>
          <w:tcPr>
            <w:tcW w:w="1843" w:type="dxa"/>
            <w:vAlign w:val="center"/>
          </w:tcPr>
          <w:p w:rsidR="00020AFE" w:rsidRPr="00F16979" w:rsidRDefault="00020AFE" w:rsidP="00D450E8">
            <w:pPr>
              <w:jc w:val="center"/>
              <w:cnfStyle w:val="000000100000"/>
              <w:rPr>
                <w:rFonts w:cs="Arial"/>
              </w:rPr>
            </w:pPr>
            <w:r w:rsidRPr="00F16979">
              <w:rPr>
                <w:rFonts w:cs="Arial"/>
              </w:rPr>
              <w:t>39</w:t>
            </w:r>
          </w:p>
        </w:tc>
        <w:tc>
          <w:tcPr>
            <w:tcW w:w="1965" w:type="dxa"/>
            <w:vAlign w:val="center"/>
          </w:tcPr>
          <w:p w:rsidR="00020AFE" w:rsidRPr="00F16979" w:rsidRDefault="00020AFE" w:rsidP="00D450E8">
            <w:pPr>
              <w:jc w:val="center"/>
              <w:cnfStyle w:val="000000100000"/>
              <w:rPr>
                <w:rFonts w:cs="Arial"/>
              </w:rPr>
            </w:pPr>
            <w:r w:rsidRPr="00F16979">
              <w:rPr>
                <w:rFonts w:cs="Arial"/>
              </w:rPr>
              <w:t>607,00</w:t>
            </w:r>
          </w:p>
        </w:tc>
      </w:tr>
      <w:tr w:rsidR="00020AFE" w:rsidTr="00D450E8">
        <w:trPr>
          <w:cnfStyle w:val="000000010000"/>
        </w:trPr>
        <w:tc>
          <w:tcPr>
            <w:cnfStyle w:val="001000000000"/>
            <w:tcW w:w="5495" w:type="dxa"/>
          </w:tcPr>
          <w:p w:rsidR="00020AFE" w:rsidRPr="008577FA" w:rsidRDefault="00020AFE" w:rsidP="00D450E8">
            <w:pPr>
              <w:jc w:val="both"/>
              <w:rPr>
                <w:rFonts w:cs="Arial"/>
                <w:b w:val="0"/>
              </w:rPr>
            </w:pPr>
            <w:r w:rsidRPr="008577FA">
              <w:rPr>
                <w:rFonts w:cs="Arial"/>
                <w:b w:val="0"/>
              </w:rPr>
              <w:t xml:space="preserve">6. véghasználat elhalasztása talaj- és </w:t>
            </w:r>
            <w:proofErr w:type="spellStart"/>
            <w:r w:rsidRPr="008577FA">
              <w:rPr>
                <w:rFonts w:cs="Arial"/>
                <w:b w:val="0"/>
              </w:rPr>
              <w:t>élőhelyvédelem</w:t>
            </w:r>
            <w:proofErr w:type="spellEnd"/>
            <w:r w:rsidRPr="008577FA">
              <w:rPr>
                <w:rFonts w:cs="Arial"/>
                <w:b w:val="0"/>
              </w:rPr>
              <w:t xml:space="preserve"> céljából</w:t>
            </w:r>
          </w:p>
        </w:tc>
        <w:tc>
          <w:tcPr>
            <w:tcW w:w="1843" w:type="dxa"/>
            <w:vAlign w:val="center"/>
          </w:tcPr>
          <w:p w:rsidR="00020AFE" w:rsidRPr="00F16979" w:rsidRDefault="00020AFE" w:rsidP="00D450E8">
            <w:pPr>
              <w:jc w:val="center"/>
              <w:cnfStyle w:val="000000010000"/>
              <w:rPr>
                <w:rFonts w:cs="Arial"/>
              </w:rPr>
            </w:pPr>
            <w:r w:rsidRPr="00F16979">
              <w:rPr>
                <w:rFonts w:cs="Arial"/>
              </w:rPr>
              <w:t>17</w:t>
            </w:r>
          </w:p>
        </w:tc>
        <w:tc>
          <w:tcPr>
            <w:tcW w:w="1965" w:type="dxa"/>
            <w:vAlign w:val="center"/>
          </w:tcPr>
          <w:p w:rsidR="00020AFE" w:rsidRPr="00F16979" w:rsidRDefault="00020AFE" w:rsidP="00D450E8">
            <w:pPr>
              <w:jc w:val="center"/>
              <w:cnfStyle w:val="000000010000"/>
              <w:rPr>
                <w:rFonts w:cs="Arial"/>
              </w:rPr>
            </w:pPr>
            <w:r w:rsidRPr="00F16979">
              <w:rPr>
                <w:rFonts w:cs="Arial"/>
              </w:rPr>
              <w:t>221,67</w:t>
            </w:r>
          </w:p>
        </w:tc>
      </w:tr>
      <w:tr w:rsidR="00020AFE" w:rsidTr="00D450E8">
        <w:trPr>
          <w:cnfStyle w:val="000000100000"/>
        </w:trPr>
        <w:tc>
          <w:tcPr>
            <w:cnfStyle w:val="001000000000"/>
            <w:tcW w:w="5495" w:type="dxa"/>
          </w:tcPr>
          <w:p w:rsidR="00020AFE" w:rsidRPr="008577FA" w:rsidRDefault="00020AFE" w:rsidP="00D450E8">
            <w:pPr>
              <w:jc w:val="both"/>
              <w:rPr>
                <w:rFonts w:cs="Arial"/>
                <w:b w:val="0"/>
              </w:rPr>
            </w:pPr>
            <w:r w:rsidRPr="008577FA">
              <w:rPr>
                <w:rFonts w:cs="Arial"/>
                <w:b w:val="0"/>
              </w:rPr>
              <w:t>7. közjóléti célú erdők fenntartása</w:t>
            </w:r>
          </w:p>
        </w:tc>
        <w:tc>
          <w:tcPr>
            <w:tcW w:w="1843" w:type="dxa"/>
            <w:vAlign w:val="center"/>
          </w:tcPr>
          <w:p w:rsidR="00020AFE" w:rsidRPr="00F16979" w:rsidRDefault="00020AFE" w:rsidP="00D450E8">
            <w:pPr>
              <w:jc w:val="center"/>
              <w:cnfStyle w:val="000000100000"/>
              <w:rPr>
                <w:rFonts w:cs="Arial"/>
              </w:rPr>
            </w:pPr>
            <w:r w:rsidRPr="00F16979">
              <w:rPr>
                <w:rFonts w:cs="Arial"/>
              </w:rPr>
              <w:t>18</w:t>
            </w:r>
          </w:p>
        </w:tc>
        <w:tc>
          <w:tcPr>
            <w:tcW w:w="1965" w:type="dxa"/>
            <w:vAlign w:val="center"/>
          </w:tcPr>
          <w:p w:rsidR="00020AFE" w:rsidRPr="00F16979" w:rsidRDefault="00020AFE" w:rsidP="00D450E8">
            <w:pPr>
              <w:jc w:val="center"/>
              <w:cnfStyle w:val="000000100000"/>
              <w:rPr>
                <w:rFonts w:cs="Arial"/>
              </w:rPr>
            </w:pPr>
            <w:r w:rsidRPr="00F16979">
              <w:rPr>
                <w:rFonts w:cs="Arial"/>
              </w:rPr>
              <w:t>622,88</w:t>
            </w:r>
          </w:p>
        </w:tc>
      </w:tr>
      <w:tr w:rsidR="00020AFE" w:rsidTr="00D450E8">
        <w:trPr>
          <w:cnfStyle w:val="000000010000"/>
        </w:trPr>
        <w:tc>
          <w:tcPr>
            <w:cnfStyle w:val="001000000000"/>
            <w:tcW w:w="5495" w:type="dxa"/>
          </w:tcPr>
          <w:p w:rsidR="00020AFE" w:rsidRPr="008577FA" w:rsidRDefault="00020AFE" w:rsidP="00D450E8">
            <w:pPr>
              <w:jc w:val="both"/>
              <w:rPr>
                <w:rFonts w:cs="Arial"/>
                <w:b w:val="0"/>
              </w:rPr>
            </w:pPr>
            <w:r w:rsidRPr="008577FA">
              <w:rPr>
                <w:rFonts w:cs="Arial"/>
                <w:b w:val="0"/>
              </w:rPr>
              <w:t>8. erdei tisztások fenntartása</w:t>
            </w:r>
          </w:p>
        </w:tc>
        <w:tc>
          <w:tcPr>
            <w:tcW w:w="1843" w:type="dxa"/>
            <w:vAlign w:val="center"/>
          </w:tcPr>
          <w:p w:rsidR="00020AFE" w:rsidRPr="00F16979" w:rsidRDefault="00020AFE" w:rsidP="00D450E8">
            <w:pPr>
              <w:jc w:val="center"/>
              <w:cnfStyle w:val="000000010000"/>
              <w:rPr>
                <w:rFonts w:cs="Arial"/>
              </w:rPr>
            </w:pPr>
            <w:r w:rsidRPr="00F16979">
              <w:rPr>
                <w:rFonts w:cs="Arial"/>
              </w:rPr>
              <w:t>21</w:t>
            </w:r>
          </w:p>
        </w:tc>
        <w:tc>
          <w:tcPr>
            <w:tcW w:w="1965" w:type="dxa"/>
            <w:vAlign w:val="center"/>
          </w:tcPr>
          <w:p w:rsidR="00020AFE" w:rsidRPr="00F16979" w:rsidRDefault="00020AFE" w:rsidP="00D450E8">
            <w:pPr>
              <w:jc w:val="center"/>
              <w:cnfStyle w:val="000000010000"/>
              <w:rPr>
                <w:rFonts w:cs="Arial"/>
              </w:rPr>
            </w:pPr>
            <w:r w:rsidRPr="00F16979">
              <w:rPr>
                <w:rFonts w:cs="Arial"/>
              </w:rPr>
              <w:t>205,83</w:t>
            </w:r>
          </w:p>
        </w:tc>
      </w:tr>
      <w:tr w:rsidR="00020AFE" w:rsidTr="00D450E8">
        <w:trPr>
          <w:cnfStyle w:val="000000100000"/>
        </w:trPr>
        <w:tc>
          <w:tcPr>
            <w:cnfStyle w:val="001000000000"/>
            <w:tcW w:w="5495" w:type="dxa"/>
          </w:tcPr>
          <w:p w:rsidR="00020AFE" w:rsidRPr="008577FA" w:rsidRDefault="00020AFE" w:rsidP="00D450E8">
            <w:pPr>
              <w:jc w:val="both"/>
              <w:rPr>
                <w:rFonts w:cs="Arial"/>
                <w:b w:val="0"/>
              </w:rPr>
            </w:pPr>
            <w:r w:rsidRPr="008577FA">
              <w:rPr>
                <w:rFonts w:cs="Arial"/>
                <w:b w:val="0"/>
              </w:rPr>
              <w:t>9. természetkímélő anyagmozgatási módszerek alkalmazása</w:t>
            </w:r>
          </w:p>
        </w:tc>
        <w:tc>
          <w:tcPr>
            <w:tcW w:w="1843" w:type="dxa"/>
            <w:vAlign w:val="center"/>
          </w:tcPr>
          <w:p w:rsidR="00020AFE" w:rsidRPr="00F16979" w:rsidRDefault="00020AFE" w:rsidP="00D450E8">
            <w:pPr>
              <w:jc w:val="center"/>
              <w:cnfStyle w:val="000000100000"/>
              <w:rPr>
                <w:rFonts w:cs="Arial"/>
              </w:rPr>
            </w:pPr>
            <w:r w:rsidRPr="00F16979">
              <w:rPr>
                <w:rFonts w:cs="Arial"/>
              </w:rPr>
              <w:t>174</w:t>
            </w:r>
          </w:p>
        </w:tc>
        <w:tc>
          <w:tcPr>
            <w:tcW w:w="1965" w:type="dxa"/>
            <w:vAlign w:val="center"/>
          </w:tcPr>
          <w:p w:rsidR="00020AFE" w:rsidRPr="00F16979" w:rsidRDefault="00020AFE" w:rsidP="00D450E8">
            <w:pPr>
              <w:jc w:val="center"/>
              <w:cnfStyle w:val="000000100000"/>
              <w:rPr>
                <w:rFonts w:cs="Arial"/>
              </w:rPr>
            </w:pPr>
            <w:r w:rsidRPr="00F16979">
              <w:rPr>
                <w:rFonts w:cs="Arial"/>
              </w:rPr>
              <w:t>4184,90</w:t>
            </w:r>
          </w:p>
        </w:tc>
      </w:tr>
      <w:tr w:rsidR="00020AFE" w:rsidTr="00D450E8">
        <w:trPr>
          <w:cnfStyle w:val="000000010000"/>
        </w:trPr>
        <w:tc>
          <w:tcPr>
            <w:cnfStyle w:val="001000000000"/>
            <w:tcW w:w="5495" w:type="dxa"/>
          </w:tcPr>
          <w:p w:rsidR="00020AFE" w:rsidRPr="008577FA" w:rsidRDefault="00020AFE" w:rsidP="00D450E8">
            <w:pPr>
              <w:rPr>
                <w:rFonts w:cs="Arial"/>
                <w:i/>
              </w:rPr>
            </w:pPr>
            <w:r w:rsidRPr="008577FA">
              <w:rPr>
                <w:rFonts w:cs="Arial"/>
                <w:i/>
              </w:rPr>
              <w:t>Összesen</w:t>
            </w:r>
          </w:p>
        </w:tc>
        <w:tc>
          <w:tcPr>
            <w:tcW w:w="1843" w:type="dxa"/>
            <w:vAlign w:val="center"/>
          </w:tcPr>
          <w:p w:rsidR="00020AFE" w:rsidRPr="008577FA" w:rsidRDefault="00020AFE" w:rsidP="00D450E8">
            <w:pPr>
              <w:jc w:val="center"/>
              <w:cnfStyle w:val="000000010000"/>
              <w:rPr>
                <w:rFonts w:cs="Arial"/>
                <w:b/>
                <w:i/>
              </w:rPr>
            </w:pPr>
            <w:r w:rsidRPr="008577FA">
              <w:rPr>
                <w:rFonts w:cs="Arial"/>
                <w:b/>
                <w:i/>
              </w:rPr>
              <w:t>497</w:t>
            </w:r>
          </w:p>
        </w:tc>
        <w:tc>
          <w:tcPr>
            <w:tcW w:w="1965" w:type="dxa"/>
            <w:vAlign w:val="center"/>
          </w:tcPr>
          <w:p w:rsidR="00020AFE" w:rsidRPr="008577FA" w:rsidRDefault="00020AFE" w:rsidP="00D450E8">
            <w:pPr>
              <w:jc w:val="center"/>
              <w:cnfStyle w:val="000000010000"/>
              <w:rPr>
                <w:rFonts w:cs="Arial"/>
                <w:b/>
                <w:i/>
              </w:rPr>
            </w:pPr>
            <w:r w:rsidRPr="008577FA">
              <w:rPr>
                <w:rFonts w:cs="Arial"/>
                <w:b/>
                <w:i/>
              </w:rPr>
              <w:t>11069,68</w:t>
            </w:r>
          </w:p>
        </w:tc>
      </w:tr>
    </w:tbl>
    <w:bookmarkStart w:id="40" w:name="_Ref279590510"/>
    <w:p w:rsidR="00020AFE" w:rsidRPr="008577FA" w:rsidRDefault="00CF0DD4" w:rsidP="00020AFE">
      <w:pPr>
        <w:pStyle w:val="Caption"/>
        <w:spacing w:before="60" w:after="120" w:line="280" w:lineRule="atLeast"/>
        <w:jc w:val="center"/>
        <w:rPr>
          <w:color w:val="auto"/>
        </w:rPr>
      </w:pPr>
      <w:r w:rsidRPr="008577FA">
        <w:rPr>
          <w:color w:val="auto"/>
        </w:rPr>
        <w:fldChar w:fldCharType="begin"/>
      </w:r>
      <w:r w:rsidR="00020AFE" w:rsidRPr="008577FA">
        <w:rPr>
          <w:color w:val="auto"/>
        </w:rPr>
        <w:instrText xml:space="preserve"> SEQ táblázat \* ARABIC </w:instrText>
      </w:r>
      <w:r w:rsidRPr="008577FA">
        <w:rPr>
          <w:color w:val="auto"/>
        </w:rPr>
        <w:fldChar w:fldCharType="separate"/>
      </w:r>
      <w:r w:rsidR="00660338">
        <w:rPr>
          <w:noProof/>
          <w:color w:val="auto"/>
        </w:rPr>
        <w:t>13</w:t>
      </w:r>
      <w:r w:rsidRPr="008577FA">
        <w:rPr>
          <w:color w:val="auto"/>
        </w:rPr>
        <w:fldChar w:fldCharType="end"/>
      </w:r>
      <w:r w:rsidR="00020AFE" w:rsidRPr="008577FA">
        <w:rPr>
          <w:color w:val="auto"/>
        </w:rPr>
        <w:t>. táblázat</w:t>
      </w:r>
      <w:bookmarkEnd w:id="40"/>
      <w:r w:rsidR="00020AFE" w:rsidRPr="008577FA">
        <w:rPr>
          <w:color w:val="auto"/>
        </w:rPr>
        <w:t>: Célprogramok érintettsége</w:t>
      </w:r>
    </w:p>
    <w:p w:rsidR="00020AFE" w:rsidRDefault="00020AFE" w:rsidP="00020AFE">
      <w:pPr>
        <w:jc w:val="both"/>
      </w:pPr>
      <w:r>
        <w:t>Az értékelés megállapítás alapján v</w:t>
      </w:r>
      <w:r w:rsidRPr="009B0B71">
        <w:t>alamennyi célprogram hozzájárul a nagy értékű erdei ökoszisztémák megőrzéséhez vagy javításához.</w:t>
      </w:r>
    </w:p>
    <w:p w:rsidR="00020AFE" w:rsidRPr="00A7051C" w:rsidRDefault="00020AFE" w:rsidP="00020AFE">
      <w:pPr>
        <w:jc w:val="both"/>
      </w:pPr>
    </w:p>
    <w:p w:rsidR="00020AFE" w:rsidRDefault="00020AFE" w:rsidP="00020AFE">
      <w:pPr>
        <w:pStyle w:val="StyleHUNHeading3Justified"/>
        <w:ind w:left="504"/>
      </w:pPr>
      <w:r w:rsidRPr="00A7051C">
        <w:t>Az erdő-környezetvédelmi kifizetések milyen mértékben járultak hozzá a biológiai sokféleség megőrzéséhez vagy javításához? (225. intézkedés)</w:t>
      </w:r>
    </w:p>
    <w:p w:rsidR="00020AFE" w:rsidRDefault="00020AFE" w:rsidP="00020AFE">
      <w:pPr>
        <w:jc w:val="both"/>
      </w:pPr>
      <w:r w:rsidRPr="00660338">
        <w:t xml:space="preserve">Az erdő-környezetvédelmi intézkedésekhez csatlakozó kifizetések 9 (11) célprogramon keresztül fejtették ki hatásukat. A biológiai sokféleség megőrzéséhez vagy javításához a </w:t>
      </w:r>
      <w:fldSimple w:instr=" REF _Ref279590510 \h  \* MERGEFORMAT ">
        <w:r w:rsidR="00660338" w:rsidRPr="00660338">
          <w:t>13. táblázat</w:t>
        </w:r>
      </w:fldSimple>
      <w:r w:rsidRPr="00660338">
        <w:t>ban bemutatott célprogr</w:t>
      </w:r>
      <w:r w:rsidRPr="00660338">
        <w:t>a</w:t>
      </w:r>
      <w:r w:rsidRPr="00660338">
        <w:t>mok járultak hozzá.</w:t>
      </w:r>
    </w:p>
    <w:p w:rsidR="00020AFE" w:rsidRPr="00A7051C" w:rsidRDefault="00020AFE" w:rsidP="00020AFE">
      <w:pPr>
        <w:jc w:val="both"/>
      </w:pPr>
    </w:p>
    <w:p w:rsidR="00020AFE" w:rsidRDefault="00020AFE" w:rsidP="00020AFE">
      <w:pPr>
        <w:pStyle w:val="StyleHUNHeading3Justified"/>
        <w:ind w:left="504"/>
      </w:pPr>
      <w:r w:rsidRPr="00A7051C">
        <w:t>Az erdő-környezetvédelmi kifizetések milyen mértékben járultak hozzá a vízmin</w:t>
      </w:r>
      <w:r w:rsidRPr="00A7051C">
        <w:t>ő</w:t>
      </w:r>
      <w:r w:rsidRPr="00A7051C">
        <w:t>ség fenntartásához vagy javításához? (225. intézkedés)</w:t>
      </w:r>
    </w:p>
    <w:p w:rsidR="00020AFE" w:rsidRDefault="00020AFE" w:rsidP="00020AFE">
      <w:pPr>
        <w:jc w:val="both"/>
      </w:pPr>
      <w:r w:rsidRPr="00660338">
        <w:t xml:space="preserve">Az erdő-környezetvédelmi intézkedésekhez csatlakozó kifizetések 9 (11) célprogramon keresztül fejtették ki hatásukat. A vízminőség fenntartásához vagy javításához a </w:t>
      </w:r>
      <w:fldSimple w:instr=" REF _Ref279590510 \h  \* MERGEFORMAT ">
        <w:r w:rsidR="00660338">
          <w:t>13</w:t>
        </w:r>
        <w:r w:rsidR="00660338" w:rsidRPr="008577FA">
          <w:t>. táblázat</w:t>
        </w:r>
      </w:fldSimple>
      <w:r w:rsidRPr="00660338">
        <w:t>ban bemutatott célprogramok közül a 2</w:t>
      </w:r>
      <w:proofErr w:type="gramStart"/>
      <w:r w:rsidRPr="00660338">
        <w:t>.,</w:t>
      </w:r>
      <w:proofErr w:type="gramEnd"/>
      <w:r w:rsidRPr="00660338">
        <w:t xml:space="preserve"> 4. és 6 célprogramok járultak hozzá.</w:t>
      </w:r>
    </w:p>
    <w:p w:rsidR="00020AFE" w:rsidRPr="00733085" w:rsidRDefault="00020AFE" w:rsidP="00020AFE">
      <w:pPr>
        <w:jc w:val="both"/>
      </w:pPr>
      <w:r w:rsidRPr="00733085">
        <w:t xml:space="preserve">A kérdés további, részletes elemzéséhez </w:t>
      </w:r>
      <w:r>
        <w:t>rendelkezésre álló adatok száma kevés, vélhetően az ex-post ért</w:t>
      </w:r>
      <w:r>
        <w:t>é</w:t>
      </w:r>
      <w:r>
        <w:t>kelés teremt majd alkalmat a kérdés részletes megválaszolására.</w:t>
      </w:r>
    </w:p>
    <w:p w:rsidR="00020AFE" w:rsidRPr="008577FA" w:rsidRDefault="00020AFE" w:rsidP="00020AFE">
      <w:pPr>
        <w:jc w:val="both"/>
      </w:pPr>
    </w:p>
    <w:p w:rsidR="00020AFE" w:rsidRDefault="00020AFE" w:rsidP="00020AFE">
      <w:pPr>
        <w:pStyle w:val="StyleHUNHeading3Justified"/>
        <w:ind w:left="504"/>
      </w:pPr>
      <w:r w:rsidRPr="00A7051C">
        <w:lastRenderedPageBreak/>
        <w:t>Az erdő-környezetvédelmi kifizetések milyen mértékben járultak hozzá a talajer</w:t>
      </w:r>
      <w:r w:rsidRPr="00A7051C">
        <w:t>ó</w:t>
      </w:r>
      <w:r w:rsidRPr="00A7051C">
        <w:t>zió megelőzéséhez? (225. intézkedés)</w:t>
      </w:r>
    </w:p>
    <w:p w:rsidR="00020AFE" w:rsidRPr="00660338" w:rsidRDefault="00020AFE" w:rsidP="00020AFE">
      <w:pPr>
        <w:jc w:val="both"/>
      </w:pPr>
      <w:r w:rsidRPr="00660338">
        <w:t xml:space="preserve">Az erdő-környezetvédelmi intézkedésekhez csatlakozó kifizetések 9 (11) célprogramon keresztül fejtették ki hatásukat. A talajerózió megelőzéséhez a </w:t>
      </w:r>
      <w:fldSimple w:instr=" REF _Ref279590510 \h  \* MERGEFORMAT ">
        <w:r w:rsidR="00660338" w:rsidRPr="00660338">
          <w:t>13. táblázat</w:t>
        </w:r>
      </w:fldSimple>
      <w:r w:rsidRPr="00660338">
        <w:t>ban bemutatott célprogramok közül a 2</w:t>
      </w:r>
      <w:proofErr w:type="gramStart"/>
      <w:r w:rsidRPr="00660338">
        <w:t>.,</w:t>
      </w:r>
      <w:proofErr w:type="gramEnd"/>
      <w:r w:rsidRPr="00660338">
        <w:t xml:space="preserve"> 4. és 6 cé</w:t>
      </w:r>
      <w:r w:rsidRPr="00660338">
        <w:t>l</w:t>
      </w:r>
      <w:r w:rsidRPr="00660338">
        <w:t>programok járultak hozzá.</w:t>
      </w:r>
    </w:p>
    <w:p w:rsidR="00020AFE" w:rsidRPr="00733085" w:rsidRDefault="00020AFE" w:rsidP="00020AFE">
      <w:pPr>
        <w:jc w:val="both"/>
      </w:pPr>
      <w:r w:rsidRPr="00660338">
        <w:t>A kérdés további, részletes elemzéséhez rendelkezésre álló adatok száma kevés, vélhetően az ex-post ért</w:t>
      </w:r>
      <w:r w:rsidRPr="00660338">
        <w:t>é</w:t>
      </w:r>
      <w:r w:rsidRPr="00660338">
        <w:t>kelés teremt majd alkalmat a kérdés részletes megválaszolására.</w:t>
      </w:r>
    </w:p>
    <w:p w:rsidR="00020AFE" w:rsidRPr="00A7051C" w:rsidRDefault="00020AFE" w:rsidP="00020AFE">
      <w:pPr>
        <w:jc w:val="both"/>
      </w:pPr>
    </w:p>
    <w:p w:rsidR="00020AFE" w:rsidRDefault="00020AFE" w:rsidP="00020AFE">
      <w:pPr>
        <w:pStyle w:val="StyleHUNHeading3Justified"/>
        <w:ind w:left="504"/>
      </w:pPr>
      <w:r w:rsidRPr="00A7051C">
        <w:t>Az erdő-környezetvédelmi kifizetések milyen mértékben járultak hozzá az éghajla</w:t>
      </w:r>
      <w:r w:rsidRPr="00A7051C">
        <w:t>t</w:t>
      </w:r>
      <w:r w:rsidRPr="00A7051C">
        <w:t>változás elleni küzdelemhez? (225. intézkedés)</w:t>
      </w:r>
    </w:p>
    <w:p w:rsidR="00020AFE" w:rsidRPr="00660338" w:rsidRDefault="00020AFE" w:rsidP="00020AFE">
      <w:pPr>
        <w:jc w:val="both"/>
      </w:pPr>
      <w:r w:rsidRPr="00660338">
        <w:t xml:space="preserve">Az erdő-környezetvédelmi intézkedésekhez csatlakozó kifizetések 9 (11) célprogramon keresztül fejtették ki hatásukat. Az éghajlatváltozás elleni küzdelemhez a </w:t>
      </w:r>
      <w:fldSimple w:instr=" REF _Ref279590510 \h  \* MERGEFORMAT ">
        <w:r w:rsidR="00660338" w:rsidRPr="00660338">
          <w:t>13. táblázat</w:t>
        </w:r>
      </w:fldSimple>
      <w:r w:rsidRPr="00660338">
        <w:t>ban bemutatott célprogramok közül a 2</w:t>
      </w:r>
      <w:proofErr w:type="gramStart"/>
      <w:r w:rsidRPr="00660338">
        <w:t>.,</w:t>
      </w:r>
      <w:proofErr w:type="gramEnd"/>
      <w:r w:rsidRPr="00660338">
        <w:t xml:space="preserve"> 4. és 6 célprogramok járultak hozzá.</w:t>
      </w:r>
    </w:p>
    <w:p w:rsidR="00020AFE" w:rsidRPr="00733085" w:rsidRDefault="00020AFE" w:rsidP="00020AFE">
      <w:pPr>
        <w:jc w:val="both"/>
      </w:pPr>
      <w:r w:rsidRPr="00660338">
        <w:t>A véghasználatok elhalasztása, a tarvágásos felújítás visszaszorítása és a szálaló erdőgazdálkodás bevez</w:t>
      </w:r>
      <w:r w:rsidRPr="00660338">
        <w:t>e</w:t>
      </w:r>
      <w:r w:rsidRPr="00660338">
        <w:t>tése minden esetben az erdők szén-megkötésének javításán keresztül járul hozzá az éghajlatváltozás elleni küzdelemhez. A kérdés további, részletes elemzéséhez rendelkezésre álló adatok száma kevés, vélhetően az ex-post értékelés teremt majd alkalmat a kérdés részletes megválaszolására.</w:t>
      </w:r>
    </w:p>
    <w:p w:rsidR="00020AFE" w:rsidRPr="00A7051C" w:rsidRDefault="00020AFE" w:rsidP="00020AFE">
      <w:pPr>
        <w:jc w:val="both"/>
      </w:pPr>
    </w:p>
    <w:p w:rsidR="00020AFE" w:rsidRDefault="00020AFE" w:rsidP="00020AFE">
      <w:pPr>
        <w:pStyle w:val="StyleHUNHeading3Justified"/>
        <w:ind w:left="504"/>
      </w:pPr>
      <w:r w:rsidRPr="00A7051C">
        <w:t>Az erdő-környezetvédelmi intézkedések milyen mértékben járultak hozzá a táj és annak jellemzői megőrzéséhez vagy javításához? (225. intézkedés)</w:t>
      </w:r>
    </w:p>
    <w:p w:rsidR="00020AFE" w:rsidRPr="00660338" w:rsidRDefault="00020AFE" w:rsidP="00020AFE">
      <w:pPr>
        <w:jc w:val="both"/>
      </w:pPr>
      <w:r w:rsidRPr="00660338">
        <w:t xml:space="preserve">Az erdő-környezetvédelmi intézkedésekhez csatlakozó kifizetések 9 (11) célprogramon keresztül fejtették ki hatásukat. A táj és annak jellemzői megőrzéséhez vagy javításához a </w:t>
      </w:r>
      <w:fldSimple w:instr=" REF _Ref279590510 \h  \* MERGEFORMAT ">
        <w:r w:rsidR="00660338" w:rsidRPr="00660338">
          <w:t>13. táblázat</w:t>
        </w:r>
      </w:fldSimple>
      <w:r w:rsidRPr="00660338">
        <w:t>ban bemutatott célpro</w:t>
      </w:r>
      <w:r w:rsidRPr="00660338">
        <w:t>g</w:t>
      </w:r>
      <w:r w:rsidRPr="00660338">
        <w:t>ramok közül a 1</w:t>
      </w:r>
      <w:proofErr w:type="gramStart"/>
      <w:r w:rsidRPr="00660338">
        <w:t>.,</w:t>
      </w:r>
      <w:proofErr w:type="gramEnd"/>
      <w:r w:rsidRPr="00660338">
        <w:t xml:space="preserve"> 2., 4., 5.B., 6., 7. és 8. célprogramok járultak hozzá.</w:t>
      </w:r>
    </w:p>
    <w:p w:rsidR="00020AFE" w:rsidRPr="004D7230" w:rsidRDefault="00020AFE" w:rsidP="00020AFE">
      <w:pPr>
        <w:jc w:val="both"/>
      </w:pPr>
      <w:r w:rsidRPr="00660338">
        <w:t>Valamennyi célprogram, amely a tájkép megőrzését szolgálja a drasztikus beavatkozások (tarvágás) vissz</w:t>
      </w:r>
      <w:r w:rsidRPr="00660338">
        <w:t>a</w:t>
      </w:r>
      <w:r w:rsidRPr="00660338">
        <w:t>szorításával, vagy annak hatásainak mérséklésével (véghasználat során facsoportok visszahagyása), hozz</w:t>
      </w:r>
      <w:r w:rsidRPr="00660338">
        <w:t>á</w:t>
      </w:r>
      <w:r w:rsidRPr="00660338">
        <w:t>járult a táj és annak jellemzői megőrzéséhez vagy javításához.</w:t>
      </w:r>
    </w:p>
    <w:p w:rsidR="00020AFE" w:rsidRPr="00A7051C" w:rsidRDefault="00020AFE" w:rsidP="00020AFE">
      <w:pPr>
        <w:pStyle w:val="HUNNormal"/>
      </w:pPr>
    </w:p>
    <w:p w:rsidR="00020AFE" w:rsidRDefault="00020AFE" w:rsidP="00020AFE">
      <w:pPr>
        <w:pStyle w:val="StyleHUNHeading3Justified"/>
        <w:ind w:left="504"/>
      </w:pPr>
      <w:r w:rsidRPr="00A7051C">
        <w:t>Az erdő-környezetvédelmi kifizetések milyen mértékben járultak hozzá a környezet javításához? (225. intézkedés)</w:t>
      </w:r>
    </w:p>
    <w:p w:rsidR="00020AFE" w:rsidRPr="00660338" w:rsidRDefault="00020AFE" w:rsidP="00020AFE">
      <w:pPr>
        <w:jc w:val="both"/>
      </w:pPr>
      <w:r w:rsidRPr="00660338">
        <w:t xml:space="preserve">Az erdő-környezetvédelmi intézkedésekhez csatlakozó kifizetések 9 (11) célprogramon keresztül fejtették ki hatásukat. A környezet javításához a </w:t>
      </w:r>
      <w:fldSimple w:instr=" REF _Ref279590510 \h  \* MERGEFORMAT ">
        <w:r w:rsidR="00660338" w:rsidRPr="00660338">
          <w:t>13. táblázat</w:t>
        </w:r>
      </w:fldSimple>
      <w:r w:rsidRPr="00660338">
        <w:t>ban bemutatott célprogramok járultak hozzá.</w:t>
      </w:r>
    </w:p>
    <w:p w:rsidR="00020AFE" w:rsidRPr="001270C0" w:rsidRDefault="00020AFE" w:rsidP="00020AFE">
      <w:pPr>
        <w:jc w:val="both"/>
      </w:pPr>
      <w:r w:rsidRPr="00660338">
        <w:t>Az intézkedés céljaiból fakadóan valamennyi célprogram a környezet javítását szolgálta az erdei ökosziszt</w:t>
      </w:r>
      <w:r w:rsidRPr="00660338">
        <w:t>é</w:t>
      </w:r>
      <w:r w:rsidRPr="00660338">
        <w:t>mák gazdagabbá tételén keresztül.</w:t>
      </w:r>
    </w:p>
    <w:p w:rsidR="00020AFE" w:rsidRDefault="00020AFE" w:rsidP="00020AFE">
      <w:pPr>
        <w:pStyle w:val="StyleHUNHeading3Justified"/>
        <w:ind w:left="504"/>
      </w:pPr>
      <w:r w:rsidRPr="00A7051C">
        <w:lastRenderedPageBreak/>
        <w:t>A támogatott intézkedések milyen mértékben járultak hozzá a károsított erdőkben az erdészeti potenciál helyreállításához? (226. intézkedés)</w:t>
      </w:r>
    </w:p>
    <w:p w:rsidR="00020AFE" w:rsidRDefault="00020AFE" w:rsidP="00020AFE">
      <w:pPr>
        <w:jc w:val="both"/>
      </w:pPr>
      <w:r>
        <w:t>Az IIER adatai alapján megállapítható, hogy az intézkedés során 2008-ban 2375,20 hektár területre ítéltek meg támogatást. A 2009-es esztendőre egyelőre megítélt támogatással nem rendelkezünk, így elmondható, hogy potenciálisan (a benyújtott kérelmek alapján) 800,08 hektár területtel bővül a támogatott erdőterül</w:t>
      </w:r>
      <w:r>
        <w:t>e</w:t>
      </w:r>
      <w:r>
        <w:t>tek száma.</w:t>
      </w:r>
    </w:p>
    <w:p w:rsidR="00020AFE" w:rsidRPr="00A7051C" w:rsidRDefault="00020AFE" w:rsidP="00020AFE">
      <w:pPr>
        <w:jc w:val="both"/>
      </w:pPr>
    </w:p>
    <w:p w:rsidR="00020AFE" w:rsidRDefault="00020AFE" w:rsidP="00020AFE">
      <w:pPr>
        <w:pStyle w:val="StyleHUNHeading3Justified"/>
        <w:ind w:left="504"/>
      </w:pPr>
      <w:r w:rsidRPr="00A7051C">
        <w:t>A bevezetett megelőző intézkedések milyen mértékben járultak hozzá az erdők megőrzéséhez? (226. intézkedés)</w:t>
      </w:r>
    </w:p>
    <w:p w:rsidR="00020AFE" w:rsidRDefault="00020AFE" w:rsidP="00020AFE">
      <w:pPr>
        <w:jc w:val="both"/>
      </w:pPr>
      <w:r w:rsidRPr="00995D84">
        <w:t>Az Új Magyarország Vidékfejlesztési Programban meghatározott célokkal szemben az értékelés készítéséig megjelent támogatási rendelet nem tartalmazza a megelőző intézkedések (tűzpászta, erdőtűzvédelmi mon</w:t>
      </w:r>
      <w:r w:rsidRPr="00995D84">
        <w:t>i</w:t>
      </w:r>
      <w:r>
        <w:t>toring rendszer</w:t>
      </w:r>
      <w:r w:rsidRPr="00995D84">
        <w:t xml:space="preserve"> stb.) támogatását, kizárólag a bekövetkezett károk felszámolására fókuszál. Ennek megfel</w:t>
      </w:r>
      <w:r w:rsidRPr="00995D84">
        <w:t>e</w:t>
      </w:r>
      <w:r w:rsidRPr="00995D84">
        <w:t>lően megelőző intézkedések bevezetésére nem kerülhetett sor.</w:t>
      </w:r>
    </w:p>
    <w:p w:rsidR="00020AFE" w:rsidRPr="00A7051C" w:rsidRDefault="00020AFE" w:rsidP="00020AFE">
      <w:pPr>
        <w:jc w:val="both"/>
      </w:pPr>
    </w:p>
    <w:p w:rsidR="00020AFE" w:rsidRDefault="00020AFE" w:rsidP="00020AFE">
      <w:pPr>
        <w:pStyle w:val="StyleHUNHeading3Justified"/>
        <w:ind w:left="504"/>
      </w:pPr>
      <w:r w:rsidRPr="00A7051C">
        <w:t>A támogatott intézkedések milyen mértékben járultak hozzá az erdészeti területek fenntartható gazdálkodásának növeléséhez? (226. intézkedés)</w:t>
      </w:r>
    </w:p>
    <w:p w:rsidR="00020AFE" w:rsidRDefault="00020AFE" w:rsidP="00020AFE">
      <w:pPr>
        <w:jc w:val="both"/>
      </w:pPr>
      <w:r>
        <w:t>Az IIER adatai alapján megállapítható, hogy az intézkedés során 2008-ban 2375,20 hektár területre ítéltek meg támogatást. A 2009-es esztendőre egyelőre megítélt támogatással nem rendelkezünk, így elmondható, hogy potenciálisan (a benyújtott kérelmek alapján) 800,08 hektár területtel bővül a támogatott erdőterül</w:t>
      </w:r>
      <w:r>
        <w:t>e</w:t>
      </w:r>
      <w:r>
        <w:t>tek száma.</w:t>
      </w:r>
    </w:p>
    <w:p w:rsidR="00020AFE" w:rsidRPr="00A7051C" w:rsidRDefault="00020AFE" w:rsidP="00020AFE">
      <w:pPr>
        <w:jc w:val="both"/>
      </w:pPr>
    </w:p>
    <w:p w:rsidR="00020AFE" w:rsidRDefault="00020AFE" w:rsidP="00020AFE">
      <w:pPr>
        <w:pStyle w:val="StyleHUNHeading3Justified"/>
        <w:ind w:left="504"/>
      </w:pPr>
      <w:r w:rsidRPr="00A7051C">
        <w:t>A támogatott intézkedések milyen mértékben járultak hozzá a környezet javítás</w:t>
      </w:r>
      <w:r w:rsidRPr="00A7051C">
        <w:t>á</w:t>
      </w:r>
      <w:r w:rsidRPr="00A7051C">
        <w:t>hoz? (226. intézkedés)</w:t>
      </w:r>
    </w:p>
    <w:p w:rsidR="00020AFE" w:rsidRDefault="00020AFE" w:rsidP="00020AFE">
      <w:pPr>
        <w:jc w:val="both"/>
      </w:pPr>
      <w:r>
        <w:t>Az IIER adatai alapján megállapítható, hogy az intézkedés során 2008-ban 2375,20 hektár területre ítéltek meg támogatást. A 2009-es esztendőre egyelőre megítélt támogatással nem rendelkezünk, így elmondható, hogy potenciálisan (a benyújtott kérelmek alapján) 800,08 hektár területtel bővül a támogatott erdőterül</w:t>
      </w:r>
      <w:r>
        <w:t>e</w:t>
      </w:r>
      <w:r>
        <w:t>tek száma.</w:t>
      </w:r>
    </w:p>
    <w:p w:rsidR="00020AFE" w:rsidRPr="00A7051C" w:rsidRDefault="00020AFE" w:rsidP="00020AFE">
      <w:pPr>
        <w:jc w:val="both"/>
      </w:pPr>
    </w:p>
    <w:p w:rsidR="00020AFE" w:rsidRDefault="00020AFE" w:rsidP="00020AFE">
      <w:pPr>
        <w:pStyle w:val="StyleHUNHeading3Justified"/>
        <w:ind w:left="504"/>
      </w:pPr>
      <w:r w:rsidRPr="00A7051C">
        <w:t>A támogatott beruházások milyen mértékben járultak hozzá a fenntartható erd</w:t>
      </w:r>
      <w:r w:rsidRPr="00A7051C">
        <w:t>é</w:t>
      </w:r>
      <w:r w:rsidRPr="00A7051C">
        <w:t>szeti rendszerek megőrzéséhez vagy elősegítéséhez? (227. intézkedés)</w:t>
      </w:r>
    </w:p>
    <w:p w:rsidR="00020AFE" w:rsidRDefault="00020AFE" w:rsidP="00020AFE">
      <w:pPr>
        <w:jc w:val="both"/>
      </w:pPr>
      <w:r w:rsidRPr="0064567D">
        <w:t>A</w:t>
      </w:r>
      <w:r>
        <w:t>z</w:t>
      </w:r>
      <w:r w:rsidRPr="0064567D">
        <w:t xml:space="preserve"> </w:t>
      </w:r>
      <w:r>
        <w:t>intézkedés</w:t>
      </w:r>
      <w:r w:rsidRPr="0064567D">
        <w:t xml:space="preserve"> célja</w:t>
      </w:r>
      <w:r>
        <w:t xml:space="preserve"> (részcélja)</w:t>
      </w:r>
      <w:r w:rsidRPr="0064567D">
        <w:t xml:space="preserve"> az erdők természetességének, biológiai sokféleségének, egészségi állapot</w:t>
      </w:r>
      <w:r w:rsidRPr="0064567D">
        <w:t>á</w:t>
      </w:r>
      <w:r w:rsidRPr="0064567D">
        <w:t>nak javításához kapcsolódó nem termelő beruházások támogatása a leromlott szerkezetű, vagy idegenh</w:t>
      </w:r>
      <w:r w:rsidRPr="0064567D">
        <w:t>o</w:t>
      </w:r>
      <w:r w:rsidRPr="0064567D">
        <w:t>nos fafajokból álló erdőtársulások tájhonos, adott termőhelynek megfelelő természetes erdőtársulásokká történő átalakítása, a megfelelő szintű elegyesség, illetve több szintes állományszerkezet kialakítása révén.</w:t>
      </w:r>
    </w:p>
    <w:p w:rsidR="00020AFE" w:rsidRPr="0064567D" w:rsidRDefault="00020AFE" w:rsidP="00020AFE">
      <w:pPr>
        <w:jc w:val="both"/>
      </w:pPr>
      <w:r>
        <w:t>A benyújtott támogatási kérelmek a fenti cél megvalósítását szolgálták, összesen mintegy 3126,73 hektár területen.</w:t>
      </w:r>
    </w:p>
    <w:p w:rsidR="00020AFE" w:rsidRDefault="00020AFE" w:rsidP="00020AFE">
      <w:pPr>
        <w:pStyle w:val="StyleHUNHeading3Justified"/>
        <w:ind w:left="504"/>
      </w:pPr>
      <w:r w:rsidRPr="00A7051C">
        <w:lastRenderedPageBreak/>
        <w:t>A támogatott beruházások milyen mértékben járultak hozzá az erdőterületek kö</w:t>
      </w:r>
      <w:r w:rsidRPr="00A7051C">
        <w:t>z</w:t>
      </w:r>
      <w:r w:rsidRPr="00A7051C">
        <w:t>jóléti értékének növeléséhez? (227. intézkedés)</w:t>
      </w:r>
    </w:p>
    <w:p w:rsidR="00020AFE" w:rsidRPr="00995D84" w:rsidRDefault="00020AFE" w:rsidP="00020AFE">
      <w:pPr>
        <w:jc w:val="both"/>
      </w:pPr>
      <w:r w:rsidRPr="00995D84">
        <w:t>Az Új Magyarország Vidékfejlesztési Programban meghatározott célokkal szemben az értékelés készítéséig megjelent támogatási rendelet nem tartalmazza a közjóléti beruházások támogatását, kizárólag a szerk</w:t>
      </w:r>
      <w:r w:rsidRPr="00995D84">
        <w:t>e</w:t>
      </w:r>
      <w:r w:rsidRPr="00995D84">
        <w:t>zetátalakítás támogatására fókuszál. Ennek megfelelően közjóléti célú intézkedések bevezetésére nem k</w:t>
      </w:r>
      <w:r w:rsidRPr="00995D84">
        <w:t>e</w:t>
      </w:r>
      <w:r w:rsidRPr="00995D84">
        <w:t>rülhetett sor.</w:t>
      </w:r>
    </w:p>
    <w:p w:rsidR="00020AFE" w:rsidRPr="00A7051C" w:rsidRDefault="00020AFE" w:rsidP="00020AFE">
      <w:pPr>
        <w:jc w:val="both"/>
      </w:pPr>
    </w:p>
    <w:p w:rsidR="00020AFE" w:rsidRDefault="00020AFE" w:rsidP="00020AFE">
      <w:pPr>
        <w:pStyle w:val="StyleHUNHeading3Justified"/>
        <w:ind w:left="504"/>
      </w:pPr>
      <w:r w:rsidRPr="00A7051C">
        <w:t>A támogatott intézkedések milyen mértékben járultak hozzá a környezet javítás</w:t>
      </w:r>
      <w:r w:rsidRPr="00A7051C">
        <w:t>á</w:t>
      </w:r>
      <w:r w:rsidRPr="00A7051C">
        <w:t>hoz és a vidék megőrzéséhez? (227. intézkedés)</w:t>
      </w:r>
    </w:p>
    <w:p w:rsidR="00020AFE" w:rsidRDefault="00020AFE" w:rsidP="00020AFE">
      <w:pPr>
        <w:jc w:val="both"/>
      </w:pPr>
      <w:r w:rsidRPr="0064567D">
        <w:t>A</w:t>
      </w:r>
      <w:r>
        <w:t>z</w:t>
      </w:r>
      <w:r w:rsidRPr="0064567D">
        <w:t xml:space="preserve"> </w:t>
      </w:r>
      <w:r>
        <w:t>intézkedés</w:t>
      </w:r>
      <w:r w:rsidRPr="0064567D">
        <w:t xml:space="preserve"> célja</w:t>
      </w:r>
      <w:r>
        <w:t xml:space="preserve"> (részcélja)</w:t>
      </w:r>
      <w:r w:rsidRPr="0064567D">
        <w:t xml:space="preserve"> az erdők természetességének, biológiai sokféleségének, egészségi állapot</w:t>
      </w:r>
      <w:r w:rsidRPr="0064567D">
        <w:t>á</w:t>
      </w:r>
      <w:r w:rsidRPr="0064567D">
        <w:t>nak javításához kapcsolódó nem termelő beruházások támogatása a leromlott szerkezetű, vagy idegenh</w:t>
      </w:r>
      <w:r w:rsidRPr="0064567D">
        <w:t>o</w:t>
      </w:r>
      <w:r w:rsidRPr="0064567D">
        <w:t>nos fafajokból álló erdőtársulások tájhonos, adott termőhelynek megfelelő természetes erdőtársulásokká történő átalakítása, a megfelelő szintű elegyesség, illetve több szintes állományszerkezet kialakítása révén.</w:t>
      </w:r>
    </w:p>
    <w:p w:rsidR="00020AFE" w:rsidRPr="0064567D" w:rsidRDefault="00020AFE" w:rsidP="00020AFE">
      <w:pPr>
        <w:jc w:val="both"/>
      </w:pPr>
      <w:r>
        <w:t>A benyújtott támogatási kérelmek a fenti cél megvalósítását szolgálták, összesen mintegy 3126,73 hektár területen.</w:t>
      </w:r>
    </w:p>
    <w:p w:rsidR="00020AFE" w:rsidRPr="00995D84" w:rsidRDefault="00020AFE" w:rsidP="00020AFE">
      <w:pPr>
        <w:jc w:val="both"/>
      </w:pPr>
    </w:p>
    <w:p w:rsidR="00020AFE" w:rsidRDefault="00020AFE" w:rsidP="00020AFE">
      <w:pPr>
        <w:pStyle w:val="StyleHUNHeading2Justified"/>
      </w:pPr>
      <w:r>
        <w:br w:type="page"/>
      </w:r>
      <w:bookmarkStart w:id="41" w:name="_Toc279592176"/>
      <w:bookmarkStart w:id="42" w:name="_Toc280788358"/>
      <w:r>
        <w:lastRenderedPageBreak/>
        <w:t>Helyi közösségekre vonatkozó kérdések (</w:t>
      </w:r>
      <w:r w:rsidR="004E4D93">
        <w:t>III</w:t>
      </w:r>
      <w:r>
        <w:t>. tengely)</w:t>
      </w:r>
      <w:bookmarkEnd w:id="41"/>
      <w:bookmarkEnd w:id="42"/>
    </w:p>
    <w:p w:rsidR="00020AFE" w:rsidRDefault="00020AFE" w:rsidP="00020AFE">
      <w:pPr>
        <w:pStyle w:val="StyleHUNHeading3Justified"/>
        <w:ind w:left="504"/>
      </w:pPr>
      <w:r w:rsidRPr="005319D5">
        <w:t>A támogatott beruházások milyen mértékben segítették elő a mezőgazdasági há</w:t>
      </w:r>
      <w:r w:rsidRPr="005319D5">
        <w:t>z</w:t>
      </w:r>
      <w:r w:rsidRPr="005319D5">
        <w:t>tartások tevékenységének nem mezőgazdasági tevékenységgé történő diverzifikál</w:t>
      </w:r>
      <w:r w:rsidRPr="005319D5">
        <w:t>á</w:t>
      </w:r>
      <w:r w:rsidRPr="005319D5">
        <w:t>sát? (311. intézkedés)</w:t>
      </w:r>
    </w:p>
    <w:p w:rsidR="00020AFE" w:rsidRDefault="00020AFE" w:rsidP="00020AFE">
      <w:pPr>
        <w:pStyle w:val="HUNNormal"/>
      </w:pPr>
      <w:r>
        <w:t>Az intézkedés megvalósítására a vizsgált időszakban nem került sor.</w:t>
      </w:r>
    </w:p>
    <w:p w:rsidR="00020AFE" w:rsidRDefault="00020AFE" w:rsidP="00020AFE">
      <w:pPr>
        <w:pStyle w:val="StyleHUNHeading3Justified"/>
        <w:ind w:left="504"/>
      </w:pPr>
      <w:r w:rsidRPr="005319D5">
        <w:t>A támogatott beruházások milyen mértékben segítették elő a mezőgazdasági há</w:t>
      </w:r>
      <w:r w:rsidRPr="005319D5">
        <w:t>z</w:t>
      </w:r>
      <w:r w:rsidRPr="005319D5">
        <w:t>tartások számára a mezőgazdasági ágazaton kívüli foglalkoztatási lehetőségeket? (311. intézkedés)</w:t>
      </w:r>
    </w:p>
    <w:p w:rsidR="00020AFE" w:rsidRDefault="00020AFE" w:rsidP="00020AFE">
      <w:pPr>
        <w:pStyle w:val="HUNNormal"/>
      </w:pPr>
      <w:r>
        <w:t>Az intézkedés megvalósítására a vizsgált időszakban nem került sor.</w:t>
      </w:r>
    </w:p>
    <w:p w:rsidR="00020AFE" w:rsidRDefault="00020AFE" w:rsidP="00020AFE">
      <w:pPr>
        <w:pStyle w:val="StyleHUNHeading3Justified"/>
        <w:ind w:left="504"/>
      </w:pPr>
      <w:r w:rsidRPr="005319D5">
        <w:t>A támogatott beruházások milyen mértékben járultak hozzá a diverzifikálás javít</w:t>
      </w:r>
      <w:r w:rsidRPr="005319D5">
        <w:t>á</w:t>
      </w:r>
      <w:r w:rsidRPr="005319D5">
        <w:t>sához és a vidéki gazdaság fejlődéséhez? (311. intézkedés)</w:t>
      </w:r>
    </w:p>
    <w:p w:rsidR="00020AFE" w:rsidRPr="005319D5" w:rsidRDefault="00020AFE" w:rsidP="00020AFE">
      <w:pPr>
        <w:pStyle w:val="HUNNormal"/>
      </w:pPr>
      <w:r>
        <w:t>Az intézkedés megvalósítására a vizsgált időszakban nem került sor.</w:t>
      </w:r>
    </w:p>
    <w:p w:rsidR="00020AFE" w:rsidRDefault="00020AFE" w:rsidP="00020AFE">
      <w:pPr>
        <w:pStyle w:val="StyleHUNHeading3Justified"/>
        <w:ind w:left="504"/>
      </w:pPr>
      <w:r w:rsidRPr="005319D5">
        <w:t>A támogatott beruházások milyen mértékben járultak hozzá a vidéki területeken az életminőség javításához? (311. intézkedés)</w:t>
      </w:r>
    </w:p>
    <w:p w:rsidR="00020AFE" w:rsidRPr="005319D5" w:rsidRDefault="00020AFE" w:rsidP="00020AFE">
      <w:pPr>
        <w:pStyle w:val="HUNNormal"/>
      </w:pPr>
      <w:r>
        <w:t>Az intézkedés megvalósítására a vizsgált időszakban nem került sor.</w:t>
      </w:r>
    </w:p>
    <w:p w:rsidR="00020AFE" w:rsidRDefault="00020AFE" w:rsidP="00020AFE">
      <w:pPr>
        <w:pStyle w:val="StyleHUNHeading3Justified"/>
        <w:ind w:left="504"/>
      </w:pPr>
      <w:r w:rsidRPr="005319D5">
        <w:t>A támogatás milyen mértékben járult hozzá a diverzifikálás és a vállalkozói kedv ösztönzéséhez? Az elemzést a legfontosabb tevékenységekre összpontosítsa. (312. i</w:t>
      </w:r>
      <w:r w:rsidRPr="005319D5">
        <w:t>n</w:t>
      </w:r>
      <w:r w:rsidRPr="005319D5">
        <w:t>tézkedés)</w:t>
      </w:r>
    </w:p>
    <w:p w:rsidR="00020AFE" w:rsidRDefault="00020AFE" w:rsidP="00020AFE">
      <w:pPr>
        <w:pStyle w:val="HUNNormal"/>
      </w:pPr>
      <w:r>
        <w:t>A regisztrációs adatok, a monitoring adatok, valamint a kérdőíves felmérés is azt támasztja alá, hogy az i</w:t>
      </w:r>
      <w:r>
        <w:t>n</w:t>
      </w:r>
      <w:r>
        <w:t>tézkedésnek köszönhetően nagy számban jöttek létre új mikro vállalkozások. A 933 jóváhagyott támogatási kérelemből 227 induló vállalkozáshoz fűződik. Az induló vállalkozások relatíve magas száma különösen a</w:t>
      </w:r>
      <w:r>
        <w:t>n</w:t>
      </w:r>
      <w:r>
        <w:t>nak fényében értékelendő, hogy ez a gazdasági válság mélypontjára esett, amikor minden korábbinál több vállalkozás szűnt meg. A gazdasági válság következtében megugró munkanélküliség (munkanélküli ráta 7%-ról 10%-ra emelkedett) ösztönzőleg hatott az önálló vállalkozás beindítására, ám kérdéses, hogy az effajta kényszervállalkozások miként tudnak helytállni a piaci versengésben, amikor tapasztalt vállalkozók hagynak fel a működéssel. A vállalkozói kedv ösztönzésében jelentős szerepet vállaltak fel az intézkedés megvalós</w:t>
      </w:r>
      <w:r>
        <w:t>í</w:t>
      </w:r>
      <w:r>
        <w:t>tásába bekapcsolódó LEADER helyi akciócsoportok, amelynek tagjai, munkatársai személyes kapcsolatok mentén is erőteljes tájékoztató, meggyőző munkát folytattak, munkájuk nélkül jóval alacsonyabb lett volna az induló vállalkozások száma.</w:t>
      </w:r>
    </w:p>
    <w:p w:rsidR="00020AFE" w:rsidRDefault="00020AFE" w:rsidP="00020AFE">
      <w:pPr>
        <w:pStyle w:val="HUNNormal"/>
      </w:pPr>
      <w:r>
        <w:t>Diverzifikációra vonatkozóan csupán a kérdőíves felmérés eredményeire hagyatkozhatunk, hiszen a többi adatforrás erre vonatkozóan adatokat nem tartalmaz. A kérdőívet a támogatottak 13 százaléka töltötte ki, amely alapján azt mondhatjuk, hogy a diverzifikáció nem jellemző, a 122 értékelhető választ adó 26 száz</w:t>
      </w:r>
      <w:r>
        <w:t>a</w:t>
      </w:r>
      <w:r>
        <w:t>léka mondta azt, hogy a támogatott tevékenység számára új, ilyen tapasztalatokkal nem rendelkezik. Az új tevékenységbe fogó vállalkozások (32 db) közt döntő többséget alkotnak az induló vállalkozások (22 db), a már működési tapasztalattal bíró vállalkozások alig 10 százaléka döntött a tevékenység diverzifikálása me</w:t>
      </w:r>
      <w:r>
        <w:t>l</w:t>
      </w:r>
      <w:r>
        <w:t xml:space="preserve">lett, köreikben sokkal inkább a már meglévő tevékenység erősítése, fejlesztése a jellemző. Elgondolkodtató, hogy az induló vállalkozások közül csupán egyetlen egy mondta magáról, hogy a támogatott tevékenységben </w:t>
      </w:r>
      <w:r>
        <w:lastRenderedPageBreak/>
        <w:t>már rendelkezik munkatapasztalattal, a támogatott induló vállalkozások 95 százalékáról ez nem mondható el. Egy 13 százalékos mintából, ilyen alacsony esetszám (122) mellett messzemenő következtetéseket l</w:t>
      </w:r>
      <w:r>
        <w:t>e</w:t>
      </w:r>
      <w:r>
        <w:t>vonni nem szabad, a kapott eredmények azonban arra mutatnak, hogy az induló vállalkozások tapasztalat nélkül vágnak bele a gazdálkodásba, ami valószínűsíti az átlagnál magasabb megszűnésüket.</w:t>
      </w:r>
    </w:p>
    <w:p w:rsidR="00020AFE" w:rsidRPr="005319D5" w:rsidRDefault="00020AFE" w:rsidP="00020AFE">
      <w:pPr>
        <w:pStyle w:val="HUNNormal"/>
      </w:pPr>
    </w:p>
    <w:p w:rsidR="00020AFE" w:rsidRDefault="00020AFE" w:rsidP="00020AFE">
      <w:pPr>
        <w:pStyle w:val="StyleHUNHeading3Justified"/>
        <w:ind w:left="504"/>
      </w:pPr>
      <w:r w:rsidRPr="005319D5">
        <w:t>A támogatás milyen mértékben segítette elő a vidéki területeken a pótlólagos fo</w:t>
      </w:r>
      <w:r w:rsidRPr="005319D5">
        <w:t>g</w:t>
      </w:r>
      <w:r w:rsidRPr="005319D5">
        <w:t>lalkoztatási lehetőségeket? (312. intézkedés)</w:t>
      </w:r>
    </w:p>
    <w:p w:rsidR="00020AFE" w:rsidRDefault="00020AFE" w:rsidP="00020AFE">
      <w:pPr>
        <w:pStyle w:val="HUNNormal"/>
      </w:pPr>
      <w:r>
        <w:t xml:space="preserve">Az intézkedés megvalósításának jelenlegi szintje mellett – 50 db lezárt fejlesztés– a kérdés érdemben nem vizsgálható. A helyi akciócsoportoknál lefolytatott terepkutatás, a kérdőíves adatfelvétel eredményei alapján azonban tehetünk megállapításokat a várható eredményekre. Az érintettek – MVH, IH jogcímfelelősök, HACS tagjai, támogatott kérelmezők– egybehangzó véleménye szerint </w:t>
      </w:r>
      <w:proofErr w:type="spellStart"/>
      <w:r>
        <w:t>szinergikus</w:t>
      </w:r>
      <w:proofErr w:type="spellEnd"/>
      <w:r>
        <w:t xml:space="preserve"> hatások a megvalósítással rendkívül korlátozottan ébrednek. A kérdőívet kitöltők 95,8 százaléka azt jelezte, hogy fejlesztése egyetlen más fejlesztéshez sem kapcsolódik. Különösen fontos, hogy ilyesfajta kapcsolódások a turizmus-épített örökség védelme kapcsán sem jelentkeznek, pedig ezen a téren vannak–illetve lehetnek– természetes ka</w:t>
      </w:r>
      <w:r>
        <w:t>p</w:t>
      </w:r>
      <w:r>
        <w:t>csolódási pontok. Hozzá kell tenni, hogy az ügyfelek sok esetben nem tudnak egymás tervezett fejlesztése</w:t>
      </w:r>
      <w:r>
        <w:t>i</w:t>
      </w:r>
      <w:r>
        <w:t xml:space="preserve">ről, csak azok megvalósítása után, a fenntartási szakaszban alakulnak ki ezek a </w:t>
      </w:r>
      <w:proofErr w:type="spellStart"/>
      <w:r>
        <w:t>szinergikus</w:t>
      </w:r>
      <w:proofErr w:type="spellEnd"/>
      <w:r>
        <w:t xml:space="preserve">, foglalkoztatást bővítő hatások. Mivel jelenleg a támogatott projektek döntő része még a megvalósítási fázisban van, </w:t>
      </w:r>
      <w:proofErr w:type="gramStart"/>
      <w:r>
        <w:t>ezen</w:t>
      </w:r>
      <w:proofErr w:type="gramEnd"/>
      <w:r>
        <w:t xml:space="preserve"> jövőbeli esetleges kapcsolódások sikeressége és hatása a foglalkoztatás bővülésére nem megítélhető.</w:t>
      </w:r>
    </w:p>
    <w:p w:rsidR="00020AFE" w:rsidRDefault="00020AFE" w:rsidP="00020AFE">
      <w:pPr>
        <w:pStyle w:val="HUNNormal"/>
      </w:pPr>
      <w:r>
        <w:t>Figyelemre méltó ugyanakkor, hogy a válaszadók 45,9 százaléka vélte úgy, hogy az uniós támogatásokban részesülő vállalkozások hatására a piaci versenyhelyzet fokozódik és ennek hatására a többi, támogatásban nem részesült vállalkozás helyzete romlik.</w:t>
      </w:r>
    </w:p>
    <w:p w:rsidR="00020AFE" w:rsidRPr="005319D5" w:rsidRDefault="00020AFE" w:rsidP="00020AFE">
      <w:pPr>
        <w:pStyle w:val="HUNNormal"/>
      </w:pPr>
    </w:p>
    <w:p w:rsidR="00020AFE" w:rsidRDefault="00020AFE" w:rsidP="00020AFE">
      <w:pPr>
        <w:pStyle w:val="StyleHUNHeading3Justified"/>
        <w:ind w:left="504"/>
      </w:pPr>
      <w:r w:rsidRPr="005319D5">
        <w:t>A támogatás milyen mértékben járult hozzá a diverzifikálás javításához és a vidéki gazdaság fejlődéséhez? (312. intézkedés)</w:t>
      </w:r>
    </w:p>
    <w:p w:rsidR="00020AFE" w:rsidRDefault="00020AFE" w:rsidP="00020AFE">
      <w:pPr>
        <w:pStyle w:val="HUNNormal"/>
      </w:pPr>
      <w:r>
        <w:t>A támogatott fejlesztések döntő többsége a megvalósítási fázisban tart, csupán 50 fejlesztés zárult le 2010.06.30</w:t>
      </w:r>
      <w:proofErr w:type="gramStart"/>
      <w:r>
        <w:t>.ig</w:t>
      </w:r>
      <w:proofErr w:type="gramEnd"/>
      <w:r>
        <w:t>, így az intézkedés megvalósításának hozzájárulása a gazdasági fejlődéshez érdemben nem vizsgálható. A támogatottak terveit, üzleti elképzeléseit jelzi, hogy a kérdőívet kitöltők (122 fő) a bruttó ho</w:t>
      </w:r>
      <w:r>
        <w:t>z</w:t>
      </w:r>
      <w:r>
        <w:t>záadott érték tekintetében 44 százalékos bővülést terveznek 2013-ig. Ezen tervek megalapozottsága, me</w:t>
      </w:r>
      <w:r>
        <w:t>g</w:t>
      </w:r>
      <w:r>
        <w:t xml:space="preserve">valósulásának valószínűsége megkérdőjelezhető, most mindenesetre jelzi a kedvezményezettek fejlődési várakozását. </w:t>
      </w:r>
    </w:p>
    <w:p w:rsidR="00020AFE" w:rsidRDefault="00020AFE" w:rsidP="00020AFE">
      <w:pPr>
        <w:pStyle w:val="HUNNormal"/>
      </w:pPr>
      <w:r>
        <w:t>A bruttó hozzáadott érték növekedésére a monitoring adatbázis nem tartalmaz adatot, így ez a kérdés ebből a forrásból nem vizsgálható. A</w:t>
      </w:r>
      <w:r w:rsidRPr="00E1075B">
        <w:t>z Európai Mezőgazdasági Vidékfejlesztési Alapból támogatott intézkedések monitoring</w:t>
      </w:r>
      <w:r>
        <w:t xml:space="preserve"> </w:t>
      </w:r>
      <w:r w:rsidRPr="00E1075B">
        <w:t>adatszolgáltatási rendjére vonatkozó 18/2009. (III. 6.) FVM rendelet</w:t>
      </w:r>
      <w:r>
        <w:t xml:space="preserve"> </w:t>
      </w:r>
      <w:proofErr w:type="gramStart"/>
      <w:r>
        <w:t>ezen</w:t>
      </w:r>
      <w:proofErr w:type="gramEnd"/>
      <w:r>
        <w:t xml:space="preserve"> mutatót nem rendeli monitoring adatszolgáltatás körébe.</w:t>
      </w:r>
    </w:p>
    <w:p w:rsidR="00020AFE" w:rsidRPr="005319D5" w:rsidRDefault="00020AFE" w:rsidP="00020AFE">
      <w:pPr>
        <w:pStyle w:val="HUNNormal"/>
      </w:pPr>
    </w:p>
    <w:p w:rsidR="00020AFE" w:rsidRDefault="00020AFE" w:rsidP="00020AFE">
      <w:pPr>
        <w:pStyle w:val="StyleHUNHeading3Justified"/>
        <w:ind w:left="504"/>
      </w:pPr>
      <w:r w:rsidRPr="005319D5">
        <w:t>A támogatás milyen mértékben járult hozzá a vidéki területeken az életminőség j</w:t>
      </w:r>
      <w:r w:rsidRPr="005319D5">
        <w:t>a</w:t>
      </w:r>
      <w:r w:rsidRPr="005319D5">
        <w:t>vításához? (312. intézkedés)</w:t>
      </w:r>
    </w:p>
    <w:p w:rsidR="00020AFE" w:rsidRDefault="00020AFE" w:rsidP="00020AFE">
      <w:pPr>
        <w:pStyle w:val="HUNNormal"/>
      </w:pPr>
      <w:r>
        <w:t xml:space="preserve">Az intézkedés megvalósítása az életminőség emelkedéséhez két területen járul hozzá. Elsődleges hatásnak a munkahelyteremtés tekinthető, amely a monitoring adatok alapján 318 fő számára teremtett megélhetési </w:t>
      </w:r>
      <w:r>
        <w:lastRenderedPageBreak/>
        <w:t>lehetőséget. Hozzá kell tenni, hogy ezek a számok még félrevezetőek, hiszen a projektek döntő része még a megvalósítási szakaszban tart, a fejlesztések révén létrehozott munkahelyekről majd csak ezek fenntartási szakaszba kerülése után lehet beszélni. A jóváhagyott támogatási kérelmet benyújtott 931 ügyfél összesen 1563 fős létszámbővítést tervezett a támogatási kérelem benyújtásakor, ami azért jelentősen meghaladja a monitoring adatok közt szereplő 318 új munkahelyet. A tervezett és ténylegesen megvalósult munkahelyt</w:t>
      </w:r>
      <w:r>
        <w:t>e</w:t>
      </w:r>
      <w:r>
        <w:t>remtés természetesen el fog térni egymástól, a tendenciákat érzékelteti, hogy a kérdőívet kitöltők válaszai alapján egy támogatott fejlesztés 1,01 munkahelyet teremtett, szemben jóváhagyott támogatási kérelme</w:t>
      </w:r>
      <w:r>
        <w:t>k</w:t>
      </w:r>
      <w:r>
        <w:t xml:space="preserve">ben szereplő 1,67-es átlagos foglalkoztatási hatásával. </w:t>
      </w:r>
    </w:p>
    <w:p w:rsidR="00020AFE" w:rsidRDefault="00020AFE" w:rsidP="00020AFE">
      <w:pPr>
        <w:pStyle w:val="HUNNormal"/>
      </w:pPr>
      <w:r>
        <w:t>A külső gazdasági környezetben bekövetkező pozitív irányú változás, a gazdasági fellendülés bekövetkezése várhatóan a támogatott fejlesztések foglalkoztatási hatásait növelni fogja, hiszen a támogatás révén jönnek létre azok foglalkoztatási kapacitások, amelyek révén gyorsan bővíthető lesz a foglalkoztatottak köre.</w:t>
      </w:r>
    </w:p>
    <w:p w:rsidR="00020AFE" w:rsidRDefault="00020AFE" w:rsidP="00020AFE">
      <w:pPr>
        <w:pStyle w:val="HUNNormal"/>
      </w:pPr>
      <w:r>
        <w:t>A támogatás másik fontos életminőség javító szerepe a vidéken élők ellátási helyzetének javulásához ka</w:t>
      </w:r>
      <w:r>
        <w:t>p</w:t>
      </w:r>
      <w:r>
        <w:t>csolódik. A támogatás révén ugyanis megújulnak, bővülnek a kiskereskedelmi egységek (boltok, szakboltok) és új szolgáltatások válnak helyben is elérhetővé (magánszolgáltatások széles köre).</w:t>
      </w:r>
    </w:p>
    <w:p w:rsidR="00020AFE" w:rsidRPr="005319D5" w:rsidRDefault="00020AFE" w:rsidP="00020AFE">
      <w:pPr>
        <w:pStyle w:val="HUNNormal"/>
      </w:pPr>
    </w:p>
    <w:p w:rsidR="00020AFE" w:rsidRDefault="00020AFE" w:rsidP="00020AFE">
      <w:pPr>
        <w:pStyle w:val="StyleHUNHeading3Justified"/>
        <w:ind w:left="504"/>
      </w:pPr>
      <w:r w:rsidRPr="005319D5">
        <w:t>Az intézkedés milyen mértékben járult hozzá a turisztikai tevékenységek növelés</w:t>
      </w:r>
      <w:r w:rsidRPr="005319D5">
        <w:t>é</w:t>
      </w:r>
      <w:r w:rsidRPr="005319D5">
        <w:t>hez? Tegyen különbséget a mezőgazdasági üzemekben végzett tevékenységek és az egyéb tevékenységek között. (313. intézkedés)</w:t>
      </w:r>
    </w:p>
    <w:p w:rsidR="00020AFE" w:rsidRDefault="00020AFE" w:rsidP="00020AFE">
      <w:pPr>
        <w:pStyle w:val="HUNNormal"/>
      </w:pPr>
      <w:r>
        <w:t xml:space="preserve">A turisztikai tevékenységre jelentős számú – 2543 db – pályázat érkezett, </w:t>
      </w:r>
      <w:r w:rsidRPr="00612C04">
        <w:rPr>
          <w:bCs/>
        </w:rPr>
        <w:t>55 901 533</w:t>
      </w:r>
      <w:r>
        <w:rPr>
          <w:bCs/>
        </w:rPr>
        <w:t> </w:t>
      </w:r>
      <w:r w:rsidRPr="00612C04">
        <w:rPr>
          <w:bCs/>
        </w:rPr>
        <w:t>705</w:t>
      </w:r>
      <w:r>
        <w:rPr>
          <w:bCs/>
        </w:rPr>
        <w:t xml:space="preserve"> Ft támogatási igény mellett, melyből </w:t>
      </w:r>
      <w:r>
        <w:rPr>
          <w:bCs/>
          <w:snapToGrid w:val="0"/>
          <w:lang w:bidi="sa-IN"/>
        </w:rPr>
        <w:t>14 247 490 414 Ft igényt hagytak jóvá a vizsgálat befejezésének időpontjáig. Ez a forrás hozzájárul a turisztikai tevékenységek növeléséhez. A még le nem kötött források esetén a források annyiban járulhatnak hozzá</w:t>
      </w:r>
      <w:r>
        <w:t xml:space="preserve"> az </w:t>
      </w:r>
      <w:proofErr w:type="spellStart"/>
      <w:r>
        <w:t>ÚMVP-ben</w:t>
      </w:r>
      <w:proofErr w:type="spellEnd"/>
      <w:r>
        <w:t xml:space="preserve"> megfogalmazott célok megvalósításához, ha nem pontszerű, ko</w:t>
      </w:r>
      <w:r>
        <w:t>n</w:t>
      </w:r>
      <w:r>
        <w:t>centrált, térségi hatást nélkülöző fejlesztéseket támogatnak, hanem szélesebb körű, ám csekélyebb nagys</w:t>
      </w:r>
      <w:r>
        <w:t>á</w:t>
      </w:r>
      <w:r>
        <w:t>gú támogatásokat biztosítanak a fejlesztési célok megvalósítása érdekében.</w:t>
      </w:r>
    </w:p>
    <w:p w:rsidR="00020AFE" w:rsidRDefault="00020AFE" w:rsidP="00020AFE">
      <w:pPr>
        <w:pStyle w:val="HUNNormal"/>
      </w:pPr>
      <w:r>
        <w:t>A támogatás feltétele, volt, hogy a kérelmező kevesebb, mint 50%-os mezőgazdasági árbevétellel rendelke</w:t>
      </w:r>
      <w:r>
        <w:t>z</w:t>
      </w:r>
      <w:r>
        <w:t>zen. Így a mezőgazdasági üzemek érdemben nem kapcsolódhattak be e cél megvalósításába.</w:t>
      </w:r>
    </w:p>
    <w:p w:rsidR="00020AFE" w:rsidRPr="005319D5" w:rsidRDefault="00020AFE" w:rsidP="00020AFE">
      <w:pPr>
        <w:pStyle w:val="HUNNormal"/>
      </w:pPr>
    </w:p>
    <w:p w:rsidR="00020AFE" w:rsidRDefault="00020AFE" w:rsidP="00020AFE">
      <w:pPr>
        <w:pStyle w:val="StyleHUNHeading3Justified"/>
        <w:ind w:left="504"/>
      </w:pPr>
      <w:r w:rsidRPr="005319D5">
        <w:t>Az intézkedés milyen mértékben segítette elő a vidéki területeken a kiegészítő fo</w:t>
      </w:r>
      <w:r w:rsidRPr="005319D5">
        <w:t>g</w:t>
      </w:r>
      <w:r w:rsidRPr="005319D5">
        <w:t>lalkoztatási lehetőségeket? (313. intézkedés)</w:t>
      </w:r>
    </w:p>
    <w:p w:rsidR="00020AFE" w:rsidRDefault="00020AFE" w:rsidP="00020AFE">
      <w:pPr>
        <w:pStyle w:val="HUNNormal"/>
      </w:pPr>
      <w:r>
        <w:t>Az intézkedésre beérkezett kérelmek 38%-át természetes személyek nyújtották be. A természetes személyek a turisztikai tevékenységet – az empirikus vizsgálatok alapján – nem főállású tevékenységként, hanem k</w:t>
      </w:r>
      <w:r>
        <w:t>i</w:t>
      </w:r>
      <w:r>
        <w:t>egészítő foglakoztatás keretében, pontosabban kiegészítő jövedelem szerzés céljából folytatják. Így a pály</w:t>
      </w:r>
      <w:r>
        <w:t>á</w:t>
      </w:r>
      <w:r>
        <w:t>zók legnagyobb csoportja esetén a kiegészítő foglakoztatási hatás egyértelműen kimutatható. A további p</w:t>
      </w:r>
      <w:r>
        <w:t>á</w:t>
      </w:r>
      <w:r>
        <w:t>lyázók esetén a kérdés megválaszolásához az ex-post értékelés idejére állhatnak rendelkezésre értékelhető adatok.</w:t>
      </w:r>
    </w:p>
    <w:p w:rsidR="00020AFE" w:rsidRDefault="00020AFE" w:rsidP="00020AFE">
      <w:pPr>
        <w:pStyle w:val="HUNNormal"/>
      </w:pPr>
    </w:p>
    <w:p w:rsidR="00020AFE" w:rsidRDefault="00020AFE" w:rsidP="00020AFE">
      <w:pPr>
        <w:pStyle w:val="StyleHUNHeading3Justified"/>
        <w:ind w:left="504"/>
      </w:pPr>
      <w:r w:rsidRPr="005319D5">
        <w:lastRenderedPageBreak/>
        <w:t>Az intézkedés milyen mértékben járult hozzá a diverzifikálás javításához és a vidéki gazdaság fejlődéséhez? (313. intézkedés)</w:t>
      </w:r>
    </w:p>
    <w:p w:rsidR="00020AFE" w:rsidRDefault="00020AFE" w:rsidP="00020AFE">
      <w:pPr>
        <w:pStyle w:val="HUNNormal"/>
      </w:pPr>
      <w:r>
        <w:t>A vidéki gazdaság fejlődéséhez való hozzájárulás a vizsgálat időszakában nem mérhető, mivel a beruház</w:t>
      </w:r>
      <w:r>
        <w:t>á</w:t>
      </w:r>
      <w:r>
        <w:t xml:space="preserve">sok többsége folyamatban volt. </w:t>
      </w:r>
    </w:p>
    <w:p w:rsidR="00020AFE" w:rsidRDefault="00020AFE" w:rsidP="00020AFE">
      <w:pPr>
        <w:pStyle w:val="HUNNormal"/>
      </w:pPr>
      <w:r>
        <w:t>A támogatás feltétele, volt, hogy a kérelmező kevesebb, mint 50%-os mezőgazdasági árbevétellel rendelke</w:t>
      </w:r>
      <w:r>
        <w:t>z</w:t>
      </w:r>
      <w:r>
        <w:t>zen. Így a mezőgazdasági üzemek érdemben nem kapcsolódhattak be e cél megvalósításába, a diverzifik</w:t>
      </w:r>
      <w:r>
        <w:t>á</w:t>
      </w:r>
      <w:r>
        <w:t xml:space="preserve">ció így nehezen mérhető. </w:t>
      </w:r>
    </w:p>
    <w:p w:rsidR="00020AFE" w:rsidRDefault="00020AFE" w:rsidP="00020AFE">
      <w:pPr>
        <w:pStyle w:val="HUNNormal"/>
      </w:pPr>
    </w:p>
    <w:p w:rsidR="00020AFE" w:rsidRDefault="00020AFE" w:rsidP="00020AFE">
      <w:pPr>
        <w:pStyle w:val="StyleHUNHeading3Justified"/>
        <w:ind w:left="504"/>
      </w:pPr>
      <w:r w:rsidRPr="005319D5">
        <w:t>Az intézkedés milyen mértékben járult hozzá a vidéki területeken az életminőség javításához? (313. intézkedés)</w:t>
      </w:r>
    </w:p>
    <w:p w:rsidR="00020AFE" w:rsidRDefault="00020AFE" w:rsidP="00020AFE">
      <w:pPr>
        <w:pStyle w:val="HUNNormal"/>
      </w:pPr>
      <w:r>
        <w:t>A jogcímrendeletben meghatározott célterületek alapján, valamint az egyes célterületekre (</w:t>
      </w:r>
      <w:r w:rsidRPr="008941F1">
        <w:rPr>
          <w:i/>
        </w:rPr>
        <w:t xml:space="preserve">alkalmi falusi, </w:t>
      </w:r>
      <w:proofErr w:type="spellStart"/>
      <w:r w:rsidRPr="008941F1">
        <w:rPr>
          <w:i/>
        </w:rPr>
        <w:t>agroturisztikai</w:t>
      </w:r>
      <w:proofErr w:type="spellEnd"/>
      <w:r w:rsidRPr="008941F1">
        <w:rPr>
          <w:i/>
        </w:rPr>
        <w:t xml:space="preserve"> szolgáltatások, falusi szálláshelyfejlesztés, erdei turisztikai szolgáltatások</w:t>
      </w:r>
      <w:proofErr w:type="gramStart"/>
      <w:r w:rsidRPr="008941F1">
        <w:rPr>
          <w:i/>
        </w:rPr>
        <w:t>;  gyermek</w:t>
      </w:r>
      <w:proofErr w:type="gramEnd"/>
      <w:r w:rsidRPr="008941F1">
        <w:rPr>
          <w:i/>
        </w:rPr>
        <w:t xml:space="preserve"> és ifj</w:t>
      </w:r>
      <w:r w:rsidRPr="008941F1">
        <w:rPr>
          <w:i/>
        </w:rPr>
        <w:t>ú</w:t>
      </w:r>
      <w:r w:rsidRPr="008941F1">
        <w:rPr>
          <w:i/>
        </w:rPr>
        <w:t>sági turisztikai szálláshely, borturisztikai szolgáltatások, vadászati turisztikai szolgáltatások, vízi turisztikai szolgáltatások</w:t>
      </w:r>
      <w:r>
        <w:t>) benyújtott és támogatott kérelmek alapján megállapítható:</w:t>
      </w:r>
    </w:p>
    <w:p w:rsidR="00020AFE" w:rsidRDefault="00020AFE" w:rsidP="00D5521F">
      <w:pPr>
        <w:pStyle w:val="HUNNormal"/>
        <w:numPr>
          <w:ilvl w:val="0"/>
          <w:numId w:val="43"/>
        </w:numPr>
      </w:pPr>
      <w:r>
        <w:t xml:space="preserve">az intézkedés jelentős mértékben hozzájárul az életminőség mind infrastrukturális értelemben vett javításához, mind pedig a humánszolgáltatások </w:t>
      </w:r>
      <w:proofErr w:type="spellStart"/>
      <w:r>
        <w:t>minőségibb</w:t>
      </w:r>
      <w:proofErr w:type="spellEnd"/>
      <w:r>
        <w:t>, szélesebb kör számára biztosítható elérhetőségéhez.</w:t>
      </w:r>
    </w:p>
    <w:p w:rsidR="00020AFE" w:rsidRDefault="00020AFE" w:rsidP="00020AFE">
      <w:pPr>
        <w:pStyle w:val="HUNNormal"/>
      </w:pPr>
      <w:r>
        <w:t>További következtetések levonása az ex-post értékelés időszakára kimutatható hatások és rendelkezésre álló adatok alapján lehetséges.</w:t>
      </w:r>
    </w:p>
    <w:p w:rsidR="00020AFE" w:rsidRDefault="00020AFE" w:rsidP="00020AFE">
      <w:pPr>
        <w:pStyle w:val="HUNNormal"/>
      </w:pPr>
    </w:p>
    <w:p w:rsidR="00020AFE" w:rsidRDefault="00020AFE" w:rsidP="00020AFE">
      <w:pPr>
        <w:pStyle w:val="StyleHUNHeading3Justified"/>
        <w:ind w:left="504"/>
      </w:pPr>
      <w:r w:rsidRPr="005319D5">
        <w:t>A nyújtott szolgáltatások milyen mértékben járultak hozzá a vidéki területeken az életminőség javításához? Tegyen különbséget a különböző érintett ágazatok között (mint például kereskedelem, egészségügyi szolgáltatások, közlekedés, informatika). (321. intézkedés)</w:t>
      </w:r>
    </w:p>
    <w:p w:rsidR="00020AFE" w:rsidRDefault="00020AFE" w:rsidP="00020AFE">
      <w:pPr>
        <w:jc w:val="both"/>
      </w:pPr>
      <w:r w:rsidRPr="002961A9">
        <w:t xml:space="preserve">Az </w:t>
      </w:r>
      <w:r w:rsidRPr="004D6063">
        <w:rPr>
          <w:b/>
        </w:rPr>
        <w:t>IKSZT</w:t>
      </w:r>
      <w:r>
        <w:t xml:space="preserve"> </w:t>
      </w:r>
      <w:proofErr w:type="spellStart"/>
      <w:r w:rsidRPr="002961A9">
        <w:t>alintézkedés</w:t>
      </w:r>
      <w:proofErr w:type="spellEnd"/>
      <w:r w:rsidRPr="002961A9">
        <w:t xml:space="preserve"> </w:t>
      </w:r>
      <w:r>
        <w:t>hatásai</w:t>
      </w:r>
      <w:r w:rsidRPr="002961A9">
        <w:t xml:space="preserve"> csak becsülhető</w:t>
      </w:r>
      <w:r>
        <w:t>k</w:t>
      </w:r>
      <w:r w:rsidRPr="002961A9">
        <w:t xml:space="preserve"> tekintettel arra, hogy 2010. június 30-ig </w:t>
      </w:r>
      <w:r>
        <w:t>egyetlen kifizetés sem történt. A</w:t>
      </w:r>
      <w:r w:rsidRPr="002961A9">
        <w:t xml:space="preserve"> kötelezően előírt szolgáltatások</w:t>
      </w:r>
      <w:r>
        <w:t>, amelyek</w:t>
      </w:r>
      <w:r w:rsidRPr="002961A9">
        <w:t xml:space="preserve"> lehetővé teszik a kistelepülések közművelődési intézményeinek megújulását és az információkhoz való hozzáférés </w:t>
      </w:r>
      <w:r>
        <w:t>jelentős</w:t>
      </w:r>
      <w:r w:rsidRPr="002961A9">
        <w:t xml:space="preserve"> javulását </w:t>
      </w:r>
      <w:r>
        <w:t>(</w:t>
      </w:r>
      <w:r w:rsidRPr="002961A9">
        <w:t>Internet hozzáférés, tanácsadói hálózatok számára biztosított ügyfélszolgálati pon</w:t>
      </w:r>
      <w:r>
        <w:t>tok, (falugazdászok, ÁFSZ, MNVH), nagyban hozzájárulnak majd a vidéki területen élők életminőségének javulásához. A választható</w:t>
      </w:r>
      <w:r w:rsidRPr="002961A9">
        <w:t xml:space="preserve"> szolgáltatások </w:t>
      </w:r>
      <w:r>
        <w:t>egy része is, közvetve vagy közvetlenül, hat az életminőségre (pl.</w:t>
      </w:r>
      <w:r w:rsidRPr="002961A9">
        <w:t xml:space="preserve"> egészségfejlesztés</w:t>
      </w:r>
      <w:r>
        <w:t>, közösségfejlesztés), ott, ahol a vállalt opcionális feladatok között ezek is szerepelnek, átfogó javulás várható.</w:t>
      </w:r>
    </w:p>
    <w:p w:rsidR="00020AFE" w:rsidRDefault="00020AFE" w:rsidP="00020AFE">
      <w:pPr>
        <w:jc w:val="both"/>
      </w:pPr>
      <w:r w:rsidRPr="008D295D">
        <w:t xml:space="preserve">A </w:t>
      </w:r>
      <w:r w:rsidRPr="008D295D">
        <w:rPr>
          <w:b/>
        </w:rPr>
        <w:t>tanyabusz</w:t>
      </w:r>
      <w:r w:rsidRPr="008D295D">
        <w:t xml:space="preserve"> </w:t>
      </w:r>
      <w:proofErr w:type="spellStart"/>
      <w:r w:rsidRPr="008D295D">
        <w:t>alintézkedés</w:t>
      </w:r>
      <w:proofErr w:type="spellEnd"/>
      <w:r w:rsidRPr="008D295D">
        <w:t xml:space="preserve"> esetében az életminőséget javító hatásra a kulcsinformátorokkal készült interjúk, az </w:t>
      </w:r>
      <w:proofErr w:type="spellStart"/>
      <w:r w:rsidRPr="008D295D">
        <w:t>MVH-tól</w:t>
      </w:r>
      <w:proofErr w:type="spellEnd"/>
      <w:r w:rsidRPr="008D295D">
        <w:t xml:space="preserve"> kapott adatokból kaphatunk érvényes információkat. Az MVH adatok alapján a nyertesek szinte mindegyike javítja a humán közszolgáltatásokhoz való hozzáférést, ezen belül is az egészségügyi, a közm</w:t>
      </w:r>
      <w:r w:rsidRPr="008D295D">
        <w:t>ű</w:t>
      </w:r>
      <w:r w:rsidRPr="008D295D">
        <w:t>velődési, a szabadidő-eltöltési, a szociális és étkeztetési szolgáltatásokhoz, de ugyanilyen mértékű a lako</w:t>
      </w:r>
      <w:r w:rsidRPr="008D295D">
        <w:t>s</w:t>
      </w:r>
      <w:r w:rsidRPr="008D295D">
        <w:t>sági szolgáltatások igénybevételének biztosítása is. Nagyon jelentős a személyre szabott szolgáltatások ar</w:t>
      </w:r>
      <w:r w:rsidRPr="008D295D">
        <w:t>á</w:t>
      </w:r>
      <w:r w:rsidRPr="008D295D">
        <w:t>nya a tanya- és falugondnoki szolgálatok kínálatában, mint amilyen a gyógyszerek kiváltása vagy az ügyint</w:t>
      </w:r>
      <w:r w:rsidRPr="008D295D">
        <w:t>é</w:t>
      </w:r>
      <w:r w:rsidRPr="008D295D">
        <w:t>zés lehetővé tétele. Mindezek életminőséget javítóhatása nem kétséges az érintett lakosság egészének k</w:t>
      </w:r>
      <w:r w:rsidRPr="008D295D">
        <w:t>ö</w:t>
      </w:r>
      <w:r w:rsidRPr="008D295D">
        <w:t>rében, de szinte nélkülözhetetlen az idős emberek esetében.</w:t>
      </w:r>
    </w:p>
    <w:p w:rsidR="00020AFE" w:rsidRDefault="00020AFE" w:rsidP="00020AFE">
      <w:pPr>
        <w:pStyle w:val="StyleHUNHeading3Justified"/>
        <w:ind w:left="504"/>
      </w:pPr>
      <w:r w:rsidRPr="005319D5">
        <w:lastRenderedPageBreak/>
        <w:t>A nyújtott szolgáltatások milyen mértékben növelték az érintett területek vonz</w:t>
      </w:r>
      <w:r w:rsidRPr="005319D5">
        <w:t>e</w:t>
      </w:r>
      <w:r w:rsidRPr="005319D5">
        <w:t>rejét? Tegyen különbséget a különböző érintett ágazatok között (mint például kere</w:t>
      </w:r>
      <w:r w:rsidRPr="005319D5">
        <w:t>s</w:t>
      </w:r>
      <w:r w:rsidRPr="005319D5">
        <w:t>kedelem, egészségügyi szolgáltatások, közlekedés, informatika). (321. intézkedés)</w:t>
      </w:r>
    </w:p>
    <w:p w:rsidR="00020AFE" w:rsidRPr="00A34814" w:rsidRDefault="00020AFE" w:rsidP="00020AFE">
      <w:pPr>
        <w:jc w:val="both"/>
      </w:pPr>
      <w:r w:rsidRPr="00A34814">
        <w:t xml:space="preserve">Az </w:t>
      </w:r>
      <w:r w:rsidRPr="00791F98">
        <w:rPr>
          <w:b/>
          <w:bCs/>
        </w:rPr>
        <w:t xml:space="preserve">IKSZT </w:t>
      </w:r>
      <w:proofErr w:type="spellStart"/>
      <w:r w:rsidRPr="00A34814">
        <w:t>alintézkedés</w:t>
      </w:r>
      <w:proofErr w:type="spellEnd"/>
      <w:r w:rsidRPr="00A34814">
        <w:t xml:space="preserve"> esetében csak becsülhetők a hatások. A kötelező és a választott szolgáltatások hel</w:t>
      </w:r>
      <w:r w:rsidRPr="00A34814">
        <w:t>y</w:t>
      </w:r>
      <w:r w:rsidRPr="00A34814">
        <w:t>ben történő biztosítása és az Internet-hozzáférés, továbbá a tájékozódási lehetőségek javítása szűkíti a v</w:t>
      </w:r>
      <w:r w:rsidRPr="00A34814">
        <w:t>i</w:t>
      </w:r>
      <w:r w:rsidRPr="00A34814">
        <w:t xml:space="preserve">déki és a városi emberek életminősége közti távolságot, amely főképpen a földrajzi perifériák kistelepülésein szakadékszerű. Az </w:t>
      </w:r>
      <w:proofErr w:type="spellStart"/>
      <w:r w:rsidRPr="00A34814">
        <w:t>aljogcím</w:t>
      </w:r>
      <w:proofErr w:type="spellEnd"/>
      <w:r w:rsidRPr="00A34814">
        <w:t xml:space="preserve"> a kistelepülések kedvezményezésével és az egymásba fonódó társadalmi és kulturális hátrányok mérséklését célzó szolgáltatások integrálásával (gyermekek napközbeni programjai a Biztos Kezdet vagy a Tanoda programok keretében, ÁFSZ végpont) a területi egyenlőtlenségeket mérséklő hatással bír.  Mindez együtt fokozza a kedvezményezett települések és környezetük megtartó erejét és ho</w:t>
      </w:r>
      <w:r w:rsidRPr="00A34814">
        <w:t>z</w:t>
      </w:r>
      <w:r w:rsidRPr="00A34814">
        <w:t>zá</w:t>
      </w:r>
      <w:r>
        <w:t>járul a vonzerő fokozásához is.</w:t>
      </w:r>
    </w:p>
    <w:p w:rsidR="00020AFE" w:rsidRDefault="00020AFE" w:rsidP="00020AFE">
      <w:pPr>
        <w:jc w:val="both"/>
      </w:pPr>
      <w:r w:rsidRPr="00A34814">
        <w:t xml:space="preserve">A </w:t>
      </w:r>
      <w:r w:rsidRPr="00A34814">
        <w:rPr>
          <w:b/>
        </w:rPr>
        <w:t>tanyabusz</w:t>
      </w:r>
      <w:r w:rsidRPr="00A34814">
        <w:t xml:space="preserve"> </w:t>
      </w:r>
      <w:proofErr w:type="spellStart"/>
      <w:r w:rsidRPr="00A34814">
        <w:t>alintézkedés</w:t>
      </w:r>
      <w:proofErr w:type="spellEnd"/>
      <w:r w:rsidRPr="00A34814">
        <w:t xml:space="preserve"> esetében az érintett területek vonzerejének alakulására vonatkozólag konkrét adatok nem állnak rendelkezésre, az csak a közlekedési lehetőségek javulása eredményeképpen szolgált</w:t>
      </w:r>
      <w:r w:rsidRPr="00A34814">
        <w:t>a</w:t>
      </w:r>
      <w:r w:rsidRPr="00A34814">
        <w:t>tások könnyebb elérhetősége alapján becsülhető. A vidéki tanyás térségek lakói által rendszeresen igényb</w:t>
      </w:r>
      <w:r w:rsidRPr="00A34814">
        <w:t>e</w:t>
      </w:r>
      <w:r w:rsidRPr="00A34814">
        <w:t>vett szolgáltatások köre nő, az adott térség lakói könnyebben érik el az egészségügyi és szociális szolgált</w:t>
      </w:r>
      <w:r w:rsidRPr="00A34814">
        <w:t>a</w:t>
      </w:r>
      <w:r w:rsidRPr="00A34814">
        <w:t>tásokat, szervezett módon jutnak el a hagyományos közlekedési eszközök útvonalára és csatlakozási pontj</w:t>
      </w:r>
      <w:r w:rsidRPr="00A34814">
        <w:t>a</w:t>
      </w:r>
      <w:r w:rsidRPr="00A34814">
        <w:t>ihoz, amely mind a munkavállalás, mind a köz- és személyi szolgáltatások elérése szempontjából kulcsfo</w:t>
      </w:r>
      <w:r w:rsidRPr="00A34814">
        <w:t>n</w:t>
      </w:r>
      <w:r w:rsidRPr="00A34814">
        <w:t>tosságú. A tanyás és aprófalvas térségek lakóinak nagy része napi ingázással éri el munkahelyét, a falu- és tanyagondnoki szolgálatok az ő számukra is megkönnyítik a munkába járást. A gyermekek oktatási intézm</w:t>
      </w:r>
      <w:r w:rsidRPr="00A34814">
        <w:t>é</w:t>
      </w:r>
      <w:r w:rsidRPr="00A34814">
        <w:t>nyekbe történő szállítása pedig nagyban hozzájárul az iskolahiányos területek taszító erejének csökkentés</w:t>
      </w:r>
      <w:r w:rsidRPr="00A34814">
        <w:t>é</w:t>
      </w:r>
      <w:r w:rsidRPr="00A34814">
        <w:t xml:space="preserve">hez. A fentiekben tárgyalt dimenziók erősítik e térségek vonzerejének növekedéséhez, amelynek hatására a </w:t>
      </w:r>
      <w:r>
        <w:t>beköltözők száma is emelkedhet.</w:t>
      </w:r>
    </w:p>
    <w:p w:rsidR="00020AFE" w:rsidRPr="00A34814" w:rsidRDefault="00020AFE" w:rsidP="00020AFE">
      <w:pPr>
        <w:jc w:val="both"/>
      </w:pPr>
    </w:p>
    <w:p w:rsidR="00020AFE" w:rsidRDefault="00020AFE" w:rsidP="00020AFE">
      <w:pPr>
        <w:pStyle w:val="StyleHUNHeading3Justified"/>
        <w:ind w:left="504"/>
      </w:pPr>
      <w:r w:rsidRPr="005319D5">
        <w:t>A nyújtott szolgáltatások milyen mértékben járultak hozzá a vidék gazdasági és társadalmi hanyatlási és elnéptelenedési folyamatának visszafordításához? (321. i</w:t>
      </w:r>
      <w:r w:rsidRPr="005319D5">
        <w:t>n</w:t>
      </w:r>
      <w:r w:rsidRPr="005319D5">
        <w:t>tézkedés)</w:t>
      </w:r>
    </w:p>
    <w:p w:rsidR="00020AFE" w:rsidRPr="005F778F" w:rsidRDefault="00020AFE" w:rsidP="00020AFE">
      <w:pPr>
        <w:jc w:val="both"/>
      </w:pPr>
      <w:r w:rsidRPr="005F778F">
        <w:rPr>
          <w:b/>
        </w:rPr>
        <w:t xml:space="preserve">IKSZT: </w:t>
      </w:r>
      <w:r w:rsidRPr="005F778F">
        <w:t xml:space="preserve">Az </w:t>
      </w:r>
      <w:proofErr w:type="spellStart"/>
      <w:r w:rsidRPr="005F778F">
        <w:t>alintézkedés</w:t>
      </w:r>
      <w:proofErr w:type="spellEnd"/>
      <w:r w:rsidRPr="005F778F">
        <w:t xml:space="preserve"> vonatkozásában csak becsléseink lehetnek, eszerint az </w:t>
      </w:r>
      <w:proofErr w:type="spellStart"/>
      <w:r w:rsidRPr="005F778F">
        <w:t>alintézkedés</w:t>
      </w:r>
      <w:proofErr w:type="spellEnd"/>
      <w:r w:rsidRPr="005F778F">
        <w:t xml:space="preserve"> közvetlen ga</w:t>
      </w:r>
      <w:r w:rsidRPr="005F778F">
        <w:t>z</w:t>
      </w:r>
      <w:r w:rsidRPr="005F778F">
        <w:t>dasági hatásai mérsékeltnek mondhatók, mintegy 100-120 üzlethelyiség kialakítására nyújtottak be kére</w:t>
      </w:r>
      <w:r w:rsidRPr="005F778F">
        <w:t>l</w:t>
      </w:r>
      <w:r w:rsidRPr="005F778F">
        <w:t>met az ügyfelek, vagyis ez a szegmens nem tartozik az IKSZT erős tartópillérei közé. Ennél jelentősebb a foglalkoztatási hatás, amennyiben kötelező egy főállású alkalmazott foglalkoztatása, ez az átfedésekkel számolva mintegy 300-350 munkahely megtartását és legalább 200-250 munkahely keletkezését vonja maga után, amelyhez – ha hozzáadjuk az üzleti szolgáltatásokban megjelenő önfoglalkoztatókat /alkalmazottakat –, összesen mintegy 700 munkahelyről, köztük 350-400 új munkahelyről beszélhetünk. Közvetve azonban többszöröse a támogatás munkahelymegőrző szerepe, amelyet a fejlesztés nélkül műk</w:t>
      </w:r>
      <w:r w:rsidRPr="005F778F">
        <w:t>ö</w:t>
      </w:r>
      <w:r w:rsidRPr="005F778F">
        <w:t xml:space="preserve">désképtelenné váló közművelődési intézmények megújításával nyújt. Az </w:t>
      </w:r>
      <w:proofErr w:type="spellStart"/>
      <w:r w:rsidRPr="005F778F">
        <w:t>IKSZT-k</w:t>
      </w:r>
      <w:proofErr w:type="spellEnd"/>
      <w:r w:rsidRPr="005F778F">
        <w:t xml:space="preserve"> jelentékeny szerepet töl</w:t>
      </w:r>
      <w:r w:rsidRPr="005F778F">
        <w:t>t</w:t>
      </w:r>
      <w:r w:rsidRPr="005F778F">
        <w:t>hetnek be a vidéki térségekben zajló demográfiai és intézményi erózió megállításában különösen a fiatalo</w:t>
      </w:r>
      <w:r w:rsidRPr="005F778F">
        <w:t>k</w:t>
      </w:r>
      <w:r w:rsidRPr="005F778F">
        <w:t xml:space="preserve">nak szóló, és így a fiatalok elvándorlását csökkentő funkciók játszhatnak e téren döntő szerepet. </w:t>
      </w:r>
    </w:p>
    <w:p w:rsidR="00020AFE" w:rsidRDefault="00020AFE" w:rsidP="00020AFE">
      <w:pPr>
        <w:jc w:val="both"/>
      </w:pPr>
      <w:r w:rsidRPr="005F778F">
        <w:t xml:space="preserve">A </w:t>
      </w:r>
      <w:r w:rsidRPr="005F778F">
        <w:rPr>
          <w:b/>
        </w:rPr>
        <w:t>tanyabusz</w:t>
      </w:r>
      <w:r w:rsidRPr="005F778F">
        <w:t xml:space="preserve"> </w:t>
      </w:r>
      <w:proofErr w:type="spellStart"/>
      <w:r w:rsidRPr="005F778F">
        <w:t>alintézkedés</w:t>
      </w:r>
      <w:proofErr w:type="spellEnd"/>
      <w:r w:rsidRPr="005F778F">
        <w:t xml:space="preserve"> közvetve úgy játszik szerepet az érintett települések gazdasági és társadalmi h</w:t>
      </w:r>
      <w:r w:rsidRPr="005F778F">
        <w:t>a</w:t>
      </w:r>
      <w:r w:rsidRPr="005F778F">
        <w:t>nyatlásának megállításához, hogy hozzájárul a helyi szolgáltatók vevői körének megmaradásához. Ugya</w:t>
      </w:r>
      <w:r w:rsidRPr="005F778F">
        <w:t>n</w:t>
      </w:r>
      <w:r w:rsidRPr="005F778F">
        <w:t>csak fontos a foglalkoztatásban játszott közvetlen és közvetett szerepe. Előbbit az új szolgálatok révén t</w:t>
      </w:r>
      <w:r w:rsidRPr="005F778F">
        <w:t>e</w:t>
      </w:r>
      <w:r w:rsidRPr="005F778F">
        <w:t>remtett és a már működő szolgálatokban megőrzött munkahelyek (mintegy 600 álláshely), utóbbit a ráhordó vagy/és munkásjáratok üzemeltetése révén biz</w:t>
      </w:r>
      <w:r>
        <w:t>tosítja (mintegy 850 „járat”).</w:t>
      </w:r>
    </w:p>
    <w:p w:rsidR="00020AFE" w:rsidRDefault="00020AFE" w:rsidP="00020AFE">
      <w:pPr>
        <w:pStyle w:val="StyleHUNHeading3Justified"/>
        <w:ind w:left="504"/>
      </w:pPr>
      <w:r w:rsidRPr="005319D5">
        <w:lastRenderedPageBreak/>
        <w:t>Az intézkedés milyen mértékben járult hozzá a vidéki területeken az életminőség javításához? Tegyen különbséget a különböző érintett ágazatok között (mint például kereskedelem, egészségügyi szolgáltatások, közlekedés, informatika, környezet). (322. intézkedés)</w:t>
      </w:r>
    </w:p>
    <w:p w:rsidR="00020AFE" w:rsidRDefault="00020AFE" w:rsidP="00020AFE">
      <w:pPr>
        <w:pStyle w:val="HUNNormal"/>
      </w:pPr>
      <w:r>
        <w:t>Az intézkedés keretén belül a vizsgált időszakban 1052 db támogatási határozat született, viszont csupán 71 db fejlesztés esetén kezdődtek meg a kifizetések, tehát konkrét megvalósult hatásokról igen korlátozott mértékben beszélhetünk. Az alábbi válaszok az intézkedés keretén belül finanszírozott beruházások inkább várható, mint már realizált hatásait szemléltetik.</w:t>
      </w:r>
    </w:p>
    <w:p w:rsidR="00020AFE" w:rsidRDefault="00020AFE" w:rsidP="00020AFE">
      <w:pPr>
        <w:pStyle w:val="HUNNormal"/>
      </w:pPr>
      <w:r>
        <w:t xml:space="preserve">Az intézkedés keretében nagyjából hasonló nagyságrendben történt települési zöldterületek fejlesztése (450 db), településkép szempontjából meghatározó épületek külső felújítása (366 db) és játszóterek kialakítása, fejlesztése (378 db). Jóval kisebb számban jöttek létre helyi piacok (35 db), amelyek a helyben megtermelt mezőgazdasági termékek értékesítését szolgálják. Az intézkedés fenti tartalmánál fogva nincs közvetlen hatással az egészségügyi szolgáltatásokra, közlekedésre és az informatikai szolgáltatásokra és alacsony a helyi termékek kereskedelmére gyakorolt hatása. </w:t>
      </w:r>
    </w:p>
    <w:p w:rsidR="00020AFE" w:rsidRDefault="00020AFE" w:rsidP="00020AFE">
      <w:pPr>
        <w:pStyle w:val="HUNNormal"/>
      </w:pPr>
      <w:r>
        <w:t>Az életminőségre gyakorolt hatást négy összetevő várható változásán keresztül vizsgáltuk: 1) megélhetés; 2) az épített és természeti környezet állapota; 3) „élhetőség”: szolgáltatások és infrastruktúra elérhetősége; 4) társadalmi tőke: helyi identitás, közösségi kapcsolatok (lásd 2.4.18. kérdésre adott válasz);</w:t>
      </w:r>
    </w:p>
    <w:p w:rsidR="00020AFE" w:rsidRPr="00464671" w:rsidRDefault="00020AFE" w:rsidP="00020AFE">
      <w:pPr>
        <w:pStyle w:val="HUNNormal"/>
        <w:rPr>
          <w:i/>
        </w:rPr>
      </w:pPr>
      <w:r w:rsidRPr="00464671">
        <w:rPr>
          <w:i/>
        </w:rPr>
        <w:t>Az intézkedés hatása a megélhetésre</w:t>
      </w:r>
    </w:p>
    <w:p w:rsidR="00020AFE" w:rsidRDefault="00020AFE" w:rsidP="00020AFE">
      <w:pPr>
        <w:jc w:val="both"/>
      </w:pPr>
      <w:r>
        <w:t xml:space="preserve">Az intézkedés a monitoring adatok alapján már a program jelenlegi stádiumában is jóval túlteljesítette az elvárt foglalkoztatási hatásokat. A monitoring adatbázisban szereplő 924 fejlesztés keretén belül 249,5 db munkahely jött létre, amelynek 46%-a nők, 17%-a fiatalok, 14%-a romák, további 17%-a fogyatékkal élők által betöltött munkahely. </w:t>
      </w:r>
    </w:p>
    <w:p w:rsidR="00020AFE" w:rsidRDefault="00020AFE" w:rsidP="00020AFE">
      <w:pPr>
        <w:jc w:val="both"/>
      </w:pPr>
      <w:r>
        <w:t>A kedvezményezettek kérdőíves megkérdezése alapján a 170 válaszadó összesítve 137 teljes munkaidős és 31 db részmunkaidős munkahelyet teremtését jelezte, amelynek 66%-át női, 13%-át hátrányos helyzetű, 8%-át 25 éven aluli, 24%-át 55 éven felüli munkavállaló tölt be. A megvalósulás alatt lévő fejlesztések határára várhatóan 26 új teljes munkaidős munkahely jöhet létre.</w:t>
      </w:r>
    </w:p>
    <w:p w:rsidR="00020AFE" w:rsidRDefault="00020AFE" w:rsidP="00020AFE">
      <w:pPr>
        <w:jc w:val="both"/>
      </w:pPr>
      <w:r>
        <w:t>Önmagában véve a néhány százas nagyságrend nem mondható jelentős foglalkoztatási hatásnak ugyana</w:t>
      </w:r>
      <w:r>
        <w:t>k</w:t>
      </w:r>
      <w:r>
        <w:t>kor tekintettel az intézkedés jellegére, jelentős eredménynek értékelhető.</w:t>
      </w:r>
    </w:p>
    <w:p w:rsidR="00020AFE" w:rsidRPr="00127FBB" w:rsidRDefault="00020AFE" w:rsidP="00020AFE">
      <w:pPr>
        <w:jc w:val="both"/>
      </w:pPr>
      <w:r>
        <w:t>A kedvezményezettekkel készített kérdőíves felmérés 170 válaszadójából 70% úgy ítélte, hogy a fejlesztések eredményeképpen nem jön létre új gazdasági tevékenység. 22% szerint a fejlesztés kis mértékben, 8% sz</w:t>
      </w:r>
      <w:r>
        <w:t>e</w:t>
      </w:r>
      <w:r>
        <w:t xml:space="preserve">rint pedig jelentős mértékben elősegíti új gazdasági tevékenységek beindulását. </w:t>
      </w:r>
      <w:r w:rsidRPr="00127FBB">
        <w:t xml:space="preserve">A </w:t>
      </w:r>
      <w:r>
        <w:t xml:space="preserve">válaszok alapján a </w:t>
      </w:r>
      <w:r w:rsidRPr="00127FBB">
        <w:t>fejles</w:t>
      </w:r>
      <w:r w:rsidRPr="00127FBB">
        <w:t>z</w:t>
      </w:r>
      <w:r w:rsidRPr="00127FBB">
        <w:t>tés</w:t>
      </w:r>
      <w:r>
        <w:t>ek</w:t>
      </w:r>
      <w:r w:rsidRPr="00127FBB">
        <w:t xml:space="preserve"> a település gazdasági helyzetének javulását közvetett </w:t>
      </w:r>
      <w:r>
        <w:t xml:space="preserve">módon </w:t>
      </w:r>
      <w:r w:rsidRPr="00127FBB">
        <w:t>eredményez</w:t>
      </w:r>
      <w:r>
        <w:t>ik.</w:t>
      </w:r>
      <w:r w:rsidRPr="00127FBB">
        <w:t xml:space="preserve"> </w:t>
      </w:r>
      <w:r>
        <w:t>A</w:t>
      </w:r>
      <w:r w:rsidRPr="00127FBB">
        <w:t xml:space="preserve"> településkép javítás</w:t>
      </w:r>
      <w:r>
        <w:t>á</w:t>
      </w:r>
      <w:r>
        <w:t>val</w:t>
      </w:r>
      <w:r w:rsidRPr="00127FBB">
        <w:t xml:space="preserve"> hozzájárul</w:t>
      </w:r>
      <w:r>
        <w:t>nak</w:t>
      </w:r>
      <w:r w:rsidRPr="00127FBB">
        <w:t xml:space="preserve"> az idegenforgalmi vonzerő növeléséhez</w:t>
      </w:r>
      <w:r>
        <w:t>,</w:t>
      </w:r>
      <w:r w:rsidRPr="00127FBB">
        <w:t xml:space="preserve"> </w:t>
      </w:r>
      <w:r>
        <w:t>a</w:t>
      </w:r>
      <w:r w:rsidRPr="00127FBB">
        <w:t>z emiatt létrejövő növekvő keresletnek köszö</w:t>
      </w:r>
      <w:r w:rsidRPr="00127FBB">
        <w:t>n</w:t>
      </w:r>
      <w:r w:rsidRPr="00127FBB">
        <w:t>hetően a meglévő gazdasági szervezetek fenntartásához, valamint vonzóvá válhat a település új vállalkoz</w:t>
      </w:r>
      <w:r w:rsidRPr="00127FBB">
        <w:t>á</w:t>
      </w:r>
      <w:r w:rsidRPr="00127FBB">
        <w:t>sok számára is</w:t>
      </w:r>
      <w:r>
        <w:t xml:space="preserve">. </w:t>
      </w:r>
      <w:r w:rsidRPr="00547FB7">
        <w:t>Ezen felül a támogatott beruházások megvalósítása a beruházást elvégző helyi vállalkoz</w:t>
      </w:r>
      <w:r w:rsidRPr="00547FB7">
        <w:t>á</w:t>
      </w:r>
      <w:r w:rsidRPr="00547FB7">
        <w:t>soknál jövedelmet és foglalkoztatást generál. A fókuszcsoportokon és a személyes interjúkban is körvonal</w:t>
      </w:r>
      <w:r w:rsidRPr="00547FB7">
        <w:t>a</w:t>
      </w:r>
      <w:r w:rsidRPr="00547FB7">
        <w:t xml:space="preserve">zódott, hogy – részben a </w:t>
      </w:r>
      <w:proofErr w:type="spellStart"/>
      <w:r w:rsidRPr="00547FB7">
        <w:t>HACS-ok</w:t>
      </w:r>
      <w:proofErr w:type="spellEnd"/>
      <w:r w:rsidRPr="00547FB7">
        <w:t xml:space="preserve"> által – terjed az a szemlélet, hogy a támogatott beruházások helyi válla</w:t>
      </w:r>
      <w:r w:rsidRPr="00547FB7">
        <w:t>l</w:t>
      </w:r>
      <w:r w:rsidRPr="00547FB7">
        <w:t>kozások közreműködésével, lehetőség szerint helyi alapanyagok felhasználásával valósuljanak meg.</w:t>
      </w:r>
      <w:r>
        <w:t xml:space="preserve"> </w:t>
      </w:r>
    </w:p>
    <w:p w:rsidR="00020AFE" w:rsidRPr="00464671" w:rsidRDefault="00020AFE" w:rsidP="00020AFE">
      <w:pPr>
        <w:pStyle w:val="HUNNormal"/>
        <w:rPr>
          <w:i/>
        </w:rPr>
      </w:pPr>
      <w:r w:rsidRPr="00464671">
        <w:rPr>
          <w:i/>
        </w:rPr>
        <w:t xml:space="preserve">Az intézkedés hatása </w:t>
      </w:r>
      <w:r>
        <w:rPr>
          <w:i/>
        </w:rPr>
        <w:t>az épített és természetes környezet állapotára</w:t>
      </w:r>
    </w:p>
    <w:p w:rsidR="00020AFE" w:rsidRDefault="00020AFE" w:rsidP="00020AFE">
      <w:pPr>
        <w:jc w:val="both"/>
      </w:pPr>
      <w:r w:rsidRPr="00E32574">
        <w:t>A</w:t>
      </w:r>
      <w:r>
        <w:t>z intézkedés hatása a</w:t>
      </w:r>
      <w:r w:rsidRPr="00E32574">
        <w:t xml:space="preserve"> térség épített, természeti és kulturális örökségének megóvásá</w:t>
      </w:r>
      <w:r>
        <w:t>ra</w:t>
      </w:r>
      <w:r w:rsidRPr="00E32574">
        <w:t xml:space="preserve"> és fenntartható hasznosításá</w:t>
      </w:r>
      <w:r>
        <w:t>ra</w:t>
      </w:r>
      <w:r w:rsidRPr="00E32574">
        <w:t xml:space="preserve"> a</w:t>
      </w:r>
      <w:r>
        <w:t xml:space="preserve"> kedvezményezettekkel készített felmérés alapján a </w:t>
      </w:r>
      <w:r w:rsidRPr="00E32574">
        <w:t>válaszadók 57%-a szerint jelentős</w:t>
      </w:r>
      <w:r>
        <w:t>,</w:t>
      </w:r>
      <w:r w:rsidRPr="00E32574">
        <w:t xml:space="preserve"> 18</w:t>
      </w:r>
      <w:r>
        <w:t>% szerint kismértékű, közvetett. A fejlesztések több esetben műemlékek közelében lévő területek megúj</w:t>
      </w:r>
      <w:r>
        <w:t>í</w:t>
      </w:r>
      <w:r>
        <w:lastRenderedPageBreak/>
        <w:t>tására irányulnak, hozzájárulva a vidéki örökség megőrzéséhez, hasznosításához. A felújított játszóterek, parkok általában korábban elhanyagolt közterületeken jönnek létre, így a fejlesztések hatására ezek a ter</w:t>
      </w:r>
      <w:r>
        <w:t>ü</w:t>
      </w:r>
      <w:r>
        <w:t xml:space="preserve">letek biztonságos, kulturált szociális térré válnak. </w:t>
      </w:r>
      <w:r w:rsidRPr="003A6B1D">
        <w:t>A</w:t>
      </w:r>
      <w:r>
        <w:t>z intézkedés közvetett hatásaként a válaszadók gyakran említik, hogy a</w:t>
      </w:r>
      <w:r w:rsidRPr="003A6B1D">
        <w:t xml:space="preserve"> </w:t>
      </w:r>
      <w:r>
        <w:t xml:space="preserve">fejlesztés eredményeképpen kialakított esztétikus, </w:t>
      </w:r>
      <w:r w:rsidRPr="003A6B1D">
        <w:t>gondoz</w:t>
      </w:r>
      <w:r>
        <w:t>ott környezet</w:t>
      </w:r>
      <w:r w:rsidRPr="003A6B1D">
        <w:t xml:space="preserve"> </w:t>
      </w:r>
      <w:r>
        <w:t>hatására az emberek saját környezetükkel szemben táplált igényessége nő. A főutca támogatásból történő megújulását a mellé</w:t>
      </w:r>
      <w:r>
        <w:t>k</w:t>
      </w:r>
      <w:r>
        <w:t xml:space="preserve">utcákban a lakosság saját erőből próbálja követni. Többen említik, hogy a fejlesztés hatására érezhetően csökkent a szemetelés, rongálás. </w:t>
      </w:r>
    </w:p>
    <w:p w:rsidR="00020AFE" w:rsidRPr="0023498E" w:rsidRDefault="00020AFE" w:rsidP="00020AFE">
      <w:pPr>
        <w:jc w:val="both"/>
        <w:rPr>
          <w:i/>
        </w:rPr>
      </w:pPr>
      <w:r w:rsidRPr="0023498E">
        <w:rPr>
          <w:i/>
        </w:rPr>
        <w:t>Az intézkedés hatása az „élhetőségre”</w:t>
      </w:r>
    </w:p>
    <w:p w:rsidR="00020AFE" w:rsidRPr="003F106D" w:rsidRDefault="00020AFE" w:rsidP="00020AFE">
      <w:pPr>
        <w:jc w:val="both"/>
        <w:rPr>
          <w:highlight w:val="yellow"/>
        </w:rPr>
      </w:pPr>
      <w:r>
        <w:t xml:space="preserve">A </w:t>
      </w:r>
      <w:r w:rsidRPr="003F106D">
        <w:t>szociális, kulturális, egyéb közösségi és szabadidős tevékenységek/szolgáltatások létrejöttéhez</w:t>
      </w:r>
      <w:r>
        <w:t xml:space="preserve"> a válas</w:t>
      </w:r>
      <w:r>
        <w:t>z</w:t>
      </w:r>
      <w:r>
        <w:t>adók 38%-a szerint a fejlesztések közvetlenül, jelentős mértékben hozzájárulnak. 27% szerint kismértékű, közvetett hatás mutatható ki. A támogatott fejlesztések elsősorban a kulturált helyszínek kialakításával j</w:t>
      </w:r>
      <w:r>
        <w:t>á</w:t>
      </w:r>
      <w:r>
        <w:t>rulnak hozzá a közösségi, kulturális és szabadidős tevékenységek lehetőségéhez.</w:t>
      </w:r>
    </w:p>
    <w:p w:rsidR="00020AFE" w:rsidRDefault="00020AFE" w:rsidP="00020AFE">
      <w:pPr>
        <w:jc w:val="both"/>
      </w:pPr>
      <w:r>
        <w:t>A</w:t>
      </w:r>
      <w:r w:rsidRPr="005A0A56">
        <w:t xml:space="preserve"> 170 válaszadó 61%-a jelezte, hogy a fejlesztés hozzájárulása </w:t>
      </w:r>
      <w:r>
        <w:t>összességében a helyi lakosság életminős</w:t>
      </w:r>
      <w:r>
        <w:t>é</w:t>
      </w:r>
      <w:r>
        <w:t>gének javulásához</w:t>
      </w:r>
      <w:r w:rsidRPr="005A0A56">
        <w:t xml:space="preserve"> jelentős mértékű. 25% prognoszt</w:t>
      </w:r>
      <w:r>
        <w:t>izált alacsony mértékű hozzájárulást</w:t>
      </w:r>
      <w:r w:rsidRPr="005A0A56">
        <w:t>.</w:t>
      </w:r>
      <w:r>
        <w:t xml:space="preserve"> A kialakított játsz</w:t>
      </w:r>
      <w:r>
        <w:t>ó</w:t>
      </w:r>
      <w:r>
        <w:t>terek közösségi térként szolgálnak minden korosztály számára. A helyi piac egyrészt kulturált bevásárló és szociális tér, másrészt a helyi termelők számára nyújt kiegészítő jövedelmet. Igényes szabadidő eltöltésére szolgáló terek jöttek létre, biztonságosabb közlekedés vált lehetővé.</w:t>
      </w:r>
    </w:p>
    <w:p w:rsidR="00020AFE" w:rsidRPr="005A0A56" w:rsidRDefault="00020AFE" w:rsidP="00020AFE">
      <w:pPr>
        <w:jc w:val="both"/>
      </w:pPr>
    </w:p>
    <w:p w:rsidR="00020AFE" w:rsidRDefault="00020AFE" w:rsidP="00020AFE">
      <w:pPr>
        <w:pStyle w:val="StyleHUNHeading3Justified"/>
        <w:ind w:left="504"/>
      </w:pPr>
      <w:r w:rsidRPr="005319D5">
        <w:t>Az intézkedés milyen mértékben javította a vidéki területek vonzerejét? Tegyen k</w:t>
      </w:r>
      <w:r w:rsidRPr="005319D5">
        <w:t>ü</w:t>
      </w:r>
      <w:r w:rsidRPr="005319D5">
        <w:t>lönbséget a különböző érintett ágazatok között (mint például kereskedelem, egés</w:t>
      </w:r>
      <w:r w:rsidRPr="005319D5">
        <w:t>z</w:t>
      </w:r>
      <w:r w:rsidRPr="005319D5">
        <w:t>ségügyi szolgáltatások, közlekedés, informatika, környezet). (322. intézkedés)</w:t>
      </w:r>
    </w:p>
    <w:p w:rsidR="00020AFE" w:rsidRDefault="00020AFE" w:rsidP="00020AFE">
      <w:pPr>
        <w:jc w:val="both"/>
      </w:pPr>
      <w:r>
        <w:t>A kedvezményezettek körében készített kérdőíves felmérés alapján a 170 válaszadó 61%-a szerint a fejles</w:t>
      </w:r>
      <w:r>
        <w:t>z</w:t>
      </w:r>
      <w:r>
        <w:t>tés hatására jelentős mértékben nőtt az érintett települések vonzereje mind a turisztikai mind pedig a lak</w:t>
      </w:r>
      <w:r>
        <w:t>ó</w:t>
      </w:r>
      <w:r>
        <w:t xml:space="preserve">hely funkciót illetően. 26% válaszolta, hogy a hatás elenyésző mértékű. </w:t>
      </w:r>
      <w:r w:rsidRPr="001C17CE">
        <w:t xml:space="preserve">A fejlesztések </w:t>
      </w:r>
      <w:r>
        <w:t xml:space="preserve">alapvetően </w:t>
      </w:r>
      <w:r w:rsidRPr="001C17CE">
        <w:t>a turizmus és a</w:t>
      </w:r>
      <w:r>
        <w:t xml:space="preserve"> mindennapos</w:t>
      </w:r>
      <w:r w:rsidRPr="001C17CE">
        <w:t xml:space="preserve"> élet alapfeltételei</w:t>
      </w:r>
      <w:r>
        <w:t>nek megteremtéséhez</w:t>
      </w:r>
      <w:r w:rsidRPr="001C17CE">
        <w:t xml:space="preserve">, a kulturált </w:t>
      </w:r>
      <w:r>
        <w:t>lakó</w:t>
      </w:r>
      <w:r w:rsidRPr="001C17CE">
        <w:t>környezethez</w:t>
      </w:r>
      <w:r>
        <w:t>, biztonságos közl</w:t>
      </w:r>
      <w:r>
        <w:t>e</w:t>
      </w:r>
      <w:r>
        <w:t>kedéshez, a gyermekek igényes környezetben töltendő szabadidejéhez</w:t>
      </w:r>
      <w:r w:rsidRPr="001C17CE">
        <w:t xml:space="preserve"> járulnak hozzá</w:t>
      </w:r>
      <w:r>
        <w:t>.</w:t>
      </w:r>
    </w:p>
    <w:p w:rsidR="00020AFE" w:rsidRPr="001C17CE" w:rsidRDefault="00020AFE" w:rsidP="00020AFE">
      <w:pPr>
        <w:jc w:val="both"/>
      </w:pPr>
    </w:p>
    <w:p w:rsidR="00020AFE" w:rsidRDefault="00020AFE" w:rsidP="00020AFE">
      <w:pPr>
        <w:pStyle w:val="StyleHUNHeading3Justified"/>
        <w:ind w:left="504"/>
      </w:pPr>
      <w:r w:rsidRPr="005319D5">
        <w:t>Az intézkedés milyen mértékben járult hozzá a vidék gazdasági és társadalmi h</w:t>
      </w:r>
      <w:r w:rsidRPr="005319D5">
        <w:t>a</w:t>
      </w:r>
      <w:r w:rsidRPr="005319D5">
        <w:t>nyatlási és elnéptelenedési folyamatának visszafordításához? (322. intézkedés)</w:t>
      </w:r>
    </w:p>
    <w:p w:rsidR="00020AFE" w:rsidRDefault="00020AFE" w:rsidP="00020AFE">
      <w:pPr>
        <w:pStyle w:val="HUNNormal"/>
      </w:pPr>
      <w:r>
        <w:t>Az intézkedés várhatóan közvetve járul hozzá a negatív migrációs trend csökkentéséhez: foglalkoztatás-teremtő hatása nem számottevő, ugyanakkor jelentős hatása van a helyi identitás, a közösségi összetartás erősödésére, ezáltal növeli a helyben maradás esélyét. Ez a hatás természetesen csak a megélhetési visz</w:t>
      </w:r>
      <w:r>
        <w:t>o</w:t>
      </w:r>
      <w:r>
        <w:t xml:space="preserve">nyok párhuzamos fejlődésével realizálódhat. </w:t>
      </w:r>
    </w:p>
    <w:p w:rsidR="00020AFE" w:rsidRPr="0023498E" w:rsidRDefault="00020AFE" w:rsidP="00020AFE">
      <w:pPr>
        <w:jc w:val="both"/>
        <w:rPr>
          <w:i/>
        </w:rPr>
      </w:pPr>
      <w:r w:rsidRPr="0023498E">
        <w:rPr>
          <w:i/>
        </w:rPr>
        <w:t>Az intézkedés hatása a helyi identitásra, kötődésre</w:t>
      </w:r>
    </w:p>
    <w:p w:rsidR="00020AFE" w:rsidRDefault="00020AFE" w:rsidP="00020AFE">
      <w:pPr>
        <w:jc w:val="both"/>
      </w:pPr>
      <w:r w:rsidRPr="002A0569">
        <w:t xml:space="preserve">A támogatások hatását a térségben élők térséghez kötődésének, identitástudatának, közösségi érzésének erősödésére a 170 válaszadó 61%-a jelentősnek ítélte, további 30% szerint a fejlesztés kis mértékben </w:t>
      </w:r>
      <w:r>
        <w:t xml:space="preserve">járul </w:t>
      </w:r>
      <w:r w:rsidRPr="002A0569">
        <w:t>hoz</w:t>
      </w:r>
      <w:r>
        <w:t>zá</w:t>
      </w:r>
      <w:r w:rsidRPr="002A0569">
        <w:t xml:space="preserve"> a helyi kötődés és térségi azonosság erősödéséhez</w:t>
      </w:r>
      <w:r>
        <w:t xml:space="preserve">. </w:t>
      </w:r>
      <w:r w:rsidRPr="002A0569">
        <w:t>A</w:t>
      </w:r>
      <w:r>
        <w:t xml:space="preserve"> fejlesztések a</w:t>
      </w:r>
      <w:r w:rsidRPr="002A0569">
        <w:t xml:space="preserve"> közösségi </w:t>
      </w:r>
      <w:r>
        <w:t xml:space="preserve">kötődés erősödését oly módon </w:t>
      </w:r>
      <w:r w:rsidRPr="002A0569">
        <w:t>segíti</w:t>
      </w:r>
      <w:r>
        <w:t>k,</w:t>
      </w:r>
      <w:r w:rsidRPr="002A0569">
        <w:t xml:space="preserve"> hogy a megújult épület</w:t>
      </w:r>
      <w:r>
        <w:t>ek</w:t>
      </w:r>
      <w:r w:rsidRPr="002A0569">
        <w:t xml:space="preserve"> és környezet</w:t>
      </w:r>
      <w:r>
        <w:t>ük</w:t>
      </w:r>
      <w:r w:rsidRPr="002A0569">
        <w:t xml:space="preserve"> méltó helyet teremt</w:t>
      </w:r>
      <w:r>
        <w:t>enek</w:t>
      </w:r>
      <w:r w:rsidRPr="002A0569">
        <w:t xml:space="preserve"> a </w:t>
      </w:r>
      <w:r>
        <w:t>közösségi tevékenys</w:t>
      </w:r>
      <w:r>
        <w:t>é</w:t>
      </w:r>
      <w:r>
        <w:t xml:space="preserve">gekhez, rendezvényekhez, a szabadidő kulturált eltöltéséhez. </w:t>
      </w:r>
      <w:r w:rsidRPr="002A0569">
        <w:t xml:space="preserve">Az emberek büszkék </w:t>
      </w:r>
      <w:r>
        <w:t>a megújuló települései</w:t>
      </w:r>
      <w:r>
        <w:t>k</w:t>
      </w:r>
      <w:r>
        <w:lastRenderedPageBreak/>
        <w:t xml:space="preserve">re, középületeikre, parkjaikra, templomaikra, játszótereikre és vigyáznak a fejlesztések eredményeire. Ez minden bizonnyal hat. </w:t>
      </w:r>
    </w:p>
    <w:p w:rsidR="00020AFE" w:rsidRDefault="00020AFE" w:rsidP="00020AFE">
      <w:pPr>
        <w:jc w:val="both"/>
      </w:pPr>
    </w:p>
    <w:p w:rsidR="00020AFE" w:rsidRDefault="00020AFE" w:rsidP="00020AFE">
      <w:pPr>
        <w:pStyle w:val="StyleHUNHeading3Justified"/>
        <w:ind w:left="504"/>
      </w:pPr>
      <w:r w:rsidRPr="005319D5">
        <w:t>Az intézkedés milyen mértékben tartotta fenn a vidéki területek vonzerejét? (323. intézkedés)</w:t>
      </w:r>
    </w:p>
    <w:p w:rsidR="00020AFE" w:rsidRDefault="00020AFE" w:rsidP="00020AFE">
      <w:pPr>
        <w:pStyle w:val="HUNNormal"/>
      </w:pPr>
      <w:r>
        <w:t>Az intézkedés keretén belül a vizsgált időszakban 475 db támogatási határozat született, viszont csupán 14 db fejlesztés esetén kezdődtek meg a kifizetések, tehát konkrét megvalósult hatásokról igen korlátozott mértékben beszélhetünk. Az alábbi válaszok az intézkedés keretén belül finanszírozott beruházások inkább várható, mint már realizált hatásait szemléltetik.</w:t>
      </w:r>
    </w:p>
    <w:p w:rsidR="00020AFE" w:rsidRDefault="00020AFE" w:rsidP="00020AFE">
      <w:pPr>
        <w:jc w:val="both"/>
      </w:pPr>
      <w:r>
        <w:t xml:space="preserve">A fejlesztések hozzávetőlegesen 64%-a templomok, imaházak, haranglábak, parókiák, templomkertek és egyházi műemlékek felújítására irányul. 29%-ot képviselnek az egyéb épített örökségek, </w:t>
      </w:r>
      <w:proofErr w:type="spellStart"/>
      <w:r>
        <w:t>pl</w:t>
      </w:r>
      <w:proofErr w:type="spellEnd"/>
      <w:r>
        <w:t xml:space="preserve"> malmok, kúriák, közösségi házak, tájházak, múzeumok, pincesor, de akár önkormányzati vagy egyéb hivatali funkciónak ot</w:t>
      </w:r>
      <w:r>
        <w:t>t</w:t>
      </w:r>
      <w:r>
        <w:t>hont adó védett épületek (óvoda, rendőrség, stb.). Csupán 7%-ot tesznek ki azok a fejlesztések, amelyek természeti értékek bemutatását szolgálják, pl. tanösvények, kilátók, fasorok, kertek, vagy zöld területek r</w:t>
      </w:r>
      <w:r>
        <w:t>e</w:t>
      </w:r>
      <w:r>
        <w:t xml:space="preserve">habilitációját tartalmazzák. </w:t>
      </w:r>
    </w:p>
    <w:p w:rsidR="00020AFE" w:rsidRDefault="00020AFE" w:rsidP="00020AFE">
      <w:pPr>
        <w:jc w:val="both"/>
      </w:pPr>
      <w:r>
        <w:t>A</w:t>
      </w:r>
      <w:r w:rsidRPr="00C5523D">
        <w:t xml:space="preserve"> monitoring adatbázis 416 db kitöltött rekordja alapján a támogat</w:t>
      </w:r>
      <w:r>
        <w:t xml:space="preserve">ásban részesülő </w:t>
      </w:r>
      <w:r w:rsidRPr="00C5523D">
        <w:t>műemléki és természeti helyszínek száma 638 db, amely a források 40%-ának felhasználásával is jóval meghaladja a tervezett ért</w:t>
      </w:r>
      <w:r w:rsidRPr="00C5523D">
        <w:t>é</w:t>
      </w:r>
      <w:r w:rsidRPr="00C5523D">
        <w:t>ket. Ennek 32%-a (203 db) veszélyeztetett műemlék kategóriába tartozik.</w:t>
      </w:r>
    </w:p>
    <w:p w:rsidR="00020AFE" w:rsidRPr="00C5523D" w:rsidRDefault="00020AFE" w:rsidP="00020AFE">
      <w:pPr>
        <w:jc w:val="both"/>
      </w:pPr>
    </w:p>
    <w:p w:rsidR="00020AFE" w:rsidRDefault="00020AFE" w:rsidP="00020AFE">
      <w:pPr>
        <w:pStyle w:val="StyleHUNHeading3Justified"/>
        <w:ind w:left="504"/>
      </w:pPr>
      <w:r w:rsidRPr="005319D5">
        <w:t xml:space="preserve">Az intézkedés milyen mértékben járult hozzá a </w:t>
      </w:r>
      <w:proofErr w:type="spellStart"/>
      <w:r w:rsidRPr="005319D5">
        <w:t>Natura</w:t>
      </w:r>
      <w:proofErr w:type="spellEnd"/>
      <w:r w:rsidRPr="005319D5">
        <w:t xml:space="preserve"> 2000 területek vagy más magas természeti értékű területek fenntartható kezeléséhez és fejlődéséhez, val</w:t>
      </w:r>
      <w:r w:rsidRPr="005319D5">
        <w:t>a</w:t>
      </w:r>
      <w:r w:rsidRPr="005319D5">
        <w:t>mint a vidéki lakosság környezettudatosságához? (323. intézkedés)</w:t>
      </w:r>
    </w:p>
    <w:p w:rsidR="00020AFE" w:rsidRDefault="00020AFE" w:rsidP="00020AFE">
      <w:pPr>
        <w:jc w:val="both"/>
      </w:pPr>
      <w:r>
        <w:t xml:space="preserve">Az intézkedés második </w:t>
      </w:r>
      <w:proofErr w:type="spellStart"/>
      <w:r>
        <w:t>alintézkedése</w:t>
      </w:r>
      <w:proofErr w:type="spellEnd"/>
      <w:r>
        <w:t>, a NATURA 2000 fenntartási tervek elkészítésének támogatása a viz</w:t>
      </w:r>
      <w:r>
        <w:t>s</w:t>
      </w:r>
      <w:r>
        <w:t xml:space="preserve">gált időszakban nem indult el. </w:t>
      </w:r>
    </w:p>
    <w:p w:rsidR="00020AFE" w:rsidRDefault="00020AFE" w:rsidP="00020AFE">
      <w:pPr>
        <w:jc w:val="both"/>
      </w:pPr>
      <w:r>
        <w:t>A támogatott fejlesztéseknek csupán 7%-át teszik ki azok, amelyek természeti értékek bemutatását szolgá</w:t>
      </w:r>
      <w:r>
        <w:t>l</w:t>
      </w:r>
      <w:r>
        <w:t xml:space="preserve">ják, pl. tanösvények, kilátók, fasorok, kertek, vagy zöld területek rehabilitációját tartalmazzák. </w:t>
      </w:r>
    </w:p>
    <w:p w:rsidR="00020AFE" w:rsidRPr="007C61AC" w:rsidRDefault="00020AFE" w:rsidP="00020AFE">
      <w:pPr>
        <w:jc w:val="both"/>
      </w:pPr>
      <w:r w:rsidRPr="007C61AC">
        <w:t xml:space="preserve">A </w:t>
      </w:r>
      <w:r>
        <w:t xml:space="preserve">kedvezményezettek körében készített kérdőíves felmérésben a </w:t>
      </w:r>
      <w:r w:rsidRPr="007C61AC">
        <w:t>fejlesztések hozzájárulását a térség te</w:t>
      </w:r>
      <w:r w:rsidRPr="007C61AC">
        <w:t>r</w:t>
      </w:r>
      <w:r w:rsidRPr="007C61AC">
        <w:t xml:space="preserve">mészeti öröksége állapotának megőrzéséhez, javításához a 111 válaszadóból 35% jelentősnek, 21% pedig </w:t>
      </w:r>
      <w:proofErr w:type="gramStart"/>
      <w:r w:rsidRPr="007C61AC">
        <w:t>kis mértékűnek</w:t>
      </w:r>
      <w:proofErr w:type="gramEnd"/>
      <w:r w:rsidRPr="007C61AC">
        <w:t xml:space="preserve"> értékelte</w:t>
      </w:r>
      <w:r>
        <w:t>.</w:t>
      </w:r>
      <w:r w:rsidRPr="007C61AC">
        <w:t xml:space="preserve"> </w:t>
      </w:r>
      <w:r>
        <w:t xml:space="preserve">A direkt erre a célra irányuló beruházásokon felül (amelyek aránya a támogatott fejlesztésekben 7%, a beérkezett kérdőívekben 9%) </w:t>
      </w:r>
      <w:r w:rsidRPr="007C61AC">
        <w:t xml:space="preserve">elsősorban a védett, megújított épületek környékének </w:t>
      </w:r>
      <w:r>
        <w:t>rendbetételével, karbantartásával valósul meg a fenti cél.</w:t>
      </w:r>
    </w:p>
    <w:p w:rsidR="00020AFE" w:rsidRDefault="00020AFE" w:rsidP="00020AFE">
      <w:pPr>
        <w:jc w:val="both"/>
      </w:pPr>
      <w:r w:rsidRPr="002F16BC">
        <w:t xml:space="preserve">A válaszadók </w:t>
      </w:r>
      <w:r>
        <w:t xml:space="preserve">csupán </w:t>
      </w:r>
      <w:r w:rsidRPr="002F16BC">
        <w:t>29%-</w:t>
      </w:r>
      <w:proofErr w:type="gramStart"/>
      <w:r w:rsidRPr="002F16BC">
        <w:t>a</w:t>
      </w:r>
      <w:proofErr w:type="gramEnd"/>
      <w:r w:rsidRPr="002F16BC">
        <w:t xml:space="preserve"> </w:t>
      </w:r>
      <w:r>
        <w:t>értékelte úgy, hogy</w:t>
      </w:r>
      <w:r w:rsidRPr="002F16BC">
        <w:t xml:space="preserve"> a fejlesztésnek jelentős hatása van a környezettudatos szemléletmód erősödésére. 27% szerint ez a hatás alacsony. </w:t>
      </w:r>
      <w:r>
        <w:t>A szöveges válaszok alapján a zöld terület n</w:t>
      </w:r>
      <w:r>
        <w:t>ö</w:t>
      </w:r>
      <w:r>
        <w:t>vekedése, növények telepítése, energiatakarékos megoldások alkalmazása, a településkép rendezetté tét</w:t>
      </w:r>
      <w:r>
        <w:t>e</w:t>
      </w:r>
      <w:r>
        <w:t xml:space="preserve">le hat a lakosság környezettel kapcsolatos szemléletére. </w:t>
      </w:r>
    </w:p>
    <w:p w:rsidR="00020AFE" w:rsidRDefault="00020AFE" w:rsidP="00020AFE">
      <w:pPr>
        <w:jc w:val="both"/>
      </w:pPr>
      <w:r w:rsidRPr="00691E5B">
        <w:t xml:space="preserve">A </w:t>
      </w:r>
      <w:r>
        <w:t>fejlesztésnek közvetett</w:t>
      </w:r>
      <w:r w:rsidRPr="00691E5B">
        <w:t xml:space="preserve"> pozitív hatásai tapasztalhatók, amely főként a lakosság környezetével szemben táplált igényességének növekedésében testesül meg</w:t>
      </w:r>
      <w:r>
        <w:t>.</w:t>
      </w:r>
    </w:p>
    <w:p w:rsidR="00020AFE" w:rsidRPr="002F16BC" w:rsidRDefault="00020AFE" w:rsidP="00020AFE">
      <w:pPr>
        <w:jc w:val="both"/>
      </w:pPr>
    </w:p>
    <w:p w:rsidR="00020AFE" w:rsidRPr="005319D5" w:rsidRDefault="00020AFE" w:rsidP="00020AFE">
      <w:pPr>
        <w:pStyle w:val="StyleHUNHeading3Justified"/>
        <w:ind w:left="504"/>
      </w:pPr>
      <w:r w:rsidRPr="005319D5">
        <w:lastRenderedPageBreak/>
        <w:t>Az intézkedés milyen mértékben járult hozzá a vidéki területeken az életminőség javításához? (323. intézkedés)</w:t>
      </w:r>
    </w:p>
    <w:p w:rsidR="00020AFE" w:rsidRDefault="00020AFE" w:rsidP="00020AFE">
      <w:pPr>
        <w:pStyle w:val="HUNNormal"/>
      </w:pPr>
      <w:r>
        <w:t>Az intézkedés életminőségre gyakorolt hatását négy összetevő várható változásán keresztül vizsgáltuk: 1) megélhetés; 2) az épített és természeti környezet állapota; 3) „élhetőség”: szolgáltatások és infrastruktúra elérhetősége; 4) társadalmi tőke: helyi identitás, közösségi kapcsolatok;</w:t>
      </w:r>
    </w:p>
    <w:p w:rsidR="00020AFE" w:rsidRPr="00B9253A" w:rsidRDefault="00020AFE" w:rsidP="00020AFE">
      <w:pPr>
        <w:pStyle w:val="HUNNormal"/>
        <w:rPr>
          <w:i/>
        </w:rPr>
      </w:pPr>
      <w:r>
        <w:rPr>
          <w:i/>
        </w:rPr>
        <w:t>Az intézkedés hatása a m</w:t>
      </w:r>
      <w:r w:rsidRPr="00B9253A">
        <w:rPr>
          <w:i/>
        </w:rPr>
        <w:t>egélhetés</w:t>
      </w:r>
      <w:r>
        <w:rPr>
          <w:i/>
        </w:rPr>
        <w:t>re</w:t>
      </w:r>
    </w:p>
    <w:p w:rsidR="00020AFE" w:rsidRPr="00F809EC" w:rsidRDefault="00020AFE" w:rsidP="00020AFE">
      <w:r>
        <w:t xml:space="preserve">A </w:t>
      </w:r>
      <w:r w:rsidRPr="00F809EC">
        <w:t>kedvezményezettek körében készített kérdőíves felmérés alátámasztja, hogy az intézkedésnek nincs jele</w:t>
      </w:r>
      <w:r w:rsidRPr="00F809EC">
        <w:t>n</w:t>
      </w:r>
      <w:r w:rsidRPr="00F809EC">
        <w:t>tős közvetlen munkahelyteremtő hatása. A 11</w:t>
      </w:r>
      <w:r>
        <w:t>1</w:t>
      </w:r>
      <w:r w:rsidRPr="00F809EC">
        <w:t xml:space="preserve"> válaszadó szerint</w:t>
      </w:r>
      <w:r>
        <w:t xml:space="preserve"> a fejlesztések</w:t>
      </w:r>
      <w:r w:rsidRPr="00F809EC">
        <w:t xml:space="preserve"> 9</w:t>
      </w:r>
      <w:r>
        <w:t xml:space="preserve"> db teljes munkaidős fo</w:t>
      </w:r>
      <w:r>
        <w:t>g</w:t>
      </w:r>
      <w:r>
        <w:t>lalkoztatott és 22 db részmunkaidős foglalkoztatott alkalmazását eredményezik.</w:t>
      </w:r>
    </w:p>
    <w:p w:rsidR="00020AFE" w:rsidRPr="005C33C8" w:rsidRDefault="00020AFE" w:rsidP="00020AFE">
      <w:r w:rsidRPr="00046B8C">
        <w:t>Az intézkedés hatása a kapcsolódó gazdasági tevékenységeknél (</w:t>
      </w:r>
      <w:proofErr w:type="spellStart"/>
      <w:r w:rsidRPr="00046B8C">
        <w:t>pl</w:t>
      </w:r>
      <w:proofErr w:type="spellEnd"/>
      <w:r w:rsidRPr="00046B8C">
        <w:t xml:space="preserve"> vendéglátás) munkahelyek teremtés</w:t>
      </w:r>
      <w:r w:rsidRPr="00046B8C">
        <w:t>é</w:t>
      </w:r>
      <w:r w:rsidRPr="00046B8C">
        <w:t>hez szintén csekély.</w:t>
      </w:r>
      <w:r>
        <w:t xml:space="preserve">  A válaszadók csupán 6%-a szerint van jelentős, 28% szerint pedig csekély munkahel</w:t>
      </w:r>
      <w:r>
        <w:t>y</w:t>
      </w:r>
      <w:r>
        <w:t>teremtő hatása van a fejlesztéseknek, főként a környező szállásadók és vendéglátók körében.</w:t>
      </w:r>
    </w:p>
    <w:p w:rsidR="00020AFE" w:rsidRDefault="00020AFE" w:rsidP="00020AFE">
      <w:r w:rsidRPr="00F809EC">
        <w:t>Arra a kérdésre, hogy hozzájárul-e és ha igen, milyen mértékben a támogatott fejlesztés a kedvezményezett település/közösség gazdasági tevékenységeinek fenntartásához, fejlesztéséhez, újak kialakulásához? (El</w:t>
      </w:r>
      <w:r w:rsidRPr="00F809EC">
        <w:t>ő</w:t>
      </w:r>
      <w:r w:rsidRPr="00F809EC">
        <w:t xml:space="preserve">segítette-e a beruházás gazdasági pl. turisztikai tevékenységek beindulását, növekedését?) 19% válaszolta, hogy a fejlesztésnek jelentős gazdasági hatása lehet, főként az idegenforgalom és vendéglátás terén. Ezt a megújult műemlékek és rendezvény helyszínek generálhatják. 35% prognosztizál alacsony gazdasági hatást.  </w:t>
      </w:r>
    </w:p>
    <w:p w:rsidR="00020AFE" w:rsidRPr="004F5323" w:rsidRDefault="00020AFE" w:rsidP="00020AFE">
      <w:pPr>
        <w:rPr>
          <w:i/>
          <w:iCs/>
        </w:rPr>
      </w:pPr>
      <w:r>
        <w:rPr>
          <w:i/>
          <w:iCs/>
        </w:rPr>
        <w:t xml:space="preserve">Az intézkedés hatása a természeti és épített környezetre </w:t>
      </w:r>
    </w:p>
    <w:p w:rsidR="00020AFE" w:rsidRDefault="00020AFE" w:rsidP="00020AFE">
      <w:pPr>
        <w:jc w:val="both"/>
      </w:pPr>
      <w:r>
        <w:t>Az intézkedés természeti környezetre gyakorolt hatását a 2.4.20. kérdés tartalmazza.</w:t>
      </w:r>
    </w:p>
    <w:p w:rsidR="00020AFE" w:rsidRPr="007C61AC" w:rsidRDefault="00020AFE" w:rsidP="00020AFE">
      <w:pPr>
        <w:jc w:val="both"/>
      </w:pPr>
      <w:r>
        <w:t>A kedvezményezettek körében kitöltött kérdőíveknek a</w:t>
      </w:r>
      <w:r w:rsidRPr="007C61AC">
        <w:t>rra a kérdés</w:t>
      </w:r>
      <w:r>
        <w:t>é</w:t>
      </w:r>
      <w:r w:rsidRPr="007C61AC">
        <w:t>re, hogy milyen mértékben és milyen módon járul hozzá a támogatott fejlesztés a térség kulturális öröksége állapotának megőrzéséhez, javítás</w:t>
      </w:r>
      <w:r w:rsidRPr="007C61AC">
        <w:t>á</w:t>
      </w:r>
      <w:r w:rsidRPr="007C61AC">
        <w:t>hoz, a válaszadók 68%-</w:t>
      </w:r>
      <w:proofErr w:type="gramStart"/>
      <w:r w:rsidRPr="007C61AC">
        <w:t>a</w:t>
      </w:r>
      <w:proofErr w:type="gramEnd"/>
      <w:r w:rsidRPr="007C61AC">
        <w:t xml:space="preserve"> azt válaszolta, hogy a fejlesztés hatása ezen a téren jelentős, 14% szerint pedig kis mértékű. </w:t>
      </w:r>
      <w:r>
        <w:t>Az intézkedés elsősorban műemlék épületek (főként templomok) felújításával, tájházak kialakít</w:t>
      </w:r>
      <w:r>
        <w:t>á</w:t>
      </w:r>
      <w:r>
        <w:t>sával, a térség kulturális értékeinek bemutathatóvá tételével éri el a kitűzött célt.</w:t>
      </w:r>
    </w:p>
    <w:p w:rsidR="00020AFE" w:rsidRPr="0023498E" w:rsidRDefault="00020AFE" w:rsidP="00020AFE">
      <w:pPr>
        <w:jc w:val="both"/>
        <w:rPr>
          <w:i/>
        </w:rPr>
      </w:pPr>
      <w:r w:rsidRPr="0023498E">
        <w:rPr>
          <w:i/>
        </w:rPr>
        <w:t>Az intézkedés hatása az „élhetőségre”</w:t>
      </w:r>
    </w:p>
    <w:p w:rsidR="00020AFE" w:rsidRPr="00691E5B" w:rsidRDefault="00020AFE" w:rsidP="00020AFE">
      <w:pPr>
        <w:jc w:val="both"/>
      </w:pPr>
      <w:r>
        <w:t>Az intézkedés főként kulturális és egyházi szolgáltatások elérését teszi lehetővé azok helyszíneinek megúj</w:t>
      </w:r>
      <w:r>
        <w:t>í</w:t>
      </w:r>
      <w:r>
        <w:t xml:space="preserve">tása révén. A lelki (romos műemlék templomok) és fizikai élettér megújulása a válaszadók szerint fontos, ezekre a megújult helyszínekre rengeteg kulturális eseményt terveznek, illetve már jelenleg szerveznek (templomi hangversenyek, karének, kismesterségek ápolása, szakkörök, egyéb rendezvények).   </w:t>
      </w:r>
    </w:p>
    <w:p w:rsidR="00020AFE" w:rsidRPr="0023498E" w:rsidRDefault="00020AFE" w:rsidP="00020AFE">
      <w:pPr>
        <w:jc w:val="both"/>
        <w:rPr>
          <w:i/>
        </w:rPr>
      </w:pPr>
      <w:r w:rsidRPr="0023498E">
        <w:rPr>
          <w:i/>
        </w:rPr>
        <w:t>Az intézkedés hatása a helyi identitásra, kötődésre</w:t>
      </w:r>
    </w:p>
    <w:p w:rsidR="00020AFE" w:rsidRDefault="00020AFE" w:rsidP="00020AFE">
      <w:pPr>
        <w:jc w:val="both"/>
      </w:pPr>
      <w:r w:rsidRPr="004F3615">
        <w:t>Arra a kérdésre, hogy a támogatásból megvalósult fejlesztés milyen mértékben és hogyan járul hozzá a té</w:t>
      </w:r>
      <w:r w:rsidRPr="004F3615">
        <w:t>r</w:t>
      </w:r>
      <w:r w:rsidRPr="004F3615">
        <w:t xml:space="preserve">ségben élők térséghez kötődésének, identitástudatának, közösségi érzésének erősödéséhez, </w:t>
      </w:r>
      <w:r>
        <w:t>a válaszadók 56%-a felelte, hogy a fejlesztés hatása jelentős, 17% szerint kismértékű ugyan, de van. A szöveges válaszok alapján a helyiek büszkék a fejlesztésekre. A megújított műemlékek a közösségi tevékenységek színvonalas helyszínéül szolgálnak.</w:t>
      </w:r>
    </w:p>
    <w:p w:rsidR="00020AFE" w:rsidRPr="004F3615" w:rsidRDefault="00020AFE" w:rsidP="00020AFE">
      <w:pPr>
        <w:jc w:val="both"/>
      </w:pPr>
    </w:p>
    <w:p w:rsidR="00020AFE" w:rsidRDefault="00020AFE" w:rsidP="00020AFE">
      <w:pPr>
        <w:pStyle w:val="StyleHUNHeading3Justified"/>
        <w:ind w:left="504"/>
      </w:pPr>
      <w:r w:rsidRPr="005319D5">
        <w:lastRenderedPageBreak/>
        <w:t>A támogatott képzési és tájékoztatási tevékenységek milyen mértékben javították a vidéki lakosság emberi erőforrását annak érdekében, hogy tevékenységét a nem mez</w:t>
      </w:r>
      <w:r w:rsidRPr="005319D5">
        <w:t>ő</w:t>
      </w:r>
      <w:r w:rsidRPr="005319D5">
        <w:t>gazdasági tevékenységek irányába diverzifikálja? Az elemzést a legfontosabb tev</w:t>
      </w:r>
      <w:r w:rsidRPr="005319D5">
        <w:t>é</w:t>
      </w:r>
      <w:r w:rsidRPr="005319D5">
        <w:t>kenységekre összpontosítsa. (331. intézkedés)</w:t>
      </w:r>
    </w:p>
    <w:p w:rsidR="00020AFE" w:rsidRDefault="00020AFE" w:rsidP="00020AFE">
      <w:pPr>
        <w:pStyle w:val="HUNNormal"/>
      </w:pPr>
      <w:r>
        <w:t>Az intézkedés megvalósítására a vizsgált időszakban nem került sor.</w:t>
      </w:r>
    </w:p>
    <w:p w:rsidR="00020AFE" w:rsidRDefault="00020AFE" w:rsidP="00020AFE">
      <w:pPr>
        <w:pStyle w:val="StyleHUNHeading3Justified"/>
        <w:ind w:left="504"/>
      </w:pPr>
      <w:r w:rsidRPr="005319D5">
        <w:t>A támogatott képzési és tájékoztatási tevékenységek nyomán nyert ismereteket m</w:t>
      </w:r>
      <w:r w:rsidRPr="005319D5">
        <w:t>i</w:t>
      </w:r>
      <w:r w:rsidRPr="005319D5">
        <w:t>lyen mértékben használták az érintett területen? (331. intézkedés)</w:t>
      </w:r>
    </w:p>
    <w:p w:rsidR="00020AFE" w:rsidRDefault="00020AFE" w:rsidP="00020AFE">
      <w:pPr>
        <w:pStyle w:val="HUNNormal"/>
      </w:pPr>
      <w:r>
        <w:t>Az intézkedés megvalósítására a vizsgált időszakban nem került sor.</w:t>
      </w:r>
    </w:p>
    <w:p w:rsidR="00020AFE" w:rsidRDefault="00020AFE" w:rsidP="00020AFE">
      <w:pPr>
        <w:pStyle w:val="StyleHUNHeading3Justified"/>
        <w:ind w:left="504"/>
      </w:pPr>
      <w:r w:rsidRPr="005319D5">
        <w:t>A támogatott képzési és tájékoztatási tevékenységek milyen mértékben járultak hozzá a vidéki területeken az életminőség javításához? (331. intézkedés)</w:t>
      </w:r>
    </w:p>
    <w:p w:rsidR="00020AFE" w:rsidRDefault="00020AFE" w:rsidP="00020AFE">
      <w:pPr>
        <w:pStyle w:val="HUNNormal"/>
      </w:pPr>
      <w:r>
        <w:t>Az intézkedés megvalósítására a vizsgált időszakban nem került sor.</w:t>
      </w:r>
    </w:p>
    <w:p w:rsidR="00020AFE" w:rsidRDefault="00020AFE" w:rsidP="00020AFE">
      <w:pPr>
        <w:pStyle w:val="HUNNormal"/>
      </w:pPr>
    </w:p>
    <w:p w:rsidR="00020AFE" w:rsidRDefault="00020AFE" w:rsidP="00020AFE">
      <w:pPr>
        <w:pStyle w:val="StyleHUNHeading3Justified"/>
        <w:ind w:left="504"/>
      </w:pPr>
      <w:r w:rsidRPr="005319D5">
        <w:t>A támogatott tevékenységek milyen mértékben növelték a vidéki gazdasági szere</w:t>
      </w:r>
      <w:r w:rsidRPr="005319D5">
        <w:t>p</w:t>
      </w:r>
      <w:r w:rsidRPr="005319D5">
        <w:t>lőknek a vidékfejlesztés területén a helyi fejlesztési stratégiák és intézkedések el</w:t>
      </w:r>
      <w:r w:rsidRPr="005319D5">
        <w:t>ő</w:t>
      </w:r>
      <w:r w:rsidRPr="005319D5">
        <w:t>készítését, fejlesztését és végrehajtását célzó kapacitásait? (341. intézkedés)</w:t>
      </w:r>
    </w:p>
    <w:p w:rsidR="00020AFE" w:rsidRDefault="00020AFE" w:rsidP="00020AFE">
      <w:pPr>
        <w:pStyle w:val="HUNNormal"/>
      </w:pPr>
      <w:r>
        <w:t>Az intézkedés keretében történt a mozgósítása a helyi akciócsoportok megalakítására, a csoportok regisz</w:t>
      </w:r>
      <w:r>
        <w:t>t</w:t>
      </w:r>
      <w:r>
        <w:t xml:space="preserve">rációja és a helyi vidékfejlesztési stratégiák elkészítésének támogatása. A monitoring adtabázis összesített adatai a </w:t>
      </w:r>
      <w:r w:rsidRPr="007F16ED">
        <w:t xml:space="preserve">helyi fejlesztési stratégia előkészítésébe és megvalósításába bevont munkatársak képzésének száma </w:t>
      </w:r>
      <w:r>
        <w:t xml:space="preserve">700 </w:t>
      </w:r>
      <w:r w:rsidRPr="007F16ED">
        <w:t>db</w:t>
      </w:r>
      <w:r>
        <w:t xml:space="preserve">. A képzéseken résztvevők száma </w:t>
      </w:r>
      <w:proofErr w:type="gramStart"/>
      <w:r>
        <w:t>ugyanezen</w:t>
      </w:r>
      <w:proofErr w:type="gramEnd"/>
      <w:r>
        <w:t xml:space="preserve"> adatbázis alapján 2861 fő. </w:t>
      </w:r>
    </w:p>
    <w:p w:rsidR="00020AFE" w:rsidRDefault="00020AFE" w:rsidP="00020AFE">
      <w:pPr>
        <w:jc w:val="both"/>
      </w:pPr>
      <w:r>
        <w:t>A Helyi Vidékfejlesztési Irodák által végzett mozgósítás, promóciós tevékenységek, adatszolgáltatás és ké</w:t>
      </w:r>
      <w:r>
        <w:t>p</w:t>
      </w:r>
      <w:r>
        <w:t>zések száma, valamint az ezeken az akciókon résztvevő emberek száma jóval meghaladta a tervezett ért</w:t>
      </w:r>
      <w:r>
        <w:t>é</w:t>
      </w:r>
      <w:r>
        <w:t>ket. A LEADER akciócsoportok megalakulása és az, hogy ezek a partnerségek az ország csaknem teljes v</w:t>
      </w:r>
      <w:r>
        <w:t>i</w:t>
      </w:r>
      <w:r>
        <w:t xml:space="preserve">dékinek minősülő részét lefedik, azt mutatják, hogy ez az intézkedés a mozgósításban és tájékoztatásban elérte a célját. </w:t>
      </w:r>
    </w:p>
    <w:p w:rsidR="00020AFE" w:rsidRDefault="00020AFE" w:rsidP="00020AFE">
      <w:pPr>
        <w:pStyle w:val="HUNNormal"/>
      </w:pPr>
      <w:r>
        <w:t>A helyi akciócsoportok körében végzett kérdőíves felmérés alapján a Tervezést Koordináló Csoportokban résztvevők száma hozzávetőlegesen 1249 fő.</w:t>
      </w:r>
    </w:p>
    <w:p w:rsidR="00020AFE" w:rsidRDefault="00020AFE" w:rsidP="00020AFE">
      <w:pPr>
        <w:pStyle w:val="HUNNormal"/>
      </w:pPr>
      <w:r>
        <w:t>A kérdőív válaszai szerint a kérőívet kitöltő 89 akciócsoport fele vett részt stratégiai tervezés témájú képz</w:t>
      </w:r>
      <w:r>
        <w:t>é</w:t>
      </w:r>
      <w:r>
        <w:t>sen, amelynek minőségét a válaszadók 51%-a (23 db) közepesnek, 42% (19 db) pedig jónak minősített.  A hasznosságát tekintve ezek a képzések szintén közepes vagy annál jobb minősítést kaptak (91%, 41 db). Az ilyen témájú képzéseken a 89 válaszadó alapján 99 fő vett részt.</w:t>
      </w:r>
    </w:p>
    <w:p w:rsidR="00020AFE" w:rsidRDefault="00020AFE" w:rsidP="00020AFE">
      <w:pPr>
        <w:pStyle w:val="HUNNormal"/>
      </w:pPr>
      <w:r>
        <w:t>A válaszadók 98%-a vett részt kérelemkezeléssel kapcsolatos képzésen, amelynek a színvonalát a válas</w:t>
      </w:r>
      <w:r>
        <w:t>z</w:t>
      </w:r>
      <w:r>
        <w:t>adók 28%-a (24 db) közepesre, 46% (40 db) pedig közepesnél jobbnak értékelte. Ezeknek a hasznosságát 29% (25 db) ítélte közepesnek, és 54% (47 db) közepesnél jobbnak. Az ilyen témájú képzéseken a 89 v</w:t>
      </w:r>
      <w:r>
        <w:t>á</w:t>
      </w:r>
      <w:r>
        <w:t>laszadó alapján 391 fő vett részt. A képzések célja az ügyintézés elősegítése. Tartalmi jellegű kérdések me</w:t>
      </w:r>
      <w:r>
        <w:t>g</w:t>
      </w:r>
      <w:r>
        <w:t>tárgyalására nem volt mód.</w:t>
      </w:r>
    </w:p>
    <w:p w:rsidR="00020AFE" w:rsidRDefault="00020AFE" w:rsidP="00020AFE">
      <w:pPr>
        <w:pStyle w:val="HUNNormal"/>
      </w:pPr>
      <w:r>
        <w:t>Az akciócsoportok elenyésző aránya vett részt egyéb témájú képzéseken.</w:t>
      </w:r>
    </w:p>
    <w:p w:rsidR="00020AFE" w:rsidRDefault="00020AFE" w:rsidP="00020AFE">
      <w:pPr>
        <w:pStyle w:val="HUNNormal"/>
      </w:pPr>
      <w:r>
        <w:lastRenderedPageBreak/>
        <w:t>A fókuszcsoportok és személyes beszélgetések tanulsága szerint a</w:t>
      </w:r>
      <w:r w:rsidRPr="00E33C1C">
        <w:t xml:space="preserve"> feladatok ellátásához – legyen az del</w:t>
      </w:r>
      <w:r w:rsidRPr="00E33C1C">
        <w:t>e</w:t>
      </w:r>
      <w:r w:rsidRPr="00E33C1C">
        <w:t>gált feladat, hálózatépítés, tervezés vagy projektgenerálás – az akciócsoportoknak szükségük van rendsz</w:t>
      </w:r>
      <w:r w:rsidRPr="00E33C1C">
        <w:t>e</w:t>
      </w:r>
      <w:r w:rsidRPr="00E33C1C">
        <w:t>res (tovább</w:t>
      </w:r>
      <w:proofErr w:type="gramStart"/>
      <w:r w:rsidRPr="00E33C1C">
        <w:t>)képzésekre</w:t>
      </w:r>
      <w:proofErr w:type="gramEnd"/>
      <w:r w:rsidRPr="00E33C1C">
        <w:t xml:space="preserve">, továbbá </w:t>
      </w:r>
      <w:r>
        <w:t xml:space="preserve">a társadalmi tanulást segítő akciókra, </w:t>
      </w:r>
      <w:r w:rsidRPr="00E33C1C">
        <w:t>tapasztalatcserékre (</w:t>
      </w:r>
      <w:proofErr w:type="spellStart"/>
      <w:r w:rsidRPr="00E33C1C">
        <w:t>HACS-ok</w:t>
      </w:r>
      <w:proofErr w:type="spellEnd"/>
      <w:r w:rsidRPr="00E33C1C">
        <w:t xml:space="preserve"> eg</w:t>
      </w:r>
      <w:r w:rsidRPr="00E33C1C">
        <w:t>y</w:t>
      </w:r>
      <w:r w:rsidRPr="00E33C1C">
        <w:t>más között és más szervezetekkel), valamint igény szerinti, tematikus képzésekre (beleértve a vezetői kés</w:t>
      </w:r>
      <w:r w:rsidRPr="00E33C1C">
        <w:t>z</w:t>
      </w:r>
      <w:r w:rsidRPr="00E33C1C">
        <w:t>ségek fejlesztését, konfliktuskezelést, animációt, stb</w:t>
      </w:r>
      <w:r>
        <w:t>.)</w:t>
      </w:r>
    </w:p>
    <w:p w:rsidR="00020AFE" w:rsidRDefault="00020AFE" w:rsidP="00020AFE">
      <w:pPr>
        <w:pStyle w:val="HUNNormal"/>
      </w:pPr>
      <w:r>
        <w:t>A vizsgált időszakban a tervezéssel kapcsolatos megbeszélések és a kérelemkezeléssel kapcsolatos képz</w:t>
      </w:r>
      <w:r>
        <w:t>é</w:t>
      </w:r>
      <w:r>
        <w:t>sek mellett erre nem alakult ki gyakorlat.</w:t>
      </w:r>
    </w:p>
    <w:p w:rsidR="00020AFE" w:rsidRPr="00E33C1C" w:rsidRDefault="00020AFE" w:rsidP="00020AFE">
      <w:pPr>
        <w:pStyle w:val="HUNNormal"/>
      </w:pPr>
    </w:p>
    <w:p w:rsidR="00020AFE" w:rsidRDefault="00020AFE" w:rsidP="00020AFE">
      <w:pPr>
        <w:pStyle w:val="StyleHUNHeading3Justified"/>
        <w:ind w:left="504"/>
      </w:pPr>
      <w:r w:rsidRPr="005319D5">
        <w:t>A támogatott tevékenységek milyen mértékben járultak hozzá a szélesebb értele</w:t>
      </w:r>
      <w:r w:rsidRPr="005319D5">
        <w:t>m</w:t>
      </w:r>
      <w:r w:rsidRPr="005319D5">
        <w:t>ben vett vidéki gazdaságra és lakosságra irányuló intézkedések közötti területi koh</w:t>
      </w:r>
      <w:r w:rsidRPr="005319D5">
        <w:t>e</w:t>
      </w:r>
      <w:r w:rsidRPr="005319D5">
        <w:t>rencia és szinergia megerősítéséhez? (341. intézkedés)</w:t>
      </w:r>
    </w:p>
    <w:p w:rsidR="00020AFE" w:rsidRDefault="00020AFE" w:rsidP="00020AFE">
      <w:pPr>
        <w:pStyle w:val="HUNNormal"/>
      </w:pPr>
      <w:r>
        <w:t>Az intézkedés támogatásával alakultak meg a helyi akciócsoportok, ebből történt a segítségnyújtás finansz</w:t>
      </w:r>
      <w:r>
        <w:t>í</w:t>
      </w:r>
      <w:r>
        <w:t>rozása a helyi fejlesztési stratégiák elkészítéséhez, valamint részen a helyi akciócsoportok működési költs</w:t>
      </w:r>
      <w:r>
        <w:t>é</w:t>
      </w:r>
      <w:r>
        <w:t xml:space="preserve">geinek finanszírozása. Ezzel közvetetten ugyan, de az intézkedés hozzájárult az intézkedések közötti területi koherencia és szinergia megteremtéséhez. </w:t>
      </w:r>
    </w:p>
    <w:p w:rsidR="00020AFE" w:rsidRDefault="00020AFE" w:rsidP="00020AFE">
      <w:pPr>
        <w:pStyle w:val="HUNNormal"/>
      </w:pPr>
    </w:p>
    <w:p w:rsidR="00020AFE" w:rsidRPr="005319D5" w:rsidRDefault="00020AFE" w:rsidP="00020AFE">
      <w:pPr>
        <w:pStyle w:val="StyleHUNHeading3Justified"/>
        <w:ind w:left="504"/>
      </w:pPr>
      <w:r w:rsidRPr="005319D5">
        <w:t>A támogatott tevékenységek milyen mértékben járultak hozzá a vidéki területeken az életminőség javításához? (341. intézkedés)</w:t>
      </w:r>
    </w:p>
    <w:p w:rsidR="00020AFE" w:rsidRDefault="00020AFE" w:rsidP="00020AFE">
      <w:pPr>
        <w:pStyle w:val="HUNNormal"/>
      </w:pPr>
      <w:r>
        <w:t>Az intézkedésnek nem volt közvetlen hatása a vidéki területeken élők életminőségére.</w:t>
      </w:r>
    </w:p>
    <w:p w:rsidR="00020AFE" w:rsidRDefault="00020AFE" w:rsidP="00020AFE">
      <w:pPr>
        <w:pStyle w:val="StyleHUNHeading2Justified"/>
      </w:pPr>
      <w:r>
        <w:br w:type="page"/>
      </w:r>
      <w:bookmarkStart w:id="43" w:name="_Toc277924801"/>
      <w:bookmarkStart w:id="44" w:name="_Toc279592177"/>
      <w:bookmarkStart w:id="45" w:name="_Toc280788359"/>
      <w:proofErr w:type="spellStart"/>
      <w:r>
        <w:lastRenderedPageBreak/>
        <w:t>LEADER-rel</w:t>
      </w:r>
      <w:proofErr w:type="spellEnd"/>
      <w:r>
        <w:t xml:space="preserve"> kapcsolatos kérdések (</w:t>
      </w:r>
      <w:r w:rsidR="004E4D93">
        <w:t>IV</w:t>
      </w:r>
      <w:r>
        <w:t>. tengely)</w:t>
      </w:r>
      <w:bookmarkEnd w:id="43"/>
      <w:bookmarkEnd w:id="44"/>
      <w:bookmarkEnd w:id="45"/>
    </w:p>
    <w:p w:rsidR="00020AFE" w:rsidRPr="0086105C" w:rsidRDefault="00020AFE" w:rsidP="00020AFE">
      <w:pPr>
        <w:pStyle w:val="StyleHUNHeading3Justified"/>
        <w:ind w:left="504"/>
      </w:pPr>
      <w:r w:rsidRPr="0086105C">
        <w:t xml:space="preserve">A </w:t>
      </w:r>
      <w:proofErr w:type="spellStart"/>
      <w:r>
        <w:t>LEADER</w:t>
      </w:r>
      <w:r w:rsidRPr="0086105C">
        <w:t>-megközelítés</w:t>
      </w:r>
      <w:proofErr w:type="spellEnd"/>
      <w:r w:rsidRPr="0086105C">
        <w:t xml:space="preserve"> milyen mértékben járult hozzá a vidéki területeken a helyi kormányzás javításához? (41. intézkedés)</w:t>
      </w:r>
    </w:p>
    <w:p w:rsidR="00020AFE" w:rsidRDefault="00020AFE" w:rsidP="00020AFE">
      <w:pPr>
        <w:pStyle w:val="HUNNormal"/>
      </w:pPr>
      <w:r w:rsidRPr="00313CF3">
        <w:t xml:space="preserve">A </w:t>
      </w:r>
      <w:proofErr w:type="spellStart"/>
      <w:r w:rsidRPr="00313CF3">
        <w:t>HACS-ok</w:t>
      </w:r>
      <w:proofErr w:type="spellEnd"/>
      <w:r w:rsidRPr="00313CF3">
        <w:t xml:space="preserve"> körében készített kérdőíves felmérés </w:t>
      </w:r>
      <w:r>
        <w:t xml:space="preserve">és a fókuszcsoportok vizsgálták, hogy </w:t>
      </w:r>
      <w:r w:rsidRPr="00313CF3">
        <w:t xml:space="preserve">milyen mértékben járult hozzá a </w:t>
      </w:r>
      <w:r>
        <w:t>LEADER</w:t>
      </w:r>
      <w:r w:rsidRPr="00313CF3">
        <w:t xml:space="preserve"> megközelítés alkalmazása a helyi döntéshozási és végrehajtási mechanizmusok á</w:t>
      </w:r>
      <w:r w:rsidRPr="00313CF3">
        <w:t>t</w:t>
      </w:r>
      <w:r w:rsidRPr="00313CF3">
        <w:t xml:space="preserve">láthatóságának javításához, </w:t>
      </w:r>
      <w:r>
        <w:t xml:space="preserve">az </w:t>
      </w:r>
      <w:r w:rsidRPr="00313CF3">
        <w:t>érintett társadalmi és gazdasági szereplőinek a döntéshozási folyamatba történő bevonásához, így a helyi kormányzás demokratikusabbá válásához</w:t>
      </w:r>
      <w:r>
        <w:t>. A válaszadó 88 HACS 39%-a jelzett jelentős pozitív hatást. 42%-a szerint közepes, 19% szerint alacsony jelentőségű a Program hatása a helyi döntéshozatali mechanizmusok átláthatóbbá, demokratikusabbá válására.</w:t>
      </w:r>
    </w:p>
    <w:p w:rsidR="00020AFE" w:rsidRDefault="00020AFE" w:rsidP="00020AFE">
      <w:pPr>
        <w:pStyle w:val="HUNNormal"/>
      </w:pPr>
      <w:r>
        <w:t>A válaszadók 70%-</w:t>
      </w:r>
      <w:proofErr w:type="gramStart"/>
      <w:r>
        <w:t>a</w:t>
      </w:r>
      <w:proofErr w:type="gramEnd"/>
      <w:r>
        <w:t xml:space="preserve"> esetén a </w:t>
      </w:r>
      <w:r w:rsidRPr="0092272B">
        <w:t>szűkebb döntéshozó testület (elnökség, vezetőség) ülésein részt vehetnek az abban szavazati joggal nem rendelkező térségi szereplők</w:t>
      </w:r>
      <w:r>
        <w:t>. 84%-ban a</w:t>
      </w:r>
      <w:r w:rsidRPr="0092272B">
        <w:t xml:space="preserve"> HACS illetve a szűkebb döntéshozó testület üléseinek jegyzőkönyvei, emlékeztetői elérhetők a térségi szereplők számára</w:t>
      </w:r>
      <w:r>
        <w:t>.</w:t>
      </w:r>
    </w:p>
    <w:p w:rsidR="00020AFE" w:rsidRDefault="00020AFE" w:rsidP="00020AFE">
      <w:pPr>
        <w:pStyle w:val="HUNNormal"/>
      </w:pPr>
      <w:r>
        <w:t xml:space="preserve">A fókuszcsoportok, interjúk, esettanulmányok alapján azt mondhatjuk, hogy a LEADER típusú vidékfejlesztés bevezetése a </w:t>
      </w:r>
      <w:proofErr w:type="spellStart"/>
      <w:r>
        <w:t>HACS-ok</w:t>
      </w:r>
      <w:proofErr w:type="spellEnd"/>
      <w:r>
        <w:t xml:space="preserve"> jelentős részét elindította ugyan a jól működő helyi kormányzás kialakulásához vez</w:t>
      </w:r>
      <w:r>
        <w:t>e</w:t>
      </w:r>
      <w:r>
        <w:t>tő úton, de még rengeteg a tennivaló. Ennek az okai egyrészt a hazai politikai és vitakultúra alacsony szin</w:t>
      </w:r>
      <w:r>
        <w:t>t</w:t>
      </w:r>
      <w:r>
        <w:t xml:space="preserve">jében, a civil szféra gyengeségében, másrészt az autonómia hiányában keresendő. Az, hogy a </w:t>
      </w:r>
      <w:proofErr w:type="spellStart"/>
      <w:r>
        <w:t>HACS-ok</w:t>
      </w:r>
      <w:proofErr w:type="spellEnd"/>
      <w:r>
        <w:t xml:space="preserve"> k</w:t>
      </w:r>
      <w:r>
        <w:t>i</w:t>
      </w:r>
      <w:r>
        <w:t xml:space="preserve">alakítása, a HVS megírása során nagyon szorosak voltak a határidők, hogy a </w:t>
      </w:r>
      <w:proofErr w:type="spellStart"/>
      <w:r>
        <w:t>HACS-ok</w:t>
      </w:r>
      <w:proofErr w:type="spellEnd"/>
      <w:r>
        <w:t xml:space="preserve"> sem a program elők</w:t>
      </w:r>
      <w:r>
        <w:t>é</w:t>
      </w:r>
      <w:r>
        <w:t>szítése, sem a végrehajtás során nem kaptak valódi autonómiát, hogy végig szoros irányítás alatt álltak („fogták a kezüket”) talán megelőzött bizonyos hibákat és szabálytalanságokat, de végső soron komoly ak</w:t>
      </w:r>
      <w:r>
        <w:t>a</w:t>
      </w:r>
      <w:r>
        <w:t>dályt jelentett az önállósodás, az önszerveződés és az egész rendszer fejlődésének útjában.</w:t>
      </w:r>
    </w:p>
    <w:p w:rsidR="00020AFE" w:rsidRDefault="00020AFE" w:rsidP="00020AFE">
      <w:pPr>
        <w:pStyle w:val="HUNNormal"/>
      </w:pPr>
    </w:p>
    <w:p w:rsidR="00020AFE" w:rsidRPr="0086105C" w:rsidRDefault="00020AFE" w:rsidP="00020AFE">
      <w:pPr>
        <w:pStyle w:val="StyleHUNHeading3Justified"/>
        <w:ind w:left="504"/>
      </w:pPr>
      <w:r w:rsidRPr="0086105C">
        <w:t xml:space="preserve">A </w:t>
      </w:r>
      <w:proofErr w:type="spellStart"/>
      <w:r>
        <w:t>LEADER</w:t>
      </w:r>
      <w:r w:rsidRPr="0086105C">
        <w:t>-megközelítés</w:t>
      </w:r>
      <w:proofErr w:type="spellEnd"/>
      <w:r w:rsidRPr="0086105C">
        <w:t xml:space="preserve"> milyen mértékben járult hozzá a vidéki területek helyi kezdeményezésen alapuló fejlesztési potenciáljának mozgósításához? (41. intézkedés)</w:t>
      </w:r>
    </w:p>
    <w:p w:rsidR="00020AFE" w:rsidRDefault="00020AFE" w:rsidP="00020AFE">
      <w:pPr>
        <w:jc w:val="both"/>
      </w:pPr>
      <w:r>
        <w:t xml:space="preserve">A </w:t>
      </w:r>
      <w:proofErr w:type="spellStart"/>
      <w:r>
        <w:t>HACS-ok</w:t>
      </w:r>
      <w:proofErr w:type="spellEnd"/>
      <w:r>
        <w:t xml:space="preserve"> a tervezési folyamat során, és a stratégia elfogadása után is folytatták a lakossági fórumok tart</w:t>
      </w:r>
      <w:r>
        <w:t>á</w:t>
      </w:r>
      <w:r>
        <w:t>sát, elsősorban a meghirdetett jogcímekkel kapcsolatos tájékoztatás céljából. A kérdőíves felmérés alapján a 88 választ adó HACS összességében 1224 nyitott lakossági fórumot tartott, átlagosan 14-et (a szórás itt is jelentős, 3-tól 160-ig terjed). A fórumok 66%-ban 11-20 fő, 29%-ban 21 és 50 fő részvételével zajlottak.</w:t>
      </w:r>
    </w:p>
    <w:p w:rsidR="00020AFE" w:rsidRDefault="00020AFE" w:rsidP="00020AFE">
      <w:pPr>
        <w:jc w:val="both"/>
      </w:pPr>
      <w:r>
        <w:t xml:space="preserve">A lakossággal történő kapcsolattartásra és a Program ismertségének növelésére a csoportok többségénél általánosan alkalmazott és fontosnak minősített eszköz a folyamatosan frissített honlap, a HACS képviselete a társadalmi eseményeken, rendezvényeken, valamint 55 csoport esetén a potenciális pályázók személyes megkeresése, 39 csoportnál hírlevelek terjesztése. Ritkán alkalmazott eszköz, de előfordult képzés és szakmai kirándulás. </w:t>
      </w:r>
    </w:p>
    <w:p w:rsidR="00020AFE" w:rsidRDefault="00020AFE" w:rsidP="00020AFE">
      <w:pPr>
        <w:jc w:val="both"/>
      </w:pPr>
      <w:r>
        <w:t>A kedvezményezettek által beküldött kérdőívekből kiviláglik a munkaszervezetek jelentős szerepe mind a tájékoztatásban, mind a támogatási kérelmek elkészítésében való segítségnyújtásban. A LEADER tengely forrásaira pályázók 86%-</w:t>
      </w:r>
      <w:proofErr w:type="gramStart"/>
      <w:r>
        <w:t>a</w:t>
      </w:r>
      <w:proofErr w:type="gramEnd"/>
      <w:r>
        <w:t xml:space="preserve"> az akciócsoporttól értesült a pályázati lehetőségről, 89%-uk pedig az akciócs</w:t>
      </w:r>
      <w:r>
        <w:t>o</w:t>
      </w:r>
      <w:r>
        <w:t>porttól kapott segítséget a pályázat elkészítéséhez. A segítségnyújtás túlnyomó többségében a tartalmi és formai követelmények értelmezésére irányult. A válaszadók 58%-a szerint a HACS jelentős előnyöket jele</w:t>
      </w:r>
      <w:r>
        <w:t>n</w:t>
      </w:r>
      <w:r>
        <w:t xml:space="preserve">tett a pályázás során, 31% szerint voltak előnyei a HACS közreműködésének. Csupán 1% ítélte úgy, hogy a HACS közreműködése hátrányos volt. A </w:t>
      </w:r>
      <w:proofErr w:type="spellStart"/>
      <w:r>
        <w:t>HACS-ok</w:t>
      </w:r>
      <w:proofErr w:type="spellEnd"/>
      <w:r>
        <w:t xml:space="preserve"> által nyújtott segítséget a pályázók 92%-</w:t>
      </w:r>
      <w:proofErr w:type="gramStart"/>
      <w:r>
        <w:t>a  jónak</w:t>
      </w:r>
      <w:proofErr w:type="gramEnd"/>
      <w:r>
        <w:t>, vagy teljes mértékben kielégítőnek találta.</w:t>
      </w:r>
    </w:p>
    <w:p w:rsidR="00020AFE" w:rsidRDefault="00020AFE" w:rsidP="00020AFE">
      <w:pPr>
        <w:jc w:val="both"/>
      </w:pPr>
      <w:r>
        <w:lastRenderedPageBreak/>
        <w:t xml:space="preserve">A helyi akciócsoportok mozgósításban betöltött szerepe a III. tengely </w:t>
      </w:r>
      <w:proofErr w:type="spellStart"/>
      <w:r>
        <w:t>HACS-ok</w:t>
      </w:r>
      <w:proofErr w:type="spellEnd"/>
      <w:r>
        <w:t xml:space="preserve"> közreműködésével megvalós</w:t>
      </w:r>
      <w:r>
        <w:t>u</w:t>
      </w:r>
      <w:r>
        <w:t xml:space="preserve">ló fejlesztései esetén is nagyon jelentős volt. A kedvezményezettek többsége az akciócsoportoktól szerzett tudomást a fejlesztési lehetőségekről, illetve fontosnak és jó színvonalúnak ítélte a </w:t>
      </w:r>
      <w:proofErr w:type="spellStart"/>
      <w:r>
        <w:t>HACS-ok</w:t>
      </w:r>
      <w:proofErr w:type="spellEnd"/>
      <w:r>
        <w:t xml:space="preserve"> segítségét a kérelmek elkészítésében és a megvalósításban egyaránt. Ennek főként a vállalkozók mozgósításában van meghatározó szerepe. </w:t>
      </w:r>
    </w:p>
    <w:p w:rsidR="00020AFE" w:rsidRDefault="00020AFE" w:rsidP="00020AFE">
      <w:pPr>
        <w:jc w:val="both"/>
      </w:pPr>
      <w:r>
        <w:t xml:space="preserve">A </w:t>
      </w:r>
      <w:proofErr w:type="spellStart"/>
      <w:r>
        <w:t>HACS-ok</w:t>
      </w:r>
      <w:proofErr w:type="spellEnd"/>
      <w:r>
        <w:t xml:space="preserve"> ilyen irányú tevékenységét nehezítette (főként a vállalkozók esetén), hitelüket rontotta az elf</w:t>
      </w:r>
      <w:r>
        <w:t>o</w:t>
      </w:r>
      <w:r>
        <w:t>gadhatatlanul hosszú és bonyolult pályázati ügyintézés, az előleg hiánya, amely a vállalkozók számára ren</w:t>
      </w:r>
      <w:r>
        <w:t>d</w:t>
      </w:r>
      <w:r>
        <w:t>kívül kockázatossá tette a fejlesztések megvalósítását.</w:t>
      </w:r>
    </w:p>
    <w:p w:rsidR="00020AFE" w:rsidRPr="00B60495" w:rsidRDefault="00020AFE" w:rsidP="00020AFE">
      <w:pPr>
        <w:jc w:val="both"/>
      </w:pPr>
    </w:p>
    <w:p w:rsidR="00020AFE" w:rsidRDefault="00020AFE" w:rsidP="00020AFE">
      <w:pPr>
        <w:pStyle w:val="StyleHUNHeading3Justified"/>
        <w:ind w:left="504"/>
      </w:pPr>
      <w:r w:rsidRPr="005D6BD2">
        <w:t xml:space="preserve">A </w:t>
      </w:r>
      <w:proofErr w:type="spellStart"/>
      <w:r>
        <w:t>LEADER</w:t>
      </w:r>
      <w:r w:rsidRPr="005D6BD2">
        <w:t>-megközelítés</w:t>
      </w:r>
      <w:proofErr w:type="spellEnd"/>
      <w:r w:rsidRPr="005D6BD2">
        <w:t xml:space="preserve"> milyen mértékben járult hozzá a </w:t>
      </w:r>
      <w:proofErr w:type="spellStart"/>
      <w:r w:rsidRPr="005D6BD2">
        <w:t>multiszektorális</w:t>
      </w:r>
      <w:proofErr w:type="spellEnd"/>
      <w:r w:rsidRPr="005D6BD2">
        <w:t xml:space="preserve"> megk</w:t>
      </w:r>
      <w:r w:rsidRPr="005D6BD2">
        <w:t>ö</w:t>
      </w:r>
      <w:r w:rsidRPr="005D6BD2">
        <w:t>zelítés bevezetéséhez és a vidékfejlesztési programok végrehajtására irányuló együttműködés elősegítéséhez? (41. intézkedés)</w:t>
      </w:r>
    </w:p>
    <w:p w:rsidR="00020AFE" w:rsidRPr="00A8324D" w:rsidRDefault="00020AFE" w:rsidP="00020AFE">
      <w:pPr>
        <w:pStyle w:val="HUNNormal"/>
        <w:rPr>
          <w:i/>
        </w:rPr>
      </w:pPr>
      <w:r w:rsidRPr="00A8324D">
        <w:rPr>
          <w:i/>
        </w:rPr>
        <w:t xml:space="preserve">A </w:t>
      </w:r>
      <w:proofErr w:type="spellStart"/>
      <w:r w:rsidRPr="00A8324D">
        <w:rPr>
          <w:i/>
        </w:rPr>
        <w:t>multiszektorális</w:t>
      </w:r>
      <w:proofErr w:type="spellEnd"/>
      <w:r w:rsidRPr="00A8324D">
        <w:rPr>
          <w:i/>
        </w:rPr>
        <w:t xml:space="preserve"> megközelítés érvényesülése</w:t>
      </w:r>
    </w:p>
    <w:p w:rsidR="00020AFE" w:rsidRDefault="00020AFE" w:rsidP="00020AFE">
      <w:pPr>
        <w:pStyle w:val="HUNNormal"/>
      </w:pPr>
      <w:r>
        <w:t>A LEADER megközelítés Magyarországon alkalmazott normatív eljárásrenden alapuló gyakorlata nem seg</w:t>
      </w:r>
      <w:r>
        <w:t>í</w:t>
      </w:r>
      <w:r>
        <w:t>tette a több szektort érintő, komplex fejlesztések kialakítását. A tervezés során kezdetben a kialakuló fe</w:t>
      </w:r>
      <w:r>
        <w:t>j</w:t>
      </w:r>
      <w:r>
        <w:t xml:space="preserve">lesztési elképzeléseket, maga tervezői felület akadályozta, mivel a fejlesztéseket TEAOR kódokhoz kellett kötni, amely gyakorlatilag kizárta a </w:t>
      </w:r>
      <w:proofErr w:type="spellStart"/>
      <w:r>
        <w:t>multiszektoralitás</w:t>
      </w:r>
      <w:proofErr w:type="spellEnd"/>
      <w:r>
        <w:t xml:space="preserve"> elvének érvényesülését. A későbbiekben ez a szigor a III. tengelyes intézkedéseknél maradt meg, a IV. tengelynél a leginkább jellemző tevékenység lapján kellett TEAOR kód alá besorolni a célterületet. </w:t>
      </w:r>
    </w:p>
    <w:p w:rsidR="00020AFE" w:rsidRDefault="00020AFE" w:rsidP="00020AFE">
      <w:pPr>
        <w:pStyle w:val="HUNNormal"/>
      </w:pPr>
      <w:r>
        <w:t>A helyi akciócsoportok körben végzett felmérés alapján a válaszadók 65%-a szerint a IV. tengelyes fejleszt</w:t>
      </w:r>
      <w:r>
        <w:t>é</w:t>
      </w:r>
      <w:r>
        <w:t>sek 50% feletti aránya egyetlen szektort érintő. 57%-uk szerint 9% alatt van a három, vagy több szektort érintő fejlesztés. A valós integrált területi fejlesztések aránya a válaszadók 78%-a szerint szintén 9% alatti.</w:t>
      </w:r>
    </w:p>
    <w:p w:rsidR="00020AFE" w:rsidRDefault="00020AFE" w:rsidP="00020AFE">
      <w:pPr>
        <w:pStyle w:val="HUNNormal"/>
      </w:pPr>
      <w:r>
        <w:t>A felmérés tanulsági szerint a csoportok jelentős aránya nem is igazán érti (már a feltett kérdést sem) ezt a LEADER kulcsszempontot és annak megvalósításának lehetőségeit (</w:t>
      </w:r>
      <w:proofErr w:type="spellStart"/>
      <w:r>
        <w:t>pl</w:t>
      </w:r>
      <w:proofErr w:type="spellEnd"/>
      <w:r>
        <w:t xml:space="preserve"> hogy a csoport által generált több szektort érintő fejlesztéseknek nem feltétlenül kell kizárólag LEADER forrásból, illetve egyetlen pályázat k</w:t>
      </w:r>
      <w:r>
        <w:t>e</w:t>
      </w:r>
      <w:r>
        <w:t>retében megvalósulniuk). Ebben jelentős szerepe van annak a sokszor említett problémának, hogy a csopo</w:t>
      </w:r>
      <w:r>
        <w:t>r</w:t>
      </w:r>
      <w:r>
        <w:t>tok nem láttak jó példákat, nem volt alkalmuk a társadalmi tanulás folyamata révén ötleteket, innovatív megoldásokat és önbizalmat nyerniük az ilyen típusú fejlesztésekhez.</w:t>
      </w:r>
    </w:p>
    <w:p w:rsidR="00020AFE" w:rsidRDefault="00020AFE" w:rsidP="00020AFE">
      <w:pPr>
        <w:pStyle w:val="HUNNormal"/>
      </w:pPr>
      <w:r>
        <w:t xml:space="preserve">Problémát jelentet a potenciális szereplők közötti bizalmatlanság, az együttműködések és a kreatív, közös munka szemléletének, az összefogásnak a hiánya. Ennek oldásához a </w:t>
      </w:r>
      <w:proofErr w:type="spellStart"/>
      <w:r>
        <w:t>HACS-oknak</w:t>
      </w:r>
      <w:proofErr w:type="spellEnd"/>
      <w:r>
        <w:t xml:space="preserve"> időre, kapacitásokra és felkészültségre van szüksége, amely az eddigi időszakban erősen korlátosan állt rendelkezésre. A </w:t>
      </w:r>
      <w:proofErr w:type="spellStart"/>
      <w:r>
        <w:t>HACS-ok</w:t>
      </w:r>
      <w:proofErr w:type="spellEnd"/>
      <w:r>
        <w:t xml:space="preserve"> más feladatokból eredő leterheltsége miatt kevésbé tudták megteremteni a jó projektötletek találkozási lehetőségeit, nem, vagy csak kevés esetben tudták betölteni a koordinációs szerep funkcióját, a hálózatok, együttműködések csíráinak megtalálását, megszervezését.</w:t>
      </w:r>
    </w:p>
    <w:p w:rsidR="00020AFE" w:rsidRDefault="00020AFE" w:rsidP="00020AFE">
      <w:pPr>
        <w:pStyle w:val="HUNNormal"/>
      </w:pPr>
      <w:r>
        <w:t>A programon belül a több szektort érintő fejlesztések megvalósítását jelentősen nehezíti a kötött központi szabályozás, az egyes célterületek jogosultsági feltételeinek kötöttségei, azok szigorú lehatárolása, a célter</w:t>
      </w:r>
      <w:r>
        <w:t>ü</w:t>
      </w:r>
      <w:r>
        <w:t>letek támogatási intenzitásai közötti különbségek, a konzorciumként történő pályázás lehetőségének kizár</w:t>
      </w:r>
      <w:r>
        <w:t>á</w:t>
      </w:r>
      <w:r>
        <w:t xml:space="preserve">sa, az alacsony támogatási összegek. </w:t>
      </w:r>
      <w:r w:rsidRPr="00573758">
        <w:t xml:space="preserve">A </w:t>
      </w:r>
      <w:r>
        <w:t>jelenlegi rendszerben a 4. tengelyen belül összességében támoga</w:t>
      </w:r>
      <w:r>
        <w:t>t</w:t>
      </w:r>
      <w:r>
        <w:t xml:space="preserve">ható </w:t>
      </w:r>
      <w:r w:rsidRPr="00573758">
        <w:t>komplex projekt</w:t>
      </w:r>
      <w:r>
        <w:t xml:space="preserve"> megvalósítása</w:t>
      </w:r>
      <w:r w:rsidRPr="00573758">
        <w:t xml:space="preserve"> nem egy "fejlesztés" és pályázat keretében valósulhat meg, hanem 2-3 projektet kell egymásba kapcsolni, ami dupla-tripla adminisztrációt jelent.</w:t>
      </w:r>
    </w:p>
    <w:p w:rsidR="00020AFE" w:rsidRPr="00A8324D" w:rsidRDefault="00020AFE" w:rsidP="00020AFE">
      <w:pPr>
        <w:pStyle w:val="HUNNormal"/>
        <w:rPr>
          <w:i/>
        </w:rPr>
      </w:pPr>
      <w:r>
        <w:rPr>
          <w:i/>
        </w:rPr>
        <w:t>A vidékfejlesztési programok</w:t>
      </w:r>
      <w:r w:rsidRPr="00A8324D">
        <w:rPr>
          <w:i/>
        </w:rPr>
        <w:t xml:space="preserve"> végrehajtására irányuló együttműködés elősegítés</w:t>
      </w:r>
      <w:r>
        <w:rPr>
          <w:i/>
        </w:rPr>
        <w:t>e</w:t>
      </w:r>
    </w:p>
    <w:p w:rsidR="00020AFE" w:rsidRDefault="00020AFE" w:rsidP="00020AFE">
      <w:pPr>
        <w:pStyle w:val="HUNNormal"/>
      </w:pPr>
      <w:r>
        <w:lastRenderedPageBreak/>
        <w:t>A III. tengely négy nem horizontális intézkedésének és a IV. tengely megvalósítása jelentős mértékben hozz</w:t>
      </w:r>
      <w:r>
        <w:t>á</w:t>
      </w:r>
      <w:r>
        <w:t xml:space="preserve">járult a vidékfejlesztési program végrehajtására irányuló együttműködések elősegítéséhez. A </w:t>
      </w:r>
      <w:proofErr w:type="spellStart"/>
      <w:r>
        <w:t>HACS-ok</w:t>
      </w:r>
      <w:proofErr w:type="spellEnd"/>
      <w:r>
        <w:t xml:space="preserve"> kör</w:t>
      </w:r>
      <w:r>
        <w:t>é</w:t>
      </w:r>
      <w:r>
        <w:t>ben készített kérdőíves felmérés és a személyes beszélgetések az alábbiakkal támasztják alá a fenti megá</w:t>
      </w:r>
      <w:r>
        <w:t>l</w:t>
      </w:r>
      <w:r>
        <w:t>lapítást:</w:t>
      </w:r>
    </w:p>
    <w:p w:rsidR="00020AFE" w:rsidRDefault="00020AFE" w:rsidP="00D5521F">
      <w:pPr>
        <w:pStyle w:val="HUNNormal"/>
        <w:numPr>
          <w:ilvl w:val="0"/>
          <w:numId w:val="41"/>
        </w:numPr>
      </w:pPr>
      <w:r>
        <w:t xml:space="preserve">96 helyi partnerség szerveződött. A tervezés folyamatában 1249 szervezet/személy vett részt. Az akciócsoportok partnersége összesítve 8000 tagot számlál. Az akciócsoportok döntéshozásában a válaszadók szerint 1005 szervezet/személy vesz részt. </w:t>
      </w:r>
    </w:p>
    <w:p w:rsidR="00020AFE" w:rsidRPr="00412858" w:rsidRDefault="00020AFE" w:rsidP="00D5521F">
      <w:pPr>
        <w:pStyle w:val="HUNNormal"/>
        <w:numPr>
          <w:ilvl w:val="0"/>
          <w:numId w:val="41"/>
        </w:numPr>
      </w:pPr>
      <w:r w:rsidRPr="00412858">
        <w:t xml:space="preserve">A kérdőíves válaszadók 58%-a szerint a HACS tagságának 20%-ra jellemző, hogy: aktívan részt vesz a munkában, eljár az ülésekre, népszerűsíti a HACS munkáját és a </w:t>
      </w:r>
      <w:r>
        <w:t>LEADER</w:t>
      </w:r>
      <w:r w:rsidRPr="00412858">
        <w:t>T befelé és kifelé, pály</w:t>
      </w:r>
      <w:r w:rsidRPr="00412858">
        <w:t>á</w:t>
      </w:r>
      <w:r w:rsidRPr="00412858">
        <w:t>zik, másokat is erre biztat, erősíti a térség kohézióját, az együttműködést, hálózatosodást, 'oszlopos tag' stb.. A válaszadók 70%-a szerint a HACS tagság 20%-ával a taggá válás óta nincs kapcsolat</w:t>
      </w:r>
      <w:r>
        <w:t>. A</w:t>
      </w:r>
      <w:r w:rsidRPr="00412858">
        <w:t xml:space="preserve"> 89 válaszadó akciócsoportban </w:t>
      </w:r>
      <w:r>
        <w:t>b</w:t>
      </w:r>
      <w:r w:rsidRPr="00412858">
        <w:t xml:space="preserve">ecslések szerint </w:t>
      </w:r>
      <w:r>
        <w:t>csaknem 5000 fő</w:t>
      </w:r>
      <w:r w:rsidRPr="00412858">
        <w:t xml:space="preserve"> vesz részt aktívan az akciócs</w:t>
      </w:r>
      <w:r w:rsidRPr="00412858">
        <w:t>o</w:t>
      </w:r>
      <w:r w:rsidRPr="00412858">
        <w:t>port munkájában (beleértve a munkacsoporton és az aktív tagságon kívül azokat is, akik nem tagok, de tevékenységükkel szorosan kapcsolódnak az akciócsoport fejlesztő tevékenységéhez). Ez cs</w:t>
      </w:r>
      <w:r w:rsidRPr="00412858">
        <w:t>o</w:t>
      </w:r>
      <w:r w:rsidRPr="00412858">
        <w:t>portonként átlagban 58 embert jelent, jelentős szórással (12-700) amely a kérdés különböző érte</w:t>
      </w:r>
      <w:r w:rsidRPr="00412858">
        <w:t>l</w:t>
      </w:r>
      <w:r w:rsidRPr="00412858">
        <w:t>mezéséből adódhat.</w:t>
      </w:r>
    </w:p>
    <w:p w:rsidR="00020AFE" w:rsidRDefault="00020AFE" w:rsidP="00D5521F">
      <w:pPr>
        <w:pStyle w:val="HUNNormal"/>
        <w:numPr>
          <w:ilvl w:val="0"/>
          <w:numId w:val="41"/>
        </w:numPr>
      </w:pPr>
      <w:r w:rsidRPr="00412858">
        <w:t>Arra a kérdésre, hogy a tagokon kívül részt vesznek-e más térségi szereplők a HACS munkájában, a válaszadók 67%-a válaszolt igennel. A legkülönbözőbb szereplőket sorolták fel a kérdőívben péld</w:t>
      </w:r>
      <w:r w:rsidRPr="00412858">
        <w:t>a</w:t>
      </w:r>
      <w:r w:rsidRPr="00412858">
        <w:t>ként. A leggyakrabban NFÜ kistérségi koordinátorai, kistérségi társulások munkatársai, nem tag civ</w:t>
      </w:r>
      <w:r w:rsidRPr="00412858">
        <w:t>i</w:t>
      </w:r>
      <w:r w:rsidRPr="00412858">
        <w:t>lek, magánszemélyek, vállalkozók, a pályázatokkal foglalkozó önkormányzati munkatársak, pály</w:t>
      </w:r>
      <w:r w:rsidRPr="00412858">
        <w:t>á</w:t>
      </w:r>
      <w:r w:rsidRPr="00412858">
        <w:t>zatírók, falugazdászok, fiatal gazdák, tanácsadók, stb. szerepelnek a megemlítettek között.</w:t>
      </w:r>
    </w:p>
    <w:p w:rsidR="00020AFE" w:rsidRDefault="00020AFE" w:rsidP="00020AFE">
      <w:pPr>
        <w:pStyle w:val="HUNNormal"/>
      </w:pPr>
      <w:r>
        <w:t>Az akciócsoportok partnerségeinek taglétszámában csökkenés, illetve a tagok cserélődése tapasztalható. Ennek oka egyrészt az, hogy a kezdeti nem megfelelő kommunikáció miatt a csatlakozók nem voltak tiszt</w:t>
      </w:r>
      <w:r>
        <w:t>á</w:t>
      </w:r>
      <w:r>
        <w:t>ban a LEADER céljával, szemléletével, a helyi akciócsoportnak a térség fejlesztésében betöltendő szerep</w:t>
      </w:r>
      <w:r>
        <w:t>é</w:t>
      </w:r>
      <w:r>
        <w:t>vel, az akciócsoport várható feladataival és döntési mechanizmusaival. Elterjedt, hogy csakis azok juthatnak forrásokhoz, akik az akciócsoport tagjaivá válnak. Sokan csakis a saját szervezetük számára történő forrá</w:t>
      </w:r>
      <w:r>
        <w:t>s</w:t>
      </w:r>
      <w:r>
        <w:t xml:space="preserve">szerzés vagy a források feletti, diszponálás céljából, csatlakoztak a partnerséghez. A működés során </w:t>
      </w:r>
      <w:r w:rsidRPr="008147DA">
        <w:t>ezek a tagok</w:t>
      </w:r>
      <w:r>
        <w:t xml:space="preserve"> sok esetben</w:t>
      </w:r>
      <w:r w:rsidRPr="008147DA">
        <w:t xml:space="preserve"> </w:t>
      </w:r>
      <w:proofErr w:type="spellStart"/>
      <w:r w:rsidRPr="008147DA">
        <w:t>passz</w:t>
      </w:r>
      <w:r>
        <w:t>í</w:t>
      </w:r>
      <w:r w:rsidRPr="008147DA">
        <w:t>vizálódtak</w:t>
      </w:r>
      <w:proofErr w:type="spellEnd"/>
      <w:r w:rsidRPr="008147DA">
        <w:t>, kiléptek a partnerség</w:t>
      </w:r>
      <w:r>
        <w:t>ek</w:t>
      </w:r>
      <w:r w:rsidRPr="008147DA">
        <w:t>ből.</w:t>
      </w:r>
    </w:p>
    <w:p w:rsidR="00020AFE" w:rsidRDefault="00020AFE" w:rsidP="00020AFE">
      <w:pPr>
        <w:pStyle w:val="HUNNormal"/>
      </w:pPr>
      <w:r>
        <w:t xml:space="preserve">A </w:t>
      </w:r>
      <w:proofErr w:type="spellStart"/>
      <w:r>
        <w:t>HACS-ok</w:t>
      </w:r>
      <w:proofErr w:type="spellEnd"/>
      <w:r>
        <w:t xml:space="preserve"> 96%-ának van kapcsolata más </w:t>
      </w:r>
      <w:proofErr w:type="spellStart"/>
      <w:r>
        <w:t>HACS-okkal</w:t>
      </w:r>
      <w:proofErr w:type="spellEnd"/>
      <w:r>
        <w:t>. A válaszadók több mint fele szerint ez a kapcsolat főként rendszeres e-mailes, telefonos kommunikációból, viszonylag rendszeres személyes találkozásokból</w:t>
      </w:r>
      <w:r w:rsidRPr="00390137">
        <w:t>, egy-egy közös projekt</w:t>
      </w:r>
      <w:r>
        <w:t>ből és</w:t>
      </w:r>
      <w:r w:rsidRPr="00390137">
        <w:t xml:space="preserve"> rend</w:t>
      </w:r>
      <w:r>
        <w:t>e</w:t>
      </w:r>
      <w:r w:rsidRPr="00390137">
        <w:t>zvény</w:t>
      </w:r>
      <w:r>
        <w:t>ből áll</w:t>
      </w:r>
      <w:r w:rsidRPr="00390137">
        <w:t>.</w:t>
      </w:r>
      <w:r>
        <w:t xml:space="preserve"> Jelentős arány jelezte, hogy a kapcsolata más </w:t>
      </w:r>
      <w:proofErr w:type="spellStart"/>
      <w:r>
        <w:t>HACS-okkal</w:t>
      </w:r>
      <w:proofErr w:type="spellEnd"/>
      <w:r>
        <w:t xml:space="preserve"> s</w:t>
      </w:r>
      <w:r w:rsidRPr="00390137">
        <w:t>zórványos,</w:t>
      </w:r>
      <w:r>
        <w:t xml:space="preserve"> főként</w:t>
      </w:r>
      <w:r w:rsidRPr="00390137">
        <w:t xml:space="preserve"> e-mailen, néha személyesen</w:t>
      </w:r>
      <w:r>
        <w:t xml:space="preserve"> egyes problémák megbeszélésére szorítkozik. A csoportok kevesebb, mint negyede válaszolta azt, hogy s</w:t>
      </w:r>
      <w:r w:rsidRPr="00390137">
        <w:t>zoros, napi munkakapcsolat</w:t>
      </w:r>
      <w:r>
        <w:t xml:space="preserve">ban áll más </w:t>
      </w:r>
      <w:proofErr w:type="spellStart"/>
      <w:r>
        <w:t>HACS-okkal</w:t>
      </w:r>
      <w:proofErr w:type="spellEnd"/>
      <w:r w:rsidRPr="00390137">
        <w:t xml:space="preserve">, </w:t>
      </w:r>
      <w:r>
        <w:t>rendsz</w:t>
      </w:r>
      <w:r>
        <w:t>e</w:t>
      </w:r>
      <w:r>
        <w:t xml:space="preserve">res a </w:t>
      </w:r>
      <w:r w:rsidRPr="00390137">
        <w:t>kölcsönös segítségnyúj</w:t>
      </w:r>
      <w:r>
        <w:t xml:space="preserve">tás, a </w:t>
      </w:r>
      <w:r w:rsidRPr="00390137">
        <w:t>találkoz</w:t>
      </w:r>
      <w:r>
        <w:t>ók</w:t>
      </w:r>
      <w:r w:rsidRPr="00390137">
        <w:t xml:space="preserve">, megbeszélik az aktuális problémákat, tennivalókat, </w:t>
      </w:r>
      <w:r>
        <w:t xml:space="preserve">vannak </w:t>
      </w:r>
      <w:r w:rsidRPr="00390137">
        <w:t>közös projekt</w:t>
      </w:r>
      <w:r>
        <w:t>jeik</w:t>
      </w:r>
      <w:r w:rsidRPr="00390137">
        <w:t>, rendezvénye</w:t>
      </w:r>
      <w:r>
        <w:t>i</w:t>
      </w:r>
      <w:r w:rsidRPr="00390137">
        <w:t>k.</w:t>
      </w:r>
    </w:p>
    <w:p w:rsidR="00020AFE" w:rsidRPr="00390137" w:rsidRDefault="00020AFE" w:rsidP="00020AFE">
      <w:pPr>
        <w:pStyle w:val="HUNNormal"/>
      </w:pPr>
      <w:r>
        <w:t xml:space="preserve">A feltáró munka során egyértelműen kiderült, hogy nem volt elég alkalom az ún. </w:t>
      </w:r>
      <w:proofErr w:type="gramStart"/>
      <w:r>
        <w:t>társadalmi</w:t>
      </w:r>
      <w:proofErr w:type="gramEnd"/>
      <w:r>
        <w:t xml:space="preserve"> tanulást segítő találkozásokra, akciókra. A csoportok alacsony aránya (körülbelül annyi, amennyi a kérdőívben a szoros kapcsolatokat jelölte meg) érzékeli az ebben rejlő lehetőségeket és próbálnak eszerint működni (szomsz</w:t>
      </w:r>
      <w:r>
        <w:t>é</w:t>
      </w:r>
      <w:r>
        <w:t xml:space="preserve">dol, tanulmányutakat szervez, nemzetközi projektben vesz részt, informálisan szervezi a </w:t>
      </w:r>
      <w:proofErr w:type="spellStart"/>
      <w:r>
        <w:t>HACS-ok</w:t>
      </w:r>
      <w:proofErr w:type="spellEnd"/>
      <w:r>
        <w:t xml:space="preserve"> közötti információáramlást, stb..), de a külső körülmények nem igazán kedveznek az ilyen tevékenységeknek (pl. a szűkös működési keretek).</w:t>
      </w:r>
    </w:p>
    <w:p w:rsidR="00020AFE" w:rsidRPr="005D6BD2" w:rsidRDefault="00020AFE" w:rsidP="00020AFE">
      <w:pPr>
        <w:pStyle w:val="HUNNormal"/>
      </w:pPr>
    </w:p>
    <w:p w:rsidR="00020AFE" w:rsidRDefault="00020AFE" w:rsidP="00020AFE">
      <w:pPr>
        <w:pStyle w:val="StyleHUNHeading3Justified"/>
        <w:ind w:left="504"/>
      </w:pPr>
      <w:r w:rsidRPr="005D6BD2">
        <w:lastRenderedPageBreak/>
        <w:t xml:space="preserve">A </w:t>
      </w:r>
      <w:proofErr w:type="spellStart"/>
      <w:r>
        <w:t>LEADER</w:t>
      </w:r>
      <w:r w:rsidRPr="005D6BD2">
        <w:t>-megközelítés</w:t>
      </w:r>
      <w:proofErr w:type="spellEnd"/>
      <w:r w:rsidRPr="005D6BD2">
        <w:t xml:space="preserve"> milyen mértékben járult hozzá az 1</w:t>
      </w:r>
      <w:proofErr w:type="gramStart"/>
      <w:r w:rsidRPr="005D6BD2">
        <w:t>.,</w:t>
      </w:r>
      <w:proofErr w:type="gramEnd"/>
      <w:r w:rsidRPr="005D6BD2">
        <w:t xml:space="preserve"> 2. és 3. tengely pri</w:t>
      </w:r>
      <w:r w:rsidRPr="005D6BD2">
        <w:t>o</w:t>
      </w:r>
      <w:r w:rsidRPr="005D6BD2">
        <w:t>ritásaihoz? (41. intézkedés)</w:t>
      </w:r>
    </w:p>
    <w:p w:rsidR="00020AFE" w:rsidRDefault="00020AFE" w:rsidP="00020AFE">
      <w:pPr>
        <w:pStyle w:val="HUNNormal"/>
      </w:pPr>
      <w:r>
        <w:t>Az intézkedés keretében a vizsgált időszakban nem kezdődött el a fejlesztések megvalósulása, így eredm</w:t>
      </w:r>
      <w:r>
        <w:t>é</w:t>
      </w:r>
      <w:r>
        <w:t>nyek és hatások még nem realizálódtak.</w:t>
      </w:r>
    </w:p>
    <w:p w:rsidR="00020AFE" w:rsidRDefault="00020AFE" w:rsidP="00020AFE">
      <w:pPr>
        <w:pStyle w:val="HUNNormal"/>
      </w:pPr>
      <w:r>
        <w:t>Annyi ugyanakkor megállapítható, hogy az elsődleges adatforrások alapján a mezőgazdaság, a gazdálkodók képviselete a HACS partnerségekben alacsony. Az a tény, hogy a IV. tengelyre nem pályázhatnak azok, aki</w:t>
      </w:r>
      <w:r>
        <w:t>k</w:t>
      </w:r>
      <w:r>
        <w:t>nek a mezőgazdasági tevékenységből származó árbevétele meghaladja az 50%-ot, jelentősen csökkenti a LEADER hozzájárulását az I. tengely céljainak megvalósulásához.</w:t>
      </w:r>
    </w:p>
    <w:p w:rsidR="00020AFE" w:rsidRDefault="00020AFE" w:rsidP="00020AFE">
      <w:pPr>
        <w:pStyle w:val="HUNNormal"/>
      </w:pPr>
    </w:p>
    <w:p w:rsidR="00020AFE" w:rsidRDefault="00020AFE" w:rsidP="00020AFE">
      <w:pPr>
        <w:pStyle w:val="StyleHUNHeading3Justified"/>
        <w:ind w:left="504"/>
      </w:pPr>
      <w:r w:rsidRPr="005D6BD2">
        <w:t>A támogatás milyen mértékben járult hozzá az együttműködés elősegítéséhez és a legjobb gyakorlat átadásának ösztönzéséhez? (421. intézkedés)</w:t>
      </w:r>
    </w:p>
    <w:p w:rsidR="00020AFE" w:rsidRDefault="00020AFE" w:rsidP="00020AFE">
      <w:pPr>
        <w:pStyle w:val="HUNNormal"/>
      </w:pPr>
      <w:r w:rsidRPr="002A2D2D">
        <w:t>A kérdőívek, interjúk és esettanulmányok alapján azt mondhatjuk, hogy a vizsgálati időszakban láthatóan nem volt politikai akarat a térségek közti és a nemzetközi együttműködés támogatására. Nem volt központi iránymutatás, képzés, nem volt finanszírozás és nem voltak megfelelően kidolgozva az együttműködést leh</w:t>
      </w:r>
      <w:r w:rsidRPr="002A2D2D">
        <w:t>e</w:t>
      </w:r>
      <w:r w:rsidRPr="002A2D2D">
        <w:t>tővé tevő eljárásrendi szabályok (pl. konzorciális pályázat) sem. A kifejezetten az együttműködés támogat</w:t>
      </w:r>
      <w:r w:rsidRPr="002A2D2D">
        <w:t>á</w:t>
      </w:r>
      <w:r w:rsidRPr="002A2D2D">
        <w:t xml:space="preserve">sára hivatott MNVH gyakorlatilag nem működött, a két, elvileg érdekvédelmi célzattal működtetett szervezet (a </w:t>
      </w:r>
      <w:r>
        <w:t>LEADER</w:t>
      </w:r>
      <w:r w:rsidRPr="002A2D2D">
        <w:t xml:space="preserve"> Szövetség és az Egyesület) szintén nem funkcionált. Az IH és az MNVH által szervezett országos rendezvényeken találkoztak ugyan egymással a csoportok, de ezeken a mindig nagyon zsúfolt program, a csúszások és a rossz szervezés miatt gyakorlatilag alig volt lehetőség kapcsolatépítésre. Vagyis a rendszer inkább akadályozta, de semmi esetre sem segítette a térségek közötti együttműködések és hálózatok kial</w:t>
      </w:r>
      <w:r w:rsidRPr="002A2D2D">
        <w:t>a</w:t>
      </w:r>
      <w:r w:rsidRPr="002A2D2D">
        <w:t xml:space="preserve">kulását. </w:t>
      </w:r>
    </w:p>
    <w:p w:rsidR="00020AFE" w:rsidRDefault="00020AFE" w:rsidP="00020AFE">
      <w:pPr>
        <w:pStyle w:val="HUNNormal"/>
      </w:pPr>
    </w:p>
    <w:p w:rsidR="00020AFE" w:rsidRDefault="00020AFE" w:rsidP="00020AFE">
      <w:pPr>
        <w:pStyle w:val="StyleHUNHeading3Justified"/>
        <w:ind w:left="504"/>
      </w:pPr>
      <w:r w:rsidRPr="005D6BD2">
        <w:t xml:space="preserve">A </w:t>
      </w:r>
      <w:proofErr w:type="spellStart"/>
      <w:r>
        <w:t>LEADER</w:t>
      </w:r>
      <w:r w:rsidRPr="005D6BD2">
        <w:t>-megközelítésen</w:t>
      </w:r>
      <w:proofErr w:type="spellEnd"/>
      <w:r w:rsidRPr="005D6BD2">
        <w:t xml:space="preserve"> alapuló együttműködési projektek és/vagy legjobb gy</w:t>
      </w:r>
      <w:r w:rsidRPr="005D6BD2">
        <w:t>a</w:t>
      </w:r>
      <w:r w:rsidRPr="005D6BD2">
        <w:t>korlat átadása milyen mértékben járult hozzá a többi tengely közül az egyik vagy több tengely célkitűzéseinek jobb eléréséhez? (421. intézkedés)</w:t>
      </w:r>
    </w:p>
    <w:p w:rsidR="00020AFE" w:rsidRDefault="00020AFE" w:rsidP="00020AFE">
      <w:pPr>
        <w:pStyle w:val="HUNNormal"/>
      </w:pPr>
      <w:r w:rsidRPr="00C6447E">
        <w:t>A vizsgált időszakban a 421. intézkedésből nem volt kifizetés, így ez alapján nem valósultak meg együttm</w:t>
      </w:r>
      <w:r w:rsidRPr="00C6447E">
        <w:t>ű</w:t>
      </w:r>
      <w:r w:rsidRPr="00C6447E">
        <w:t xml:space="preserve">ködési projektek. A munkaszervezeti költség, más hazai és EU-s támogatások valamint és önkéntes munka segítségével megvalósuló együttműködési projektek, akciók eredményei mégis azt mutatják, hogy rendkívül nagy szükség lenne az ilyen típusú tevékenységek tervszerű és hatékony anyagi és szakmai támogatására. </w:t>
      </w:r>
    </w:p>
    <w:p w:rsidR="00020AFE" w:rsidRDefault="00020AFE" w:rsidP="00D5521F">
      <w:pPr>
        <w:pStyle w:val="HUNNormal"/>
        <w:numPr>
          <w:ilvl w:val="0"/>
          <w:numId w:val="42"/>
        </w:numPr>
      </w:pPr>
      <w:r w:rsidRPr="00C6447E">
        <w:t xml:space="preserve">Az együttműködés (ahol megvalósult) nagymértékben hozzájárult a </w:t>
      </w:r>
      <w:proofErr w:type="spellStart"/>
      <w:r>
        <w:t>LEADER-szerű</w:t>
      </w:r>
      <w:proofErr w:type="spellEnd"/>
      <w:r>
        <w:t xml:space="preserve"> fejlesztés célja</w:t>
      </w:r>
      <w:r>
        <w:t>i</w:t>
      </w:r>
      <w:r>
        <w:t>nak, működési módjának megértéséhez, a ’</w:t>
      </w:r>
      <w:proofErr w:type="spellStart"/>
      <w:r>
        <w:t>valódi</w:t>
      </w:r>
      <w:proofErr w:type="spellEnd"/>
      <w:r>
        <w:t xml:space="preserve"> vidékfejlesztési célok’ megvalósításához (pl. a NATURAMA Szövetség tagjainál). </w:t>
      </w:r>
    </w:p>
    <w:p w:rsidR="00020AFE" w:rsidRDefault="00020AFE" w:rsidP="00D5521F">
      <w:pPr>
        <w:pStyle w:val="HUNNormal"/>
        <w:numPr>
          <w:ilvl w:val="0"/>
          <w:numId w:val="42"/>
        </w:numPr>
      </w:pPr>
      <w:r>
        <w:t xml:space="preserve">Ugyanakkor az együttműködés jelentősen segítette a résztvevő </w:t>
      </w:r>
      <w:proofErr w:type="spellStart"/>
      <w:r>
        <w:t>HACS-okat</w:t>
      </w:r>
      <w:proofErr w:type="spellEnd"/>
      <w:r>
        <w:t xml:space="preserve"> a kérelem- és pályáza</w:t>
      </w:r>
      <w:r>
        <w:t>t</w:t>
      </w:r>
      <w:r>
        <w:t xml:space="preserve">kezeléssel, elszámolásokkal, az akkreditációval és más adminisztratív nehézségekkel kapcsolatos nehézségek megoldásában. </w:t>
      </w:r>
    </w:p>
    <w:p w:rsidR="00020AFE" w:rsidRDefault="00020AFE" w:rsidP="00D5521F">
      <w:pPr>
        <w:pStyle w:val="HUNNormal"/>
        <w:numPr>
          <w:ilvl w:val="0"/>
          <w:numId w:val="42"/>
        </w:numPr>
      </w:pPr>
      <w:r>
        <w:t>A szoros, bizalmi alapra épülő együttműködés fontos ’</w:t>
      </w:r>
      <w:proofErr w:type="spellStart"/>
      <w:r>
        <w:t>pszichológiai</w:t>
      </w:r>
      <w:proofErr w:type="spellEnd"/>
      <w:r>
        <w:t xml:space="preserve"> eredménye’, hogy a személyes találkozások, a hálózati munka, a többletinformáció és az egymásra való támaszkodás lehetősége a résztvevő munkaszervezet-vezetőknek nagy segítséget jelentett a rájuk nehezedő nyomás elvisel</w:t>
      </w:r>
      <w:r>
        <w:t>é</w:t>
      </w:r>
      <w:r>
        <w:t>sében, a problémák pro-aktív, innovatív és sikeres megoldásában.</w:t>
      </w:r>
    </w:p>
    <w:p w:rsidR="00020AFE" w:rsidRDefault="00020AFE" w:rsidP="00020AFE">
      <w:pPr>
        <w:pStyle w:val="StyleHUNHeading3Justified"/>
        <w:ind w:left="504"/>
      </w:pPr>
      <w:r w:rsidRPr="005D6BD2">
        <w:lastRenderedPageBreak/>
        <w:t>A támogatás milyen mértékben növelte a helyi akciócsoport és a helyi fejlesztési stratégiák végrehajtásába bevont más partnerek kapacitásait? (431. intézkedés)</w:t>
      </w:r>
    </w:p>
    <w:p w:rsidR="00020AFE" w:rsidRDefault="00020AFE" w:rsidP="00020AFE">
      <w:pPr>
        <w:pStyle w:val="HUNNormal"/>
      </w:pPr>
      <w:r>
        <w:t>Az intézkedés keretén belül nem volt erre irányuló tevékenység.</w:t>
      </w:r>
    </w:p>
    <w:p w:rsidR="00020AFE" w:rsidRDefault="00020AFE" w:rsidP="00020AFE">
      <w:pPr>
        <w:pStyle w:val="HUNNormal"/>
      </w:pPr>
    </w:p>
    <w:p w:rsidR="00020AFE" w:rsidRPr="00C24591" w:rsidRDefault="00020AFE" w:rsidP="00020AFE">
      <w:pPr>
        <w:pStyle w:val="StyleHUNHeading3Justified"/>
        <w:ind w:left="504"/>
      </w:pPr>
      <w:r w:rsidRPr="00C24591">
        <w:t xml:space="preserve">A támogatás milyen mértékben járult hozzá a </w:t>
      </w:r>
      <w:r>
        <w:t>LEADER</w:t>
      </w:r>
      <w:r w:rsidRPr="00C24591">
        <w:t xml:space="preserve"> végrehajtásához szükséges kapacitás növeléséhez? (431. intézkedés)</w:t>
      </w:r>
    </w:p>
    <w:p w:rsidR="00020AFE" w:rsidRDefault="00020AFE" w:rsidP="00020AFE">
      <w:pPr>
        <w:pStyle w:val="HUNNormal"/>
      </w:pPr>
      <w:r>
        <w:t>A helyi akciócsoportok között készített kérdőíves felmérés keretén belül a 89 válaszadó 98%-a vett részt kérelemkezeléssel kapcsolatos képzésen, amelynek a színvonalát a válaszadók 28%-a (24 db) közepesre, 46% (40 db) pedig közepesnél jobbnak értékelte. Ezeknek a hasznosságát 29% (25 db) ítélte közepesnek, és 54% (47 db) közepesnél jobbnak. Az ilyen témájú képzéseken a 89 válaszadó alapján 391 fő vett részt. A képzések célja az ügyintézés elősegítése. Tartalmi jellegű kérdések megtárgyalására nem volt mód. A kér</w:t>
      </w:r>
      <w:r>
        <w:t>e</w:t>
      </w:r>
      <w:r>
        <w:t xml:space="preserve">lemkezeléssel kapcsolatos képzések nélkülözhetetlenek voltak a delegált feladatok ellátásához. Mind a </w:t>
      </w:r>
      <w:proofErr w:type="spellStart"/>
      <w:r>
        <w:t>HACS-ok</w:t>
      </w:r>
      <w:proofErr w:type="spellEnd"/>
      <w:r>
        <w:t>, mind pedig az MVH regionális kirendeltségeinek válaszai alapján egyértelmű, hogy ezek a képz</w:t>
      </w:r>
      <w:r>
        <w:t>é</w:t>
      </w:r>
      <w:r>
        <w:t xml:space="preserve">sek nem voltak és nem is lehettek elegendőek a </w:t>
      </w:r>
      <w:proofErr w:type="spellStart"/>
      <w:r>
        <w:t>HACS-ok</w:t>
      </w:r>
      <w:proofErr w:type="spellEnd"/>
      <w:r>
        <w:t xml:space="preserve"> delegált feladatok ellátásához történő felkészít</w:t>
      </w:r>
      <w:r>
        <w:t>é</w:t>
      </w:r>
      <w:r>
        <w:t xml:space="preserve">séhez. Az MVH és a </w:t>
      </w:r>
      <w:proofErr w:type="spellStart"/>
      <w:r>
        <w:t>HACS-ok</w:t>
      </w:r>
      <w:proofErr w:type="spellEnd"/>
      <w:r>
        <w:t xml:space="preserve"> közötti együttműködés régiónként és </w:t>
      </w:r>
      <w:proofErr w:type="spellStart"/>
      <w:r>
        <w:t>HACS-onként</w:t>
      </w:r>
      <w:proofErr w:type="spellEnd"/>
      <w:r>
        <w:t xml:space="preserve"> is jelentős különbségeket mutat. Ahol minkét fél részéről a pozitív, együttműködő hozzáállás érvényesült, ott megvalósulhatott a f</w:t>
      </w:r>
      <w:r>
        <w:t>o</w:t>
      </w:r>
      <w:r>
        <w:t xml:space="preserve">lyamatba épített „B” ügyintézés, vagyis a </w:t>
      </w:r>
      <w:proofErr w:type="spellStart"/>
      <w:r>
        <w:t>HACS-ok</w:t>
      </w:r>
      <w:proofErr w:type="spellEnd"/>
      <w:r>
        <w:t xml:space="preserve"> folyamatosan kérdeztek, az MVH pedig a tőle telhető le</w:t>
      </w:r>
      <w:r>
        <w:t>g</w:t>
      </w:r>
      <w:r>
        <w:t xml:space="preserve">teljesebb körben segített a problémák megoldásában, ott a tanulás folyamatos volt, ugyanakkor jelentős kapacitást igényelt (az MVH részéről).  </w:t>
      </w:r>
    </w:p>
    <w:p w:rsidR="00020AFE" w:rsidRDefault="00020AFE" w:rsidP="00020AFE">
      <w:pPr>
        <w:pStyle w:val="HUNNormal"/>
      </w:pPr>
      <w:r>
        <w:t>Az akciócsoportok elenyésző aránya vett részt egyéb témájú képzéseken.</w:t>
      </w:r>
    </w:p>
    <w:p w:rsidR="00194C8B" w:rsidRDefault="00020AFE" w:rsidP="00020AFE">
      <w:pPr>
        <w:pStyle w:val="HUNNormal"/>
      </w:pPr>
      <w:r>
        <w:t>A fókuszcsoportok és személyes beszélgetések tanulsága szerint a</w:t>
      </w:r>
      <w:r w:rsidRPr="00E33C1C">
        <w:t xml:space="preserve"> feladatok ellátásához az akciócsoporto</w:t>
      </w:r>
      <w:r w:rsidRPr="00E33C1C">
        <w:t>k</w:t>
      </w:r>
      <w:r w:rsidRPr="00E33C1C">
        <w:t>nak szükségük van rendszeres (tovább</w:t>
      </w:r>
      <w:proofErr w:type="gramStart"/>
      <w:r w:rsidRPr="00E33C1C">
        <w:t>)képzésekre</w:t>
      </w:r>
      <w:proofErr w:type="gramEnd"/>
      <w:r>
        <w:t>, főként a gyakorlatban, konkrét kérelmek feldolgozásán keresztül történő oktatásra. Ezt az új jogcímek esetén és a jogszabály változások esetén is mindenképpen biztosítani kell.</w:t>
      </w:r>
      <w:r w:rsidRPr="00E33C1C">
        <w:t xml:space="preserve"> </w:t>
      </w:r>
      <w:r>
        <w:t>A vizsgált időszakban a tervezéssel kapcsolatos megbeszélések és a kérelemkezeléssel ka</w:t>
      </w:r>
      <w:r>
        <w:t>p</w:t>
      </w:r>
      <w:r>
        <w:t>csolatos rövid képzések mellett erre nem alakult ki gyakorlat.</w:t>
      </w:r>
    </w:p>
    <w:p w:rsidR="00194C8B" w:rsidRDefault="00194C8B">
      <w:pPr>
        <w:spacing w:before="0" w:after="0" w:line="240" w:lineRule="auto"/>
      </w:pPr>
      <w:r>
        <w:br w:type="page"/>
      </w:r>
    </w:p>
    <w:p w:rsidR="00020AFE" w:rsidRDefault="00020AFE" w:rsidP="00020AFE">
      <w:pPr>
        <w:pStyle w:val="StyleHUNHeading2Justified"/>
      </w:pPr>
      <w:bookmarkStart w:id="46" w:name="_Toc279592182"/>
      <w:bookmarkStart w:id="47" w:name="_Toc280788360"/>
      <w:r>
        <w:lastRenderedPageBreak/>
        <w:t xml:space="preserve">Versenyképességre vonatkozó </w:t>
      </w:r>
      <w:r w:rsidR="004E4D93">
        <w:t xml:space="preserve">további értékelői </w:t>
      </w:r>
      <w:r>
        <w:t>kérdések (</w:t>
      </w:r>
      <w:r w:rsidR="004E4D93">
        <w:t>I</w:t>
      </w:r>
      <w:r>
        <w:t>. tengely)</w:t>
      </w:r>
      <w:bookmarkEnd w:id="46"/>
      <w:bookmarkEnd w:id="47"/>
    </w:p>
    <w:p w:rsidR="00020AFE" w:rsidRDefault="00020AFE" w:rsidP="00020AFE">
      <w:pPr>
        <w:pStyle w:val="StyleHUNHeading3Justified"/>
        <w:ind w:left="504"/>
      </w:pPr>
      <w:r w:rsidRPr="00CA0886">
        <w:t>A mögöttes intézményrendszer (</w:t>
      </w:r>
      <w:proofErr w:type="spellStart"/>
      <w:r w:rsidRPr="00CA0886">
        <w:t>TSZK-k</w:t>
      </w:r>
      <w:proofErr w:type="spellEnd"/>
      <w:r w:rsidRPr="00CA0886">
        <w:t>, Regionális központok) mennyiben segíte</w:t>
      </w:r>
      <w:r w:rsidRPr="00CA0886">
        <w:t>t</w:t>
      </w:r>
      <w:r w:rsidRPr="00CA0886">
        <w:t>ték a lebonyolítást és a kifizetést?</w:t>
      </w:r>
      <w:r>
        <w:t xml:space="preserve"> (114. intézkedés)</w:t>
      </w:r>
    </w:p>
    <w:p w:rsidR="00020AFE" w:rsidRDefault="00020AFE" w:rsidP="00020AFE">
      <w:pPr>
        <w:pStyle w:val="HUNNormal"/>
      </w:pPr>
      <w:r>
        <w:t>Az intézkedés értékelése során megállapítást nyert, hogy szaktanácsadási szolgáltatást több, egymással tematikájában és szolgáltatási területében is részben átfedő „hálózat” nyújt. A lebonyolítás a jelenlegi elj</w:t>
      </w:r>
      <w:r>
        <w:t>á</w:t>
      </w:r>
      <w:r>
        <w:t>rási rend szerint túlzottan bonyolult, adminisztratív, amire a legjobb indikátor a támogatási kérelmet benyú</w:t>
      </w:r>
      <w:r>
        <w:t>j</w:t>
      </w:r>
      <w:r>
        <w:t>tók számának drasztikus csökkenése az intézkedés első meghirdetésétől az értékelés összeállításának id</w:t>
      </w:r>
      <w:r>
        <w:t>ő</w:t>
      </w:r>
      <w:r>
        <w:t>pontjáig. Megítélésünk szerint az eljárásrend neuralgikus pontja a lebonyolításban résztvevő szervezetek száma, a felesleges ellenőrzési pontok megléte, valamint az adatszolgáltatási (ügyféltől az MVH felé) és i</w:t>
      </w:r>
      <w:r>
        <w:t>n</w:t>
      </w:r>
      <w:r>
        <w:t>formáció-visszacsatolási (</w:t>
      </w:r>
      <w:proofErr w:type="spellStart"/>
      <w:r>
        <w:t>MVH-tól</w:t>
      </w:r>
      <w:proofErr w:type="spellEnd"/>
      <w:r>
        <w:t xml:space="preserve"> az ügyfél felé) csatornák hossza.</w:t>
      </w:r>
    </w:p>
    <w:p w:rsidR="00020AFE" w:rsidRDefault="00020AFE" w:rsidP="00020AFE">
      <w:pPr>
        <w:pStyle w:val="HUNNormal"/>
      </w:pPr>
    </w:p>
    <w:p w:rsidR="00020AFE" w:rsidRDefault="00020AFE" w:rsidP="00020AFE">
      <w:pPr>
        <w:pStyle w:val="StyleHUNHeading3Justified"/>
        <w:ind w:left="504"/>
      </w:pPr>
      <w:r w:rsidRPr="00CA0886">
        <w:t>Milyen elemzések alapján született döntés arról, hogy az intézkedést n</w:t>
      </w:r>
      <w:r>
        <w:t>em indíto</w:t>
      </w:r>
      <w:r>
        <w:t>t</w:t>
      </w:r>
      <w:r>
        <w:t xml:space="preserve">ták el jogcímként az </w:t>
      </w:r>
      <w:proofErr w:type="spellStart"/>
      <w:r>
        <w:t>Ú</w:t>
      </w:r>
      <w:r w:rsidRPr="00CA0886">
        <w:t>MVP-ben</w:t>
      </w:r>
      <w:proofErr w:type="spellEnd"/>
      <w:r w:rsidRPr="00CA0886">
        <w:t>?</w:t>
      </w:r>
      <w:r>
        <w:t xml:space="preserve"> (141. intézkedés)</w:t>
      </w:r>
    </w:p>
    <w:p w:rsidR="00020AFE" w:rsidRDefault="00020AFE" w:rsidP="00020AFE">
      <w:pPr>
        <w:pStyle w:val="HUNNormal"/>
      </w:pPr>
      <w:r>
        <w:t xml:space="preserve">A 141. intézkedés el nem indítása mögött az rejlik, hogy nem feltétlenül volt komoly szándék folytatni az </w:t>
      </w:r>
      <w:proofErr w:type="spellStart"/>
      <w:r>
        <w:t>NVT-ben</w:t>
      </w:r>
      <w:proofErr w:type="spellEnd"/>
      <w:r>
        <w:t xml:space="preserve"> elkezdett félig önellátó gazdaságok megerősítését. Az NVT ex-post értékelése alapján nem volt eg</w:t>
      </w:r>
      <w:r>
        <w:t>y</w:t>
      </w:r>
      <w:r>
        <w:t>értelműen pozitív az intézkedés megítélése, és a jogi feltételek sem ösztönözték a jogcím megnyitását, mivel nem volt könnyű egy kevéssé transzparensen működő, nagyságrendben százezres számossággal rendelkező halmazt megfelelő státusszal ellátni. Az Standard Fedezeti Hozzájárulás rendszere sem volt kellőképpen cizellált és testreszabott az intézkedés megfelelő beindításához.</w:t>
      </w:r>
    </w:p>
    <w:p w:rsidR="00020AFE" w:rsidRDefault="00020AFE" w:rsidP="00020AFE">
      <w:pPr>
        <w:pStyle w:val="HUNNormal"/>
      </w:pPr>
    </w:p>
    <w:p w:rsidR="00020AFE" w:rsidRDefault="00020AFE" w:rsidP="00020AFE">
      <w:pPr>
        <w:pStyle w:val="StyleHUNHeading3Justified"/>
        <w:ind w:left="504"/>
      </w:pPr>
      <w:r w:rsidRPr="00CA0886">
        <w:t>Mennyiben sikerült az intézkedéssel a termelői szervezetek integrátoroktól való gazdasági függetlenségét elősegíteni?</w:t>
      </w:r>
      <w:r>
        <w:t xml:space="preserve"> (142. intézkedés)</w:t>
      </w:r>
    </w:p>
    <w:p w:rsidR="00020AFE" w:rsidRDefault="00020AFE" w:rsidP="00020AFE">
      <w:pPr>
        <w:pStyle w:val="HUNNormal"/>
      </w:pPr>
      <w:r>
        <w:t>A termelői szervezetek integrátoroktól való gazdasági függetlenségének lehetősége jogi és pénzügyi feltét</w:t>
      </w:r>
      <w:r>
        <w:t>e</w:t>
      </w:r>
      <w:r>
        <w:t>lektől függ. A jogi feltételeket az elismerés rendjét szabályozó - 81/</w:t>
      </w:r>
      <w:proofErr w:type="gramStart"/>
      <w:r>
        <w:t>2004(</w:t>
      </w:r>
      <w:proofErr w:type="gramEnd"/>
      <w:r>
        <w:t xml:space="preserve">V.4.) FVM rendeletet módosító- 65/2009 (VI.4.) FVM rendelet teremtette meg azáltal, hogy a gazdasági összeférhetetlenségről rendelkezett. </w:t>
      </w:r>
      <w:proofErr w:type="spellStart"/>
      <w:r>
        <w:t>Atermelői</w:t>
      </w:r>
      <w:proofErr w:type="spellEnd"/>
      <w:r>
        <w:t xml:space="preserve"> szervezetek integrátoroktól való függetlenedésének pénzügyi feltételeire kormányzati elképzel</w:t>
      </w:r>
      <w:r>
        <w:t>é</w:t>
      </w:r>
      <w:r>
        <w:t>sek fogalmazódtak meg, amelyek részletes kidolgozásuk után várhatóan a 2011-es évben nyílhatnak meg.</w:t>
      </w:r>
    </w:p>
    <w:p w:rsidR="00194C8B" w:rsidRDefault="00194C8B">
      <w:pPr>
        <w:spacing w:before="0" w:after="0" w:line="240" w:lineRule="auto"/>
      </w:pPr>
      <w:r>
        <w:br w:type="page"/>
      </w:r>
    </w:p>
    <w:p w:rsidR="00020AFE" w:rsidRDefault="004E4D93" w:rsidP="00020AFE">
      <w:pPr>
        <w:pStyle w:val="StyleHUNHeading2Justified"/>
      </w:pPr>
      <w:bookmarkStart w:id="48" w:name="_Toc279592183"/>
      <w:bookmarkStart w:id="49" w:name="_Toc280788361"/>
      <w:r>
        <w:lastRenderedPageBreak/>
        <w:t xml:space="preserve">Az </w:t>
      </w:r>
      <w:r w:rsidR="00020AFE">
        <w:t xml:space="preserve">Agrár Környezet Gazdálkodásra (AKG) vonatkozó </w:t>
      </w:r>
      <w:r>
        <w:t xml:space="preserve">további értékelői </w:t>
      </w:r>
      <w:r w:rsidR="00020AFE">
        <w:t>kérdések (</w:t>
      </w:r>
      <w:r>
        <w:t>II</w:t>
      </w:r>
      <w:r w:rsidR="00020AFE">
        <w:t>. tengely)</w:t>
      </w:r>
      <w:bookmarkEnd w:id="48"/>
      <w:bookmarkEnd w:id="49"/>
    </w:p>
    <w:p w:rsidR="00020AFE" w:rsidRDefault="00020AFE" w:rsidP="00020AFE">
      <w:pPr>
        <w:pStyle w:val="StyleHUNHeading3Justified"/>
        <w:ind w:left="504"/>
      </w:pPr>
      <w:r w:rsidRPr="0021759E">
        <w:t xml:space="preserve">Az </w:t>
      </w:r>
      <w:proofErr w:type="spellStart"/>
      <w:r w:rsidRPr="0021759E">
        <w:t>invazív</w:t>
      </w:r>
      <w:proofErr w:type="spellEnd"/>
      <w:r w:rsidRPr="0021759E">
        <w:t xml:space="preserve"> növényfajok terjedésének mérsékléséhez hogyan és milyen mértékben járult hozzá?</w:t>
      </w:r>
      <w:r>
        <w:t xml:space="preserve"> (216. intézkedés)</w:t>
      </w:r>
    </w:p>
    <w:p w:rsidR="00020AFE" w:rsidRDefault="00020AFE" w:rsidP="00020AFE">
      <w:pPr>
        <w:pStyle w:val="HUNNormal"/>
      </w:pPr>
      <w:r>
        <w:t xml:space="preserve">A program a művelésben tartáson keresztül hozzájárul az </w:t>
      </w:r>
      <w:proofErr w:type="spellStart"/>
      <w:r>
        <w:t>invazív</w:t>
      </w:r>
      <w:proofErr w:type="spellEnd"/>
      <w:r>
        <w:t xml:space="preserve"> növények visszaszorításához, bár erre kif</w:t>
      </w:r>
      <w:r>
        <w:t>e</w:t>
      </w:r>
      <w:r>
        <w:t xml:space="preserve">jezetten nincsen kidolgozott előírás. </w:t>
      </w:r>
      <w:proofErr w:type="spellStart"/>
      <w:r>
        <w:t>Natura</w:t>
      </w:r>
      <w:proofErr w:type="spellEnd"/>
      <w:r>
        <w:t xml:space="preserve"> 2000 területek esetében az </w:t>
      </w:r>
      <w:proofErr w:type="spellStart"/>
      <w:r>
        <w:t>invazívok</w:t>
      </w:r>
      <w:proofErr w:type="spellEnd"/>
      <w:r>
        <w:t xml:space="preserve"> visszaszorítása megjel</w:t>
      </w:r>
      <w:r>
        <w:t>e</w:t>
      </w:r>
      <w:r>
        <w:t>nik kötelező feladatként a földhasználók számára. Megítélésünk szerint a jogcímek megfelelően hozzájáru</w:t>
      </w:r>
      <w:r>
        <w:t>l</w:t>
      </w:r>
      <w:r>
        <w:t xml:space="preserve">nak az </w:t>
      </w:r>
      <w:proofErr w:type="spellStart"/>
      <w:r>
        <w:t>invazív</w:t>
      </w:r>
      <w:proofErr w:type="spellEnd"/>
      <w:r>
        <w:t xml:space="preserve"> növények visszaszorításában, azonban az intézkedések önmagukban nem elégségesek </w:t>
      </w:r>
      <w:proofErr w:type="gramStart"/>
      <w:r>
        <w:t>ezen</w:t>
      </w:r>
      <w:proofErr w:type="gramEnd"/>
      <w:r>
        <w:t xml:space="preserve"> növények teljes mértékű visszaszorításában, illetve vannak olyan növények (pl.: </w:t>
      </w:r>
      <w:proofErr w:type="spellStart"/>
      <w:r>
        <w:t>Asclepias</w:t>
      </w:r>
      <w:proofErr w:type="spellEnd"/>
      <w:r>
        <w:t xml:space="preserve">) melyek kiirtása komoly költségekkel, jelentős munka mellett tisztítható ki, aminek a finanszírozása jelenleg nem megoldott. Javaslatunk szerint ezen </w:t>
      </w:r>
      <w:proofErr w:type="spellStart"/>
      <w:r>
        <w:t>invazívok</w:t>
      </w:r>
      <w:proofErr w:type="spellEnd"/>
      <w:r>
        <w:t xml:space="preserve"> visszaszorítását érdemes lenne kiemelten ösztönözni, hatékony techn</w:t>
      </w:r>
      <w:r>
        <w:t>o</w:t>
      </w:r>
      <w:r>
        <w:t>lógiák támogatásával.</w:t>
      </w:r>
    </w:p>
    <w:p w:rsidR="00020AFE" w:rsidRDefault="00020AFE" w:rsidP="00020AFE">
      <w:pPr>
        <w:pStyle w:val="HUNNormal"/>
      </w:pPr>
    </w:p>
    <w:p w:rsidR="00020AFE" w:rsidRDefault="00020AFE" w:rsidP="00020AFE">
      <w:pPr>
        <w:pStyle w:val="StyleHUNHeading3Justified"/>
        <w:ind w:left="504"/>
      </w:pPr>
      <w:r w:rsidRPr="0021759E">
        <w:t>Megvalósult-e a horizontális jellegű intézkedésektől a hatékonyabb zonális b</w:t>
      </w:r>
      <w:r w:rsidRPr="0021759E">
        <w:t>e</w:t>
      </w:r>
      <w:r w:rsidRPr="0021759E">
        <w:t>avatkozások felé való súlyeltolódás?</w:t>
      </w:r>
      <w:r>
        <w:t xml:space="preserve"> (216. intézkedés)</w:t>
      </w:r>
    </w:p>
    <w:p w:rsidR="00020AFE" w:rsidRDefault="00020AFE" w:rsidP="00020AFE">
      <w:pPr>
        <w:pStyle w:val="HUNNormal"/>
      </w:pPr>
      <w:r>
        <w:t xml:space="preserve">Az NVT időszak agrár-környezetgazdálkodási programjához képest, az </w:t>
      </w:r>
      <w:proofErr w:type="spellStart"/>
      <w:r>
        <w:t>ÚMVP-ben</w:t>
      </w:r>
      <w:proofErr w:type="spellEnd"/>
      <w:r>
        <w:t xml:space="preserve"> a zonális programok n</w:t>
      </w:r>
      <w:r>
        <w:t>a</w:t>
      </w:r>
      <w:r>
        <w:t>gyobb területi arányban szerepelnek a horizontális programokhoz képest. Azonban az integrált szántóföldi célprogram aránytalansága még mindig jelentősnek mondható a programon belül (lásd következő ábra).</w:t>
      </w:r>
    </w:p>
    <w:p w:rsidR="00020AFE" w:rsidRDefault="00020AFE" w:rsidP="00020AFE">
      <w:pPr>
        <w:pStyle w:val="HUNNormal"/>
        <w:jc w:val="center"/>
        <w:rPr>
          <w:noProof/>
        </w:rPr>
      </w:pPr>
      <w:r>
        <w:rPr>
          <w:noProof/>
        </w:rPr>
        <w:drawing>
          <wp:inline distT="0" distB="0" distL="0" distR="0">
            <wp:extent cx="4314825" cy="246697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4314825" cy="2466975"/>
                    </a:xfrm>
                    <a:prstGeom prst="rect">
                      <a:avLst/>
                    </a:prstGeom>
                    <a:noFill/>
                    <a:ln w="9525">
                      <a:noFill/>
                      <a:miter lim="800000"/>
                      <a:headEnd/>
                      <a:tailEnd/>
                    </a:ln>
                  </pic:spPr>
                </pic:pic>
              </a:graphicData>
            </a:graphic>
          </wp:inline>
        </w:drawing>
      </w:r>
    </w:p>
    <w:p w:rsidR="00020AFE" w:rsidRPr="007539EF" w:rsidRDefault="00CF0DD4" w:rsidP="00020AFE">
      <w:pPr>
        <w:pStyle w:val="Caption"/>
        <w:jc w:val="center"/>
        <w:rPr>
          <w:color w:val="auto"/>
        </w:rPr>
      </w:pPr>
      <w:r w:rsidRPr="007539EF">
        <w:rPr>
          <w:color w:val="auto"/>
        </w:rPr>
        <w:fldChar w:fldCharType="begin"/>
      </w:r>
      <w:r w:rsidR="00020AFE" w:rsidRPr="007539EF">
        <w:rPr>
          <w:color w:val="auto"/>
        </w:rPr>
        <w:instrText xml:space="preserve"> SEQ ábra \* ARABIC </w:instrText>
      </w:r>
      <w:r w:rsidRPr="007539EF">
        <w:rPr>
          <w:color w:val="auto"/>
        </w:rPr>
        <w:fldChar w:fldCharType="separate"/>
      </w:r>
      <w:r w:rsidR="004E4D93">
        <w:rPr>
          <w:noProof/>
          <w:color w:val="auto"/>
        </w:rPr>
        <w:t>12</w:t>
      </w:r>
      <w:r w:rsidRPr="007539EF">
        <w:rPr>
          <w:color w:val="auto"/>
        </w:rPr>
        <w:fldChar w:fldCharType="end"/>
      </w:r>
      <w:r w:rsidR="00020AFE" w:rsidRPr="007539EF">
        <w:rPr>
          <w:color w:val="auto"/>
        </w:rPr>
        <w:t>. ábra: Célprogramok megoszlása a különböző AKG programokban</w:t>
      </w:r>
    </w:p>
    <w:p w:rsidR="00020AFE" w:rsidRDefault="00020AFE" w:rsidP="00020AFE">
      <w:pPr>
        <w:pStyle w:val="HUNNormal"/>
      </w:pPr>
    </w:p>
    <w:p w:rsidR="00020AFE" w:rsidRDefault="00020AFE" w:rsidP="00020AFE">
      <w:pPr>
        <w:pStyle w:val="StyleHUNHeading3Justified"/>
        <w:ind w:left="504"/>
      </w:pPr>
      <w:r w:rsidRPr="0021759E">
        <w:t>A támogatottak kiválasztása hatékonyan követte-e az ökológiai rászorultságot (t</w:t>
      </w:r>
      <w:r w:rsidRPr="0021759E">
        <w:t>e</w:t>
      </w:r>
      <w:r w:rsidRPr="0021759E">
        <w:t>rületérzékenységet)?</w:t>
      </w:r>
      <w:r>
        <w:t xml:space="preserve"> (216. intézkedés)</w:t>
      </w:r>
    </w:p>
    <w:p w:rsidR="00020AFE" w:rsidRDefault="00020AFE" w:rsidP="00020AFE">
      <w:pPr>
        <w:pStyle w:val="HUNNormal"/>
      </w:pPr>
      <w:r>
        <w:t>Az agrár-környezetgazdálkodási kifizetés kedvezményezettjeinek kiválasztása pontozásos rendszerben tö</w:t>
      </w:r>
      <w:r>
        <w:t>r</w:t>
      </w:r>
      <w:r>
        <w:t xml:space="preserve">ténik. A pontozási rendszerben a területi szempontok több szinten kiemelésre kerültek. A </w:t>
      </w:r>
      <w:proofErr w:type="spellStart"/>
      <w:r>
        <w:t>Natura</w:t>
      </w:r>
      <w:proofErr w:type="spellEnd"/>
      <w:r>
        <w:t xml:space="preserve"> 2000, a nitrát érzékeny területek, a sérülékeny vízbázis, valamint az MTÉT, a VTT </w:t>
      </w:r>
      <w:proofErr w:type="spellStart"/>
      <w:r>
        <w:t>MePAR</w:t>
      </w:r>
      <w:proofErr w:type="spellEnd"/>
      <w:r>
        <w:t xml:space="preserve"> lehatárolt blokkjai előnyben </w:t>
      </w:r>
      <w:r>
        <w:lastRenderedPageBreak/>
        <w:t>részesültek az értékelés során. Figyelembe véve azt, hogy kizárólag az integrált szántó esetében „működött” a pontozási rendszer, ezért ebben az esetben fontos lenne egy monitoring rendszeren keresztül megvizsgá</w:t>
      </w:r>
      <w:r>
        <w:t>l</w:t>
      </w:r>
      <w:r>
        <w:t>ni, hogy az integrált szántóföldi növénytermesztési célprogram milyen hatást eredményez ezeken a több más lehatárolással is érintett területeken.</w:t>
      </w:r>
    </w:p>
    <w:p w:rsidR="00020AFE" w:rsidRDefault="00020AFE" w:rsidP="00020AFE">
      <w:pPr>
        <w:pStyle w:val="HUNNormal"/>
      </w:pPr>
    </w:p>
    <w:p w:rsidR="00020AFE" w:rsidRDefault="00020AFE" w:rsidP="00020AFE">
      <w:pPr>
        <w:pStyle w:val="StyleHUNHeading3Justified"/>
        <w:ind w:left="504"/>
      </w:pPr>
      <w:r w:rsidRPr="0021759E">
        <w:t>A szaktanácsadási /tájékoztatási rendszer hatékonyan közreműködött az ösztö</w:t>
      </w:r>
      <w:r w:rsidRPr="0021759E">
        <w:t>n</w:t>
      </w:r>
      <w:r w:rsidRPr="0021759E">
        <w:t>zésben?</w:t>
      </w:r>
      <w:r>
        <w:t xml:space="preserve"> (216. intézkedés)</w:t>
      </w:r>
    </w:p>
    <w:p w:rsidR="00020AFE" w:rsidRDefault="00020AFE" w:rsidP="00020AFE">
      <w:pPr>
        <w:pStyle w:val="HUNNormal"/>
      </w:pPr>
      <w:r>
        <w:t>A gazdálkodók a kérelem beadásához, a gazdálkodási napló kitöltéséhez, valamint a tápanyag utánpótlási terv készítéséhez igényelték elsősorban külső tanácsadói segítséget.</w:t>
      </w:r>
    </w:p>
    <w:p w:rsidR="00020AFE" w:rsidRDefault="00020AFE" w:rsidP="00020AFE">
      <w:pPr>
        <w:pStyle w:val="HUNNormal"/>
      </w:pPr>
      <w:r>
        <w:t>Az alábbi ábra azt mutatja be, hogy a különböző tanácsadó szervezetek hálózatok milyen arányban kerültek bevonásra a programba a gazdálkodók által. Fontos megjegyezni, hogy bár a kérdőíves elemzés nem volt alkalmas ilyen részletességű vizsgálat elvégzésére, azonban valószínűleg eltérő témában kerültek a külö</w:t>
      </w:r>
      <w:r>
        <w:t>n</w:t>
      </w:r>
      <w:r>
        <w:t>böző hálózatok bevonásra, és amíg a falugazdász hálózat és az agrárkamarák főként a kérelem beadásával kapcsolatban kerülnek megkeresésre, a VKSZI és a külső tanácsadók segítségét inkább a tápanyag gazdá</w:t>
      </w:r>
      <w:r>
        <w:t>l</w:t>
      </w:r>
      <w:r>
        <w:t>kodási terv készítésében, valamint a gazdálkodási napló kitöltésében kérik a gazdálkodók.</w:t>
      </w:r>
    </w:p>
    <w:p w:rsidR="00020AFE" w:rsidRDefault="00020AFE" w:rsidP="00020AFE">
      <w:pPr>
        <w:pStyle w:val="HUNNormal"/>
        <w:jc w:val="center"/>
      </w:pPr>
      <w:r>
        <w:rPr>
          <w:noProof/>
        </w:rPr>
        <w:drawing>
          <wp:inline distT="0" distB="0" distL="0" distR="0">
            <wp:extent cx="4569974" cy="2747134"/>
            <wp:effectExtent l="19050" t="0" r="173476" b="129416"/>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0AFE" w:rsidRPr="007539EF" w:rsidRDefault="00CF0DD4" w:rsidP="00020AFE">
      <w:pPr>
        <w:pStyle w:val="Caption"/>
        <w:jc w:val="center"/>
        <w:rPr>
          <w:color w:val="auto"/>
        </w:rPr>
      </w:pPr>
      <w:r w:rsidRPr="007539EF">
        <w:rPr>
          <w:color w:val="auto"/>
        </w:rPr>
        <w:fldChar w:fldCharType="begin"/>
      </w:r>
      <w:r w:rsidR="00020AFE" w:rsidRPr="007539EF">
        <w:rPr>
          <w:color w:val="auto"/>
        </w:rPr>
        <w:instrText xml:space="preserve"> SEQ ábra \* ARABIC </w:instrText>
      </w:r>
      <w:r w:rsidRPr="007539EF">
        <w:rPr>
          <w:color w:val="auto"/>
        </w:rPr>
        <w:fldChar w:fldCharType="separate"/>
      </w:r>
      <w:r w:rsidR="004E4D93">
        <w:rPr>
          <w:noProof/>
          <w:color w:val="auto"/>
        </w:rPr>
        <w:t>13</w:t>
      </w:r>
      <w:r w:rsidRPr="007539EF">
        <w:rPr>
          <w:color w:val="auto"/>
        </w:rPr>
        <w:fldChar w:fldCharType="end"/>
      </w:r>
      <w:r w:rsidR="00020AFE" w:rsidRPr="007539EF">
        <w:rPr>
          <w:color w:val="auto"/>
        </w:rPr>
        <w:t>. ábra: Igénybe vett tanácsadó hálózatok</w:t>
      </w:r>
    </w:p>
    <w:p w:rsidR="00020AFE" w:rsidRDefault="00020AFE" w:rsidP="00020AFE">
      <w:pPr>
        <w:pStyle w:val="HUNNormal"/>
      </w:pPr>
    </w:p>
    <w:p w:rsidR="00020AFE" w:rsidRDefault="00020AFE" w:rsidP="00020AFE">
      <w:pPr>
        <w:pStyle w:val="StyleHUNHeading3Justified"/>
        <w:ind w:left="504"/>
      </w:pPr>
      <w:r w:rsidRPr="007C3E2D">
        <w:t>Az odúknál nem előírás a tisztíthatóság és a felületkezelés, így tartósnak tekinth</w:t>
      </w:r>
      <w:r w:rsidRPr="007C3E2D">
        <w:t>e</w:t>
      </w:r>
      <w:r w:rsidRPr="007C3E2D">
        <w:t>tő-e a hatásuk?</w:t>
      </w:r>
      <w:r>
        <w:t xml:space="preserve"> (216. intézkedés)</w:t>
      </w:r>
    </w:p>
    <w:p w:rsidR="00020AFE" w:rsidRDefault="00020AFE" w:rsidP="00020AFE">
      <w:pPr>
        <w:pStyle w:val="HUNNormal"/>
      </w:pPr>
      <w:r>
        <w:t>A madárodúk kihelyezése jelentős természeti és környezeti haszonnal járhat. A kihelyezés módja és a megf</w:t>
      </w:r>
      <w:r>
        <w:t>e</w:t>
      </w:r>
      <w:r>
        <w:t>lelő karbantartás azonban elengedhetetlen. A jelenlegi jogszabályok sajnos nem biztosítanak kellő alapot ahhoz, hogy egy gazdálkodó megfelelő odúkiválasztás mellett megfelelő telepítést meg tudja tenni. Megít</w:t>
      </w:r>
      <w:r>
        <w:t>é</w:t>
      </w:r>
      <w:r>
        <w:t>lésünk szerint azonban ezt nem is jogszabályokban kellene rögzíteni, hanem egy olyan működő tanácsadó hálózat bevonásával kellene támogatni, ami megfelelő szaktudást biztosít annak érdekében, hogy az odúk el tudják érni a kívánt hatást.</w:t>
      </w:r>
    </w:p>
    <w:p w:rsidR="00020AFE" w:rsidRDefault="00020AFE" w:rsidP="00020AFE">
      <w:pPr>
        <w:pStyle w:val="HUNNormal"/>
      </w:pPr>
    </w:p>
    <w:p w:rsidR="00020AFE" w:rsidRDefault="00020AFE" w:rsidP="00020AFE">
      <w:pPr>
        <w:pStyle w:val="StyleHUNHeading3Justified"/>
        <w:ind w:left="504"/>
      </w:pPr>
      <w:r w:rsidRPr="007C3E2D">
        <w:t xml:space="preserve">A talajvizsgálati eredmények használható adatot biztosítanak </w:t>
      </w:r>
      <w:proofErr w:type="gramStart"/>
      <w:r w:rsidRPr="007C3E2D">
        <w:t>e</w:t>
      </w:r>
      <w:proofErr w:type="gramEnd"/>
      <w:r w:rsidRPr="007C3E2D">
        <w:t xml:space="preserve"> a további számít</w:t>
      </w:r>
      <w:r w:rsidRPr="007C3E2D">
        <w:t>á</w:t>
      </w:r>
      <w:r w:rsidRPr="007C3E2D">
        <w:t>sokhoz? A mintavételezés módszerének betartása biztosított volt-e?</w:t>
      </w:r>
      <w:r>
        <w:t xml:space="preserve"> (214. intézkedés)</w:t>
      </w:r>
    </w:p>
    <w:p w:rsidR="00020AFE" w:rsidRPr="007A550E" w:rsidRDefault="00020AFE" w:rsidP="00020AFE">
      <w:pPr>
        <w:jc w:val="both"/>
      </w:pPr>
      <w:r w:rsidRPr="007A550E">
        <w:t>A talajminta vételi adatokra alapul az AKG tápanyag</w:t>
      </w:r>
      <w:r>
        <w:t xml:space="preserve"> </w:t>
      </w:r>
      <w:r w:rsidRPr="007A550E">
        <w:t>kijuttatási szabályozása, továbbá ezek az adatok jele</w:t>
      </w:r>
      <w:r w:rsidRPr="007A550E">
        <w:t>n</w:t>
      </w:r>
      <w:r w:rsidRPr="007A550E">
        <w:t>tik a legfontosabb indikátorokat a környezetterhelés csökkentésével/talajállapot javulásával kapcsolatos célkitűzések értékeléséhez. Rendkívül fontos ezért a megbízható, standard módszerekkel történő, összeh</w:t>
      </w:r>
      <w:r w:rsidRPr="007A550E">
        <w:t>a</w:t>
      </w:r>
      <w:r w:rsidRPr="007A550E">
        <w:t>sonlítható mintavétel és a talajminták szakszerű vizsgálata.</w:t>
      </w:r>
    </w:p>
    <w:p w:rsidR="00020AFE" w:rsidRPr="007A550E" w:rsidRDefault="00020AFE" w:rsidP="00020AFE">
      <w:pPr>
        <w:jc w:val="both"/>
        <w:rPr>
          <w:rFonts w:ascii="Times New Roman" w:hAnsi="Times New Roman"/>
        </w:rPr>
      </w:pPr>
      <w:r w:rsidRPr="007A550E">
        <w:t>A beérkezett válaszok alapján mindössze a talajminták 3-10%-</w:t>
      </w:r>
      <w:proofErr w:type="gramStart"/>
      <w:r w:rsidRPr="007A550E">
        <w:t>a</w:t>
      </w:r>
      <w:proofErr w:type="gramEnd"/>
      <w:r w:rsidRPr="007A550E">
        <w:t xml:space="preserve"> esetében állítható biztosan, hogy azok me</w:t>
      </w:r>
      <w:r w:rsidRPr="007A550E">
        <w:t>g</w:t>
      </w:r>
      <w:r w:rsidRPr="007A550E">
        <w:t xml:space="preserve">felelnek a fenti kritériumoknak, a minták döntő </w:t>
      </w:r>
      <w:r>
        <w:t>többségét a gazdálkodók végzik</w:t>
      </w:r>
      <w:r w:rsidRPr="007A550E">
        <w:t>, kisebb százalékban „válla</w:t>
      </w:r>
      <w:r w:rsidRPr="007A550E">
        <w:t>l</w:t>
      </w:r>
      <w:r w:rsidRPr="007A550E">
        <w:t>kozót bíztak meg” a mintavételezéssel</w:t>
      </w:r>
      <w:r>
        <w:t xml:space="preserve"> és a laborok által végzett mintavétel (mint szakmailag a leginkább indokolt forma) volt a legkisebb arányú</w:t>
      </w:r>
      <w:r w:rsidRPr="007A550E">
        <w:t xml:space="preserve">. Ezek alapján nem túlzó az </w:t>
      </w:r>
      <w:proofErr w:type="spellStart"/>
      <w:r w:rsidRPr="007A550E">
        <w:t>az</w:t>
      </w:r>
      <w:proofErr w:type="spellEnd"/>
      <w:r w:rsidRPr="007A550E">
        <w:t xml:space="preserve"> állítás, hogy a mintavételezés a jele</w:t>
      </w:r>
      <w:r w:rsidRPr="007A550E">
        <w:t>n</w:t>
      </w:r>
      <w:r w:rsidRPr="007A550E">
        <w:t>legi módon megbízhatatlan adatokat szolgáltat, így az erre alapozott tápanyag gazdálkodási tervek ponto</w:t>
      </w:r>
      <w:r w:rsidRPr="007A550E">
        <w:t>s</w:t>
      </w:r>
      <w:r w:rsidRPr="007A550E">
        <w:t>sága, megfelelősége is megkérdőjelezhető</w:t>
      </w:r>
      <w:r w:rsidRPr="007A550E">
        <w:rPr>
          <w:rFonts w:ascii="Times New Roman" w:hAnsi="Times New Roman"/>
        </w:rPr>
        <w:t>.</w:t>
      </w:r>
    </w:p>
    <w:p w:rsidR="00020AFE" w:rsidRPr="007A550E" w:rsidRDefault="00020AFE" w:rsidP="00020AFE">
      <w:pPr>
        <w:spacing w:before="0" w:after="0" w:line="240" w:lineRule="auto"/>
        <w:rPr>
          <w:rFonts w:ascii="Times New Roman" w:hAnsi="Times New Roman"/>
          <w:color w:val="000000"/>
        </w:rPr>
      </w:pPr>
    </w:p>
    <w:p w:rsidR="00020AFE" w:rsidRDefault="00020AFE" w:rsidP="00020AFE">
      <w:pPr>
        <w:pStyle w:val="HUNNormal"/>
        <w:jc w:val="center"/>
      </w:pPr>
      <w:r>
        <w:rPr>
          <w:rFonts w:ascii="Times New Roman" w:hAnsi="Times New Roman"/>
          <w:noProof/>
          <w:color w:val="000000"/>
        </w:rPr>
        <w:drawing>
          <wp:inline distT="0" distB="0" distL="0" distR="0">
            <wp:extent cx="5333243" cy="2853046"/>
            <wp:effectExtent l="19050" t="0" r="172207" b="137804"/>
            <wp:docPr id="18" name="C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0AFE" w:rsidRPr="007539EF" w:rsidRDefault="00CF0DD4" w:rsidP="00020AFE">
      <w:pPr>
        <w:pStyle w:val="Caption"/>
        <w:jc w:val="center"/>
        <w:rPr>
          <w:color w:val="auto"/>
        </w:rPr>
      </w:pPr>
      <w:r w:rsidRPr="007539EF">
        <w:rPr>
          <w:color w:val="auto"/>
        </w:rPr>
        <w:fldChar w:fldCharType="begin"/>
      </w:r>
      <w:r w:rsidR="00020AFE" w:rsidRPr="007539EF">
        <w:rPr>
          <w:color w:val="auto"/>
        </w:rPr>
        <w:instrText xml:space="preserve"> SEQ ábra \* ARABIC </w:instrText>
      </w:r>
      <w:r w:rsidRPr="007539EF">
        <w:rPr>
          <w:color w:val="auto"/>
        </w:rPr>
        <w:fldChar w:fldCharType="separate"/>
      </w:r>
      <w:r w:rsidR="004E4D93">
        <w:rPr>
          <w:noProof/>
          <w:color w:val="auto"/>
        </w:rPr>
        <w:t>14</w:t>
      </w:r>
      <w:r w:rsidRPr="007539EF">
        <w:rPr>
          <w:color w:val="auto"/>
        </w:rPr>
        <w:fldChar w:fldCharType="end"/>
      </w:r>
      <w:r w:rsidR="00020AFE" w:rsidRPr="007539EF">
        <w:rPr>
          <w:color w:val="auto"/>
        </w:rPr>
        <w:t>. ábra: Talajminta</w:t>
      </w:r>
      <w:r w:rsidR="00020AFE">
        <w:rPr>
          <w:color w:val="auto"/>
        </w:rPr>
        <w:t xml:space="preserve"> </w:t>
      </w:r>
      <w:r w:rsidR="00020AFE" w:rsidRPr="007539EF">
        <w:rPr>
          <w:color w:val="auto"/>
        </w:rPr>
        <w:t>vétel módja</w:t>
      </w:r>
    </w:p>
    <w:p w:rsidR="00020AFE" w:rsidRDefault="00020AFE" w:rsidP="00020AFE">
      <w:pPr>
        <w:pStyle w:val="HUNNormal"/>
      </w:pPr>
    </w:p>
    <w:p w:rsidR="00020AFE" w:rsidRDefault="00020AFE" w:rsidP="00020AFE">
      <w:pPr>
        <w:pStyle w:val="StyleHUNHeading3Justified"/>
        <w:ind w:left="504"/>
      </w:pPr>
      <w:r w:rsidRPr="007C3E2D">
        <w:t>A tápanyag utánpótlási terv milyen adatforrásokat használ, és azok megfelelnek-e a környezetvédelmi szempontoknak?</w:t>
      </w:r>
      <w:r>
        <w:t xml:space="preserve"> (214. intézkedés)</w:t>
      </w:r>
    </w:p>
    <w:p w:rsidR="00020AFE" w:rsidRDefault="00020AFE" w:rsidP="00020AFE">
      <w:pPr>
        <w:pStyle w:val="HUNNormal"/>
      </w:pPr>
      <w:r>
        <w:t>A fenti kérdésre adott válasz vonatkozik az adatforrás megbízhatóságára is, azonban a tápanyag gazdálk</w:t>
      </w:r>
      <w:r>
        <w:t>o</w:t>
      </w:r>
      <w:r>
        <w:t>dási terv készítésének másik alapvető adatforrását a növény igényeire vonatkozó adatbázisok jelentik, m</w:t>
      </w:r>
      <w:r>
        <w:t>e</w:t>
      </w:r>
      <w:r>
        <w:t>lyek együttes ismeretében lehet megfelelő minőségű tápanyag gazdálkodási tervet készíteni. Jelenleg M</w:t>
      </w:r>
      <w:r>
        <w:t>a</w:t>
      </w:r>
      <w:r>
        <w:t>gyarországon több elfogadott mérlegszámítás létezik, melyek eltérő adatokat mutatnak a szükséges tá</w:t>
      </w:r>
      <w:r>
        <w:t>p</w:t>
      </w:r>
      <w:r>
        <w:t xml:space="preserve">anyagokra vonatkozóan. Bár mindegyik tudományos alátámasztott, ebből adódóan megfelelőnek tekinthető, mégis ellentmondást jelent a gyakorlatban, hogy a különböző modellek különböző eredményeket mutatnak. </w:t>
      </w:r>
      <w:r>
        <w:lastRenderedPageBreak/>
        <w:t>Ebből kifolyólag javasoljuk ezek megvizsgálását, harmonizálását annak érdekében, hogy a gazdálkodó sz</w:t>
      </w:r>
      <w:r>
        <w:t>á</w:t>
      </w:r>
      <w:r>
        <w:t>mára egyértelmű szakmai javaslatot tudjon a program biztosítani.</w:t>
      </w:r>
    </w:p>
    <w:p w:rsidR="00020AFE" w:rsidRDefault="00020AFE" w:rsidP="00020AFE">
      <w:pPr>
        <w:pStyle w:val="HUNNormal"/>
      </w:pPr>
    </w:p>
    <w:p w:rsidR="00020AFE" w:rsidRDefault="00020AFE" w:rsidP="00020AFE">
      <w:pPr>
        <w:pStyle w:val="StyleHUNHeading3Justified"/>
        <w:ind w:left="504"/>
      </w:pPr>
      <w:r w:rsidRPr="007C3E2D">
        <w:t>A vetésváltási szabályok milyen szintű szigorítást jelentenek?</w:t>
      </w:r>
      <w:r>
        <w:t xml:space="preserve"> (214. intézkedés)</w:t>
      </w:r>
    </w:p>
    <w:p w:rsidR="00020AFE" w:rsidRPr="007A550E" w:rsidRDefault="00020AFE" w:rsidP="00020AFE">
      <w:pPr>
        <w:jc w:val="both"/>
        <w:rPr>
          <w:rFonts w:ascii="Times New Roman" w:hAnsi="Times New Roman"/>
        </w:rPr>
      </w:pPr>
      <w:r w:rsidRPr="007A550E">
        <w:t>A megkérdezett gazdálkodók fele változtatott a korábbi vetésszerkezeten a célprogramok előírásainak k</w:t>
      </w:r>
      <w:r w:rsidRPr="007A550E">
        <w:t>ö</w:t>
      </w:r>
      <w:r w:rsidRPr="007A550E">
        <w:t>vetkeztében – kivételt képez az ökológiai szántó célprogram, amelyben csupán a válaszolók harmada, 31%-a nyilatkozott úgy, hogy változtatnia kellett.</w:t>
      </w:r>
    </w:p>
    <w:p w:rsidR="00020AFE" w:rsidRDefault="00020AFE" w:rsidP="00020AFE">
      <w:pPr>
        <w:pStyle w:val="HUNNormal"/>
      </w:pPr>
      <w:r w:rsidRPr="007A550E">
        <w:t>A vetésszerkezet megváltoztatása általános megfogalmazás, ez célprogramonként különböző mértékű korl</w:t>
      </w:r>
      <w:r w:rsidRPr="007A550E">
        <w:t>á</w:t>
      </w:r>
      <w:r w:rsidRPr="007A550E">
        <w:t xml:space="preserve">tozást jelent – ennek mértékét a </w:t>
      </w:r>
      <w:proofErr w:type="spellStart"/>
      <w:r w:rsidRPr="007A550E">
        <w:t>jövedelemkieséssel</w:t>
      </w:r>
      <w:proofErr w:type="spellEnd"/>
      <w:r w:rsidRPr="007A550E">
        <w:t xml:space="preserve"> értékeltük. Ennek alapján a szántóföldi természetv</w:t>
      </w:r>
      <w:r w:rsidRPr="007A550E">
        <w:t>é</w:t>
      </w:r>
      <w:r w:rsidRPr="007A550E">
        <w:t>delmi zonális (MTÉT) célprogramok jelentik a legnagyobb mértékű változást, illetve bevételkiesést: az ilyen célprogramban gazdálkodók 2/3-a számára volt ez valamilyen szinten érzékelhető.</w:t>
      </w:r>
    </w:p>
    <w:p w:rsidR="00020AFE" w:rsidRDefault="00020AFE" w:rsidP="00020AFE">
      <w:pPr>
        <w:pStyle w:val="HUNNormal"/>
      </w:pPr>
    </w:p>
    <w:p w:rsidR="00020AFE" w:rsidRDefault="00020AFE" w:rsidP="00020AFE">
      <w:pPr>
        <w:pStyle w:val="StyleHUNHeading3Justified"/>
        <w:ind w:left="504"/>
      </w:pPr>
      <w:r w:rsidRPr="007C3E2D">
        <w:t>A korlátozott vegyszerhasználat valós korlátozást jelent-e?</w:t>
      </w:r>
      <w:r>
        <w:t xml:space="preserve"> (214. intézkedés)</w:t>
      </w:r>
    </w:p>
    <w:p w:rsidR="00020AFE" w:rsidRPr="007A550E" w:rsidRDefault="00020AFE" w:rsidP="00020AFE">
      <w:pPr>
        <w:jc w:val="both"/>
        <w:rPr>
          <w:rFonts w:ascii="Times New Roman" w:hAnsi="Times New Roman"/>
        </w:rPr>
      </w:pPr>
      <w:r w:rsidRPr="007A550E">
        <w:t xml:space="preserve">A gazdálkodók válaszai alapján összességében megállapítható, hogy az AKG – célprogramtól függetlenül - az esetek </w:t>
      </w:r>
      <w:proofErr w:type="gramStart"/>
      <w:r w:rsidRPr="007A550E">
        <w:t>több</w:t>
      </w:r>
      <w:r>
        <w:t>,</w:t>
      </w:r>
      <w:r w:rsidRPr="007A550E">
        <w:t xml:space="preserve"> mint</w:t>
      </w:r>
      <w:proofErr w:type="gramEnd"/>
      <w:r w:rsidRPr="007A550E">
        <w:t xml:space="preserve"> 50%-ában nem jelentett változást a növényvédőszer-használatban; a célprogramokban megfogalmazott előírások a növényvédelemben nem jelentenek valódi korlátozást, a gazdálkodók egyébként is az előírt vegyszereket használják. Jelentős változtatási kényszerről a gazdák átlagosan kevesebb, mint 10%-a számolt be, a legnagyobb mértékben az ökológiai szántó célprogramban résztvevőknek kellett mód</w:t>
      </w:r>
      <w:r w:rsidRPr="007A550E">
        <w:t>o</w:t>
      </w:r>
      <w:r w:rsidRPr="007A550E">
        <w:t>sítaniuk gazdálkodásuk ezen a</w:t>
      </w:r>
      <w:r>
        <w:t>s</w:t>
      </w:r>
      <w:r w:rsidRPr="007A550E">
        <w:t>pektusán (16%), vélhetően az újonnan belépők miatt.</w:t>
      </w:r>
    </w:p>
    <w:p w:rsidR="00020AFE" w:rsidRDefault="00020AFE" w:rsidP="00020AFE">
      <w:pPr>
        <w:pStyle w:val="HUNNormal"/>
      </w:pPr>
      <w:r w:rsidRPr="007A550E">
        <w:t xml:space="preserve">A </w:t>
      </w:r>
      <w:proofErr w:type="spellStart"/>
      <w:r w:rsidRPr="007A550E">
        <w:t>növényvédőszerek</w:t>
      </w:r>
      <w:proofErr w:type="spellEnd"/>
      <w:r w:rsidRPr="007A550E">
        <w:t xml:space="preserve"> használatának kismérvű változtatása következtében az előírások többletköltséget sem jelentettek a gazdálkodók nagy részének – átlagosan a válaszadók kevesebb, mint 15%-a számolt be 10%-feletti költségnövekedésről.</w:t>
      </w:r>
    </w:p>
    <w:p w:rsidR="00020AFE" w:rsidRDefault="00020AFE" w:rsidP="00020AFE">
      <w:pPr>
        <w:pStyle w:val="HUNNormal"/>
      </w:pPr>
      <w:r w:rsidRPr="007A550E">
        <w:t>A növényvédőszer-váltás okozta hozamkiesés, a fentieknek megfelelően minimális – ilyet legnagyobb arán</w:t>
      </w:r>
      <w:r w:rsidRPr="007A550E">
        <w:t>y</w:t>
      </w:r>
      <w:r w:rsidRPr="007A550E">
        <w:t>ban az MTÉT területeken zajló zonális célprogramok, és az ültetvényes célprogramok esetében észleltek a gazdálkodók: itt 20% feletti volt azon válaszadók aránya, akik mérhető hozamkiesést jelöltek meg. A hoza</w:t>
      </w:r>
      <w:r w:rsidRPr="007A550E">
        <w:t>m</w:t>
      </w:r>
      <w:r w:rsidRPr="007A550E">
        <w:t>kiesés mértékével kapcsolatos gazdálkodói válaszok jól visszaigazolják a célprogramokkal kapcsolatos elv</w:t>
      </w:r>
      <w:r w:rsidRPr="007A550E">
        <w:t>á</w:t>
      </w:r>
      <w:r w:rsidRPr="007A550E">
        <w:t>rásokat: jelentősebb mértékű hozamkiesés az erősebb korlátozásokkal bíró ökológiai szántó és MTÉT cé</w:t>
      </w:r>
      <w:r w:rsidRPr="007A550E">
        <w:t>l</w:t>
      </w:r>
      <w:r w:rsidRPr="007A550E">
        <w:t>programok esetében tapasztalható</w:t>
      </w:r>
      <w:r>
        <w:t>.</w:t>
      </w:r>
    </w:p>
    <w:p w:rsidR="00020AFE" w:rsidRDefault="00020AFE" w:rsidP="00020AFE">
      <w:pPr>
        <w:pStyle w:val="HUNNormal"/>
      </w:pPr>
    </w:p>
    <w:p w:rsidR="00020AFE" w:rsidRDefault="00020AFE" w:rsidP="00020AFE">
      <w:pPr>
        <w:pStyle w:val="StyleHUNHeading3Justified"/>
        <w:ind w:left="504"/>
      </w:pPr>
      <w:r w:rsidRPr="007C3E2D">
        <w:t>Az alkalmazott növényvédelmi előrejelző rendszer mennyiben alkalmas a parce</w:t>
      </w:r>
      <w:r w:rsidRPr="007C3E2D">
        <w:t>l</w:t>
      </w:r>
      <w:r w:rsidRPr="007C3E2D">
        <w:t>laszintű adatok biztosítására?</w:t>
      </w:r>
      <w:r>
        <w:t xml:space="preserve"> (214. intézkedés)</w:t>
      </w:r>
    </w:p>
    <w:p w:rsidR="00020AFE" w:rsidRDefault="00020AFE" w:rsidP="00020AFE">
      <w:pPr>
        <w:pStyle w:val="HUNNormal"/>
      </w:pPr>
      <w:r>
        <w:t>Rendelkezésre állnak olyan előrejelző rendszerek, amelyek alkalmasak parcella szintű adatok biztosítására, azonban nem lehet vizsgálni, hogy a gazdálkodók milyen előrejelző rendszert használnak. Az előrejelző ren</w:t>
      </w:r>
      <w:r>
        <w:t>d</w:t>
      </w:r>
      <w:r>
        <w:t>szernek elsősorban az ültetvények esetében lehet nagyobb jelentősége, a szántóföldi kultúrák esetében csekélyebb jelentőséggel bír.</w:t>
      </w:r>
    </w:p>
    <w:p w:rsidR="00020AFE" w:rsidRDefault="00020AFE" w:rsidP="00020AFE">
      <w:pPr>
        <w:pStyle w:val="HUNNormal"/>
      </w:pPr>
    </w:p>
    <w:p w:rsidR="00020AFE" w:rsidRDefault="00020AFE" w:rsidP="00020AFE">
      <w:pPr>
        <w:pStyle w:val="StyleHUNHeading3Justified"/>
        <w:ind w:left="504"/>
      </w:pPr>
      <w:r w:rsidRPr="007C3E2D">
        <w:lastRenderedPageBreak/>
        <w:t>Történt-e valós parcellaméret változtatás azoknál a gazdálkodóknál, akik belé</w:t>
      </w:r>
      <w:r w:rsidRPr="007C3E2D">
        <w:t>p</w:t>
      </w:r>
      <w:r w:rsidRPr="007C3E2D">
        <w:t>tek a tanyás célprogramba?</w:t>
      </w:r>
      <w:r>
        <w:t xml:space="preserve"> (214. intézkedés)</w:t>
      </w:r>
    </w:p>
    <w:p w:rsidR="00020AFE" w:rsidRDefault="00020AFE" w:rsidP="00020AFE">
      <w:pPr>
        <w:pStyle w:val="HUNNormal"/>
      </w:pPr>
      <w:r>
        <w:t>A kérdésre nem lehet pontos választ adni, mivel a parcellaméret évente is változhat. Azonban a 2 hektáros parcella mérete minden esetben egy mozaikos táj fenntartásához járul hozzá, ami a tájkép kialakításában jelentős szerepet játszik. A tanyás gazdálkodás esetében a fő cél ennek a fajlagosan nagyobb emberi erőfo</w:t>
      </w:r>
      <w:r>
        <w:t>r</w:t>
      </w:r>
      <w:r>
        <w:t>rás-igényű tájhasználat fenntartásának ösztönzése.</w:t>
      </w:r>
    </w:p>
    <w:p w:rsidR="00020AFE" w:rsidRDefault="00020AFE" w:rsidP="00020AFE">
      <w:pPr>
        <w:pStyle w:val="HUNNormal"/>
      </w:pPr>
    </w:p>
    <w:p w:rsidR="00020AFE" w:rsidRDefault="00020AFE" w:rsidP="00020AFE">
      <w:pPr>
        <w:pStyle w:val="StyleHUNHeading3Justified"/>
        <w:ind w:left="504"/>
      </w:pPr>
      <w:r w:rsidRPr="007C3E2D">
        <w:t>Megfelelően került lehatárolásra a célprogram területe?</w:t>
      </w:r>
      <w:r>
        <w:t xml:space="preserve"> (214. intézkedés)</w:t>
      </w:r>
    </w:p>
    <w:p w:rsidR="00020AFE" w:rsidRDefault="00020AFE" w:rsidP="00020AFE">
      <w:pPr>
        <w:pStyle w:val="HUNNormal"/>
      </w:pPr>
      <w:r>
        <w:t>A kérdés a zonális célprogramok esetében releváns. Az MTÉT célprogramok esetében elmondható, hogy a nemzeti parkok bevonásával, többszintű szakmai egyeztetések alapján kerültek lehatárolásra a területek. A szélerózió elleni célprogram esetében talajtani adatbázisok alapján kerültek lehatárolásra a támogatható zónák. Vízerózió elleni célprogram esetében azonban csak a VTT tározók területei kerültek kijelölésre. Utóbbi esetében indokoltnak tartanánk egy valóban a vízerózióval veszélyeztetett egyéb területekkel bővíteni a l</w:t>
      </w:r>
      <w:r>
        <w:t>e</w:t>
      </w:r>
      <w:r>
        <w:t>határolt területet.</w:t>
      </w:r>
    </w:p>
    <w:p w:rsidR="00020AFE" w:rsidRDefault="00020AFE" w:rsidP="00020AFE">
      <w:pPr>
        <w:pStyle w:val="StyleHUNHeading3Justified"/>
        <w:ind w:left="504"/>
      </w:pPr>
      <w:r w:rsidRPr="007C3E2D">
        <w:t>Hogyan hatnak a célprogramok egymásra egy adott területen? (ÉTT)</w:t>
      </w:r>
      <w:r>
        <w:t xml:space="preserve"> (214. intézk</w:t>
      </w:r>
      <w:r>
        <w:t>e</w:t>
      </w:r>
      <w:r>
        <w:t>dés)</w:t>
      </w:r>
    </w:p>
    <w:p w:rsidR="00020AFE" w:rsidRDefault="00020AFE" w:rsidP="00020AFE">
      <w:pPr>
        <w:pStyle w:val="HUNNormal"/>
      </w:pPr>
      <w:r>
        <w:t>A program szerkezeti felépítése lehetővé teszi, hogy egy adott területen, a művelési ágon belül több célpro</w:t>
      </w:r>
      <w:r>
        <w:t>g</w:t>
      </w:r>
      <w:r>
        <w:t>ramot felvehessen a gazdálkodó, vagyis választási lehetősége nyílik arra vonatkozóan, hogy milyen körny</w:t>
      </w:r>
      <w:r>
        <w:t>e</w:t>
      </w:r>
      <w:r>
        <w:t>zeti vállalást kíván érvényesíteni a területén. A gyakorlatban azonban, ahogy a kérdőíves elemzés is bem</w:t>
      </w:r>
      <w:r>
        <w:t>u</w:t>
      </w:r>
      <w:r>
        <w:t>tatja, elsősorban a támogatásra optimalizálnak a kedvezményezettek, vagyis a célprogramok „versenye</w:t>
      </w:r>
      <w:r>
        <w:t>z</w:t>
      </w:r>
      <w:r>
        <w:t>nek”: melyik biztosít fajlagosan legtöbb „nettó bevételt”. Ebből kifolyólag a célprogramok kifizetési mértéke</w:t>
      </w:r>
      <w:r>
        <w:t>i</w:t>
      </w:r>
      <w:r>
        <w:t>nek egymáshoz viszonyított aránya jelentősen befolyásolja a gazdálkodói döntést. Többek között ezzel m</w:t>
      </w:r>
      <w:r>
        <w:t>a</w:t>
      </w:r>
      <w:r>
        <w:t>gyarázható az integrált szántóföldi növénytermesztési célprogram aránytalan túlsúlya.</w:t>
      </w:r>
    </w:p>
    <w:p w:rsidR="00020AFE" w:rsidRDefault="00020AFE" w:rsidP="00020AFE">
      <w:pPr>
        <w:pStyle w:val="HUNNormal"/>
      </w:pPr>
    </w:p>
    <w:p w:rsidR="00020AFE" w:rsidRDefault="00020AFE" w:rsidP="00020AFE">
      <w:pPr>
        <w:pStyle w:val="StyleHUNHeading3Justified"/>
        <w:ind w:left="504"/>
      </w:pPr>
      <w:r w:rsidRPr="007C3E2D">
        <w:t>Milyen adatok alapján kerültek a területek kiválasztásra?</w:t>
      </w:r>
      <w:r>
        <w:t xml:space="preserve"> (212. intézkedés)</w:t>
      </w:r>
    </w:p>
    <w:p w:rsidR="00020AFE" w:rsidRPr="002650DA" w:rsidRDefault="00020AFE" w:rsidP="00020AFE">
      <w:pPr>
        <w:jc w:val="both"/>
      </w:pPr>
      <w:r>
        <w:t>A KAT intézkedés c</w:t>
      </w:r>
      <w:r w:rsidRPr="002650DA">
        <w:t xml:space="preserve">élja a kedvezőtlen termőhelyi adottságokból származó jövedelem-szerzési hátrányok kompenzálása úgy, hogy elősegítse ezeken a területeken az adottságoknak megfelelő termelési szerkezet kialakítását. </w:t>
      </w:r>
      <w:r>
        <w:t>Az EMVA rendelet alapján lehetséges terület-lehatárolási lehetőségek közül Magyarország a rendelet 19. és 20. cikkében meghatározott módszereket alkalmazta, az alábbiak szerint:</w:t>
      </w:r>
    </w:p>
    <w:p w:rsidR="00020AFE" w:rsidRPr="002650DA" w:rsidRDefault="00020AFE" w:rsidP="00020AFE">
      <w:pPr>
        <w:jc w:val="both"/>
      </w:pPr>
      <w:r w:rsidRPr="002650DA">
        <w:t>19. cikk: alacsony hozamú, nehezen művelhető földterület, az átlagnál alacsonyabb termésátlagok; alacsony népesség és magas mezőgazdasági foglalkoztatottsági arány</w:t>
      </w:r>
    </w:p>
    <w:p w:rsidR="00020AFE" w:rsidRDefault="00020AFE" w:rsidP="00020AFE">
      <w:pPr>
        <w:pStyle w:val="HUNNormal"/>
      </w:pPr>
      <w:r w:rsidRPr="002650DA">
        <w:t>20. cikk: agronómiai korlátozó tényezők: a talajok nagymérték savanyúsága, extrém sótartalma, extrém ví</w:t>
      </w:r>
      <w:r w:rsidRPr="002650DA">
        <w:t>z</w:t>
      </w:r>
      <w:r w:rsidRPr="002650DA">
        <w:t>gazdálkodása, extrém fizikai jellemzők.</w:t>
      </w:r>
    </w:p>
    <w:p w:rsidR="00020AFE" w:rsidRDefault="00020AFE" w:rsidP="00020AFE">
      <w:pPr>
        <w:pStyle w:val="HUNNormal"/>
      </w:pPr>
    </w:p>
    <w:p w:rsidR="00020AFE" w:rsidRDefault="00020AFE" w:rsidP="00020AFE">
      <w:pPr>
        <w:pStyle w:val="StyleHUNHeading3Justified"/>
        <w:ind w:left="504"/>
      </w:pPr>
      <w:r w:rsidRPr="007C3E2D">
        <w:lastRenderedPageBreak/>
        <w:t>Milyen számítások alapján került a KAT kifizetés mértékének megállapítása?</w:t>
      </w:r>
      <w:r>
        <w:t xml:space="preserve"> (212. intézkedés)</w:t>
      </w:r>
    </w:p>
    <w:p w:rsidR="00020AFE" w:rsidRDefault="00020AFE" w:rsidP="00020AFE">
      <w:pPr>
        <w:pStyle w:val="HUNNormal"/>
      </w:pPr>
      <w:r w:rsidRPr="00B930E3">
        <w:rPr>
          <w:iCs/>
          <w:szCs w:val="22"/>
        </w:rPr>
        <w:t xml:space="preserve">Magyarország a „Kedvezőtlen adottságú területek támogatása” programot az 1257/1999/EK rendelet 19. és 20. cikkében előírt feltételekkel összhangban valósítja meg. Az </w:t>
      </w:r>
      <w:proofErr w:type="spellStart"/>
      <w:r w:rsidRPr="00B930E3">
        <w:rPr>
          <w:iCs/>
          <w:szCs w:val="22"/>
        </w:rPr>
        <w:t>ÚMVP-n</w:t>
      </w:r>
      <w:proofErr w:type="spellEnd"/>
      <w:r w:rsidRPr="00B930E3">
        <w:rPr>
          <w:iCs/>
          <w:szCs w:val="22"/>
        </w:rPr>
        <w:t xml:space="preserve"> belül az Európai Bizottság által 2004. július 20-án elfogadott Nemzeti Vidékfejlesztési Terv 4.2 fejezetét alkotó „Kedvezőtlen Adottságú Területek” (továbbiakban KAT) intézkedés folytatásaként, azt tovább</w:t>
      </w:r>
      <w:r>
        <w:rPr>
          <w:iCs/>
          <w:szCs w:val="22"/>
        </w:rPr>
        <w:t xml:space="preserve">fejlesztve kerül megvalósításra. Ennek megfelelően az UMVP keretében nem történt új kifizetési összeg megállapítása, az </w:t>
      </w:r>
      <w:proofErr w:type="spellStart"/>
      <w:r>
        <w:rPr>
          <w:iCs/>
          <w:szCs w:val="22"/>
        </w:rPr>
        <w:t>NVT-ben</w:t>
      </w:r>
      <w:proofErr w:type="spellEnd"/>
      <w:r>
        <w:rPr>
          <w:iCs/>
          <w:szCs w:val="22"/>
        </w:rPr>
        <w:t xml:space="preserve"> meghatározott összegek szerint a</w:t>
      </w:r>
      <w:r w:rsidRPr="002A16CB">
        <w:rPr>
          <w:iCs/>
          <w:szCs w:val="22"/>
        </w:rPr>
        <w:t xml:space="preserve"> 19. cikk szerint lehatárolt ter</w:t>
      </w:r>
      <w:r>
        <w:rPr>
          <w:iCs/>
          <w:szCs w:val="22"/>
        </w:rPr>
        <w:t>ü</w:t>
      </w:r>
      <w:r w:rsidRPr="002A16CB">
        <w:rPr>
          <w:rFonts w:cs="Franklin Gothic Book"/>
          <w:iCs/>
          <w:szCs w:val="22"/>
        </w:rPr>
        <w:t>leteken 85,9 euró/ha, a 20. cikk szerint lehatárolt ter</w:t>
      </w:r>
      <w:r>
        <w:rPr>
          <w:rFonts w:cs="Franklin Gothic Book"/>
          <w:iCs/>
          <w:szCs w:val="22"/>
        </w:rPr>
        <w:t>ü</w:t>
      </w:r>
      <w:r w:rsidRPr="002A16CB">
        <w:rPr>
          <w:rFonts w:cs="Franklin Gothic Book"/>
          <w:iCs/>
          <w:szCs w:val="22"/>
        </w:rPr>
        <w:t>let</w:t>
      </w:r>
      <w:r w:rsidRPr="002A16CB">
        <w:rPr>
          <w:rFonts w:cs="Franklin Gothic Book"/>
          <w:iCs/>
          <w:szCs w:val="22"/>
        </w:rPr>
        <w:t>e</w:t>
      </w:r>
      <w:r w:rsidRPr="002A16CB">
        <w:rPr>
          <w:rFonts w:cs="Franklin Gothic Book"/>
          <w:iCs/>
          <w:szCs w:val="22"/>
        </w:rPr>
        <w:t>ken pedig 10,94 euró/ha a kifizetés mértéke (területi átfedés esetén a 19. cikk szerinti kifizetést kell alka</w:t>
      </w:r>
      <w:r w:rsidRPr="002A16CB">
        <w:rPr>
          <w:rFonts w:cs="Franklin Gothic Book"/>
          <w:iCs/>
          <w:szCs w:val="22"/>
        </w:rPr>
        <w:t>l</w:t>
      </w:r>
      <w:r w:rsidRPr="002A16CB">
        <w:rPr>
          <w:rFonts w:cs="Franklin Gothic Book"/>
          <w:iCs/>
          <w:szCs w:val="22"/>
        </w:rPr>
        <w:t>mazni</w:t>
      </w:r>
      <w:r>
        <w:rPr>
          <w:iCs/>
          <w:szCs w:val="22"/>
        </w:rPr>
        <w:t>)</w:t>
      </w:r>
      <w:r w:rsidRPr="002A16CB">
        <w:rPr>
          <w:iCs/>
          <w:szCs w:val="22"/>
        </w:rPr>
        <w:t>.</w:t>
      </w:r>
    </w:p>
    <w:p w:rsidR="00020AFE" w:rsidRDefault="00020AFE" w:rsidP="00020AFE">
      <w:pPr>
        <w:pStyle w:val="StyleHUNHeading2Justified"/>
      </w:pPr>
      <w:r>
        <w:br w:type="page"/>
      </w:r>
      <w:bookmarkStart w:id="50" w:name="_Toc279592184"/>
      <w:bookmarkStart w:id="51" w:name="_Toc280788362"/>
      <w:r>
        <w:lastRenderedPageBreak/>
        <w:t>Helyi közösségekre vonatkozó kérdések (</w:t>
      </w:r>
      <w:r w:rsidR="004E4D93">
        <w:t>III</w:t>
      </w:r>
      <w:r>
        <w:t>. tengely)</w:t>
      </w:r>
      <w:bookmarkEnd w:id="50"/>
      <w:bookmarkEnd w:id="51"/>
    </w:p>
    <w:p w:rsidR="00020AFE" w:rsidRDefault="00020AFE" w:rsidP="00020AFE">
      <w:pPr>
        <w:pStyle w:val="StyleHUNHeading3Justified"/>
        <w:ind w:left="504"/>
      </w:pPr>
      <w:r w:rsidRPr="004A09A3">
        <w:t>Milyen mértékben járult hozzá a támogatás a tevékenységi körök valós bővítéséhez, a mezőgazdasági és élelmiszeripari vállalkozások több lábon álláshoz (és mennyiben váltotta fel az eredeti tevékenységet)?</w:t>
      </w:r>
    </w:p>
    <w:p w:rsidR="00020AFE" w:rsidRDefault="00020AFE" w:rsidP="00020AFE">
      <w:pPr>
        <w:pStyle w:val="stylehunheading3justified0"/>
        <w:tabs>
          <w:tab w:val="left" w:pos="794"/>
        </w:tabs>
        <w:ind w:left="0" w:firstLine="0"/>
        <w:rPr>
          <w:rFonts w:ascii="Franklin Gothic Book" w:hAnsi="Franklin Gothic Book"/>
          <w:smallCaps w:val="0"/>
          <w:sz w:val="20"/>
          <w:szCs w:val="20"/>
        </w:rPr>
      </w:pPr>
      <w:r>
        <w:rPr>
          <w:rFonts w:ascii="Franklin Gothic Book" w:hAnsi="Franklin Gothic Book"/>
          <w:smallCaps w:val="0"/>
          <w:sz w:val="20"/>
          <w:szCs w:val="20"/>
        </w:rPr>
        <w:t>A konkrétan erre a célra irányuló intézkedés, a „mezőgazdasági tevékenységek diverzifikációja” a progra</w:t>
      </w:r>
      <w:r>
        <w:rPr>
          <w:rFonts w:ascii="Franklin Gothic Book" w:hAnsi="Franklin Gothic Book"/>
          <w:smallCaps w:val="0"/>
          <w:sz w:val="20"/>
          <w:szCs w:val="20"/>
        </w:rPr>
        <w:t>m</w:t>
      </w:r>
      <w:r>
        <w:rPr>
          <w:rFonts w:ascii="Franklin Gothic Book" w:hAnsi="Franklin Gothic Book"/>
          <w:smallCaps w:val="0"/>
          <w:sz w:val="20"/>
          <w:szCs w:val="20"/>
        </w:rPr>
        <w:t>időszak eddigi szakaszában nem indult el.</w:t>
      </w:r>
    </w:p>
    <w:p w:rsidR="00020AFE" w:rsidRPr="0027201E" w:rsidRDefault="00020AFE" w:rsidP="00020AFE">
      <w:pPr>
        <w:pStyle w:val="stylehunheading3justified0"/>
        <w:tabs>
          <w:tab w:val="left" w:pos="794"/>
        </w:tabs>
        <w:ind w:left="0" w:firstLine="0"/>
        <w:rPr>
          <w:rFonts w:ascii="Franklin Gothic Book" w:hAnsi="Franklin Gothic Book"/>
          <w:smallCaps w:val="0"/>
          <w:sz w:val="20"/>
          <w:szCs w:val="20"/>
        </w:rPr>
      </w:pPr>
      <w:r>
        <w:rPr>
          <w:rFonts w:ascii="Franklin Gothic Book" w:hAnsi="Franklin Gothic Book"/>
          <w:smallCaps w:val="0"/>
          <w:sz w:val="20"/>
          <w:szCs w:val="20"/>
        </w:rPr>
        <w:t xml:space="preserve">A mikro vállalkozások fejlesztése kapcsán, a több lábon állás lehetőségének megteremtésére </w:t>
      </w:r>
      <w:r w:rsidRPr="0027201E">
        <w:rPr>
          <w:rFonts w:ascii="Franklin Gothic Book" w:hAnsi="Franklin Gothic Book"/>
          <w:smallCaps w:val="0"/>
          <w:sz w:val="20"/>
          <w:szCs w:val="20"/>
        </w:rPr>
        <w:t>vonatkozóan csupán a kérdőíves felmérés eredményeire hagyatkozhatunk, hiszen a többi adatforrás erre vonatkozóan adatokat nem tartalmaz. A kérdőívet a támogatottak 13 százaléka töltötte ki, amely alapján azt mondhatjuk, hogy a diverzifikáció nem jellemző, a 122 értékelhető választ adó 26 százaléka mondta azt, hogy a támog</w:t>
      </w:r>
      <w:r w:rsidRPr="0027201E">
        <w:rPr>
          <w:rFonts w:ascii="Franklin Gothic Book" w:hAnsi="Franklin Gothic Book"/>
          <w:smallCaps w:val="0"/>
          <w:sz w:val="20"/>
          <w:szCs w:val="20"/>
        </w:rPr>
        <w:t>a</w:t>
      </w:r>
      <w:r w:rsidRPr="0027201E">
        <w:rPr>
          <w:rFonts w:ascii="Franklin Gothic Book" w:hAnsi="Franklin Gothic Book"/>
          <w:smallCaps w:val="0"/>
          <w:sz w:val="20"/>
          <w:szCs w:val="20"/>
        </w:rPr>
        <w:t>tott tevékenység számára új, ilyen tapasztalatokkal nem rendelkezik. Az új tevékenységbe fogó vállalkozások (32 db) közt döntő többséget alkotnak az induló vállalkozások (22 db), a már működési tapasztalattal bíró vállalkozások alig 10 százaléka döntött a tevékenység diverzifikálása mellett, köreikben sokkal inkább a már meglévő tevékenység erősítése, fejlesztése a jellemző. Elgondolkodtató, hogy az induló vállalkozások közül csupán egyetlen egy mondta magáról, hogy a támogatott tevékenységben már rendelkezik munkatapaszt</w:t>
      </w:r>
      <w:r w:rsidRPr="0027201E">
        <w:rPr>
          <w:rFonts w:ascii="Franklin Gothic Book" w:hAnsi="Franklin Gothic Book"/>
          <w:smallCaps w:val="0"/>
          <w:sz w:val="20"/>
          <w:szCs w:val="20"/>
        </w:rPr>
        <w:t>a</w:t>
      </w:r>
      <w:r w:rsidRPr="0027201E">
        <w:rPr>
          <w:rFonts w:ascii="Franklin Gothic Book" w:hAnsi="Franklin Gothic Book"/>
          <w:smallCaps w:val="0"/>
          <w:sz w:val="20"/>
          <w:szCs w:val="20"/>
        </w:rPr>
        <w:t>lattal, a támogatott induló vállalkozások 95 százalékáról ez nem mondható el. Egy 13 százalékos mintából, ilyen alacsony esetszám (122) mellett messzemenő következtetéseket levonni nem szabad, a kapott ere</w:t>
      </w:r>
      <w:r w:rsidRPr="0027201E">
        <w:rPr>
          <w:rFonts w:ascii="Franklin Gothic Book" w:hAnsi="Franklin Gothic Book"/>
          <w:smallCaps w:val="0"/>
          <w:sz w:val="20"/>
          <w:szCs w:val="20"/>
        </w:rPr>
        <w:t>d</w:t>
      </w:r>
      <w:r w:rsidRPr="0027201E">
        <w:rPr>
          <w:rFonts w:ascii="Franklin Gothic Book" w:hAnsi="Franklin Gothic Book"/>
          <w:smallCaps w:val="0"/>
          <w:sz w:val="20"/>
          <w:szCs w:val="20"/>
        </w:rPr>
        <w:t>mények azonban arra mutatnak, hogy az induló vállalkozások tapasztalat nélkül vágnak bele a gazdálk</w:t>
      </w:r>
      <w:r w:rsidRPr="0027201E">
        <w:rPr>
          <w:rFonts w:ascii="Franklin Gothic Book" w:hAnsi="Franklin Gothic Book"/>
          <w:smallCaps w:val="0"/>
          <w:sz w:val="20"/>
          <w:szCs w:val="20"/>
        </w:rPr>
        <w:t>o</w:t>
      </w:r>
      <w:r w:rsidRPr="0027201E">
        <w:rPr>
          <w:rFonts w:ascii="Franklin Gothic Book" w:hAnsi="Franklin Gothic Book"/>
          <w:smallCaps w:val="0"/>
          <w:sz w:val="20"/>
          <w:szCs w:val="20"/>
        </w:rPr>
        <w:t>dásba, ami valószínűsíti az átlagnál magasabb megszűnésüket.</w:t>
      </w:r>
    </w:p>
    <w:p w:rsidR="00020AFE" w:rsidRDefault="00020AFE" w:rsidP="00020AFE">
      <w:pPr>
        <w:pStyle w:val="StyleHUNHeading2Justified"/>
      </w:pPr>
      <w:r>
        <w:br w:type="page"/>
      </w:r>
      <w:bookmarkStart w:id="52" w:name="_Toc279592185"/>
      <w:bookmarkStart w:id="53" w:name="_Toc280788363"/>
      <w:proofErr w:type="spellStart"/>
      <w:r>
        <w:lastRenderedPageBreak/>
        <w:t>LEADER-rel</w:t>
      </w:r>
      <w:proofErr w:type="spellEnd"/>
      <w:r>
        <w:t xml:space="preserve"> kapcsolatos kérdések (</w:t>
      </w:r>
      <w:r w:rsidR="004E4D93">
        <w:t>IV</w:t>
      </w:r>
      <w:r>
        <w:t>. tengely)</w:t>
      </w:r>
      <w:bookmarkEnd w:id="52"/>
      <w:bookmarkEnd w:id="53"/>
    </w:p>
    <w:p w:rsidR="00020AFE" w:rsidRDefault="00020AFE" w:rsidP="00020AFE">
      <w:pPr>
        <w:pStyle w:val="StyleHUNHeading3Justified"/>
        <w:ind w:left="504"/>
      </w:pPr>
      <w:r w:rsidRPr="00CE26D8">
        <w:t>Decentralizáció mértéke (</w:t>
      </w:r>
      <w:proofErr w:type="spellStart"/>
      <w:r w:rsidRPr="00CE26D8">
        <w:t>multi-level</w:t>
      </w:r>
      <w:proofErr w:type="spellEnd"/>
      <w:r w:rsidRPr="00CE26D8">
        <w:t xml:space="preserve"> </w:t>
      </w:r>
      <w:proofErr w:type="spellStart"/>
      <w:r w:rsidRPr="00CE26D8">
        <w:t>governance</w:t>
      </w:r>
      <w:proofErr w:type="spellEnd"/>
      <w:r w:rsidRPr="00CE26D8">
        <w:t>): Milyen mértékben és milyen m</w:t>
      </w:r>
      <w:r w:rsidRPr="00CE26D8">
        <w:t>ó</w:t>
      </w:r>
      <w:r w:rsidRPr="00CE26D8">
        <w:t>don járult hozzá az intézkedés megvalósítása a decentralizációhoz? (41. intézkedés)</w:t>
      </w:r>
    </w:p>
    <w:p w:rsidR="00020AFE" w:rsidRDefault="00020AFE" w:rsidP="00020AFE">
      <w:pPr>
        <w:pStyle w:val="CommentText"/>
        <w:jc w:val="both"/>
      </w:pPr>
      <w:r>
        <w:t>A decentralizáció mértéke a III. és IV. tengelyt tekintve eltérő, ezért a kérdés megválaszolása is két részből áll.</w:t>
      </w:r>
    </w:p>
    <w:p w:rsidR="00020AFE" w:rsidRDefault="00020AFE" w:rsidP="00020AFE">
      <w:pPr>
        <w:pStyle w:val="CommentText"/>
        <w:jc w:val="both"/>
      </w:pPr>
      <w:r w:rsidRPr="00201139">
        <w:t xml:space="preserve">A </w:t>
      </w:r>
      <w:r w:rsidRPr="002B256B">
        <w:rPr>
          <w:b/>
        </w:rPr>
        <w:t xml:space="preserve">III. tengely </w:t>
      </w:r>
      <w:r w:rsidRPr="002B256B">
        <w:t xml:space="preserve">végrehajtása </w:t>
      </w:r>
      <w:r w:rsidRPr="00201139">
        <w:t xml:space="preserve">során a </w:t>
      </w:r>
      <w:proofErr w:type="spellStart"/>
      <w:r w:rsidRPr="00201139">
        <w:t>HACS-ok</w:t>
      </w:r>
      <w:proofErr w:type="spellEnd"/>
      <w:r w:rsidRPr="00201139">
        <w:t xml:space="preserve"> közreműködésével megvalósuló intézkedések tekintetében </w:t>
      </w:r>
      <w:r w:rsidRPr="008C6939">
        <w:rPr>
          <w:bCs/>
        </w:rPr>
        <w:t>az akciócsoportok döntési autonómiája</w:t>
      </w:r>
      <w:r>
        <w:rPr>
          <w:bCs/>
        </w:rPr>
        <w:t xml:space="preserve">, a valós decentralizáció </w:t>
      </w:r>
      <w:r w:rsidRPr="008C6939">
        <w:rPr>
          <w:bCs/>
        </w:rPr>
        <w:t>minimális mértékben érvényesült</w:t>
      </w:r>
      <w:r w:rsidRPr="008C6939">
        <w:t xml:space="preserve">. </w:t>
      </w:r>
    </w:p>
    <w:p w:rsidR="00020AFE" w:rsidRPr="008C6939" w:rsidRDefault="00020AFE" w:rsidP="00020AFE">
      <w:pPr>
        <w:pStyle w:val="HUNNormal"/>
      </w:pPr>
      <w:r w:rsidRPr="00201139">
        <w:t>Az akciócsoportok helyi vidékfejlesztési stratégiái tartalmazzák a III. tengely nem horizontálisan megvalósuló intézkedéseinek céljait, az azok megvalósítására vonatkozó tevékenységeket, az akciócsoport által megh</w:t>
      </w:r>
      <w:r w:rsidRPr="00201139">
        <w:t>a</w:t>
      </w:r>
      <w:r w:rsidRPr="00201139">
        <w:t xml:space="preserve">tározott tartalommal, </w:t>
      </w:r>
      <w:r w:rsidRPr="008C6939">
        <w:t xml:space="preserve">mivel a tervezési folyamat kezdetekor még nem volt egyértelmű, hogy a </w:t>
      </w:r>
      <w:r w:rsidRPr="008C6939">
        <w:rPr>
          <w:bCs/>
        </w:rPr>
        <w:t>III. tengelyes intézkedésekre központilag megalkotott támogatási rendeletek feltételrendszerei alapján lehet kérelmeket benyújtani</w:t>
      </w:r>
      <w:r w:rsidRPr="008C6939">
        <w:t xml:space="preserve">.  </w:t>
      </w:r>
    </w:p>
    <w:p w:rsidR="00020AFE" w:rsidRPr="008C6939" w:rsidRDefault="00020AFE" w:rsidP="00020AFE">
      <w:pPr>
        <w:pStyle w:val="HUNNormal"/>
      </w:pPr>
      <w:r w:rsidRPr="008C6939">
        <w:t xml:space="preserve">A </w:t>
      </w:r>
      <w:r w:rsidRPr="008C6939">
        <w:rPr>
          <w:bCs/>
        </w:rPr>
        <w:t>kérelmek kezelésének eljárásrendje és az értékelési rendszere szintén központilag lett leszabályozva</w:t>
      </w:r>
      <w:r w:rsidRPr="008C6939">
        <w:t xml:space="preserve">. A </w:t>
      </w:r>
      <w:proofErr w:type="spellStart"/>
      <w:r w:rsidRPr="008C6939">
        <w:t>HACS-ok</w:t>
      </w:r>
      <w:proofErr w:type="spellEnd"/>
      <w:r w:rsidRPr="008C6939">
        <w:t xml:space="preserve"> minimális mozgásterét a helyi információk, értékelési szempontok megjelenítésére az a 20 adható pont jelentette, amelynek keretében az akciócsoportok a </w:t>
      </w:r>
      <w:proofErr w:type="spellStart"/>
      <w:r w:rsidRPr="008C6939">
        <w:t>HVS-hez</w:t>
      </w:r>
      <w:proofErr w:type="spellEnd"/>
      <w:r w:rsidRPr="008C6939">
        <w:t xml:space="preserve"> való illeszkedést értékelhették. Ugyana</w:t>
      </w:r>
      <w:r w:rsidRPr="008C6939">
        <w:t>k</w:t>
      </w:r>
      <w:r w:rsidRPr="008C6939">
        <w:t>kor ezen a 20 ponton belül is adottak voltak részszempontok, amelyek korlátozták az akciócsoportokat a helyi szempontok érvényesítésében. Így több esetben előfordulhatott, hogy olyan fejlesztések kaptak tám</w:t>
      </w:r>
      <w:r w:rsidRPr="008C6939">
        <w:t>o</w:t>
      </w:r>
      <w:r w:rsidRPr="008C6939">
        <w:t xml:space="preserve">gatást, amelyek egyrészt aránytalanul nagy részét használták fel a térség erőforrásainak, illetve helyi szinten tudottan nem azt a szemléletet és tartalmat testesítették meg, amelyet a partnerség a </w:t>
      </w:r>
      <w:proofErr w:type="spellStart"/>
      <w:r w:rsidRPr="008C6939">
        <w:t>HVS-ben</w:t>
      </w:r>
      <w:proofErr w:type="spellEnd"/>
      <w:r w:rsidRPr="008C6939">
        <w:t xml:space="preserve"> megfoga</w:t>
      </w:r>
      <w:r w:rsidRPr="008C6939">
        <w:t>l</w:t>
      </w:r>
      <w:r w:rsidRPr="008C6939">
        <w:t>mazott.</w:t>
      </w:r>
    </w:p>
    <w:p w:rsidR="00020AFE" w:rsidRPr="008C6939" w:rsidRDefault="00020AFE" w:rsidP="00020AFE">
      <w:pPr>
        <w:pStyle w:val="HUNNormal"/>
      </w:pPr>
      <w:r w:rsidRPr="008C6939">
        <w:t xml:space="preserve">Az akciócsoportok körében készített kérdőíves felmérés és a csoportos és személyes beszélgetések alapján megállapítható, hogy a </w:t>
      </w:r>
      <w:proofErr w:type="spellStart"/>
      <w:r w:rsidRPr="008C6939">
        <w:t>HACS-ok</w:t>
      </w:r>
      <w:proofErr w:type="spellEnd"/>
      <w:r w:rsidRPr="008C6939">
        <w:t xml:space="preserve"> és a HVS szempontjai ér</w:t>
      </w:r>
      <w:r>
        <w:t xml:space="preserve">vényesítésének mértéke jelentősen </w:t>
      </w:r>
      <w:r w:rsidRPr="008C6939">
        <w:t>nőtt a III. te</w:t>
      </w:r>
      <w:r w:rsidRPr="008C6939">
        <w:t>n</w:t>
      </w:r>
      <w:r w:rsidRPr="008C6939">
        <w:t>gely első és második körös kérelemkezelését egymáshoz viszonyítva. Az első körös eljárásrenddel kapcsol</w:t>
      </w:r>
      <w:r w:rsidRPr="008C6939">
        <w:t>a</w:t>
      </w:r>
      <w:r w:rsidRPr="008C6939">
        <w:t xml:space="preserve">tosan a </w:t>
      </w:r>
      <w:proofErr w:type="spellStart"/>
      <w:r w:rsidRPr="008C6939">
        <w:t>HACS-ok</w:t>
      </w:r>
      <w:proofErr w:type="spellEnd"/>
      <w:r w:rsidRPr="008C6939">
        <w:t xml:space="preserve"> 17%-a vélekedett úgy, hogy egyáltalán nem tudott „beleszólni” a kiválasztásba, 30% szerint ez a jogkör elégtelenül alacsony volt. Csupán 18% ítélte ezt a szempontot megfelelőnek.</w:t>
      </w:r>
    </w:p>
    <w:p w:rsidR="00020AFE" w:rsidRPr="008C6939" w:rsidRDefault="00020AFE" w:rsidP="00020AFE">
      <w:pPr>
        <w:pStyle w:val="HUNNormal"/>
      </w:pPr>
      <w:r w:rsidRPr="008C6939">
        <w:t>Ehhez képest a második körben már csak 4% vélekedett úgy, hogy egyáltalán nem tudja érvényesíteni a helyi szempontokat a kiválasztásban, 17% szerint ez a mérték még mindig elégtelenül alacsony. Ebben a körben viszont már 43% vélekedett úgy, hogy megfelelő mértékben érvényesíthetők a HACS és a HVS sze</w:t>
      </w:r>
      <w:r w:rsidRPr="008C6939">
        <w:t>m</w:t>
      </w:r>
      <w:r w:rsidRPr="008C6939">
        <w:t>pontjai a támogatások odaítélése során.</w:t>
      </w:r>
    </w:p>
    <w:p w:rsidR="00020AFE" w:rsidRPr="008C6939" w:rsidRDefault="00020AFE" w:rsidP="00020AFE">
      <w:pPr>
        <w:pStyle w:val="HUNNormal"/>
      </w:pPr>
      <w:r w:rsidRPr="008C6939">
        <w:t>Arra a kérdésre, hogy végrehajtás jelenlegi hazai rendszerében összességében mekkora az akciócsoportok autonómiája, a decentralizáció mértéke, vagyis milyen mértékben érvényesülnek a helyi szándékok a pro</w:t>
      </w:r>
      <w:r w:rsidRPr="008C6939">
        <w:t>g</w:t>
      </w:r>
      <w:r w:rsidRPr="008C6939">
        <w:t>ram működtetését illetően a III. tengely első körére vonatkozóan a válaszadók 17%-a jelezte, hogy egyáltalán nem beszélhetünk decentralizációról, a csoportok a központi irányítás maradéktalan végrehajtására kötel</w:t>
      </w:r>
      <w:r w:rsidRPr="008C6939">
        <w:t>e</w:t>
      </w:r>
      <w:r w:rsidRPr="008C6939">
        <w:t>zettek. További 34% szerint a csoportok autonómiájának szintje nagyon alacsony. 18% szerint a biztosított mozgástér és önállóság szintje megfelelő, 2% szerint kiváló.</w:t>
      </w:r>
    </w:p>
    <w:p w:rsidR="00020AFE" w:rsidRDefault="00020AFE" w:rsidP="00020AFE">
      <w:pPr>
        <w:pStyle w:val="HUNNormal"/>
      </w:pPr>
      <w:r w:rsidRPr="008C6939">
        <w:t>A III. tengely második körét vizsgálva a válaszok pozitívabbak, egyértelmű elmozdulás tapasztalható a d</w:t>
      </w:r>
      <w:r w:rsidRPr="008C6939">
        <w:t>e</w:t>
      </w:r>
      <w:r w:rsidRPr="008C6939">
        <w:t>centralizáltabb működés irányába. 7% szerint egyáltalán nem érvényesül a csoportok autonómiája, további</w:t>
      </w:r>
      <w:r>
        <w:t xml:space="preserve"> 19% szerint ez a szint nagyon alacsony. Ebben a körben már a válaszadók 33%-a döntött úgy, hogy a biztos</w:t>
      </w:r>
      <w:r>
        <w:t>í</w:t>
      </w:r>
      <w:r>
        <w:t>tott mozgástér és önállóság szintje megfelelő, 4% szerint kiváló. A IV. tengely vonatkozásában jóval mag</w:t>
      </w:r>
      <w:r>
        <w:t>a</w:t>
      </w:r>
      <w:r>
        <w:t>sabb szintű autonómia és nagyobb mozgástér biztosítása valósult meg.</w:t>
      </w:r>
    </w:p>
    <w:p w:rsidR="00020AFE" w:rsidRDefault="00020AFE" w:rsidP="00020AFE">
      <w:pPr>
        <w:pStyle w:val="CommentText"/>
      </w:pPr>
      <w:r w:rsidRPr="008C6939">
        <w:rPr>
          <w:i/>
        </w:rPr>
        <w:t xml:space="preserve">A </w:t>
      </w:r>
      <w:r w:rsidRPr="002B256B">
        <w:rPr>
          <w:b/>
        </w:rPr>
        <w:t xml:space="preserve">IV. tengely </w:t>
      </w:r>
      <w:r w:rsidRPr="002B256B">
        <w:t xml:space="preserve">esetén </w:t>
      </w:r>
      <w:r>
        <w:t>az akciócsoportok szabadon határozhatták meg a támogatandó célokat, tevékenység</w:t>
      </w:r>
      <w:r>
        <w:t>e</w:t>
      </w:r>
      <w:r>
        <w:t>ket, az értékelési szempontokat, a támogatások minimum és maximum értékhatárait és a támogatás inte</w:t>
      </w:r>
      <w:r>
        <w:t>n</w:t>
      </w:r>
      <w:r>
        <w:t>zitását. Ez jelentős szabadságot adott a helyi szempontok érvényesítéséhez</w:t>
      </w:r>
    </w:p>
    <w:p w:rsidR="00020AFE" w:rsidRDefault="00020AFE" w:rsidP="00020AFE">
      <w:pPr>
        <w:jc w:val="both"/>
      </w:pPr>
      <w:r>
        <w:lastRenderedPageBreak/>
        <w:t>A LEADER helyi akciócsoportoknak nem állt jogukban a megvalósítás eljárásrendjének megválasztása. Ugyanazt a központilag meghatározott normatív kontrolt kell alkalmazniuk a delegált feladatok ellátására, amely a többi tengelyre kötelezően alkalmazandó. Ennek következménye, hogy bár a IV. tengely megvalós</w:t>
      </w:r>
      <w:r>
        <w:t>í</w:t>
      </w:r>
      <w:r>
        <w:t>tásánál a helyi akciócsoportok döntés</w:t>
      </w:r>
      <w:r w:rsidRPr="007521B0">
        <w:t>hoz</w:t>
      </w:r>
      <w:r>
        <w:t>atali</w:t>
      </w:r>
      <w:r w:rsidRPr="007521B0">
        <w:t xml:space="preserve"> </w:t>
      </w:r>
      <w:r>
        <w:t xml:space="preserve">jogosítványa a pályázatok értékelését tekintve jóval szélesebb, mint a III. tengely intézkedéseinek esetében, hiszen az értékelési kritériumokat a helyi akciócsoport vezetése határozza meg és az IH hagyja jóvá, mégis </w:t>
      </w:r>
      <w:r w:rsidRPr="00F56A85">
        <w:t>amennyiben bármely pályázat megfelel az általánosan megfoga</w:t>
      </w:r>
      <w:r w:rsidRPr="00F56A85">
        <w:t>l</w:t>
      </w:r>
      <w:r w:rsidRPr="00F56A85">
        <w:t xml:space="preserve">mazott támogatási feltételeknek, akkor a </w:t>
      </w:r>
      <w:r>
        <w:t>helyi akciócsoport nem</w:t>
      </w:r>
      <w:r w:rsidRPr="00F56A85">
        <w:t xml:space="preserve"> jogosult azt elutasítani. </w:t>
      </w:r>
      <w:r>
        <w:t>Ebben az esetben c</w:t>
      </w:r>
      <w:r w:rsidRPr="00F56A85">
        <w:t xml:space="preserve">sak akkor nem részesülhet támogatásban bármely kérelem, vagy pályázat, ha nem éri el azt a </w:t>
      </w:r>
      <w:r>
        <w:t xml:space="preserve">minimális </w:t>
      </w:r>
      <w:r w:rsidRPr="00F56A85">
        <w:t>pontszámot, amit a HACS meghatározott. Ugyanígy fordítva, ha valamely kérelem, vagy pályázat bizonyos eleme nem teljes egészében elégíti ki a normatív feltételeket, akkor az abban az esetben sem támogatható, ha az a helyi közösség, vagy a térség egészének fejlődését segítené elő</w:t>
      </w:r>
      <w:r>
        <w:t xml:space="preserve">.  Hiányzik tehát az </w:t>
      </w:r>
      <w:proofErr w:type="spellStart"/>
      <w:r>
        <w:t>az</w:t>
      </w:r>
      <w:proofErr w:type="spellEnd"/>
      <w:r>
        <w:t xml:space="preserve"> elem a dö</w:t>
      </w:r>
      <w:r>
        <w:t>n</w:t>
      </w:r>
      <w:r>
        <w:t xml:space="preserve">téshozásban, amely ezekben a speciális esetekben megfelelően alátámasztott és átlátható módon a helyi </w:t>
      </w:r>
      <w:proofErr w:type="gramStart"/>
      <w:r>
        <w:t>partnerség  javaslatát</w:t>
      </w:r>
      <w:proofErr w:type="gramEnd"/>
      <w:r>
        <w:t xml:space="preserve"> érvényesíttetné.</w:t>
      </w:r>
    </w:p>
    <w:p w:rsidR="00020AFE" w:rsidRDefault="00020AFE" w:rsidP="00020AFE">
      <w:pPr>
        <w:pStyle w:val="HUNNormal"/>
      </w:pPr>
      <w:r>
        <w:t xml:space="preserve">Arra a kérdésre, hogy </w:t>
      </w:r>
      <w:r w:rsidRPr="00E01112">
        <w:t>milyen mértékben lehetett érvényesíteni a HACS és a HVS szempontjait a támogatások odaítélése (pontozás) során</w:t>
      </w:r>
      <w:r>
        <w:t>, az értékelhető választ adó 84 db HACS 78%-a (66 db) választotta az ötös sk</w:t>
      </w:r>
      <w:r>
        <w:t>á</w:t>
      </w:r>
      <w:r>
        <w:t xml:space="preserve">lán a két legmagasabb fokozatot, és csupán 3% választotta a két legalacsonyabb kategóriát. Ez jelentős mértékű döntéshozói autonómiára utal.  </w:t>
      </w:r>
    </w:p>
    <w:p w:rsidR="00020AFE" w:rsidRDefault="00020AFE" w:rsidP="00020AFE">
      <w:pPr>
        <w:pStyle w:val="HUNNormal"/>
      </w:pPr>
      <w:r>
        <w:t xml:space="preserve">Arra a kérdésre, hogy összességében </w:t>
      </w:r>
      <w:r w:rsidRPr="00EB3C95">
        <w:t>mekkora az akciócsoportok autonómiája</w:t>
      </w:r>
      <w:r>
        <w:t xml:space="preserve">, </w:t>
      </w:r>
      <w:r w:rsidRPr="00EB3C95">
        <w:t xml:space="preserve">a decentralizáció mértéke </w:t>
      </w:r>
      <w:r>
        <w:t>a teljes működést tekintve</w:t>
      </w:r>
      <w:r w:rsidRPr="00EB3C95">
        <w:t>, vagyis milyen mértékben érvényesülnek a helyi szándékok a program működtet</w:t>
      </w:r>
      <w:r w:rsidRPr="00EB3C95">
        <w:t>é</w:t>
      </w:r>
      <w:r w:rsidRPr="00EB3C95">
        <w:t>sét illetően (</w:t>
      </w:r>
      <w:r>
        <w:t xml:space="preserve">pl. </w:t>
      </w:r>
      <w:r w:rsidRPr="00EB3C95">
        <w:t>forrásátcsoportosítás, munkaszervezeti kérdések, költségvetés stb</w:t>
      </w:r>
      <w:r>
        <w:t xml:space="preserve">.) a válaszok alapján már kevésbé kedvező a kép. A legtöbben (42%, 36 db) a négyes kategóriát választották. Összesen 60% (52 db) válaszadó szerint pozitív, vagyis a közepes mértékűnél kedvezőbb megítélésű a működtetés az autonómia szintjét illetően. 29% (25 db) választotta a hármas kategóriát az ötös skálán, és 10% (9db) szerint jelentős változtatások szükségesek az önálló, decentralizált döntéshozás biztosítása, a csoportok mozgásterének növelése szempontjából. </w:t>
      </w:r>
    </w:p>
    <w:p w:rsidR="00020AFE" w:rsidRDefault="00020AFE" w:rsidP="00020AFE">
      <w:pPr>
        <w:pStyle w:val="HUNNormal"/>
      </w:pPr>
      <w:r>
        <w:t>Az akciócsoportok autonómiájának és a decentralizáció szintjének a program megvalósítása során történő változására 53% (45 db) válaszolta azt, hogy kedvező folyamatokat tapasztalt, 42% (36 db) szerint nem vá</w:t>
      </w:r>
      <w:r>
        <w:t>l</w:t>
      </w:r>
      <w:r>
        <w:t>tozott a helyzet a megvalósítás kezdete óta és csupán 5% (4 db) válaszolta azt, hogy az önálló döntések alapján történő működtetés lehetősége csökkent.</w:t>
      </w:r>
    </w:p>
    <w:p w:rsidR="00020AFE" w:rsidRPr="00760563" w:rsidRDefault="00020AFE" w:rsidP="00020AFE">
      <w:pPr>
        <w:pStyle w:val="HUNNormal"/>
      </w:pPr>
      <w:r>
        <w:t xml:space="preserve">Meg kell jegyezni, hogy mind a csoportos és személyes beszélgetések, mind pedig a kérdőívek tapasztalata azt mutatja, hogy a felkészítés során a </w:t>
      </w:r>
      <w:proofErr w:type="spellStart"/>
      <w:r>
        <w:t>HACS-oknak</w:t>
      </w:r>
      <w:proofErr w:type="spellEnd"/>
      <w:r>
        <w:t xml:space="preserve"> nem volt lehetőségük széles körben tájékozódni arról, hogy más tagállamokban hogyan működik a LEADER program, milyen lehetőségek és variációk léteznek a decentralizált irányításra. Az akciócsoport szemléletét különböző mértékben ugyan, de még mindig befoly</w:t>
      </w:r>
      <w:r>
        <w:t>á</w:t>
      </w:r>
      <w:r>
        <w:t>solja a régi beidegződés miszerint az a természetes, ha a központi szintről mindent a részletekig leszab</w:t>
      </w:r>
      <w:r>
        <w:t>á</w:t>
      </w:r>
      <w:r>
        <w:t>lyoznak, így nem terhel az önálló döntések felelőssége, van mindek megfelelni, hiszen ezek alapján kapják a működési forrásokat. Ehhez járult hozzá a csoportok delegált feladatok ellátásával járó „funkcióváltása”, miszerint központból irányított kis közreműködő szervezetként működnek, amely egyes</w:t>
      </w:r>
      <w:r w:rsidRPr="00566A90">
        <w:t xml:space="preserve"> </w:t>
      </w:r>
      <w:r>
        <w:t>akciócsoportok fe</w:t>
      </w:r>
      <w:r>
        <w:t>l</w:t>
      </w:r>
      <w:r>
        <w:t>fogásában természetes. Ezek befolyásolhatták az autonómiával kapcsolatos vélemények képét.</w:t>
      </w:r>
    </w:p>
    <w:p w:rsidR="00020AFE" w:rsidRDefault="00020AFE" w:rsidP="00020AFE">
      <w:pPr>
        <w:pStyle w:val="StyleHUNHeading3Justified"/>
        <w:ind w:left="504"/>
      </w:pPr>
      <w:r w:rsidRPr="00CE26D8">
        <w:lastRenderedPageBreak/>
        <w:t>A különböző döntéshozói szintek közötti koordináció mértéke (</w:t>
      </w:r>
      <w:proofErr w:type="spellStart"/>
      <w:r w:rsidRPr="00CE26D8">
        <w:t>multi-level</w:t>
      </w:r>
      <w:proofErr w:type="spellEnd"/>
      <w:r w:rsidRPr="00CE26D8">
        <w:t xml:space="preserve"> </w:t>
      </w:r>
      <w:proofErr w:type="spellStart"/>
      <w:r w:rsidRPr="00CE26D8">
        <w:t>governance</w:t>
      </w:r>
      <w:proofErr w:type="spellEnd"/>
      <w:r w:rsidRPr="00CE26D8">
        <w:t>): Milyen mértékben alakultak ki és erősödtek a különböző intézményi szi</w:t>
      </w:r>
      <w:r w:rsidRPr="00CE26D8">
        <w:t>n</w:t>
      </w:r>
      <w:r w:rsidRPr="00CE26D8">
        <w:t>tek közötti vertikális koordinációs mechanizmusok a döntéshozásban és irányításban?</w:t>
      </w:r>
      <w:r>
        <w:t xml:space="preserve"> (41. intézkedés)</w:t>
      </w:r>
    </w:p>
    <w:p w:rsidR="00020AFE" w:rsidRDefault="00020AFE" w:rsidP="00020AFE">
      <w:pPr>
        <w:pStyle w:val="HUNNormal"/>
      </w:pPr>
      <w:r>
        <w:t>Az intézmények közötti együttműködés vizsgálata mind a kérdőíves felmérés, mind a csoportos és szem</w:t>
      </w:r>
      <w:r>
        <w:t>é</w:t>
      </w:r>
      <w:r>
        <w:t>lyes beszélgetések részét képezte.</w:t>
      </w:r>
    </w:p>
    <w:p w:rsidR="00020AFE" w:rsidRDefault="00020AFE" w:rsidP="00020AFE">
      <w:pPr>
        <w:pStyle w:val="HUNNormal"/>
      </w:pPr>
      <w:r>
        <w:t xml:space="preserve">A helyi akciócsoportok körében készített kérdőíves felmérésben a </w:t>
      </w:r>
      <w:proofErr w:type="spellStart"/>
      <w:r>
        <w:t>HACS-ok</w:t>
      </w:r>
      <w:proofErr w:type="spellEnd"/>
      <w:r>
        <w:t xml:space="preserve"> és az IH kapcsolatát a 87 db értékelhető válaszból 41%-</w:t>
      </w:r>
      <w:proofErr w:type="gramStart"/>
      <w:r>
        <w:t>a</w:t>
      </w:r>
      <w:proofErr w:type="gramEnd"/>
      <w:r>
        <w:t xml:space="preserve"> értékelte jónak, 38% közepesnek, 21% pedig gyengének ítélte. A szöveges i</w:t>
      </w:r>
      <w:r>
        <w:t>n</w:t>
      </w:r>
      <w:r>
        <w:t>doklások során többen kiemelték az IH részéről tapasztalt segítőkészséget, viszont érzékelték az IH munk</w:t>
      </w:r>
      <w:r>
        <w:t>a</w:t>
      </w:r>
      <w:r>
        <w:t xml:space="preserve">társainak leterheltségéből és irányítói feladatköréből fakadó korlátokat. </w:t>
      </w:r>
    </w:p>
    <w:p w:rsidR="00020AFE" w:rsidRDefault="00020AFE" w:rsidP="00020AFE">
      <w:pPr>
        <w:pStyle w:val="HUNNormal"/>
      </w:pPr>
      <w:r>
        <w:t>Többen jelezték a nehézkes kapcsolattatásból (nincs kontaktember, elérhetőség), az egyoldalú kommunik</w:t>
      </w:r>
      <w:r>
        <w:t>á</w:t>
      </w:r>
      <w:r>
        <w:t>cióból eredő hátrányokat. Jelentősen csökkenti a rendszer jobbítására tett erőfeszítések eredményességét és az ezért tenni hajlandó emberek motivációját, hogy az akciócsoportok a javaslataikra ritkán kapnak v</w:t>
      </w:r>
      <w:r>
        <w:t>á</w:t>
      </w:r>
      <w:r>
        <w:t xml:space="preserve">laszt, azok figyelembevétele, a rendszerbe történő átvezetése, vagy az elutasítás indoklása ritka. </w:t>
      </w:r>
    </w:p>
    <w:p w:rsidR="00020AFE" w:rsidRDefault="00020AFE" w:rsidP="00020AFE">
      <w:pPr>
        <w:pStyle w:val="HUNNormal"/>
      </w:pPr>
      <w:r>
        <w:t>Az IH szerepének megítélésében összességében kirajzolódott a felülről történő direkt irányítás, a szankci</w:t>
      </w:r>
      <w:r>
        <w:t>o</w:t>
      </w:r>
      <w:r>
        <w:t>nálás, ezért a partnerség helyett a kiszolgáltatott hatóság – ügyfél viszony megvalósulása azzal a kiegész</w:t>
      </w:r>
      <w:r>
        <w:t>í</w:t>
      </w:r>
      <w:r>
        <w:t>téssel, hogy az ügyintézőkkel folytatott személyes kapcsolattartásban általános tapasztalat volt konstruktív hozzáállás és segítőkészség.</w:t>
      </w:r>
    </w:p>
    <w:p w:rsidR="00020AFE" w:rsidRDefault="00020AFE" w:rsidP="00020AFE">
      <w:pPr>
        <w:pStyle w:val="HUNNormal"/>
      </w:pPr>
      <w:r>
        <w:t xml:space="preserve">Az IH munkatársai körében felmerült az igény az akciócsoportokkal történő gyakoribb találkozásra, egy-egy akciócsoport munkájának, munkatársainak, a fejlesztések eredményeinek és a működés körülményeknek jobb megismerésére. A </w:t>
      </w:r>
      <w:r w:rsidRPr="001A59FE">
        <w:rPr>
          <w:b/>
        </w:rPr>
        <w:t>kölcsönös tanulás</w:t>
      </w:r>
      <w:r>
        <w:t xml:space="preserve"> érdekében szükség lenne arra, hogy a csoportok is jobban me</w:t>
      </w:r>
      <w:r>
        <w:t>g</w:t>
      </w:r>
      <w:r>
        <w:t>ismerjék az IH munkáját, a döntési helyzeteket, korlátokat.</w:t>
      </w:r>
    </w:p>
    <w:p w:rsidR="00020AFE" w:rsidRDefault="00020AFE" w:rsidP="00020AFE">
      <w:pPr>
        <w:pStyle w:val="HUNNormal"/>
      </w:pPr>
      <w:r>
        <w:t xml:space="preserve">A </w:t>
      </w:r>
      <w:proofErr w:type="spellStart"/>
      <w:r>
        <w:t>HACS-ok</w:t>
      </w:r>
      <w:proofErr w:type="spellEnd"/>
      <w:r>
        <w:t xml:space="preserve"> </w:t>
      </w:r>
      <w:proofErr w:type="spellStart"/>
      <w:r>
        <w:t>MVH-hoz</w:t>
      </w:r>
      <w:proofErr w:type="spellEnd"/>
      <w:r>
        <w:t xml:space="preserve"> fűződő viszonyát 82 csoport válasza alapján értékeltük. A két intézmény közötti viszonyt a válaszadók 52%-</w:t>
      </w:r>
      <w:proofErr w:type="gramStart"/>
      <w:r>
        <w:t>a</w:t>
      </w:r>
      <w:proofErr w:type="gramEnd"/>
      <w:r>
        <w:t xml:space="preserve"> értékelte jónak, 29% közepesnek, 18% pedig gyengének. Az akciócsoportok megítélése szerint az </w:t>
      </w:r>
      <w:proofErr w:type="spellStart"/>
      <w:r>
        <w:t>MVH-hoz</w:t>
      </w:r>
      <w:proofErr w:type="spellEnd"/>
      <w:r>
        <w:t xml:space="preserve"> fűződő kapcsolatában is a </w:t>
      </w:r>
      <w:r w:rsidRPr="000D6FEB">
        <w:t>bürokratikus, hierarchikus alárendeltségi viszony</w:t>
      </w:r>
      <w:r>
        <w:t xml:space="preserve"> érvényesül. Az MVH mint intézmény szemlélete előtérbe helyezi a normatív kritériumoknak </w:t>
      </w:r>
      <w:proofErr w:type="gramStart"/>
      <w:r>
        <w:t>minden áron</w:t>
      </w:r>
      <w:proofErr w:type="gramEnd"/>
      <w:r>
        <w:t xml:space="preserve"> történő megf</w:t>
      </w:r>
      <w:r>
        <w:t>e</w:t>
      </w:r>
      <w:r>
        <w:t>leltetést a LEADER szerinti szakmai elvek megvalósításával szemben. Ezek módosítására, a rendszer ruga</w:t>
      </w:r>
      <w:r>
        <w:t>l</w:t>
      </w:r>
      <w:r>
        <w:t xml:space="preserve">masabbá és hatékonyabbá tételére az MVH munkatársai is számtalan javaslatot készítettek, amelyre ők ugyanúgy nem kapnak visszajelzést, mint maguk a </w:t>
      </w:r>
      <w:proofErr w:type="spellStart"/>
      <w:r>
        <w:t>HACS-ok</w:t>
      </w:r>
      <w:proofErr w:type="spellEnd"/>
      <w:r>
        <w:t>. Ez arra enged következtetni, hogy a fő probl</w:t>
      </w:r>
      <w:r>
        <w:t>é</w:t>
      </w:r>
      <w:r>
        <w:t xml:space="preserve">ma az MVH belső működési mechanizmusában, illetve az </w:t>
      </w:r>
      <w:proofErr w:type="spellStart"/>
      <w:r>
        <w:t>IH-val</w:t>
      </w:r>
      <w:proofErr w:type="spellEnd"/>
      <w:r>
        <w:t xml:space="preserve"> működtetett kommunikációjában van. Ezt támasztja alá az </w:t>
      </w:r>
      <w:proofErr w:type="spellStart"/>
      <w:r>
        <w:t>az</w:t>
      </w:r>
      <w:proofErr w:type="spellEnd"/>
      <w:r>
        <w:t xml:space="preserve"> általános vélemény, hogy a regionális szinttel többnyire kifogástalan a kapcsolata a </w:t>
      </w:r>
      <w:proofErr w:type="spellStart"/>
      <w:r>
        <w:t>HACS-oknak</w:t>
      </w:r>
      <w:proofErr w:type="spellEnd"/>
      <w:r>
        <w:t xml:space="preserve">, számítanak és számíthatnak az </w:t>
      </w:r>
      <w:proofErr w:type="spellStart"/>
      <w:r>
        <w:t>MVH-s</w:t>
      </w:r>
      <w:proofErr w:type="spellEnd"/>
      <w:r>
        <w:t xml:space="preserve"> kollégák segítségére, ugyanakkor a rendszer hatékon</w:t>
      </w:r>
      <w:r>
        <w:t>y</w:t>
      </w:r>
      <w:r>
        <w:t xml:space="preserve">sága mégsem javul, vélhetően a központ rugalmatlansága okán. A </w:t>
      </w:r>
      <w:proofErr w:type="spellStart"/>
      <w:r>
        <w:t>HACS-ok</w:t>
      </w:r>
      <w:proofErr w:type="spellEnd"/>
      <w:r>
        <w:t xml:space="preserve"> kiemelték, hogy a rendszer adta lehetőségekhez képest, főképp a személyes kapcsolatok miatt korrekt a segítségnyújtás. Ez azonban gya</w:t>
      </w:r>
      <w:r>
        <w:t>k</w:t>
      </w:r>
      <w:r>
        <w:t>ran ügyintéző-függő.</w:t>
      </w:r>
    </w:p>
    <w:p w:rsidR="00020AFE" w:rsidRPr="00C50214" w:rsidRDefault="00020AFE" w:rsidP="00020AFE">
      <w:pPr>
        <w:pStyle w:val="HUNNormal"/>
      </w:pPr>
      <w:r>
        <w:t>A rendszer nem használja ki azokat az eszközöket, amelyek alkalmazásával a két intézmény közötti együt</w:t>
      </w:r>
      <w:r>
        <w:t>t</w:t>
      </w:r>
      <w:r>
        <w:t>működés javítható lenne, pl. megfelelő képzés és felkészülési idő biztosítása új jogcímek esetén, nyílt ko</w:t>
      </w:r>
      <w:r>
        <w:t>m</w:t>
      </w:r>
      <w:r>
        <w:t xml:space="preserve">munikáció, az MVH iránymutatásainak a </w:t>
      </w:r>
      <w:proofErr w:type="spellStart"/>
      <w:r>
        <w:t>HACS-ok</w:t>
      </w:r>
      <w:proofErr w:type="spellEnd"/>
      <w:r>
        <w:t xml:space="preserve"> számára történő elérhetővé tétele, a kérelemkezeléssel kapcsolatos nyilvános „</w:t>
      </w:r>
      <w:r w:rsidRPr="00C50214">
        <w:t>gyakran ismételt kérdések</w:t>
      </w:r>
      <w:r>
        <w:t>” felület</w:t>
      </w:r>
      <w:r w:rsidRPr="00C50214">
        <w:t xml:space="preserve"> </w:t>
      </w:r>
      <w:r>
        <w:t>működtetése, vegyes munkacsoportok létrehoz</w:t>
      </w:r>
      <w:r>
        <w:t>á</w:t>
      </w:r>
      <w:r>
        <w:t xml:space="preserve">sa, stb.. </w:t>
      </w:r>
    </w:p>
    <w:p w:rsidR="00020AFE" w:rsidRDefault="00020AFE" w:rsidP="00020AFE">
      <w:pPr>
        <w:pStyle w:val="HUNNormal"/>
      </w:pPr>
      <w:r>
        <w:t xml:space="preserve">A </w:t>
      </w:r>
      <w:proofErr w:type="spellStart"/>
      <w:r>
        <w:t>HACS-ok</w:t>
      </w:r>
      <w:proofErr w:type="spellEnd"/>
      <w:r>
        <w:t xml:space="preserve"> a közvetlen feladatleosztáson és a pénzügyi szankcionáláson keresztül nagyon szoros, állandó kontrol alatt állnak, nem (vagy csak nagyon alacsony szinten) indult be közöttük a hálózatosodás, együttm</w:t>
      </w:r>
      <w:r>
        <w:t>ű</w:t>
      </w:r>
      <w:r>
        <w:t xml:space="preserve">ködés, nincs hathatós érdekvédelem, amely képes lenne összehangolni a </w:t>
      </w:r>
      <w:proofErr w:type="spellStart"/>
      <w:r>
        <w:t>HACS-ok</w:t>
      </w:r>
      <w:proofErr w:type="spellEnd"/>
      <w:r>
        <w:t xml:space="preserve"> sokszor eltérő érdekeit, </w:t>
      </w:r>
      <w:r>
        <w:lastRenderedPageBreak/>
        <w:t xml:space="preserve">javaslatait. Nagyon gyenge a </w:t>
      </w:r>
      <w:proofErr w:type="gramStart"/>
      <w:r>
        <w:t>rendszer különböző</w:t>
      </w:r>
      <w:proofErr w:type="gramEnd"/>
      <w:r>
        <w:t xml:space="preserve"> szintjei közötti, de maguk az akciócsoportok közötti szol</w:t>
      </w:r>
      <w:r>
        <w:t>i</w:t>
      </w:r>
      <w:r>
        <w:t>daritás. Mindemellett a rendszer rugalmatlanságából és szemléletéből adódóan nem, vagy alig van lehet</w:t>
      </w:r>
      <w:r>
        <w:t>ő</w:t>
      </w:r>
      <w:r>
        <w:t xml:space="preserve">ség a társadalmi tanulásra, az egész rendszer, vagy egyes részletek javítására. </w:t>
      </w:r>
    </w:p>
    <w:p w:rsidR="00020AFE" w:rsidRDefault="00020AFE" w:rsidP="00020AFE">
      <w:pPr>
        <w:pStyle w:val="HUNNormal"/>
      </w:pPr>
      <w:r>
        <w:t>A megvalósítás rendszere a központosított, normatív kontrolra épül, és szinte teljesen hiányzik belőle a par</w:t>
      </w:r>
      <w:r>
        <w:t>t</w:t>
      </w:r>
      <w:r>
        <w:t>nerségi, bizalmi elv. A feladatok és a kontroll nyomása, az autonómia alacsony szintje, a képzés, tapaszt</w:t>
      </w:r>
      <w:r>
        <w:t>a</w:t>
      </w:r>
      <w:r>
        <w:t xml:space="preserve">latcsere elmaradása következtében a </w:t>
      </w:r>
      <w:proofErr w:type="spellStart"/>
      <w:r>
        <w:t>HACS-ok</w:t>
      </w:r>
      <w:proofErr w:type="spellEnd"/>
      <w:r>
        <w:t xml:space="preserve"> jelentős része nem tudott felnőni a feladathoz, nem vált öná</w:t>
      </w:r>
      <w:r>
        <w:t>l</w:t>
      </w:r>
      <w:r>
        <w:t xml:space="preserve">ló, proaktív, partnerségi alapon működő helyi fejlesztési ügynökséggé. Ehelyett sok helyi akciócsoport és a hozzá tartozó munkaszervezet az önkormányzatok által dominált, az IH és az MVH által irányított, egyszerű, reaktív végrehajtó szervezet maradt, az MVH helyi lába, amivel a helyi fejlesztési kapacitás létrehozása, és ezzel a LEADER típusú fejlesztés egyik legfőbb célkitűzése esett kútba. </w:t>
      </w:r>
    </w:p>
    <w:p w:rsidR="00020AFE" w:rsidRDefault="00020AFE" w:rsidP="00020AFE">
      <w:pPr>
        <w:pStyle w:val="HUNNormal"/>
      </w:pPr>
    </w:p>
    <w:p w:rsidR="00020AFE" w:rsidRDefault="00020AFE" w:rsidP="00020AFE">
      <w:pPr>
        <w:pStyle w:val="StyleHUNHeading3Justified"/>
        <w:ind w:left="504"/>
      </w:pPr>
      <w:r w:rsidRPr="00CE26D8">
        <w:t xml:space="preserve">A kormányzás minősége (local </w:t>
      </w:r>
      <w:proofErr w:type="spellStart"/>
      <w:r w:rsidRPr="00CE26D8">
        <w:t>governance</w:t>
      </w:r>
      <w:proofErr w:type="spellEnd"/>
      <w:r w:rsidRPr="00CE26D8">
        <w:t>): Milyen mértékben járult hozzá az i</w:t>
      </w:r>
      <w:r w:rsidRPr="00CE26D8">
        <w:t>n</w:t>
      </w:r>
      <w:r w:rsidRPr="00CE26D8">
        <w:t>tézkedés a helyi döntéshozási és végrehajtási mechanizmusok átláthatóságának javít</w:t>
      </w:r>
      <w:r w:rsidRPr="00CE26D8">
        <w:t>á</w:t>
      </w:r>
      <w:r w:rsidRPr="00CE26D8">
        <w:t>sához?</w:t>
      </w:r>
      <w:r>
        <w:t xml:space="preserve"> (41. intézkedés)</w:t>
      </w:r>
    </w:p>
    <w:p w:rsidR="00020AFE" w:rsidRDefault="00020AFE" w:rsidP="00020AFE">
      <w:pPr>
        <w:pStyle w:val="HUNNormal"/>
      </w:pPr>
      <w:r>
        <w:t>Erre a kérdésre elsősorban az esettanulmányok és a fókuszcsoportok alapján alakult ki az a következtetés, miszerint erőteljesen eltér az egyes akciócsoportok körül kialakult konfliktushelyzetek gyakorisága, mélys</w:t>
      </w:r>
      <w:r>
        <w:t>é</w:t>
      </w:r>
      <w:r>
        <w:t xml:space="preserve">ge és gyökere. </w:t>
      </w:r>
    </w:p>
    <w:p w:rsidR="00020AFE" w:rsidRDefault="00020AFE" w:rsidP="00020AFE">
      <w:pPr>
        <w:pStyle w:val="HUNNormal"/>
      </w:pPr>
      <w:r>
        <w:t xml:space="preserve">A konfliktusok már a </w:t>
      </w:r>
      <w:proofErr w:type="spellStart"/>
      <w:r>
        <w:t>HACS-ok</w:t>
      </w:r>
      <w:proofErr w:type="spellEnd"/>
      <w:r>
        <w:t xml:space="preserve"> létrehozásának időszakában megjelentek. A rendkívül rövid határidő, a </w:t>
      </w:r>
      <w:proofErr w:type="spellStart"/>
      <w:r>
        <w:t>HACS-ok</w:t>
      </w:r>
      <w:proofErr w:type="spellEnd"/>
      <w:r>
        <w:t xml:space="preserve"> méretét befolyásoló központi nyomás mind fokozták a helyi feszültségeket. Néhány kivételtől eltekintve azonban ezek a kezdeti konfliktusok hosszú távon megoldódtak és mára a megkérdezett </w:t>
      </w:r>
      <w:proofErr w:type="spellStart"/>
      <w:r>
        <w:t>HACS-ok</w:t>
      </w:r>
      <w:proofErr w:type="spellEnd"/>
      <w:r>
        <w:t xml:space="preserve"> túlnyomó többsége elégedett a kialakult területtel. A tervezés, és főleg a források allokálása során ugyancsak adódtak konfliktusos helyzetek, (A források korlátossága, illetve az a téves információ, hogy a források felett az a</w:t>
      </w:r>
      <w:r>
        <w:t>k</w:t>
      </w:r>
      <w:r>
        <w:t>ciócsoportok dönthetnek, szintén a helyi érdekellentétek felszínre kerülését eredményezte) ezeket a helyz</w:t>
      </w:r>
      <w:r>
        <w:t>e</w:t>
      </w:r>
      <w:r>
        <w:t xml:space="preserve">teket azonban a </w:t>
      </w:r>
      <w:proofErr w:type="spellStart"/>
      <w:r>
        <w:t>TKCS-k</w:t>
      </w:r>
      <w:proofErr w:type="spellEnd"/>
      <w:r>
        <w:t xml:space="preserve"> illetve a </w:t>
      </w:r>
      <w:proofErr w:type="spellStart"/>
      <w:r>
        <w:t>HVK-k</w:t>
      </w:r>
      <w:proofErr w:type="spellEnd"/>
      <w:r>
        <w:t xml:space="preserve"> vezetőségei többnyire sikeresen kezelni tudták. Sokhelyütt a konfli</w:t>
      </w:r>
      <w:r>
        <w:t>k</w:t>
      </w:r>
      <w:r>
        <w:t xml:space="preserve">tusok főként a vidéki társadalom erős politikai megosztottságából erednek. Ez a probléma az ország keleti, nehezebb helyzetben lévő részében erőteljesebben jelentkezik. </w:t>
      </w:r>
    </w:p>
    <w:p w:rsidR="00020AFE" w:rsidRDefault="00020AFE" w:rsidP="00020AFE">
      <w:pPr>
        <w:pStyle w:val="HUNNormal"/>
      </w:pPr>
      <w:r>
        <w:t>A partnerségek működésével erősödött a térségi szemlélet, a polgármesterek a saját településük képvisel</w:t>
      </w:r>
      <w:r>
        <w:t>e</w:t>
      </w:r>
      <w:r>
        <w:t>te mellett nagyobb hajlandóságot mutatnak a tréség fejlődése érdekében ésszerű kompromisszumok me</w:t>
      </w:r>
      <w:r>
        <w:t>g</w:t>
      </w:r>
      <w:r>
        <w:t>kötésére, a térségi egyensúly nevében. Mindebben nagyon jelentős szerepe van a programhoz kapcsolódó különféle intézményeknek, főként a munkaszervezetnek. A konfliktusok felszínre kerülésének és esetleges megoldásának terepe elsősorban a HACS döntéshozó szerve (jellemzően az egyesület elnöksége) volt. Az elnökség általában viszonylag gyakran összeült, és ezeken az üléseken ideális esetben a munkaszervezet szakmai irányításával zajlott a vita. Egyrészt az a tény, hogy a döntések meghozását így egy viszonylag fü</w:t>
      </w:r>
      <w:r>
        <w:t>g</w:t>
      </w:r>
      <w:r>
        <w:t>getlen szakmai szervezet készítette elő és menedzselte, már önmagában is komoly segítséget jelenthetett a konfliktusok megoldásában. Másrészt maga a kommunikáció, illetve a program első sikeres megvalósult projektjei ugyancsak csökkentették a feszültségeket.</w:t>
      </w:r>
    </w:p>
    <w:p w:rsidR="00020AFE" w:rsidRDefault="00020AFE" w:rsidP="00020AFE">
      <w:pPr>
        <w:pStyle w:val="HUNNormal"/>
      </w:pPr>
    </w:p>
    <w:p w:rsidR="00020AFE" w:rsidRDefault="00020AFE" w:rsidP="00020AFE">
      <w:pPr>
        <w:pStyle w:val="StyleHUNHeading3Justified"/>
        <w:ind w:left="504"/>
      </w:pPr>
      <w:r w:rsidRPr="00CE26D8">
        <w:t xml:space="preserve">A kormányzás minősége (local </w:t>
      </w:r>
      <w:proofErr w:type="spellStart"/>
      <w:r w:rsidRPr="00CE26D8">
        <w:t>governance</w:t>
      </w:r>
      <w:proofErr w:type="spellEnd"/>
      <w:r w:rsidRPr="00CE26D8">
        <w:t>): Milyen mértékben járult hozzá az i</w:t>
      </w:r>
      <w:r w:rsidRPr="00CE26D8">
        <w:t>n</w:t>
      </w:r>
      <w:r w:rsidRPr="00CE26D8">
        <w:t>tézkedés a helyi konfliktusok felszínre hozásához és feloldásához?</w:t>
      </w:r>
      <w:r>
        <w:t xml:space="preserve"> (41. intézkedés)</w:t>
      </w:r>
    </w:p>
    <w:p w:rsidR="00020AFE" w:rsidRDefault="00020AFE" w:rsidP="00020AFE">
      <w:pPr>
        <w:pStyle w:val="HUNNormal"/>
      </w:pPr>
      <w:r>
        <w:t xml:space="preserve">A </w:t>
      </w:r>
      <w:proofErr w:type="spellStart"/>
      <w:r>
        <w:t>HACS-ok</w:t>
      </w:r>
      <w:proofErr w:type="spellEnd"/>
      <w:r>
        <w:t xml:space="preserve"> körében készített kérdőíves felmérés alapján az akciócsoportok partnerszervezeteinek száma 17-től 278-ig változik. A döntéshozó testületek taglétszáma 5-től 53-ig terjed.</w:t>
      </w:r>
    </w:p>
    <w:p w:rsidR="00020AFE" w:rsidRDefault="00020AFE" w:rsidP="00020AFE">
      <w:pPr>
        <w:jc w:val="both"/>
      </w:pPr>
      <w:r>
        <w:lastRenderedPageBreak/>
        <w:t xml:space="preserve">A megalakulás és a tervezés során a </w:t>
      </w:r>
      <w:proofErr w:type="spellStart"/>
      <w:r>
        <w:t>TKCS-k</w:t>
      </w:r>
      <w:proofErr w:type="spellEnd"/>
      <w:r>
        <w:t xml:space="preserve"> jelentős erőfeszítéseket tettek a lakosság mozgósítására, pr</w:t>
      </w:r>
      <w:r>
        <w:t>o</w:t>
      </w:r>
      <w:r>
        <w:t>jekt ötletek és vélemények gyűjtésére. A csoportok átlagosan 17 db lakossági fórumot tartottak a tervezés során, amely 2 alkalomtól egészen 80 alkalomig szór. Ezeken a fórumokon a lakossági részvétel csupán 8%-ban volt 20 fő alatt, 48%-ban 21-50 fős, 43%-ban pedig 50 fő feletti volt, tehát jelentős mértékű mozgósítás történt.</w:t>
      </w:r>
    </w:p>
    <w:p w:rsidR="00020AFE" w:rsidRDefault="00020AFE" w:rsidP="00020AFE">
      <w:pPr>
        <w:pStyle w:val="HUNNormal"/>
      </w:pPr>
      <w:r>
        <w:t>A kérdőív alapján a partnerségek összetételben az alábbi arányok alakultak ki: az önkormányzatok és az egyéb közszférát képviselők átlagban 33%-át teszik ki a HACS partnerségeket alkotó szervezeteknek.  Ez az arány a valóságban valószínűsíthetően magasabb, hiszen sok polgármester vállalkozóként, vagy civil szerv</w:t>
      </w:r>
      <w:r>
        <w:t>e</w:t>
      </w:r>
      <w:r>
        <w:t xml:space="preserve">zet képviselőjeként tagja a </w:t>
      </w:r>
      <w:proofErr w:type="gramStart"/>
      <w:r>
        <w:t>partnerségnek</w:t>
      </w:r>
      <w:proofErr w:type="gramEnd"/>
      <w:r>
        <w:t xml:space="preserve"> annak érdekében, hogy a jogszabályban előírt köz–, civil-, és m</w:t>
      </w:r>
      <w:r>
        <w:t>a</w:t>
      </w:r>
      <w:r>
        <w:t>gánszféra aránya teljesülhessen. A vállalkozók és a civilek aránya 35% és 32%, magánszemélyek 1%-ban vesznek részt a partnerségekben. A gazdálkodók és a hátrányos helyzetű csoportok képviselete 3%-os.</w:t>
      </w:r>
    </w:p>
    <w:p w:rsidR="00020AFE" w:rsidRDefault="00020AFE" w:rsidP="00020AFE">
      <w:pPr>
        <w:pStyle w:val="HUNNormal"/>
      </w:pPr>
      <w:r>
        <w:t xml:space="preserve">A </w:t>
      </w:r>
      <w:proofErr w:type="spellStart"/>
      <w:r>
        <w:t>HACS-ok</w:t>
      </w:r>
      <w:proofErr w:type="spellEnd"/>
      <w:r>
        <w:t xml:space="preserve"> döntéshozó testületeiben a kérdőíves válaszok alapján a köz-, magán- és civilszféra, valamint a magánszemélyek arányai nagyjából megfelelnek a partnerségben feltárt arányokkal (32%, 30%, 31%, 8%). A nők részvétele a döntéshozó testületben 15%-os. Nagyon alacsony arányt képviselnek a 25 év alattiak (0%) és a hátrányos helyzetű csoportok (2%).</w:t>
      </w:r>
    </w:p>
    <w:p w:rsidR="00020AFE" w:rsidRDefault="00020AFE" w:rsidP="00020AFE">
      <w:pPr>
        <w:pStyle w:val="HUNNormal"/>
      </w:pPr>
      <w:r>
        <w:t xml:space="preserve">Vizsgáltuk, hogy </w:t>
      </w:r>
      <w:r w:rsidRPr="009F1620">
        <w:t xml:space="preserve">mennyire reprezentálja az akciócsoportban szereplő partnerek összetétele a területen élők jellegzetes csoportjait, </w:t>
      </w:r>
      <w:r>
        <w:t>a helyi táradalom összetételét. A válaszadók 79%-a (69 db) az ötös skálán a két m</w:t>
      </w:r>
      <w:r>
        <w:t>a</w:t>
      </w:r>
      <w:r>
        <w:t>gasabb kategóriába sorolta a reprezentativitás mértékét. Csupán 21% (28 db) adott közepes osztályzatot és senki nem értékelte ezt a szempontot közepesnél rosszabbra. Főként az alábbi hiányosságok merültek fel: „</w:t>
      </w:r>
      <w:proofErr w:type="gramStart"/>
      <w:r w:rsidRPr="000576E9">
        <w:t>A</w:t>
      </w:r>
      <w:proofErr w:type="gramEnd"/>
      <w:r w:rsidRPr="000576E9">
        <w:t xml:space="preserve"> HACS alakulásakor az </w:t>
      </w:r>
      <w:proofErr w:type="spellStart"/>
      <w:r w:rsidRPr="000576E9">
        <w:t>az</w:t>
      </w:r>
      <w:proofErr w:type="spellEnd"/>
      <w:r w:rsidRPr="000576E9">
        <w:t xml:space="preserve"> információ volt a meghatározó, hogy csak az "pályázhat", aki belép </w:t>
      </w:r>
      <w:r>
        <w:t>a</w:t>
      </w:r>
      <w:r w:rsidRPr="000576E9">
        <w:t>z akciócs</w:t>
      </w:r>
      <w:r w:rsidRPr="000576E9">
        <w:t>o</w:t>
      </w:r>
      <w:r w:rsidRPr="000576E9">
        <w:t>portba, így közel 200 fős tagsággal alakult meg a szervezet. Az aktívabb önkormányzatok szinte az összes helyi vállalkozójukat beléptették, akik az elhúzódó pályáztatás láttán fokozatosan hagyták el a szervezetet. Jelen</w:t>
      </w:r>
      <w:r>
        <w:t>tős akti</w:t>
      </w:r>
      <w:r w:rsidRPr="000576E9">
        <w:t>vitás mutatkozott a megalakuláskor a civil szervezeteknél is, de rövid időn belül itt is visszare</w:t>
      </w:r>
      <w:r w:rsidRPr="000576E9">
        <w:t>n</w:t>
      </w:r>
      <w:r w:rsidRPr="000576E9">
        <w:t>deződés volt tapasztalható. (Azok maradtak, akik egyébként is magas közéleti és pályázati aktivitással re</w:t>
      </w:r>
      <w:r w:rsidRPr="000576E9">
        <w:t>n</w:t>
      </w:r>
      <w:r w:rsidRPr="000576E9">
        <w:t>delkeztek.)</w:t>
      </w:r>
      <w:r>
        <w:t>”. Többen említették a hátrányos helyzetű csoportok és a fiatalok alulreprezentáltságát. Ezeknek a csoportoknak a mozgósításához, a folyamatban történő bent tartásához nem állt rendelkezésre elég idő és kapacitás. A beszélgetések során és a kérdőív szöveges válaszai között is felmerült a vállalkozói réteg alu</w:t>
      </w:r>
      <w:r>
        <w:t>l</w:t>
      </w:r>
      <w:r>
        <w:t xml:space="preserve">reprezentáltsága, amely nem feltétlenül a bevont vállalkozók számából adódik, hanem inkább azok alacsony aktvitásából. Természetes módon a vállalkozói réteg kevésbé vesz részt a közösségi, térségi folyamatok alakításában, de </w:t>
      </w:r>
      <w:proofErr w:type="spellStart"/>
      <w:r>
        <w:t>passzivizálódásukhoz</w:t>
      </w:r>
      <w:proofErr w:type="spellEnd"/>
      <w:r>
        <w:t xml:space="preserve"> nagymértékben hozzájárult a rendszerre jellemző túlzott bürokrácia és nehézkesség. Többen említették azt az anomáliát, miszerint a térségben domináló mezőgazdaság képv</w:t>
      </w:r>
      <w:r>
        <w:t>i</w:t>
      </w:r>
      <w:r>
        <w:t xml:space="preserve">selete nagyon alacsony az akciócsoportokban. </w:t>
      </w:r>
      <w:r w:rsidRPr="00857814">
        <w:t>Ez abból fakad, hogy a III. és IV. tengely fő profiljába nem tartozik bele a mezőgazdasági és élelmiszeripari ágazat fejlesztése. Ugyanakkor a IV. tengely céljai között szerepel az I. és II. tengely céljaihoz történő hozzájárulás, amelyhez szükséges a partnerségek gazdálkodók képviseletével történő egyensúlyba hozása. Bár többen említenek hiányosságokat a társadalom reprezent</w:t>
      </w:r>
      <w:r w:rsidRPr="00857814">
        <w:t>á</w:t>
      </w:r>
      <w:r w:rsidRPr="00857814">
        <w:t>ciójával kapcsolatban, de a hiányok említése mellet szinte mindenütt olvasható, hogy nem működik olyan szerveződés, amely a HACS partnerségnél jobban reprezentálná a helyi közösségek összetételét.</w:t>
      </w:r>
    </w:p>
    <w:p w:rsidR="00020AFE" w:rsidRDefault="00020AFE" w:rsidP="00020AFE">
      <w:pPr>
        <w:pStyle w:val="HUNNormal"/>
      </w:pPr>
    </w:p>
    <w:p w:rsidR="00020AFE" w:rsidRDefault="00020AFE" w:rsidP="00020AFE">
      <w:pPr>
        <w:pStyle w:val="StyleHUNHeading3Justified"/>
        <w:ind w:left="504"/>
      </w:pPr>
      <w:r w:rsidRPr="00CE26D8">
        <w:lastRenderedPageBreak/>
        <w:t xml:space="preserve">A helyi szereplők "felhatalmazása" és a partnerség összetétele (local </w:t>
      </w:r>
      <w:proofErr w:type="spellStart"/>
      <w:r w:rsidRPr="00CE26D8">
        <w:t>governance</w:t>
      </w:r>
      <w:proofErr w:type="spellEnd"/>
      <w:r w:rsidRPr="00CE26D8">
        <w:t>): Milyen mértékben járult hozzá az intézkedés a célterület érintett tá</w:t>
      </w:r>
      <w:r w:rsidRPr="00CE26D8">
        <w:t>r</w:t>
      </w:r>
      <w:r w:rsidRPr="00CE26D8">
        <w:t>sadalmi és gazdasági szereplőinek a döntéshozási folyamatba történő bevonásába?</w:t>
      </w:r>
      <w:r>
        <w:t xml:space="preserve"> (41. intézkedés)</w:t>
      </w:r>
    </w:p>
    <w:p w:rsidR="00020AFE" w:rsidRDefault="00020AFE" w:rsidP="00020AFE">
      <w:pPr>
        <w:pStyle w:val="HUNNormal"/>
      </w:pPr>
      <w:r>
        <w:t>A helyi akciócsoportok körében végzett kérdőíves felmérés válaszadóinak csupán 20%-</w:t>
      </w:r>
      <w:proofErr w:type="gramStart"/>
      <w:r>
        <w:t>a</w:t>
      </w:r>
      <w:proofErr w:type="gramEnd"/>
      <w:r>
        <w:t xml:space="preserve"> értékelte az inté</w:t>
      </w:r>
      <w:r>
        <w:t>z</w:t>
      </w:r>
      <w:r>
        <w:t xml:space="preserve">kedés hatását jelentősnek </w:t>
      </w:r>
      <w:r w:rsidRPr="00222920">
        <w:t>a</w:t>
      </w:r>
      <w:r>
        <w:t xml:space="preserve">z akciócsoportok </w:t>
      </w:r>
      <w:proofErr w:type="spellStart"/>
      <w:r w:rsidRPr="00222920">
        <w:t>HACS-on</w:t>
      </w:r>
      <w:proofErr w:type="spellEnd"/>
      <w:r w:rsidRPr="00222920">
        <w:t xml:space="preserve"> felüli szintek </w:t>
      </w:r>
      <w:r>
        <w:t>döntéshozatalába történő „beépülés</w:t>
      </w:r>
      <w:r>
        <w:t>é</w:t>
      </w:r>
      <w:r>
        <w:t xml:space="preserve">be”.  Ugyanakkor a válaszadók 70%-a jelezte, hogy a program hatására létrejöttek a HACS tagságán kívüli, </w:t>
      </w:r>
      <w:r w:rsidRPr="00222920">
        <w:t>a helyi közösség életé</w:t>
      </w:r>
      <w:r>
        <w:t>nek szervezésében</w:t>
      </w:r>
      <w:r w:rsidRPr="00222920">
        <w:t xml:space="preserve"> aktív </w:t>
      </w:r>
      <w:r>
        <w:t xml:space="preserve">együttműködések. </w:t>
      </w:r>
    </w:p>
    <w:p w:rsidR="00020AFE" w:rsidRDefault="00020AFE" w:rsidP="00020AFE">
      <w:pPr>
        <w:pStyle w:val="HUNNormal"/>
      </w:pPr>
      <w:r>
        <w:t xml:space="preserve">Az esettanulmányok során és a kérdőívekből is kiderült a </w:t>
      </w:r>
      <w:proofErr w:type="spellStart"/>
      <w:r>
        <w:t>HACS-ok</w:t>
      </w:r>
      <w:proofErr w:type="spellEnd"/>
      <w:r>
        <w:t xml:space="preserve"> és az </w:t>
      </w:r>
      <w:proofErr w:type="spellStart"/>
      <w:r>
        <w:t>ÚMFT-s</w:t>
      </w:r>
      <w:proofErr w:type="spellEnd"/>
      <w:r>
        <w:t xml:space="preserve"> kistérségi megbízottak k</w:t>
      </w:r>
      <w:r>
        <w:t>ö</w:t>
      </w:r>
      <w:r>
        <w:t>zötti rendszeres operatív együttműködés.</w:t>
      </w:r>
    </w:p>
    <w:p w:rsidR="00020AFE" w:rsidRDefault="00020AFE" w:rsidP="00020AFE">
      <w:pPr>
        <w:pStyle w:val="HUNNormal"/>
      </w:pPr>
      <w:r>
        <w:t xml:space="preserve">A </w:t>
      </w:r>
      <w:proofErr w:type="spellStart"/>
      <w:r>
        <w:t>HACS-ok</w:t>
      </w:r>
      <w:proofErr w:type="spellEnd"/>
      <w:r>
        <w:t xml:space="preserve"> szerepvállalásának megítélése </w:t>
      </w:r>
      <w:r w:rsidRPr="004C2627">
        <w:t>a térségi érdekek egyeztetésében, a térség közös jövőjének alak</w:t>
      </w:r>
      <w:r w:rsidRPr="004C2627">
        <w:t>í</w:t>
      </w:r>
      <w:r w:rsidRPr="004C2627">
        <w:t xml:space="preserve">tásában, </w:t>
      </w:r>
      <w:r>
        <w:t>az akciócsoportok csaknem fele úgy vélekedett, hogy a csoport a r</w:t>
      </w:r>
      <w:r w:rsidRPr="004C2627">
        <w:t xml:space="preserve">észvételi demokrácia </w:t>
      </w:r>
      <w:r>
        <w:t>lényeges</w:t>
      </w:r>
      <w:r w:rsidRPr="004C2627">
        <w:t xml:space="preserve"> színhelyeként a konfliktuskezelés, érdekegyeztetés, a stratégiai gondolkodás és a térségi együttműködés jól működő színterévé vált. Csupán 14% </w:t>
      </w:r>
      <w:r>
        <w:t>szerint nincs előrelépés ezen a téren és a csoport jobbára csak a kér</w:t>
      </w:r>
      <w:r>
        <w:t>e</w:t>
      </w:r>
      <w:r>
        <w:t xml:space="preserve">lemkezelés és pályázati döntéshozás egységeként működik. </w:t>
      </w:r>
    </w:p>
    <w:p w:rsidR="00020AFE" w:rsidRDefault="00020AFE" w:rsidP="00020AFE">
      <w:pPr>
        <w:pStyle w:val="HUNNormal"/>
      </w:pPr>
      <w:r>
        <w:t>A fenti hatást rendszeres nyilvános fórumok szervezésével és egyéb információnyújtással, informális és fo</w:t>
      </w:r>
      <w:r>
        <w:t>r</w:t>
      </w:r>
      <w:r>
        <w:t>mális hálózatépítéssel, más szervezetek (</w:t>
      </w:r>
      <w:proofErr w:type="spellStart"/>
      <w:r>
        <w:t>pl</w:t>
      </w:r>
      <w:proofErr w:type="spellEnd"/>
      <w:r>
        <w:t xml:space="preserve"> kistérségi társulás) munkájában való közreműködéssel, külö</w:t>
      </w:r>
      <w:r>
        <w:t>n</w:t>
      </w:r>
      <w:r>
        <w:t>böző közös projektmegvalósítással, a három szféra együttműködésének működtetésével érik el. Ugyanakkor csaknem minden válaszadó megemlítette, hogy a delegált feladatellátás miatt nem jutott elég erőforrás az ilyen jellegű, a fejlesztés és hálózatépítés szempontjából kulcsfontosságú tevékenységekre.</w:t>
      </w:r>
    </w:p>
    <w:p w:rsidR="00020AFE" w:rsidRDefault="00020AFE" w:rsidP="00020AFE">
      <w:pPr>
        <w:pStyle w:val="HUNNormal"/>
      </w:pPr>
    </w:p>
    <w:p w:rsidR="00020AFE" w:rsidRDefault="00020AFE" w:rsidP="00020AFE">
      <w:pPr>
        <w:pStyle w:val="StyleHUNHeading3Justified"/>
        <w:ind w:left="504"/>
      </w:pPr>
      <w:r>
        <w:t xml:space="preserve">A </w:t>
      </w:r>
      <w:r w:rsidRPr="00CE26D8">
        <w:t xml:space="preserve">helyi szereplők "felhatalmazása" és a partnerség összetétele (local </w:t>
      </w:r>
      <w:proofErr w:type="spellStart"/>
      <w:r w:rsidRPr="00CE26D8">
        <w:t>governance</w:t>
      </w:r>
      <w:proofErr w:type="spellEnd"/>
      <w:r w:rsidRPr="00CE26D8">
        <w:t>): Milyen mértékben járult hozzá az intézkedés olyan döntéshozási és vé</w:t>
      </w:r>
      <w:r w:rsidRPr="00CE26D8">
        <w:t>g</w:t>
      </w:r>
      <w:r w:rsidRPr="00CE26D8">
        <w:t>rehajtási struktúrák, szélesebb körű fenntartható partnerségek létrejöttéhez, am</w:t>
      </w:r>
      <w:r w:rsidRPr="00CE26D8">
        <w:t>e</w:t>
      </w:r>
      <w:r w:rsidRPr="00CE26D8">
        <w:t xml:space="preserve">lyek a </w:t>
      </w:r>
      <w:proofErr w:type="spellStart"/>
      <w:r w:rsidRPr="00CE26D8">
        <w:t>HACS-on</w:t>
      </w:r>
      <w:proofErr w:type="spellEnd"/>
      <w:r w:rsidRPr="00CE26D8">
        <w:t xml:space="preserve"> felüli szintek (</w:t>
      </w:r>
      <w:proofErr w:type="spellStart"/>
      <w:r w:rsidRPr="00CE26D8">
        <w:t>pl</w:t>
      </w:r>
      <w:proofErr w:type="spellEnd"/>
      <w:r w:rsidRPr="00CE26D8">
        <w:t xml:space="preserve"> regionális) döntéshozatalában és programjaik me</w:t>
      </w:r>
      <w:r w:rsidRPr="00CE26D8">
        <w:t>g</w:t>
      </w:r>
      <w:r w:rsidRPr="00CE26D8">
        <w:t>valósításában is kompetensek?</w:t>
      </w:r>
      <w:r>
        <w:t xml:space="preserve"> (41. intézkedés)</w:t>
      </w:r>
    </w:p>
    <w:p w:rsidR="00020AFE" w:rsidRDefault="00020AFE" w:rsidP="00020AFE">
      <w:pPr>
        <w:pStyle w:val="HUNNormal"/>
      </w:pPr>
      <w:r>
        <w:t>Az intézkedés keretein belül nem voltak a vezetési készségek javítására irányuló akciók.</w:t>
      </w:r>
    </w:p>
    <w:p w:rsidR="00020AFE" w:rsidRDefault="00020AFE" w:rsidP="00020AFE">
      <w:pPr>
        <w:pStyle w:val="HUNNormal"/>
      </w:pPr>
    </w:p>
    <w:p w:rsidR="00020AFE" w:rsidRDefault="00020AFE" w:rsidP="00020AFE">
      <w:pPr>
        <w:pStyle w:val="StyleHUNHeading3Justified"/>
        <w:ind w:left="504"/>
      </w:pPr>
      <w:r w:rsidRPr="009005AC">
        <w:t xml:space="preserve">A helyi szereplők "felhatalmazása" és a partnerség összetétele (local </w:t>
      </w:r>
      <w:proofErr w:type="spellStart"/>
      <w:r w:rsidRPr="009005AC">
        <w:t>governance</w:t>
      </w:r>
      <w:proofErr w:type="spellEnd"/>
      <w:r w:rsidRPr="009005AC">
        <w:t>): Voltak-e visszajelzések és tanulási mechanizmusok, és ha igen, ezek m</w:t>
      </w:r>
      <w:r w:rsidRPr="009005AC">
        <w:t>i</w:t>
      </w:r>
      <w:r w:rsidRPr="009005AC">
        <w:t>lyen mértékben járultak hozzá a helyi partnerség tagjai vezetési készségeinek fejles</w:t>
      </w:r>
      <w:r w:rsidRPr="009005AC">
        <w:t>z</w:t>
      </w:r>
      <w:r w:rsidRPr="009005AC">
        <w:t>téséhez és vezetett a helyi partnerség professzionálisabb vezetéséhez?</w:t>
      </w:r>
      <w:r>
        <w:t xml:space="preserve"> (41. intézk</w:t>
      </w:r>
      <w:r>
        <w:t>e</w:t>
      </w:r>
      <w:r>
        <w:t>dés)</w:t>
      </w:r>
    </w:p>
    <w:p w:rsidR="00020AFE" w:rsidRDefault="00020AFE" w:rsidP="00020AFE">
      <w:pPr>
        <w:pStyle w:val="HUNNormal"/>
      </w:pPr>
      <w:r>
        <w:t>Mivel az intézkedésen belül konkrét fejlesztések még nem valósultak meg, ezért a társadalmi tőke erősöd</w:t>
      </w:r>
      <w:r>
        <w:t>é</w:t>
      </w:r>
      <w:r>
        <w:t xml:space="preserve">séhez egyelőre a LEADER program alapja, az önkormányzati, civil és vállalkozói együttműködések kialakítása és működtetése járult hozzá. </w:t>
      </w:r>
    </w:p>
    <w:p w:rsidR="00020AFE" w:rsidRDefault="00020AFE" w:rsidP="00020AFE">
      <w:pPr>
        <w:pStyle w:val="HUNNormal"/>
      </w:pPr>
      <w:r>
        <w:t xml:space="preserve">A vizsgálat alapján azt mondhatjuk, hogy az intézkedés a </w:t>
      </w:r>
      <w:proofErr w:type="spellStart"/>
      <w:r>
        <w:t>HACS-ok</w:t>
      </w:r>
      <w:proofErr w:type="spellEnd"/>
      <w:r>
        <w:t xml:space="preserve"> jelentős részénél a végrehajtás nehézs</w:t>
      </w:r>
      <w:r>
        <w:t>é</w:t>
      </w:r>
      <w:r>
        <w:t>gei ellenére is nagymértékben hozzájárult a helyi együttműködések kialakulásához, a bizalom erősödéséhez, a hálózatosodáshoz és az információcseréhez, vagyis a társadalmi tőke gyarapodásához. Talán a legfont</w:t>
      </w:r>
      <w:r>
        <w:t>o</w:t>
      </w:r>
      <w:r>
        <w:t>sabb és legpozitívabb eredmények a tervezés időszakában születtek. A rövid határidők, a szigorú és alka</w:t>
      </w:r>
      <w:r>
        <w:t>l</w:t>
      </w:r>
      <w:r>
        <w:lastRenderedPageBreak/>
        <w:t>manként értelmetlen követelmények egyrészt akadályozták a munkát, másrészt viszont rövid időre koncen</w:t>
      </w:r>
      <w:r>
        <w:t>t</w:t>
      </w:r>
      <w:r>
        <w:t xml:space="preserve">rálták az erőfeszítéseket és végső soron jellemzően jelentős energiákat hoztak a felszínre. Egyes </w:t>
      </w:r>
      <w:proofErr w:type="spellStart"/>
      <w:r>
        <w:t>HACS-ok</w:t>
      </w:r>
      <w:proofErr w:type="spellEnd"/>
      <w:r>
        <w:t xml:space="preserve"> területén soha nem látott társadalmi mozgás indult meg, bár ez természetesen nem mindenhol történt így. A tervezés és később a végrehajtás során a HACS területén belüli, de egymástól távolabbi települések is kez</w:t>
      </w:r>
      <w:r>
        <w:t>d</w:t>
      </w:r>
      <w:r>
        <w:t xml:space="preserve">tek megismerkedni egymással, és végeredményben sokszor még olyan a területeken is kialakulóban van valamiféle helyi LEADER kistérségi identitás, ahol ennek semmilyen történelmi gyökere nem volt. Több olyan </w:t>
      </w:r>
      <w:proofErr w:type="spellStart"/>
      <w:r>
        <w:t>HACS-al</w:t>
      </w:r>
      <w:proofErr w:type="spellEnd"/>
      <w:r>
        <w:t xml:space="preserve"> találkoztunk a kvalitatív vizsgálat során, ahol a két vagy több résztvevő statisztikai kistérségnek a múltban szinte semmilyen kapcsolata nem volt egymással, és mára a LEADER eredményeként az önko</w:t>
      </w:r>
      <w:r>
        <w:t>r</w:t>
      </w:r>
      <w:r>
        <w:t>mányzatok, a civilek és a vállalkozások szintjén is kialakulóban vannak a kölcsönös előnyökkel járó együt</w:t>
      </w:r>
      <w:r>
        <w:t>t</w:t>
      </w:r>
      <w:r>
        <w:t xml:space="preserve">működések. A térségeken belül közös rendezvényeket szerveznek, előretört a lokálpatriotizmus, a civil és gazdasági hálózatok és az egyes szektorok között is sok helyen megfigyelhető az együttműködés erősödése. Ennek oka nemcsak a LEADER metodológiában, hanem egyes speciális hazai körülményekben is kereshető. Például az önkormányzatok és a civil szervezetek együttműködését jelentősen segítette az a momentum, hogy az önkormányzatok nem tudták a pályázatoknál visszaigényelni az </w:t>
      </w:r>
      <w:proofErr w:type="spellStart"/>
      <w:r>
        <w:t>ÁFA-t</w:t>
      </w:r>
      <w:proofErr w:type="spellEnd"/>
      <w:r>
        <w:t xml:space="preserve">, a civil szervezetek viszont igen. Így az önkormányzatok a civil szervezettel partnerségben való pályázás világos anyagi előnyökkel járt. Ugyancsak jellemző példa, hogy önkormányzatok, vagy önkormányzatok és civilek közösen szereztek be valamilyen eszközt (pl. rendezvénysátor), vagy végeztek közös beruházást, ami szintén előremozdíthatja az együttműködést más területeken is. </w:t>
      </w:r>
    </w:p>
    <w:p w:rsidR="00020AFE" w:rsidRDefault="00020AFE" w:rsidP="00020AFE">
      <w:pPr>
        <w:pStyle w:val="HUNNormal"/>
      </w:pPr>
      <w:r w:rsidRPr="00857814">
        <w:t>A más területeken is felbukkanó, a decentralizáció és a bizalom hiányából, a szoros központi kontrollból, a rendszer lassúságából és pontatlan működéséből adódó gondok azonban a  társadalmi tőkével kapcsola</w:t>
      </w:r>
      <w:r w:rsidRPr="00857814">
        <w:t>t</w:t>
      </w:r>
      <w:r w:rsidRPr="00857814">
        <w:t>ban is éreztették negatív hatásukat. A hosszú átfutás miatt nehéz volt a vállalkozók bent tartása a folyama</w:t>
      </w:r>
      <w:r w:rsidRPr="00857814">
        <w:t>t</w:t>
      </w:r>
      <w:r w:rsidRPr="00857814">
        <w:t>ban. Általában véve a végrehajtás problémái, a bonyolult pályázati és elszámolási rendszer miatt sokan cs</w:t>
      </w:r>
      <w:r w:rsidRPr="00857814">
        <w:t>a</w:t>
      </w:r>
      <w:r w:rsidRPr="00857814">
        <w:t>lódtak a programban, nagymértékben visszaesett a helyi aktivitás. A delegált feladatok és a működési köl</w:t>
      </w:r>
      <w:r w:rsidRPr="00857814">
        <w:t>t</w:t>
      </w:r>
      <w:r w:rsidRPr="00857814">
        <w:t>ség elszámolása sok HACS esetében jelentős mértékben lekötötték a munkaszervezet kapacitását, így nem, vagy alig maradt idő a plusz, önként vállalt feladatnak számító vidék és társadalomfejlesztési munka elvé</w:t>
      </w:r>
      <w:r w:rsidRPr="00857814">
        <w:t>g</w:t>
      </w:r>
      <w:r w:rsidRPr="00857814">
        <w:t xml:space="preserve">zésére. Ez oda vezetett, hogy ma egyes </w:t>
      </w:r>
      <w:proofErr w:type="spellStart"/>
      <w:r w:rsidRPr="00857814">
        <w:t>HACS-oknál</w:t>
      </w:r>
      <w:proofErr w:type="spellEnd"/>
      <w:r w:rsidRPr="00857814">
        <w:t xml:space="preserve"> kevés az elképzelés arról, hogy ha a delegált feladatok visszakerülnek az </w:t>
      </w:r>
      <w:proofErr w:type="spellStart"/>
      <w:r w:rsidRPr="00857814">
        <w:t>MVH-hoz</w:t>
      </w:r>
      <w:proofErr w:type="spellEnd"/>
      <w:r w:rsidRPr="00857814">
        <w:t xml:space="preserve">, akkor mihez kezdhetnének a munkaszervezet felszabaduló kapacitásaival. (Ugyanakkor olyan véleményt is hallottunk, hogy az </w:t>
      </w:r>
      <w:proofErr w:type="spellStart"/>
      <w:r w:rsidRPr="00857814">
        <w:t>IH-val</w:t>
      </w:r>
      <w:proofErr w:type="spellEnd"/>
      <w:r w:rsidRPr="00857814">
        <w:t xml:space="preserve"> és az </w:t>
      </w:r>
      <w:proofErr w:type="spellStart"/>
      <w:r w:rsidRPr="00857814">
        <w:t>MVH-val</w:t>
      </w:r>
      <w:proofErr w:type="spellEnd"/>
      <w:r w:rsidRPr="00857814">
        <w:t xml:space="preserve"> való huzakodás olykor össze is tudta kovácsolni a helyi közösségeket.) Mindezt a képzés, együttműködés, hazai és nemzetközi tapasztalatcsere, vagyis a társadalmi tanulás eszközei segítségével és nyílt kommunikációval lehetne helyrehozni.</w:t>
      </w:r>
      <w:r>
        <w:t xml:space="preserve"> </w:t>
      </w:r>
    </w:p>
    <w:p w:rsidR="00020AFE" w:rsidRDefault="00020AFE" w:rsidP="00020AFE">
      <w:pPr>
        <w:pStyle w:val="HUNNormal"/>
      </w:pPr>
    </w:p>
    <w:p w:rsidR="00020AFE" w:rsidRDefault="00020AFE" w:rsidP="00020AFE">
      <w:pPr>
        <w:pStyle w:val="StyleHUNHeading3Justified"/>
        <w:ind w:left="504"/>
      </w:pPr>
      <w:r w:rsidRPr="00CE26D8">
        <w:t>Helyi identitás és koherencia erősödése (társadalmi tőke): Milyen mértékben növe</w:t>
      </w:r>
      <w:r w:rsidRPr="00CE26D8">
        <w:t>l</w:t>
      </w:r>
      <w:r w:rsidRPr="00CE26D8">
        <w:t>te az együttműködés és a hálózati kapcsolatok a térség gazdasági teljesítményét?</w:t>
      </w:r>
      <w:r>
        <w:t xml:space="preserve"> (41. intézkedés)</w:t>
      </w:r>
    </w:p>
    <w:p w:rsidR="00020AFE" w:rsidRDefault="00020AFE" w:rsidP="00020AFE">
      <w:pPr>
        <w:jc w:val="both"/>
      </w:pPr>
      <w:r>
        <w:t>Az eddig megvalósult III. és IV. tengelyes intézkedések közül a mikro vállalkozások és a turizmus fejlesztés</w:t>
      </w:r>
      <w:r>
        <w:t>é</w:t>
      </w:r>
      <w:r>
        <w:t>re irányuló két intézkedés célcsoportjai vidéki vállalkozások. A helyi akciócsoportok keretében működtetett partnerség, főként annak munkaszervezete a széleskörű tájékoztatással elősegítette a vállalkozók inform</w:t>
      </w:r>
      <w:r>
        <w:t>á</w:t>
      </w:r>
      <w:r>
        <w:t xml:space="preserve">cióhoz jutását a pályázati lehetőségekről. A </w:t>
      </w:r>
      <w:r w:rsidRPr="001056EB">
        <w:t xml:space="preserve">kedvezményezetek körében készített felmérés </w:t>
      </w:r>
      <w:r>
        <w:t xml:space="preserve">válaszai </w:t>
      </w:r>
      <w:r w:rsidRPr="001056EB">
        <w:t xml:space="preserve">alapján a </w:t>
      </w:r>
      <w:r>
        <w:t>vállalkozók több, mint 65%-</w:t>
      </w:r>
      <w:proofErr w:type="gramStart"/>
      <w:r>
        <w:t>a</w:t>
      </w:r>
      <w:proofErr w:type="gramEnd"/>
      <w:r>
        <w:t xml:space="preserve"> értesült első körben a </w:t>
      </w:r>
      <w:proofErr w:type="spellStart"/>
      <w:r>
        <w:t>HACS-tól</w:t>
      </w:r>
      <w:proofErr w:type="spellEnd"/>
      <w:r>
        <w:t xml:space="preserve"> a támogatási lehetőségről.</w:t>
      </w:r>
    </w:p>
    <w:p w:rsidR="00020AFE" w:rsidRPr="00AD7C63" w:rsidRDefault="00020AFE" w:rsidP="00020AFE">
      <w:pPr>
        <w:jc w:val="both"/>
      </w:pPr>
      <w:r w:rsidRPr="00AD7C63">
        <w:t xml:space="preserve">A pályázat elkészítése során még jelentősebb volt a </w:t>
      </w:r>
      <w:proofErr w:type="spellStart"/>
      <w:r w:rsidRPr="00AD7C63">
        <w:t>HACS-ok</w:t>
      </w:r>
      <w:proofErr w:type="spellEnd"/>
      <w:r w:rsidRPr="00AD7C63">
        <w:t xml:space="preserve"> szerepe</w:t>
      </w:r>
      <w:r>
        <w:t xml:space="preserve">. A válaszadók többsége (65%; 73%) </w:t>
      </w:r>
      <w:r w:rsidRPr="00AD7C63">
        <w:t xml:space="preserve">nyilatkozott úgy, hogy a </w:t>
      </w:r>
      <w:proofErr w:type="spellStart"/>
      <w:r w:rsidRPr="00AD7C63">
        <w:t>HACS-októl</w:t>
      </w:r>
      <w:proofErr w:type="spellEnd"/>
      <w:r w:rsidRPr="00AD7C63">
        <w:t xml:space="preserve"> kapott segítséget, míg a maradék </w:t>
      </w:r>
      <w:r>
        <w:t xml:space="preserve">körülbelül </w:t>
      </w:r>
      <w:r w:rsidRPr="00AD7C63">
        <w:t xml:space="preserve">1/3 a </w:t>
      </w:r>
      <w:proofErr w:type="spellStart"/>
      <w:r w:rsidRPr="00AD7C63">
        <w:t>HVI-től</w:t>
      </w:r>
      <w:proofErr w:type="spellEnd"/>
      <w:r>
        <w:t xml:space="preserve"> és az</w:t>
      </w:r>
      <w:r w:rsidRPr="00AD7C63">
        <w:t xml:space="preserve"> </w:t>
      </w:r>
      <w:proofErr w:type="spellStart"/>
      <w:r w:rsidRPr="00AD7C63">
        <w:t>MVH-tól</w:t>
      </w:r>
      <w:proofErr w:type="spellEnd"/>
      <w:r w:rsidRPr="00AD7C63">
        <w:t xml:space="preserve">. </w:t>
      </w:r>
    </w:p>
    <w:p w:rsidR="00020AFE" w:rsidRDefault="00020AFE" w:rsidP="00020AFE">
      <w:pPr>
        <w:pStyle w:val="HUNNormal"/>
      </w:pPr>
      <w:r>
        <w:t xml:space="preserve">Legfőbb előnyt a közvetlen kommunikáció, a gyors tájékoztatás, valamint a pályázat elkészítéséhez nyújtott ingyenes segítség jelentett. A támogatottak részére ugyanis jelentős problémát jelentett a jogcímrendelet </w:t>
      </w:r>
      <w:r>
        <w:lastRenderedPageBreak/>
        <w:t>értelmezése, a szabályozásban bekövetkezett változások nyomon követése, a támogatási kérelmek tartalmi és formai szempontoknak megfelelő kitöltése. Az adatok szerint a segítségre nem csupán azok szorultak rá, akik önállóan készítették a pályázatokat, hanem azok is, akik részben, vagy teljes egészében külső szeké</w:t>
      </w:r>
      <w:r>
        <w:t>r</w:t>
      </w:r>
      <w:r>
        <w:t>tővel készíttették el a kérelmeiket. Ebből egyúttal a pályázatok egyszerűségi-bonyolultsági fokára is lehet következtetést levonni.</w:t>
      </w:r>
    </w:p>
    <w:p w:rsidR="00020AFE" w:rsidRDefault="00020AFE" w:rsidP="00020AFE">
      <w:pPr>
        <w:pStyle w:val="HUNNormal"/>
      </w:pPr>
      <w:r>
        <w:t xml:space="preserve">Az elvégzett segítő munka megítélésénél a </w:t>
      </w:r>
      <w:proofErr w:type="spellStart"/>
      <w:r>
        <w:t>HACS-ok</w:t>
      </w:r>
      <w:proofErr w:type="spellEnd"/>
      <w:r>
        <w:t xml:space="preserve"> egyértelműen a legjobban szerepeltek. A válaszadók csaknem 90%-</w:t>
      </w:r>
      <w:proofErr w:type="gramStart"/>
      <w:r>
        <w:t>a</w:t>
      </w:r>
      <w:proofErr w:type="gramEnd"/>
      <w:r>
        <w:t xml:space="preserve"> a segítséget jónak, vagy kiválónak értékelte. (A másik két fontos szervezet esetében a m</w:t>
      </w:r>
      <w:r>
        <w:t>e</w:t>
      </w:r>
      <w:r>
        <w:t>gelégedettségi mutató ennél szignifikánsan alacsonyabb.) A vizsgálatba bevont négy helyi akciócsoportnál elvégzett terepkutatás ezt annyiban egészíti ki, hogy a helyi akciócsoportok bevonásával a vidéki gazdasági szereplők elérése, tájékoztatása nem csupán megvalósult, de a személyes kapcsolatoknak, példának, es</w:t>
      </w:r>
      <w:r>
        <w:t>e</w:t>
      </w:r>
      <w:r>
        <w:t xml:space="preserve">tenként rábeszélésnek köszönhetően mozgósító jelleget is kapott, olyanok is kedvet kaptak a támogatással történő fejlesztésre, akik korábban ezzel nem éltek. </w:t>
      </w:r>
    </w:p>
    <w:p w:rsidR="00020AFE" w:rsidRDefault="00020AFE" w:rsidP="00020AFE">
      <w:pPr>
        <w:jc w:val="both"/>
      </w:pPr>
      <w:r>
        <w:t>A kérdőíves felmérés válaszai szerint a kedvezményezett vállalkozások többsége (turizmus: 60%, mikro vá</w:t>
      </w:r>
      <w:r>
        <w:t>l</w:t>
      </w:r>
      <w:r>
        <w:t xml:space="preserve">lalkozások fejlesztése: 80%) kifejezetten előnyösnek tartja a helyi akciócsoport bevonását a megvalósításba. </w:t>
      </w:r>
    </w:p>
    <w:p w:rsidR="00020AFE" w:rsidRDefault="00020AFE" w:rsidP="00020AFE">
      <w:pPr>
        <w:jc w:val="both"/>
      </w:pPr>
      <w:r>
        <w:t>Ezzel a szerepvállalással az akciócsoportok jelentős mértékben hozzájárultak a (leginkább a jövőben) me</w:t>
      </w:r>
      <w:r>
        <w:t>g</w:t>
      </w:r>
      <w:r>
        <w:t>valósuló fejlesztésekhez, azok gazdasági teljesítményéhez.</w:t>
      </w:r>
    </w:p>
    <w:p w:rsidR="00020AFE" w:rsidRDefault="00020AFE" w:rsidP="00020AFE">
      <w:pPr>
        <w:jc w:val="both"/>
      </w:pPr>
    </w:p>
    <w:p w:rsidR="00020AFE" w:rsidRDefault="00020AFE" w:rsidP="00020AFE">
      <w:pPr>
        <w:pStyle w:val="StyleHUNHeading3Justified"/>
        <w:ind w:left="504"/>
      </w:pPr>
      <w:r w:rsidRPr="00CE26D8">
        <w:t>Hálózati kapcsolatok és nyitottság előmozdítása (társadalmi tőke): Milyen mérté</w:t>
      </w:r>
      <w:r w:rsidRPr="00CE26D8">
        <w:t>k</w:t>
      </w:r>
      <w:r w:rsidRPr="00CE26D8">
        <w:t>ben segítette elő az intézkedés a helyi szereplők kapacitását az új ötletek azonosít</w:t>
      </w:r>
      <w:r w:rsidRPr="00CE26D8">
        <w:t>á</w:t>
      </w:r>
      <w:r w:rsidRPr="00CE26D8">
        <w:t>sára és kidolgozására, és innovációvá történő átfordítására?</w:t>
      </w:r>
      <w:r>
        <w:t xml:space="preserve"> (41. intézkedés)</w:t>
      </w:r>
    </w:p>
    <w:p w:rsidR="00020AFE" w:rsidRDefault="00020AFE" w:rsidP="00020AFE">
      <w:pPr>
        <w:pStyle w:val="HUNNormal"/>
      </w:pPr>
      <w:r>
        <w:t>A IV tengelyben még nincsenek megvalósult fejlesztések, ezért azok innovatív jellegét még nem lehetett é</w:t>
      </w:r>
      <w:r>
        <w:t>r</w:t>
      </w:r>
      <w:r>
        <w:t xml:space="preserve">tékelni. </w:t>
      </w:r>
    </w:p>
    <w:p w:rsidR="00020AFE" w:rsidRDefault="00020AFE" w:rsidP="00020AFE">
      <w:pPr>
        <w:pStyle w:val="HUNNormal"/>
      </w:pPr>
      <w:r>
        <w:t xml:space="preserve">Az </w:t>
      </w:r>
      <w:proofErr w:type="spellStart"/>
      <w:r>
        <w:t>innovativitásnak</w:t>
      </w:r>
      <w:proofErr w:type="spellEnd"/>
      <w:r>
        <w:t>, mint a LEADER egyik kulcsszempontjának megvalósulásáról az elsődleges adatforr</w:t>
      </w:r>
      <w:r>
        <w:t>á</w:t>
      </w:r>
      <w:r>
        <w:t xml:space="preserve">sokból szerzett információk alapján elmondható, hogy sem a tervezés alkalmazott módszere, sem pedig a </w:t>
      </w:r>
      <w:proofErr w:type="spellStart"/>
      <w:r>
        <w:t>HACS-ok</w:t>
      </w:r>
      <w:proofErr w:type="spellEnd"/>
      <w:r>
        <w:t xml:space="preserve"> működési környezete nem segítette az újszerű ötletek azonosítását, a kreatív megoldások megv</w:t>
      </w:r>
      <w:r>
        <w:t>a</w:t>
      </w:r>
      <w:r>
        <w:t>lósulását. Ennek okait a megkérdezettek főként az alábbiaknak tulajdonították:</w:t>
      </w:r>
    </w:p>
    <w:p w:rsidR="00020AFE" w:rsidRDefault="00020AFE" w:rsidP="00D5521F">
      <w:pPr>
        <w:pStyle w:val="HUNNormal"/>
        <w:numPr>
          <w:ilvl w:val="0"/>
          <w:numId w:val="44"/>
        </w:numPr>
      </w:pPr>
      <w:r w:rsidRPr="002D1449">
        <w:t xml:space="preserve">A </w:t>
      </w:r>
      <w:r>
        <w:t>rendkívül szoros és központilag ütemezett tervezési folyamat (4-6 hónap), valamint kötött tervez</w:t>
      </w:r>
      <w:r>
        <w:t>é</w:t>
      </w:r>
      <w:r>
        <w:t>si felület ellene hatott az újszerű ötletek tervezési szakaszban való azonosításának, innovációvá tö</w:t>
      </w:r>
      <w:r>
        <w:t>r</w:t>
      </w:r>
      <w:r>
        <w:t>ténő átfordításának.</w:t>
      </w:r>
      <w:r w:rsidRPr="008F268F">
        <w:t xml:space="preserve"> </w:t>
      </w:r>
      <w:r>
        <w:t xml:space="preserve">Általános vélemény szerint a sablonszerű tervezési folyamat során elvesztek a helyi specialitások, az egyediség, a rendhagyó ötletek, megvalósítási módok. </w:t>
      </w:r>
    </w:p>
    <w:p w:rsidR="00020AFE" w:rsidRDefault="00020AFE" w:rsidP="00D5521F">
      <w:pPr>
        <w:pStyle w:val="HUNNormal"/>
        <w:numPr>
          <w:ilvl w:val="0"/>
          <w:numId w:val="44"/>
        </w:numPr>
      </w:pPr>
      <w:r>
        <w:t xml:space="preserve">A megvalósítási szakaszban a </w:t>
      </w:r>
      <w:proofErr w:type="spellStart"/>
      <w:r>
        <w:t>HACS-ok</w:t>
      </w:r>
      <w:proofErr w:type="spellEnd"/>
      <w:r>
        <w:t xml:space="preserve"> kérelemkezelésből eredő leterheltsége miatt kevés figyelmet és energiát tudtak fordítani az új ötletek azonosítására, innovációvá történő átfordítására.</w:t>
      </w:r>
    </w:p>
    <w:p w:rsidR="00020AFE" w:rsidRDefault="00020AFE" w:rsidP="00D5521F">
      <w:pPr>
        <w:pStyle w:val="HUNNormal"/>
        <w:numPr>
          <w:ilvl w:val="0"/>
          <w:numId w:val="44"/>
        </w:numPr>
      </w:pPr>
      <w:r>
        <w:t xml:space="preserve">Akadályozta az </w:t>
      </w:r>
      <w:proofErr w:type="spellStart"/>
      <w:r>
        <w:t>innovativitás</w:t>
      </w:r>
      <w:proofErr w:type="spellEnd"/>
      <w:r>
        <w:t xml:space="preserve"> szempontjának megvalósulását az a többször említett probléma, hogy a csoportok többségének nem volt alkalma jó példákat megismerni, működő hálózatokon, különb</w:t>
      </w:r>
      <w:r>
        <w:t>ö</w:t>
      </w:r>
      <w:r>
        <w:t>ző programokon keresztül megvalósuló társadalmi tanulás folyamata révén ötleteket, újszerű me</w:t>
      </w:r>
      <w:r>
        <w:t>g</w:t>
      </w:r>
      <w:r>
        <w:t>oldásokat és önbizalmat nyerniük az ilyen típusú fejlesztésekhez.</w:t>
      </w:r>
    </w:p>
    <w:p w:rsidR="00020AFE" w:rsidRDefault="00020AFE" w:rsidP="00D5521F">
      <w:pPr>
        <w:pStyle w:val="HUNNormal"/>
        <w:numPr>
          <w:ilvl w:val="0"/>
          <w:numId w:val="44"/>
        </w:numPr>
      </w:pPr>
      <w:r>
        <w:t xml:space="preserve">Az innovatív fejlesztések, újszerű módszerek megvalósítását jelentősen nehezíti a kötött központi szabályozás, az egyes célterületek jogosultsági feltételeinek kötöttségei, azok szigorú lehatárolása. </w:t>
      </w:r>
    </w:p>
    <w:p w:rsidR="00020AFE" w:rsidRPr="00020AFE" w:rsidRDefault="00020AFE" w:rsidP="00020AFE">
      <w:pPr>
        <w:pStyle w:val="HUNNormal"/>
      </w:pPr>
      <w:r w:rsidRPr="002B256B">
        <w:t xml:space="preserve">Azok a </w:t>
      </w:r>
      <w:proofErr w:type="spellStart"/>
      <w:r w:rsidRPr="002B256B">
        <w:t>HACS-ok</w:t>
      </w:r>
      <w:proofErr w:type="spellEnd"/>
      <w:r w:rsidRPr="002B256B">
        <w:t>, akik nemzetközi kapcsolatokkal rendelkeznek, illetve önkéntes kötelékeken belül rendsz</w:t>
      </w:r>
      <w:r w:rsidRPr="002B256B">
        <w:t>e</w:t>
      </w:r>
      <w:r w:rsidRPr="002B256B">
        <w:t xml:space="preserve">resen találkoznak nemcsak a működésük problémáinak megbeszélésére, de a fejlesztési folyamatokkal </w:t>
      </w:r>
      <w:r w:rsidRPr="002B256B">
        <w:lastRenderedPageBreak/>
        <w:t xml:space="preserve">kapcsolatos elképzeléseik megosztására, közös projektek kialakítására, új eszközök kipróbálására, ezt a </w:t>
      </w:r>
      <w:r>
        <w:t xml:space="preserve">fajta kölcsönös tanulást </w:t>
      </w:r>
      <w:r w:rsidRPr="002B256B">
        <w:t>meghatározónak tartják az innovatív szemlélet kialakulása</w:t>
      </w:r>
    </w:p>
    <w:p w:rsidR="00847410" w:rsidRPr="00E03E1D" w:rsidRDefault="00847410" w:rsidP="005A19DE">
      <w:pPr>
        <w:pStyle w:val="HUNHeading1"/>
        <w:numPr>
          <w:ilvl w:val="0"/>
          <w:numId w:val="12"/>
        </w:numPr>
      </w:pPr>
      <w:bookmarkStart w:id="54" w:name="_Toc280788364"/>
      <w:r w:rsidRPr="00E03E1D">
        <w:lastRenderedPageBreak/>
        <w:t xml:space="preserve">Következtetések </w:t>
      </w:r>
      <w:proofErr w:type="gramStart"/>
      <w:r w:rsidRPr="00E03E1D">
        <w:t>és</w:t>
      </w:r>
      <w:proofErr w:type="gramEnd"/>
      <w:r w:rsidRPr="00E03E1D">
        <w:t xml:space="preserve"> javaslatok</w:t>
      </w:r>
      <w:bookmarkEnd w:id="54"/>
    </w:p>
    <w:p w:rsidR="00952CDC" w:rsidRPr="00E03E1D" w:rsidRDefault="00952CDC" w:rsidP="00952CDC">
      <w:pPr>
        <w:pStyle w:val="AAMNormal"/>
      </w:pPr>
      <w:r w:rsidRPr="00E03E1D">
        <w:t>A félidei értékelés szerepe kettős. Egyrészt független, külső szemlélőként az adatok összegyűjtésén, feldo</w:t>
      </w:r>
      <w:r w:rsidRPr="00E03E1D">
        <w:t>l</w:t>
      </w:r>
      <w:r w:rsidRPr="00E03E1D">
        <w:t>gozásán keresztül „tükröt” tart az adott fejlesztési program tervezői, lebonyolítói számára – ezzel segítve a problémák, tanulságok, fejlesztési szükségletek felismerését, artikulálását. Ezt a célt szolgálták a Zárójele</w:t>
      </w:r>
      <w:r w:rsidRPr="00E03E1D">
        <w:t>n</w:t>
      </w:r>
      <w:r w:rsidRPr="00E03E1D">
        <w:t>tés korábbi fejezetei.</w:t>
      </w:r>
    </w:p>
    <w:p w:rsidR="00952CDC" w:rsidRPr="00E03E1D" w:rsidRDefault="00952CDC" w:rsidP="00952CDC">
      <w:pPr>
        <w:pStyle w:val="AAMNormal"/>
      </w:pPr>
      <w:r w:rsidRPr="00E03E1D">
        <w:t xml:space="preserve">Másrészt </w:t>
      </w:r>
      <w:r w:rsidRPr="00E03E1D">
        <w:rPr>
          <w:b/>
        </w:rPr>
        <w:t xml:space="preserve">az értékelés célja az is, hogy a független szakértők hasznosítható javaslatokat fogalmazzanak meg, amelyek az összegyűjtött információk alapján kialakított következtetéseken alapulnak. Jelen fejezet </w:t>
      </w:r>
      <w:r w:rsidR="00920CDE" w:rsidRPr="00E03E1D">
        <w:rPr>
          <w:b/>
        </w:rPr>
        <w:t xml:space="preserve">ennek megfelelően </w:t>
      </w:r>
      <w:r w:rsidRPr="00E03E1D">
        <w:rPr>
          <w:b/>
        </w:rPr>
        <w:t>az értékelési munka során a bevont szakértők által megfogalmazott következtetéseket és javaslatokat mutatja be</w:t>
      </w:r>
      <w:r w:rsidRPr="00E03E1D">
        <w:t>.</w:t>
      </w:r>
    </w:p>
    <w:p w:rsidR="00952CDC" w:rsidRPr="00E03E1D" w:rsidRDefault="00952CDC" w:rsidP="00952CDC">
      <w:pPr>
        <w:pStyle w:val="AAMNormal"/>
      </w:pPr>
      <w:r w:rsidRPr="00E03E1D">
        <w:t>A következtetéseket úgy fogalmaztuk meg, hogy terjedelmük könnyen befogadható legyen, ezért a követke</w:t>
      </w:r>
      <w:r w:rsidRPr="00E03E1D">
        <w:t>z</w:t>
      </w:r>
      <w:r w:rsidRPr="00E03E1D">
        <w:t>tetések megalapozásánál csak hivatkozunk az értékelés megállapításaira, adataira, itt azokat részletesen nem mutatjuk be. Ezek a részletek a Zárójelentés negyedik fejezetében és annak mellékleteiben megtekin</w:t>
      </w:r>
      <w:r w:rsidRPr="00E03E1D">
        <w:t>t</w:t>
      </w:r>
      <w:r w:rsidRPr="00E03E1D">
        <w:t>hetőek.</w:t>
      </w:r>
    </w:p>
    <w:p w:rsidR="00D16DA5" w:rsidRPr="00E03E1D" w:rsidRDefault="00D16DA5" w:rsidP="00D16DA5">
      <w:pPr>
        <w:pStyle w:val="HUNHeading2"/>
        <w:tabs>
          <w:tab w:val="clear" w:pos="567"/>
        </w:tabs>
        <w:ind w:left="709" w:hanging="709"/>
      </w:pPr>
      <w:bookmarkStart w:id="55" w:name="_Toc279566927"/>
      <w:bookmarkStart w:id="56" w:name="_Toc280788365"/>
      <w:r w:rsidRPr="00E03E1D">
        <w:t>Következtetések</w:t>
      </w:r>
      <w:bookmarkEnd w:id="55"/>
      <w:bookmarkEnd w:id="56"/>
    </w:p>
    <w:p w:rsidR="00D16DA5" w:rsidRPr="00E03E1D" w:rsidRDefault="00D16DA5" w:rsidP="00D5521F">
      <w:pPr>
        <w:pStyle w:val="AAMNormal"/>
        <w:numPr>
          <w:ilvl w:val="0"/>
          <w:numId w:val="27"/>
        </w:numPr>
        <w:rPr>
          <w:b/>
          <w:smallCaps/>
          <w:sz w:val="22"/>
          <w:szCs w:val="22"/>
        </w:rPr>
      </w:pPr>
      <w:r w:rsidRPr="00E03E1D">
        <w:rPr>
          <w:b/>
          <w:smallCaps/>
          <w:sz w:val="22"/>
          <w:szCs w:val="22"/>
        </w:rPr>
        <w:t>Átfogó következtetés 1</w:t>
      </w:r>
      <w:proofErr w:type="gramStart"/>
      <w:r w:rsidRPr="00E03E1D">
        <w:rPr>
          <w:b/>
          <w:smallCaps/>
          <w:sz w:val="22"/>
          <w:szCs w:val="22"/>
        </w:rPr>
        <w:t>.:</w:t>
      </w:r>
      <w:proofErr w:type="gramEnd"/>
      <w:r w:rsidRPr="00E03E1D">
        <w:rPr>
          <w:b/>
          <w:smallCaps/>
          <w:sz w:val="22"/>
          <w:szCs w:val="22"/>
        </w:rPr>
        <w:t xml:space="preserve"> </w:t>
      </w:r>
      <w:r w:rsidRPr="00E03E1D">
        <w:rPr>
          <w:b/>
          <w:sz w:val="22"/>
          <w:szCs w:val="22"/>
        </w:rPr>
        <w:t>Az ÚMVP 2007-2010.06.30 közötti időszaka a kötelezettségvállal</w:t>
      </w:r>
      <w:r w:rsidRPr="00E03E1D">
        <w:rPr>
          <w:b/>
          <w:sz w:val="22"/>
          <w:szCs w:val="22"/>
        </w:rPr>
        <w:t>á</w:t>
      </w:r>
      <w:r w:rsidRPr="00E03E1D">
        <w:rPr>
          <w:b/>
          <w:sz w:val="22"/>
          <w:szCs w:val="22"/>
        </w:rPr>
        <w:t>sok, illetve a kihelyezett támogatások mértékének tekintetében jelentős előrehaladást mutat. A kedvező abszorpciós teljesítmény azonban jelentősen korlátozza a Program 2010-2013 id</w:t>
      </w:r>
      <w:r w:rsidRPr="00E03E1D">
        <w:rPr>
          <w:b/>
          <w:sz w:val="22"/>
          <w:szCs w:val="22"/>
        </w:rPr>
        <w:t>ő</w:t>
      </w:r>
      <w:r w:rsidRPr="00E03E1D">
        <w:rPr>
          <w:b/>
          <w:sz w:val="22"/>
          <w:szCs w:val="22"/>
        </w:rPr>
        <w:t>szakára vonatkozó intézkedések mozgásterét.</w:t>
      </w:r>
    </w:p>
    <w:p w:rsidR="00D16DA5" w:rsidRPr="00E03E1D" w:rsidRDefault="00D16DA5" w:rsidP="00D16DA5">
      <w:pPr>
        <w:pStyle w:val="AAMNormal"/>
        <w:ind w:left="360"/>
      </w:pPr>
      <w:r w:rsidRPr="00E03E1D">
        <w:rPr>
          <w:b/>
          <w:u w:val="single"/>
        </w:rPr>
        <w:t>Következtetés 1.1:</w:t>
      </w:r>
      <w:r w:rsidRPr="00E03E1D">
        <w:rPr>
          <w:b/>
        </w:rPr>
        <w:t xml:space="preserve"> </w:t>
      </w:r>
      <w:r w:rsidRPr="00E03E1D">
        <w:t>Az ÚMVP forrásai a félidei értékelés megkezdéséig nagymértékben lekötésre kerü</w:t>
      </w:r>
      <w:r w:rsidRPr="00E03E1D">
        <w:t>l</w:t>
      </w:r>
      <w:r w:rsidRPr="00E03E1D">
        <w:t>tek. 2010.06.30-ig a teljes keret 69,7%-74,2%-</w:t>
      </w:r>
      <w:r>
        <w:t>a került</w:t>
      </w:r>
      <w:r w:rsidRPr="00E03E1D">
        <w:t xml:space="preserve"> kötelezettségvállalás</w:t>
      </w:r>
      <w:r>
        <w:t>ra</w:t>
      </w:r>
      <w:r w:rsidRPr="00E03E1D">
        <w:t>, a beérkezet</w:t>
      </w:r>
      <w:r>
        <w:t>t</w:t>
      </w:r>
      <w:r w:rsidRPr="00E03E1D">
        <w:t xml:space="preserve"> igények te</w:t>
      </w:r>
      <w:r w:rsidRPr="00E03E1D">
        <w:t>l</w:t>
      </w:r>
      <w:r w:rsidRPr="00E03E1D">
        <w:t>jes körű kielégítése pedig 90,1%-95,9%-</w:t>
      </w:r>
      <w:r>
        <w:t>ra</w:t>
      </w:r>
      <w:r w:rsidRPr="00E03E1D">
        <w:t xml:space="preserve"> növelné a megítélt támogatások mértékét. </w:t>
      </w:r>
    </w:p>
    <w:p w:rsidR="00D16DA5" w:rsidRPr="00E03E1D" w:rsidRDefault="00D16DA5" w:rsidP="00D16DA5">
      <w:pPr>
        <w:pStyle w:val="AAMNormal"/>
        <w:ind w:left="360"/>
      </w:pPr>
      <w:r w:rsidRPr="00E03E1D">
        <w:rPr>
          <w:b/>
          <w:u w:val="single"/>
        </w:rPr>
        <w:t>Következtetés 1.2:</w:t>
      </w:r>
      <w:r w:rsidRPr="00E03E1D">
        <w:rPr>
          <w:b/>
        </w:rPr>
        <w:t xml:space="preserve"> </w:t>
      </w:r>
      <w:r w:rsidRPr="00E03E1D">
        <w:t xml:space="preserve">A Program várható hatásait érdemben befolyásolni képes </w:t>
      </w:r>
      <w:r w:rsidR="0009611F">
        <w:t>változtatások</w:t>
      </w:r>
      <w:r w:rsidRPr="00E03E1D">
        <w:t xml:space="preserve"> mozgásterét a jelenleg</w:t>
      </w:r>
      <w:r w:rsidR="0009611F">
        <w:t xml:space="preserve">i bírálati folyamatok </w:t>
      </w:r>
      <w:r w:rsidR="00B67E02">
        <w:t>lezárása</w:t>
      </w:r>
      <w:r w:rsidR="0009611F">
        <w:t xml:space="preserve"> után lehet majd megállapítani. Ezt a mozgásteret</w:t>
      </w:r>
      <w:r w:rsidRPr="00E03E1D">
        <w:t xml:space="preserve"> </w:t>
      </w:r>
      <w:r w:rsidR="0009611F">
        <w:t>a bírálati f</w:t>
      </w:r>
      <w:r w:rsidR="0009611F">
        <w:t>o</w:t>
      </w:r>
      <w:r w:rsidR="0009611F">
        <w:t>lyamat során meghozott</w:t>
      </w:r>
      <w:r w:rsidRPr="00E03E1D">
        <w:t xml:space="preserve"> forrásallokációs döntések </w:t>
      </w:r>
      <w:r w:rsidR="0009611F">
        <w:t>érdemben befolyásolhatják</w:t>
      </w:r>
      <w:r w:rsidRPr="00E03E1D">
        <w:t xml:space="preserve">. A 2010.06.30-ig már benyújtott kérelmek forrásigénye több mint 271 </w:t>
      </w:r>
      <w:proofErr w:type="spellStart"/>
      <w:r w:rsidRPr="00E03E1D">
        <w:t>mrd</w:t>
      </w:r>
      <w:proofErr w:type="spellEnd"/>
      <w:r w:rsidRPr="00E03E1D">
        <w:t xml:space="preserve"> Ft. A korábbi években a magyar mezőgazdaság s</w:t>
      </w:r>
      <w:r w:rsidRPr="00E03E1D">
        <w:t>ú</w:t>
      </w:r>
      <w:r w:rsidRPr="00E03E1D">
        <w:t xml:space="preserve">lyos tőkehiányára, illetve sürgető ágazati fejlesztési kényszerekre (pl.: nitrát-direktíva) való tekintettel, továbbá a gazdasági válság hatásainak kompenzálása érdekében az ÚMVP I-II. </w:t>
      </w:r>
      <w:proofErr w:type="gramStart"/>
      <w:r w:rsidRPr="00E03E1D">
        <w:t>tengelyében</w:t>
      </w:r>
      <w:proofErr w:type="gramEnd"/>
      <w:r w:rsidRPr="00E03E1D">
        <w:t xml:space="preserve"> a jogosult kérelmezők többsége támogatás</w:t>
      </w:r>
      <w:r>
        <w:t>ban részesült</w:t>
      </w:r>
      <w:r w:rsidRPr="00E03E1D">
        <w:t xml:space="preserve">. </w:t>
      </w:r>
      <w:r>
        <w:t>Abban az esetben, ha</w:t>
      </w:r>
      <w:r w:rsidRPr="00E03E1D">
        <w:t xml:space="preserve"> a jelenleg bírálat alatt álló kére</w:t>
      </w:r>
      <w:r w:rsidRPr="00E03E1D">
        <w:t>l</w:t>
      </w:r>
      <w:r w:rsidRPr="00E03E1D">
        <w:t xml:space="preserve">mek </w:t>
      </w:r>
      <w:r>
        <w:t xml:space="preserve">többsége támogatásra </w:t>
      </w:r>
      <w:proofErr w:type="gramStart"/>
      <w:r>
        <w:t xml:space="preserve">jogosult </w:t>
      </w:r>
      <w:r w:rsidRPr="00E03E1D">
        <w:t>,</w:t>
      </w:r>
      <w:proofErr w:type="gramEnd"/>
      <w:r w:rsidRPr="00E03E1D">
        <w:t xml:space="preserve"> a fennmaradó forrás az I- II. tengely tekintetében csak technikai korrekciókra lenne elegendő. Amennyiben az I</w:t>
      </w:r>
      <w:r w:rsidR="00CC5E76">
        <w:t>.</w:t>
      </w:r>
      <w:r w:rsidRPr="00E03E1D">
        <w:t xml:space="preserve"> tengelyben már benyújtott kérelmek a korábbi években alkalmazott </w:t>
      </w:r>
      <w:r>
        <w:t>támogatási</w:t>
      </w:r>
      <w:r w:rsidRPr="00E03E1D">
        <w:t xml:space="preserve"> arányoknál kisebb mértékben kapnak most támogatást, a pénzügyi mozgástér elérheti a 240 - 310 </w:t>
      </w:r>
      <w:proofErr w:type="spellStart"/>
      <w:r w:rsidRPr="00E03E1D">
        <w:t>mrd</w:t>
      </w:r>
      <w:proofErr w:type="spellEnd"/>
      <w:r w:rsidRPr="00E03E1D">
        <w:t xml:space="preserve"> Ft-os nagyságrendet</w:t>
      </w:r>
      <w:proofErr w:type="gramStart"/>
      <w:r>
        <w:t>.,</w:t>
      </w:r>
      <w:proofErr w:type="gramEnd"/>
      <w:r>
        <w:t xml:space="preserve"> amely már jelentősebb mozgásteret biztosít a várható hatások korrekciójához.</w:t>
      </w:r>
    </w:p>
    <w:p w:rsidR="00D16DA5" w:rsidRPr="00E03E1D" w:rsidRDefault="00D16DA5" w:rsidP="00D5521F">
      <w:pPr>
        <w:pStyle w:val="AAMNormal"/>
        <w:numPr>
          <w:ilvl w:val="0"/>
          <w:numId w:val="27"/>
        </w:numPr>
        <w:rPr>
          <w:b/>
          <w:smallCaps/>
          <w:sz w:val="22"/>
          <w:szCs w:val="22"/>
        </w:rPr>
      </w:pPr>
      <w:r w:rsidRPr="00E03E1D">
        <w:rPr>
          <w:b/>
          <w:smallCaps/>
          <w:sz w:val="22"/>
          <w:szCs w:val="22"/>
        </w:rPr>
        <w:t>Átfogó következtetés 2</w:t>
      </w:r>
      <w:proofErr w:type="gramStart"/>
      <w:r w:rsidRPr="00E03E1D">
        <w:rPr>
          <w:b/>
          <w:smallCaps/>
          <w:sz w:val="22"/>
          <w:szCs w:val="22"/>
        </w:rPr>
        <w:t>.:</w:t>
      </w:r>
      <w:proofErr w:type="gramEnd"/>
      <w:r w:rsidRPr="00E03E1D">
        <w:rPr>
          <w:b/>
          <w:smallCaps/>
          <w:sz w:val="22"/>
          <w:szCs w:val="22"/>
        </w:rPr>
        <w:t xml:space="preserve"> </w:t>
      </w:r>
      <w:r w:rsidRPr="00E03E1D">
        <w:rPr>
          <w:b/>
          <w:sz w:val="22"/>
          <w:szCs w:val="22"/>
        </w:rPr>
        <w:t xml:space="preserve">A Program környezetének vizsgálata alapján úgy véljük, hogy az ÚMVST </w:t>
      </w:r>
      <w:r w:rsidR="009D0BC3">
        <w:rPr>
          <w:b/>
          <w:sz w:val="22"/>
          <w:szCs w:val="22"/>
        </w:rPr>
        <w:t>élelmiszergazdaságot</w:t>
      </w:r>
      <w:r w:rsidRPr="00E03E1D">
        <w:rPr>
          <w:b/>
          <w:sz w:val="22"/>
          <w:szCs w:val="22"/>
        </w:rPr>
        <w:t>, erdőgazdálkodást érintő céljai továbbra is relevánsak. A m</w:t>
      </w:r>
      <w:r w:rsidRPr="00E03E1D">
        <w:rPr>
          <w:b/>
          <w:sz w:val="22"/>
          <w:szCs w:val="22"/>
        </w:rPr>
        <w:t>a</w:t>
      </w:r>
      <w:r w:rsidRPr="00E03E1D">
        <w:rPr>
          <w:b/>
          <w:sz w:val="22"/>
          <w:szCs w:val="22"/>
        </w:rPr>
        <w:t xml:space="preserve">gyar </w:t>
      </w:r>
      <w:proofErr w:type="spellStart"/>
      <w:r w:rsidRPr="00E03E1D">
        <w:rPr>
          <w:b/>
          <w:sz w:val="22"/>
          <w:szCs w:val="22"/>
        </w:rPr>
        <w:t>agro-business</w:t>
      </w:r>
      <w:proofErr w:type="spellEnd"/>
      <w:r w:rsidRPr="00E03E1D">
        <w:rPr>
          <w:rStyle w:val="FootnoteReference"/>
          <w:b/>
          <w:sz w:val="22"/>
          <w:szCs w:val="22"/>
        </w:rPr>
        <w:footnoteReference w:id="53"/>
      </w:r>
      <w:r w:rsidRPr="00E03E1D">
        <w:rPr>
          <w:b/>
          <w:sz w:val="22"/>
          <w:szCs w:val="22"/>
        </w:rPr>
        <w:t xml:space="preserve"> helyzetének vizsgálata azt mutatta, hogy az ÚMVP tervezésekor fennálló sze</w:t>
      </w:r>
      <w:r w:rsidRPr="00E03E1D">
        <w:rPr>
          <w:b/>
          <w:sz w:val="22"/>
          <w:szCs w:val="22"/>
        </w:rPr>
        <w:t>r</w:t>
      </w:r>
      <w:r w:rsidRPr="00E03E1D">
        <w:rPr>
          <w:b/>
          <w:sz w:val="22"/>
          <w:szCs w:val="22"/>
        </w:rPr>
        <w:t>kezet, strukturális problémák kezelése továbbra is aktuális, sőt még inkább indokolt.</w:t>
      </w:r>
    </w:p>
    <w:p w:rsidR="00D16DA5" w:rsidRPr="00E03E1D" w:rsidRDefault="00D16DA5" w:rsidP="00D16DA5">
      <w:pPr>
        <w:pStyle w:val="AAMNormal"/>
        <w:ind w:left="360"/>
      </w:pPr>
      <w:r w:rsidRPr="00E03E1D">
        <w:rPr>
          <w:b/>
          <w:u w:val="single"/>
        </w:rPr>
        <w:lastRenderedPageBreak/>
        <w:t>Következtetés 2.1:</w:t>
      </w:r>
      <w:r w:rsidRPr="00E03E1D">
        <w:rPr>
          <w:b/>
        </w:rPr>
        <w:t xml:space="preserve"> </w:t>
      </w:r>
      <w:r w:rsidRPr="00E03E1D">
        <w:t xml:space="preserve">A magyar </w:t>
      </w:r>
      <w:r w:rsidR="009D0BC3">
        <w:t>élelmiszergazdaság</w:t>
      </w:r>
      <w:r w:rsidRPr="00E03E1D">
        <w:t xml:space="preserve"> hozzáadott érték teremtő képessége összességében alacsony. A kedvezőtlen teljesítményt tovább rontja, hogy az élelmiszeripar 1990</w:t>
      </w:r>
      <w:r w:rsidR="0080001B">
        <w:t>.</w:t>
      </w:r>
      <w:r w:rsidRPr="00E03E1D">
        <w:t xml:space="preserve"> óta tapasztalt vissz</w:t>
      </w:r>
      <w:r w:rsidRPr="00E03E1D">
        <w:t>a</w:t>
      </w:r>
      <w:r w:rsidRPr="00E03E1D">
        <w:t>esése miatt a magyar mezőgazdaság</w:t>
      </w:r>
      <w:r>
        <w:t>i termékek feldolgozottsága</w:t>
      </w:r>
      <w:r w:rsidRPr="00E03E1D">
        <w:t xml:space="preserve"> többségében alacsony</w:t>
      </w:r>
      <w:r>
        <w:t>,</w:t>
      </w:r>
      <w:r w:rsidRPr="00E03E1D">
        <w:t xml:space="preserve"> többnyire ár</w:t>
      </w:r>
      <w:r w:rsidRPr="00E03E1D">
        <w:t>u</w:t>
      </w:r>
      <w:r w:rsidRPr="00E03E1D">
        <w:t xml:space="preserve">tőzsdei alapanyagokat </w:t>
      </w:r>
      <w:r>
        <w:t>exportálunk</w:t>
      </w:r>
      <w:r w:rsidRPr="00E03E1D">
        <w:t xml:space="preserve">. A magyar </w:t>
      </w:r>
      <w:proofErr w:type="spellStart"/>
      <w:r w:rsidRPr="00E03E1D">
        <w:t>agro-business</w:t>
      </w:r>
      <w:proofErr w:type="spellEnd"/>
      <w:r w:rsidRPr="00E03E1D">
        <w:t xml:space="preserve"> ily módon történő integrációja az Európai gazdaságba oda vezetett, hogy a mezőgazdaság </w:t>
      </w:r>
      <w:r w:rsidR="0056129B">
        <w:t>input importigénye nagyobb, mint az output exportja</w:t>
      </w:r>
      <w:r w:rsidRPr="00E03E1D">
        <w:t>, és az élelmiszerpiaci keresleti-kínálati ingadozások közvetlenül és nagymértékben hatnak a magyar ga</w:t>
      </w:r>
      <w:r w:rsidRPr="00E03E1D">
        <w:t>z</w:t>
      </w:r>
      <w:r w:rsidRPr="00E03E1D">
        <w:t xml:space="preserve">dálkodók </w:t>
      </w:r>
      <w:r>
        <w:t>többségére</w:t>
      </w:r>
      <w:r w:rsidRPr="00E03E1D">
        <w:t>. Az alapanyag-termelésre továbbá fokozattan igaz, hogy a nemzetközi versenyben csak folyamatos technológiai korszerűsítéssel (és még nagyobb energiafüggőséggel) lehet megőrizni a versenyképességet, ami egyben folyamatos létszámleépítéssel jár. Ezt támasztják alá a csökkenő fo</w:t>
      </w:r>
      <w:r w:rsidRPr="00E03E1D">
        <w:t>g</w:t>
      </w:r>
      <w:r w:rsidRPr="00E03E1D">
        <w:t xml:space="preserve">lalkoztatási mutatók, amelyek mind a fizetett, mind a nem fizetett munkaerő terén megmutatkoznak. </w:t>
      </w:r>
    </w:p>
    <w:p w:rsidR="00D16DA5" w:rsidRPr="00E03E1D" w:rsidRDefault="00D16DA5" w:rsidP="00D16DA5">
      <w:pPr>
        <w:pStyle w:val="AAMNormal"/>
        <w:ind w:left="360"/>
      </w:pPr>
      <w:r w:rsidRPr="00E03E1D">
        <w:rPr>
          <w:b/>
          <w:u w:val="single"/>
        </w:rPr>
        <w:t>Következtetés 2.2:</w:t>
      </w:r>
      <w:r w:rsidRPr="00E03E1D">
        <w:rPr>
          <w:b/>
        </w:rPr>
        <w:t xml:space="preserve"> </w:t>
      </w:r>
      <w:r w:rsidRPr="00E03E1D">
        <w:t>A mezőgazdaságban továbbra is fennáll a növénytermesztés</w:t>
      </w:r>
      <w:r>
        <w:t>,</w:t>
      </w:r>
      <w:r w:rsidRPr="00E03E1D">
        <w:t xml:space="preserve"> és az állattenyésztés kedvezőtlen aránya. Az állattenyésztés részarányának csökkenése szintén a rendszerváltás óta jelen</w:t>
      </w:r>
      <w:r w:rsidRPr="00E03E1D">
        <w:t>t</w:t>
      </w:r>
      <w:r w:rsidRPr="00E03E1D">
        <w:t>kező trend. Az elmúlt években a relatív arányt tovább rontotta a szántóföldi növénytermesztés termelési értékben tapasztalható erősödése. A munkaerő-intenzívebb állattenyésztés térvesztése a gyenge fajl</w:t>
      </w:r>
      <w:r w:rsidRPr="00E03E1D">
        <w:t>a</w:t>
      </w:r>
      <w:r w:rsidRPr="00E03E1D">
        <w:t xml:space="preserve">gos munkaerő-igényű szántóföldi növénytermesztés javára egyszerre csökkenti a foglalkoztatottak körét, illetve időről időre kínálati válságokat okoz a növénytermesztési </w:t>
      </w:r>
      <w:proofErr w:type="spellStart"/>
      <w:r w:rsidRPr="00E03E1D">
        <w:t>alágazatban</w:t>
      </w:r>
      <w:proofErr w:type="spellEnd"/>
      <w:r w:rsidRPr="00E03E1D">
        <w:t>.</w:t>
      </w:r>
    </w:p>
    <w:p w:rsidR="00D16DA5" w:rsidRDefault="00D16DA5" w:rsidP="00D16DA5">
      <w:pPr>
        <w:pStyle w:val="AAMNormal"/>
        <w:ind w:left="360"/>
      </w:pPr>
      <w:r w:rsidRPr="00E03E1D">
        <w:rPr>
          <w:b/>
          <w:u w:val="single"/>
        </w:rPr>
        <w:t>Következtetés 2.3:</w:t>
      </w:r>
      <w:r w:rsidRPr="00E03E1D">
        <w:rPr>
          <w:b/>
        </w:rPr>
        <w:t xml:space="preserve"> </w:t>
      </w:r>
      <w:r w:rsidRPr="00E03E1D">
        <w:t>A magyar agráriumban az elmúlt évek kedvező tendenciái ellenére még mindig nem meghatározó a gazdasági szereplők együttműködése sem a vertikális, sem a horizontális integráció ter</w:t>
      </w:r>
      <w:r w:rsidRPr="00E03E1D">
        <w:t>ü</w:t>
      </w:r>
      <w:r w:rsidRPr="00E03E1D">
        <w:t>letén. Ez oda vezet, hogy a termelők (főleg kistermelők) értékesítési lehetőségei sokszor kiszámíthata</w:t>
      </w:r>
      <w:r w:rsidRPr="00E03E1D">
        <w:t>t</w:t>
      </w:r>
      <w:r w:rsidRPr="00E03E1D">
        <w:t xml:space="preserve">lanok, illetve kedvezőtlenül alakulnak, valamint az erőforrások (pl.: gépek) kihasználtsága </w:t>
      </w:r>
      <w:r>
        <w:t>s</w:t>
      </w:r>
      <w:r w:rsidRPr="00E03E1D">
        <w:t>em optim</w:t>
      </w:r>
      <w:r w:rsidRPr="00E03E1D">
        <w:t>á</w:t>
      </w:r>
      <w:r w:rsidRPr="00E03E1D">
        <w:t>lis.</w:t>
      </w:r>
    </w:p>
    <w:p w:rsidR="00D16DA5" w:rsidRPr="00E03E1D" w:rsidRDefault="00D16DA5" w:rsidP="00D5521F">
      <w:pPr>
        <w:pStyle w:val="AAMNormal"/>
        <w:numPr>
          <w:ilvl w:val="0"/>
          <w:numId w:val="27"/>
        </w:numPr>
        <w:rPr>
          <w:b/>
          <w:smallCaps/>
          <w:sz w:val="22"/>
          <w:szCs w:val="22"/>
        </w:rPr>
      </w:pPr>
      <w:r w:rsidRPr="00E03E1D">
        <w:rPr>
          <w:b/>
          <w:smallCaps/>
          <w:sz w:val="22"/>
          <w:szCs w:val="22"/>
        </w:rPr>
        <w:t>Átfogó következtetés 3</w:t>
      </w:r>
      <w:proofErr w:type="gramStart"/>
      <w:r w:rsidRPr="00E03E1D">
        <w:rPr>
          <w:b/>
          <w:smallCaps/>
          <w:sz w:val="22"/>
          <w:szCs w:val="22"/>
        </w:rPr>
        <w:t>.:</w:t>
      </w:r>
      <w:proofErr w:type="gramEnd"/>
      <w:r w:rsidRPr="00E03E1D">
        <w:rPr>
          <w:b/>
          <w:smallCaps/>
          <w:sz w:val="22"/>
          <w:szCs w:val="22"/>
        </w:rPr>
        <w:t xml:space="preserve"> </w:t>
      </w:r>
      <w:r w:rsidRPr="00E03E1D">
        <w:rPr>
          <w:b/>
          <w:sz w:val="22"/>
          <w:szCs w:val="22"/>
        </w:rPr>
        <w:t xml:space="preserve">A Program környezetének vizsgálata alapján úgy véljük, hogy az ÚMVST a vidéki gazdaságot érintő céljai továbbra is relevánsak. A </w:t>
      </w:r>
      <w:proofErr w:type="spellStart"/>
      <w:r w:rsidRPr="00E03E1D">
        <w:rPr>
          <w:b/>
          <w:sz w:val="22"/>
          <w:szCs w:val="22"/>
        </w:rPr>
        <w:t>munkaerőpiaci</w:t>
      </w:r>
      <w:proofErr w:type="spellEnd"/>
      <w:r w:rsidRPr="00E03E1D">
        <w:rPr>
          <w:b/>
          <w:sz w:val="22"/>
          <w:szCs w:val="22"/>
        </w:rPr>
        <w:t xml:space="preserve"> helyzetkép vizsgálata azt mutatta, hogy az ÚMVP tervezésekor fennálló, a vidéki gazdaságot jellemző fo</w:t>
      </w:r>
      <w:r w:rsidRPr="00E03E1D">
        <w:rPr>
          <w:b/>
          <w:sz w:val="22"/>
          <w:szCs w:val="22"/>
        </w:rPr>
        <w:t>g</w:t>
      </w:r>
      <w:r w:rsidRPr="00E03E1D">
        <w:rPr>
          <w:b/>
          <w:sz w:val="22"/>
          <w:szCs w:val="22"/>
        </w:rPr>
        <w:t>lalkoztatási problémák továbbra is fennállnak, kezelésük még inkább indokolt.</w:t>
      </w:r>
    </w:p>
    <w:p w:rsidR="00D16DA5" w:rsidRPr="00E03E1D" w:rsidRDefault="00D16DA5" w:rsidP="00D16DA5">
      <w:pPr>
        <w:pStyle w:val="AAMNormal"/>
        <w:ind w:left="360"/>
      </w:pPr>
      <w:r w:rsidRPr="00E03E1D">
        <w:rPr>
          <w:b/>
          <w:u w:val="single"/>
        </w:rPr>
        <w:t>Következtetés 3.1:</w:t>
      </w:r>
      <w:r w:rsidRPr="00E03E1D">
        <w:rPr>
          <w:b/>
        </w:rPr>
        <w:t xml:space="preserve"> </w:t>
      </w:r>
      <w:r w:rsidRPr="00E03E1D">
        <w:t>A vidéki gazdaság az ÚMVP tervezése óta eltelt időszakban sem tudott kedvező fe</w:t>
      </w:r>
      <w:r w:rsidRPr="00E03E1D">
        <w:t>j</w:t>
      </w:r>
      <w:r w:rsidRPr="00E03E1D">
        <w:t>lődési pályára lépni, a foglalkoztatási lehetőségek a legtöbb vidéki területen szűkültek, sok helyen a stagnálás is már pozitívumnak tekinthető. Az álláskeresők között továbbra is sok a mezőgazdasági szegmensből kikerült személy, akinek nem sikerült más szegmensben munkát találnia.</w:t>
      </w:r>
    </w:p>
    <w:p w:rsidR="00D16DA5" w:rsidRPr="00E03E1D" w:rsidRDefault="00D16DA5" w:rsidP="00D16DA5">
      <w:pPr>
        <w:pStyle w:val="AAMNormal"/>
        <w:ind w:left="360"/>
      </w:pPr>
      <w:r w:rsidRPr="00E03E1D">
        <w:rPr>
          <w:b/>
          <w:u w:val="single"/>
        </w:rPr>
        <w:t>Következtetés 3.2:</w:t>
      </w:r>
      <w:r w:rsidRPr="00E03E1D">
        <w:rPr>
          <w:b/>
        </w:rPr>
        <w:t xml:space="preserve"> </w:t>
      </w:r>
      <w:r w:rsidRPr="00E03E1D">
        <w:t>Várhatóan a vidéki települések problémáin az Új Magyarország Fejlesztési Terv t</w:t>
      </w:r>
      <w:r w:rsidRPr="00E03E1D">
        <w:t>á</w:t>
      </w:r>
      <w:r w:rsidRPr="00E03E1D">
        <w:t>mogatásai sem változtatnak markánsan, mert az ÚMFT forrásainak többsége a központi infrastruktúrát, a városokat fejleszti. A lehatárolási szabályok miatt az ÚMVP III-IV</w:t>
      </w:r>
      <w:r w:rsidR="00CC5E76">
        <w:t>.</w:t>
      </w:r>
      <w:r w:rsidRPr="00E03E1D">
        <w:t xml:space="preserve"> </w:t>
      </w:r>
      <w:proofErr w:type="gramStart"/>
      <w:r w:rsidRPr="00E03E1D">
        <w:t>tengelye</w:t>
      </w:r>
      <w:proofErr w:type="gramEnd"/>
      <w:r w:rsidRPr="00E03E1D">
        <w:t xml:space="preserve"> támogatja csak az 5000 fő alatti településeket, azonban az erre felhasználható forrás nagyságrendileg kevesebb, mint az ÚMFT megfelelő forrásai. Bár az ÚMVP önmagában kedvezően hat a területi egyenlőtlenségek csökkentése szempontjából, az ÚMFT jelentősen nagyobb forrásaival összevezetve csak csekély hatást tud kifejteni. Így a forráselosztás fajlagos különbségei várhatóan nem csökkenek a jelenlegi tervezési ciklus végéig.</w:t>
      </w:r>
    </w:p>
    <w:p w:rsidR="00D16DA5" w:rsidRPr="00E03E1D" w:rsidRDefault="00D16DA5" w:rsidP="00D5521F">
      <w:pPr>
        <w:pStyle w:val="AAMNormal"/>
        <w:numPr>
          <w:ilvl w:val="0"/>
          <w:numId w:val="27"/>
        </w:numPr>
        <w:rPr>
          <w:b/>
          <w:smallCaps/>
          <w:sz w:val="22"/>
          <w:szCs w:val="22"/>
        </w:rPr>
      </w:pPr>
      <w:r w:rsidRPr="00E03E1D">
        <w:rPr>
          <w:b/>
          <w:smallCaps/>
          <w:sz w:val="22"/>
          <w:szCs w:val="22"/>
        </w:rPr>
        <w:t>Átfogó következtetés 4</w:t>
      </w:r>
      <w:proofErr w:type="gramStart"/>
      <w:r w:rsidRPr="00E03E1D">
        <w:rPr>
          <w:b/>
          <w:smallCaps/>
          <w:sz w:val="22"/>
          <w:szCs w:val="22"/>
        </w:rPr>
        <w:t>.:</w:t>
      </w:r>
      <w:proofErr w:type="gramEnd"/>
      <w:r w:rsidRPr="00E03E1D">
        <w:rPr>
          <w:b/>
          <w:smallCaps/>
          <w:sz w:val="22"/>
          <w:szCs w:val="22"/>
        </w:rPr>
        <w:t xml:space="preserve"> </w:t>
      </w:r>
      <w:r w:rsidRPr="00E03E1D">
        <w:rPr>
          <w:b/>
          <w:sz w:val="22"/>
          <w:szCs w:val="22"/>
        </w:rPr>
        <w:t>Az ÚMVP eddig megítélt támogatásai az ÚMVST releváns céljai ellen</w:t>
      </w:r>
      <w:r w:rsidRPr="00E03E1D">
        <w:rPr>
          <w:b/>
          <w:sz w:val="22"/>
          <w:szCs w:val="22"/>
        </w:rPr>
        <w:t>é</w:t>
      </w:r>
      <w:r w:rsidRPr="00E03E1D">
        <w:rPr>
          <w:b/>
          <w:sz w:val="22"/>
          <w:szCs w:val="22"/>
        </w:rPr>
        <w:t>re várhatóan nem tudnak jelentős változást elérni a magyar vidék életképességének növel</w:t>
      </w:r>
      <w:r w:rsidRPr="00E03E1D">
        <w:rPr>
          <w:b/>
          <w:sz w:val="22"/>
          <w:szCs w:val="22"/>
        </w:rPr>
        <w:t>é</w:t>
      </w:r>
      <w:r w:rsidRPr="00E03E1D">
        <w:rPr>
          <w:b/>
          <w:sz w:val="22"/>
          <w:szCs w:val="22"/>
        </w:rPr>
        <w:t>sében, valamint a kedvezőtlen társadalmi, gazdasági tendenciák megfordításában.</w:t>
      </w:r>
    </w:p>
    <w:p w:rsidR="00D16DA5" w:rsidRPr="00E03E1D" w:rsidRDefault="00D16DA5" w:rsidP="00D16DA5">
      <w:pPr>
        <w:pStyle w:val="AAMNormal"/>
        <w:ind w:left="360"/>
        <w:rPr>
          <w:u w:val="single"/>
        </w:rPr>
      </w:pPr>
      <w:r w:rsidRPr="00E03E1D">
        <w:rPr>
          <w:b/>
          <w:u w:val="single"/>
        </w:rPr>
        <w:t>Következtetés 4.1:</w:t>
      </w:r>
      <w:r w:rsidRPr="00E03E1D">
        <w:rPr>
          <w:b/>
        </w:rPr>
        <w:t xml:space="preserve"> </w:t>
      </w:r>
      <w:r w:rsidRPr="00E03E1D">
        <w:t>A potenciál vizsgálatok alapján azt valószínűsítjük, hogy az I. tengelyben már megítélt támogatások hatására a nyertes vállalkozások hatékonysága (versenyképessége) növekedni, ugyana</w:t>
      </w:r>
      <w:r w:rsidRPr="00E03E1D">
        <w:t>k</w:t>
      </w:r>
      <w:r w:rsidRPr="00E03E1D">
        <w:t>kor foglalkoztatási potenciáljuk csökkeni fog. A III-IV</w:t>
      </w:r>
      <w:r w:rsidR="00CC5E76">
        <w:t>.</w:t>
      </w:r>
      <w:r w:rsidRPr="00E03E1D">
        <w:t xml:space="preserve"> </w:t>
      </w:r>
      <w:proofErr w:type="gramStart"/>
      <w:r w:rsidRPr="00E03E1D">
        <w:t>tengely</w:t>
      </w:r>
      <w:proofErr w:type="gramEnd"/>
      <w:r w:rsidRPr="00E03E1D">
        <w:t xml:space="preserve"> eddig megítélt támogatásainak összh</w:t>
      </w:r>
      <w:r w:rsidRPr="00E03E1D">
        <w:t>a</w:t>
      </w:r>
      <w:r w:rsidRPr="00E03E1D">
        <w:t xml:space="preserve">tása a legjobb esetben is csak ellensúlyozni tudja a korszerűsítések miatti munkahely csökkenést, míg a II. </w:t>
      </w:r>
      <w:r w:rsidRPr="00E03E1D">
        <w:lastRenderedPageBreak/>
        <w:t>tengelytől érdemi hatást ezen a téren nem várunk. A vidéki lakosság körében tapasztalható társadalmi feszültségek csökkenése ennek megfelelően</w:t>
      </w:r>
      <w:r>
        <w:t xml:space="preserve"> nem várható, sőt, a városokhoz gyenge szálakkal kötődő, periférikus helyzetű vagy/és csekély gazdasági erővel bíró városok környezetében elhelyezkedő vidéki térségekben a feszültségek tovább erősödhetnek. Ez a probléma kiterjedt alföldi, észak-magyarországi, és dél-dunántúli területeket érint.</w:t>
      </w:r>
    </w:p>
    <w:p w:rsidR="00D16DA5" w:rsidRPr="00E03E1D" w:rsidRDefault="00D16DA5" w:rsidP="00D5521F">
      <w:pPr>
        <w:pStyle w:val="AAMNormal"/>
        <w:numPr>
          <w:ilvl w:val="0"/>
          <w:numId w:val="27"/>
        </w:numPr>
        <w:rPr>
          <w:b/>
          <w:smallCaps/>
          <w:sz w:val="22"/>
          <w:szCs w:val="22"/>
        </w:rPr>
      </w:pPr>
      <w:r w:rsidRPr="00E03E1D">
        <w:rPr>
          <w:b/>
          <w:smallCaps/>
          <w:sz w:val="22"/>
          <w:szCs w:val="22"/>
        </w:rPr>
        <w:t>Átfogó következtetés 5</w:t>
      </w:r>
      <w:proofErr w:type="gramStart"/>
      <w:r w:rsidRPr="00E03E1D">
        <w:rPr>
          <w:b/>
          <w:smallCaps/>
          <w:sz w:val="22"/>
          <w:szCs w:val="22"/>
        </w:rPr>
        <w:t>.:</w:t>
      </w:r>
      <w:proofErr w:type="gramEnd"/>
      <w:r w:rsidRPr="00E03E1D">
        <w:rPr>
          <w:b/>
          <w:smallCaps/>
          <w:sz w:val="22"/>
          <w:szCs w:val="22"/>
        </w:rPr>
        <w:t xml:space="preserve"> </w:t>
      </w:r>
      <w:r w:rsidRPr="00E03E1D">
        <w:rPr>
          <w:b/>
          <w:sz w:val="22"/>
          <w:szCs w:val="22"/>
        </w:rPr>
        <w:t>Az ÚMVP tervezése óta eltelt időszak kutatásai az éghajlatváltozás bekövetkezési valószínűségének növekedését mutatják. A modellek többsége a legnagyobb területekkel rendelkező növényi kultúrák, és az állattenyészés szempontjából is kedvezőtlen időjárási változásokat valószínűsít.</w:t>
      </w:r>
    </w:p>
    <w:p w:rsidR="00D16DA5" w:rsidRPr="00E03E1D" w:rsidRDefault="00D16DA5" w:rsidP="00D16DA5">
      <w:pPr>
        <w:pStyle w:val="AAMNormal"/>
        <w:ind w:left="360"/>
        <w:rPr>
          <w:u w:val="single"/>
        </w:rPr>
      </w:pPr>
      <w:r w:rsidRPr="00E03E1D">
        <w:rPr>
          <w:b/>
          <w:u w:val="single"/>
        </w:rPr>
        <w:t>Következtetés 5.1:</w:t>
      </w:r>
      <w:r w:rsidRPr="00E03E1D">
        <w:rPr>
          <w:b/>
        </w:rPr>
        <w:t xml:space="preserve"> </w:t>
      </w:r>
      <w:r w:rsidRPr="00E03E1D">
        <w:t>Az előre látható károk elkerülése érdekében az éghajlatváltozás várható hatásaira való felkészítés fontos szerepet kell, hogy kapjon a mezőgazdaságot, erdőgazdálkodást támogató ké</w:t>
      </w:r>
      <w:r w:rsidRPr="00E03E1D">
        <w:t>p</w:t>
      </w:r>
      <w:r w:rsidRPr="00E03E1D">
        <w:t>zési, szaktanácsadói rendszerek tevékenységében.</w:t>
      </w:r>
    </w:p>
    <w:p w:rsidR="00D16DA5" w:rsidRPr="00E03E1D" w:rsidRDefault="00D16DA5" w:rsidP="00D5521F">
      <w:pPr>
        <w:pStyle w:val="AAMNormal"/>
        <w:numPr>
          <w:ilvl w:val="0"/>
          <w:numId w:val="27"/>
        </w:numPr>
        <w:rPr>
          <w:b/>
          <w:smallCaps/>
          <w:sz w:val="22"/>
          <w:szCs w:val="22"/>
        </w:rPr>
      </w:pPr>
      <w:r w:rsidRPr="00E03E1D">
        <w:rPr>
          <w:b/>
          <w:smallCaps/>
          <w:sz w:val="22"/>
          <w:szCs w:val="22"/>
        </w:rPr>
        <w:t>Átfogó következtetés 6</w:t>
      </w:r>
      <w:proofErr w:type="gramStart"/>
      <w:r w:rsidRPr="00E03E1D">
        <w:rPr>
          <w:b/>
          <w:smallCaps/>
          <w:sz w:val="22"/>
          <w:szCs w:val="22"/>
        </w:rPr>
        <w:t>.:</w:t>
      </w:r>
      <w:proofErr w:type="gramEnd"/>
      <w:r w:rsidRPr="00E03E1D">
        <w:rPr>
          <w:b/>
          <w:smallCaps/>
          <w:sz w:val="22"/>
          <w:szCs w:val="22"/>
        </w:rPr>
        <w:t xml:space="preserve"> </w:t>
      </w:r>
      <w:r w:rsidRPr="00E03E1D">
        <w:rPr>
          <w:b/>
          <w:sz w:val="22"/>
          <w:szCs w:val="22"/>
        </w:rPr>
        <w:t xml:space="preserve">Az </w:t>
      </w:r>
      <w:proofErr w:type="spellStart"/>
      <w:r w:rsidRPr="00E03E1D">
        <w:rPr>
          <w:b/>
          <w:sz w:val="22"/>
          <w:szCs w:val="22"/>
        </w:rPr>
        <w:t>ÚMVP-ben</w:t>
      </w:r>
      <w:proofErr w:type="spellEnd"/>
      <w:r w:rsidRPr="00E03E1D">
        <w:rPr>
          <w:b/>
          <w:sz w:val="22"/>
          <w:szCs w:val="22"/>
        </w:rPr>
        <w:t xml:space="preserve"> adott volt a lehetőség, hogy a rögzült mezőgazdasági termékszerkezeten változtasson, de a támogatott projektek a vártnál kevésbé szolgálják ezt a célt.</w:t>
      </w:r>
    </w:p>
    <w:p w:rsidR="00D16DA5" w:rsidRPr="00E03E1D" w:rsidRDefault="00D16DA5" w:rsidP="00D16DA5">
      <w:pPr>
        <w:pStyle w:val="AAMNormal"/>
        <w:ind w:left="360"/>
      </w:pPr>
      <w:r w:rsidRPr="00E03E1D">
        <w:rPr>
          <w:b/>
          <w:u w:val="single"/>
        </w:rPr>
        <w:t>Következtetés 6.1:</w:t>
      </w:r>
      <w:r w:rsidRPr="00E03E1D">
        <w:rPr>
          <w:b/>
        </w:rPr>
        <w:t xml:space="preserve"> </w:t>
      </w:r>
      <w:r w:rsidRPr="00E03E1D">
        <w:t>Az I. tengelyben a beérkezett kérelmek túlnyomó többsége támogatást kapott a m</w:t>
      </w:r>
      <w:r w:rsidRPr="00E03E1D">
        <w:t>a</w:t>
      </w:r>
      <w:r w:rsidRPr="00E03E1D">
        <w:t>gyar mezőgazdaság tőkehiányának</w:t>
      </w:r>
      <w:r>
        <w:t>,</w:t>
      </w:r>
      <w:r w:rsidRPr="00E03E1D">
        <w:t xml:space="preserve"> és a pénzügyi válság hatásainak ellensúlyozása érdekében. Ez j</w:t>
      </w:r>
      <w:r w:rsidRPr="00E03E1D">
        <w:t>e</w:t>
      </w:r>
      <w:r w:rsidRPr="00E03E1D">
        <w:t>lentős mértékben lecsökkentette egyes intézkedések (kiemelten ÁTK, Gépbeszerzés) orientációs hat</w:t>
      </w:r>
      <w:r w:rsidRPr="00E03E1D">
        <w:t>á</w:t>
      </w:r>
      <w:r w:rsidRPr="00E03E1D">
        <w:t>sát. A támogatott projektek viszont a tervezettnél kevésbé szolgálták a termékszerkezet váltást. Bár az állattenyésztési fejlesztések az I. tengely kötelezettségvállalásában 44%-ot tettek ki, ezeknek csak 24%-át fordították férőhelybővítésre, így jelentős pozitív elmozdulás a termelési értékben nem várható. A t</w:t>
      </w:r>
      <w:r w:rsidRPr="00E03E1D">
        <w:t>á</w:t>
      </w:r>
      <w:r w:rsidRPr="00E03E1D">
        <w:t>mogatások ugyanakkor segítettek megőrizni az állattenyésztés részarányát, mivel a fejlesztésekkel elk</w:t>
      </w:r>
      <w:r w:rsidRPr="00E03E1D">
        <w:t>e</w:t>
      </w:r>
      <w:r w:rsidRPr="00E03E1D">
        <w:t>rülhetővé vált a korszerűtlen állattartó telepek bezárása, amit az EU csatlakozással bevezetett szigorúbb környezetvédelmi normák tettek volna szükségessé.</w:t>
      </w:r>
    </w:p>
    <w:p w:rsidR="00D16DA5" w:rsidRPr="00E03E1D" w:rsidRDefault="00D16DA5" w:rsidP="00D16DA5">
      <w:pPr>
        <w:pStyle w:val="AAMNormal"/>
        <w:ind w:left="360"/>
      </w:pPr>
      <w:r w:rsidRPr="00E03E1D">
        <w:rPr>
          <w:b/>
          <w:u w:val="single"/>
        </w:rPr>
        <w:t>Következtetés 6.2:</w:t>
      </w:r>
      <w:r w:rsidRPr="00E03E1D">
        <w:rPr>
          <w:b/>
        </w:rPr>
        <w:t xml:space="preserve"> </w:t>
      </w:r>
      <w:r w:rsidRPr="00E03E1D">
        <w:t>Az ÚMVP első két és fél évében a vártnál kevesebb projekt érkezett be a kertészet</w:t>
      </w:r>
      <w:r>
        <w:t>i terüle</w:t>
      </w:r>
      <w:r w:rsidR="0080001B">
        <w:t>t</w:t>
      </w:r>
      <w:r w:rsidRPr="00E03E1D">
        <w:t>ről. Emiatt</w:t>
      </w:r>
      <w:r>
        <w:t>,</w:t>
      </w:r>
      <w:r w:rsidRPr="00E03E1D">
        <w:t xml:space="preserve"> és a relatíve szigorú támogatási feltételrendszer következtében az első tengelyben felosztott forrás mindössze 12%-a</w:t>
      </w:r>
      <w:r>
        <w:t>t fordították ilyen típusú fejlesztésekre</w:t>
      </w:r>
      <w:r w:rsidRPr="00E03E1D">
        <w:t>. Így várhatóan a termékszerk</w:t>
      </w:r>
      <w:r w:rsidRPr="00E03E1D">
        <w:t>e</w:t>
      </w:r>
      <w:r w:rsidRPr="00E03E1D">
        <w:t xml:space="preserve">zetben ezen a téren sem következik majd </w:t>
      </w:r>
      <w:proofErr w:type="gramStart"/>
      <w:r w:rsidRPr="00E03E1D">
        <w:t>be jelentős</w:t>
      </w:r>
      <w:proofErr w:type="gramEnd"/>
      <w:r w:rsidRPr="00E03E1D">
        <w:t xml:space="preserve"> elmozdulás. A </w:t>
      </w:r>
      <w:r>
        <w:t xml:space="preserve">tervezett </w:t>
      </w:r>
      <w:r w:rsidRPr="00E03E1D">
        <w:t>támogatni</w:t>
      </w:r>
      <w:r>
        <w:t xml:space="preserve"> kívánt</w:t>
      </w:r>
      <w:r w:rsidRPr="00E03E1D">
        <w:t xml:space="preserve"> 3400 kertészeti vállalkozás helyett eddig csak 2142 kapott támogatást. Ezzel szemben szántóföldi növén</w:t>
      </w:r>
      <w:r w:rsidRPr="00E03E1D">
        <w:t>y</w:t>
      </w:r>
      <w:r w:rsidRPr="00E03E1D">
        <w:t>termesztésben a tervezett 4200 helyett már 6444 vállalkozás nyert el fejlesztési forrást az I. tengelyből.</w:t>
      </w:r>
    </w:p>
    <w:p w:rsidR="00D16DA5" w:rsidRPr="00E03E1D" w:rsidRDefault="00D16DA5" w:rsidP="00D16DA5">
      <w:pPr>
        <w:pStyle w:val="AAMNormal"/>
        <w:ind w:left="360"/>
      </w:pPr>
      <w:r w:rsidRPr="00E03E1D">
        <w:rPr>
          <w:b/>
          <w:u w:val="single"/>
        </w:rPr>
        <w:t>Következtetés 6.3:</w:t>
      </w:r>
      <w:r w:rsidRPr="00E03E1D">
        <w:rPr>
          <w:b/>
        </w:rPr>
        <w:t xml:space="preserve"> </w:t>
      </w:r>
      <w:r w:rsidRPr="00E03E1D">
        <w:t xml:space="preserve">Az ökológiai gazdálkodás nem jelent meg hangsúlyosan az </w:t>
      </w:r>
      <w:proofErr w:type="spellStart"/>
      <w:r w:rsidRPr="00E03E1D">
        <w:t>ÚMVP-ben</w:t>
      </w:r>
      <w:proofErr w:type="spellEnd"/>
      <w:r w:rsidRPr="00E03E1D">
        <w:t xml:space="preserve"> eddig támog</w:t>
      </w:r>
      <w:r w:rsidRPr="00E03E1D">
        <w:t>a</w:t>
      </w:r>
      <w:r w:rsidRPr="00E03E1D">
        <w:t xml:space="preserve">tott projektekben. Erre leginkább az </w:t>
      </w:r>
      <w:proofErr w:type="spellStart"/>
      <w:r w:rsidRPr="00E03E1D">
        <w:t>Agrár-Környezetgazdálkodási</w:t>
      </w:r>
      <w:proofErr w:type="spellEnd"/>
      <w:r w:rsidRPr="00E03E1D">
        <w:t xml:space="preserve"> intézkedés adott volna lehetőséget, de a kérelmezők inkább az ökológiai szempontból kevésbé releváns integrált szántóföldi célprogramot választották, így pozitív elmozdulás az ökológiai gazdálkodás előretörésében sem várható.</w:t>
      </w:r>
    </w:p>
    <w:p w:rsidR="00D16DA5" w:rsidRPr="00E03E1D" w:rsidRDefault="00D16DA5" w:rsidP="00D5521F">
      <w:pPr>
        <w:pStyle w:val="AAMNormal"/>
        <w:numPr>
          <w:ilvl w:val="0"/>
          <w:numId w:val="27"/>
        </w:numPr>
        <w:rPr>
          <w:b/>
          <w:smallCaps/>
          <w:sz w:val="22"/>
          <w:szCs w:val="22"/>
        </w:rPr>
      </w:pPr>
      <w:r w:rsidRPr="00E03E1D">
        <w:rPr>
          <w:b/>
          <w:smallCaps/>
          <w:sz w:val="22"/>
          <w:szCs w:val="22"/>
        </w:rPr>
        <w:t xml:space="preserve">Átfogó következtetés 7.: </w:t>
      </w:r>
      <w:r w:rsidRPr="00E03E1D">
        <w:rPr>
          <w:b/>
          <w:sz w:val="22"/>
          <w:szCs w:val="22"/>
        </w:rPr>
        <w:t xml:space="preserve">A 2008-as évtől a pénzügyi </w:t>
      </w:r>
      <w:proofErr w:type="gramStart"/>
      <w:r w:rsidRPr="00E03E1D">
        <w:rPr>
          <w:b/>
          <w:sz w:val="22"/>
          <w:szCs w:val="22"/>
        </w:rPr>
        <w:t>válság jelentős</w:t>
      </w:r>
      <w:proofErr w:type="gramEnd"/>
      <w:r w:rsidRPr="00E03E1D">
        <w:rPr>
          <w:b/>
          <w:sz w:val="22"/>
          <w:szCs w:val="22"/>
        </w:rPr>
        <w:t xml:space="preserve"> mértékben korlátozta a mezőgazdasági beruházások bővítését. Erre a mezőgazdasági támogatáspolitika a támogat</w:t>
      </w:r>
      <w:r w:rsidRPr="00E03E1D">
        <w:rPr>
          <w:b/>
          <w:sz w:val="22"/>
          <w:szCs w:val="22"/>
        </w:rPr>
        <w:t>á</w:t>
      </w:r>
      <w:r w:rsidRPr="00E03E1D">
        <w:rPr>
          <w:b/>
          <w:sz w:val="22"/>
          <w:szCs w:val="22"/>
        </w:rPr>
        <w:t>sok kihelyezé</w:t>
      </w:r>
      <w:r>
        <w:rPr>
          <w:b/>
          <w:sz w:val="22"/>
          <w:szCs w:val="22"/>
        </w:rPr>
        <w:t xml:space="preserve">sének felgyorsításával reagált. </w:t>
      </w:r>
      <w:r w:rsidRPr="00E03E1D">
        <w:rPr>
          <w:b/>
          <w:sz w:val="22"/>
          <w:szCs w:val="22"/>
        </w:rPr>
        <w:t>A feszített ütemű forráskihelyezés nem várt hat</w:t>
      </w:r>
      <w:r w:rsidRPr="00E03E1D">
        <w:rPr>
          <w:b/>
          <w:sz w:val="22"/>
          <w:szCs w:val="22"/>
        </w:rPr>
        <w:t>á</w:t>
      </w:r>
      <w:r w:rsidRPr="00E03E1D">
        <w:rPr>
          <w:b/>
          <w:sz w:val="22"/>
          <w:szCs w:val="22"/>
        </w:rPr>
        <w:t>sokat okozott, amelyek miatt egyes területeken az ÚMVP egyelőre alulteljesít az indikátorok időarányos értékéhez képest.</w:t>
      </w:r>
    </w:p>
    <w:p w:rsidR="00D16DA5" w:rsidRPr="00E03E1D" w:rsidRDefault="00D16DA5" w:rsidP="00D16DA5">
      <w:pPr>
        <w:pStyle w:val="AAMNormal"/>
        <w:ind w:left="360"/>
      </w:pPr>
      <w:r w:rsidRPr="00E03E1D">
        <w:rPr>
          <w:b/>
          <w:u w:val="single"/>
        </w:rPr>
        <w:t>Következtetés 7.1:</w:t>
      </w:r>
      <w:r w:rsidRPr="00E03E1D">
        <w:rPr>
          <w:b/>
        </w:rPr>
        <w:t xml:space="preserve"> </w:t>
      </w:r>
      <w:r w:rsidRPr="00E03E1D">
        <w:t>A vállalkozásbarát feltételek és a beérkezett igények magas színvonalú kielégítését szolgáló döntések a támogatások jelentős mértékű koncentrációját eredményezték. Az I</w:t>
      </w:r>
      <w:r w:rsidR="00CC5E76">
        <w:t>.</w:t>
      </w:r>
      <w:r w:rsidRPr="00E03E1D">
        <w:t xml:space="preserve"> tengelyben a támogatottak 5%-a nyerte el a források 66%-át, míg a II</w:t>
      </w:r>
      <w:r w:rsidR="00CC5E76">
        <w:t>.</w:t>
      </w:r>
      <w:r w:rsidRPr="00E03E1D">
        <w:t xml:space="preserve"> tengelyben a felső 5% a támogatások 55%-át kapta meg. (A </w:t>
      </w:r>
      <w:proofErr w:type="spellStart"/>
      <w:r w:rsidRPr="00E03E1D">
        <w:t>III</w:t>
      </w:r>
      <w:r w:rsidR="00CC5E76">
        <w:t>.</w:t>
      </w:r>
      <w:r w:rsidRPr="00E03E1D">
        <w:t>s</w:t>
      </w:r>
      <w:proofErr w:type="spellEnd"/>
      <w:r w:rsidRPr="00E03E1D">
        <w:t xml:space="preserve"> és IV</w:t>
      </w:r>
      <w:r w:rsidR="00CC5E76">
        <w:t>.</w:t>
      </w:r>
      <w:r w:rsidRPr="00E03E1D">
        <w:t xml:space="preserve"> tengelyben a koncentráció nem kirívó mértékű). A koncentráció kialak</w:t>
      </w:r>
      <w:r w:rsidRPr="00E03E1D">
        <w:t>u</w:t>
      </w:r>
      <w:r w:rsidRPr="00E03E1D">
        <w:t xml:space="preserve">lásához </w:t>
      </w:r>
      <w:r w:rsidRPr="00E03E1D">
        <w:lastRenderedPageBreak/>
        <w:t>hozzájárult az eljárásrend néhány átgondolandó eleme is (rövid benyújtási időszakok, nehezen áttekin</w:t>
      </w:r>
      <w:r w:rsidRPr="00E03E1D">
        <w:t>t</w:t>
      </w:r>
      <w:r w:rsidRPr="00E03E1D">
        <w:t>hető jogszabályi háttér, stb.).</w:t>
      </w:r>
    </w:p>
    <w:p w:rsidR="00D16DA5" w:rsidRPr="00E03E1D" w:rsidRDefault="00D16DA5" w:rsidP="00D16DA5">
      <w:pPr>
        <w:pStyle w:val="AAMNormal"/>
        <w:ind w:left="360"/>
      </w:pPr>
      <w:r w:rsidRPr="00E03E1D">
        <w:rPr>
          <w:b/>
          <w:u w:val="single"/>
        </w:rPr>
        <w:t>Következtetés 7.2:</w:t>
      </w:r>
      <w:r w:rsidRPr="00E03E1D">
        <w:rPr>
          <w:b/>
        </w:rPr>
        <w:t xml:space="preserve"> </w:t>
      </w:r>
      <w:r w:rsidRPr="00E03E1D">
        <w:t>A koncentrált kihelyezések miatt az I</w:t>
      </w:r>
      <w:r w:rsidR="00CC5E76">
        <w:t>.</w:t>
      </w:r>
      <w:r w:rsidRPr="00E03E1D">
        <w:t xml:space="preserve"> tengelyben a 6200 állattenyésztő gazdaság h</w:t>
      </w:r>
      <w:r w:rsidRPr="00E03E1D">
        <w:t>e</w:t>
      </w:r>
      <w:r w:rsidRPr="00E03E1D">
        <w:t>lyett csak 2055 kapott támogatást</w:t>
      </w:r>
      <w:r>
        <w:t>,</w:t>
      </w:r>
      <w:r w:rsidRPr="00E03E1D">
        <w:t xml:space="preserve"> és a megújuló energia beruházások számára tervezett 8100 db-os értéktől is messze van az ilyen tárgyú projektek száma.</w:t>
      </w:r>
    </w:p>
    <w:p w:rsidR="00D16DA5" w:rsidRPr="00E03E1D" w:rsidRDefault="00D16DA5" w:rsidP="00D16DA5">
      <w:pPr>
        <w:pStyle w:val="AAMNormal"/>
        <w:ind w:left="360"/>
      </w:pPr>
      <w:r w:rsidRPr="00E03E1D">
        <w:rPr>
          <w:b/>
          <w:u w:val="single"/>
        </w:rPr>
        <w:t>Következtetés 7.3:</w:t>
      </w:r>
      <w:r w:rsidRPr="00E03E1D">
        <w:rPr>
          <w:b/>
        </w:rPr>
        <w:t xml:space="preserve"> </w:t>
      </w:r>
      <w:r w:rsidRPr="00E03E1D">
        <w:t>Mivel az I</w:t>
      </w:r>
      <w:r w:rsidR="00CC5E76">
        <w:t>.</w:t>
      </w:r>
      <w:r w:rsidRPr="00E03E1D">
        <w:t xml:space="preserve"> tengely kerete közel van a kimerüléshez, a hivatkozott indikátorok arány</w:t>
      </w:r>
      <w:r w:rsidRPr="00E03E1D">
        <w:t>a</w:t>
      </w:r>
      <w:r w:rsidRPr="00E03E1D">
        <w:t>inak célértékekhez történő érdemi közelítésére már kevés a forrás, főleg ha a már benyújtott projektek is az értékelt időszakot jellemző sajátosságokat mutatják.</w:t>
      </w:r>
    </w:p>
    <w:p w:rsidR="00D16DA5" w:rsidRPr="00E03E1D" w:rsidRDefault="00D16DA5" w:rsidP="00D5521F">
      <w:pPr>
        <w:pStyle w:val="AAMNormal"/>
        <w:numPr>
          <w:ilvl w:val="0"/>
          <w:numId w:val="27"/>
        </w:numPr>
        <w:rPr>
          <w:b/>
          <w:smallCaps/>
          <w:sz w:val="22"/>
          <w:szCs w:val="22"/>
        </w:rPr>
      </w:pPr>
      <w:r w:rsidRPr="00E03E1D">
        <w:rPr>
          <w:b/>
          <w:smallCaps/>
          <w:sz w:val="22"/>
          <w:szCs w:val="22"/>
        </w:rPr>
        <w:t>Átfogó következtetés 8</w:t>
      </w:r>
      <w:proofErr w:type="gramStart"/>
      <w:r w:rsidRPr="00E03E1D">
        <w:rPr>
          <w:b/>
          <w:smallCaps/>
          <w:sz w:val="22"/>
          <w:szCs w:val="22"/>
        </w:rPr>
        <w:t>.:</w:t>
      </w:r>
      <w:proofErr w:type="gramEnd"/>
      <w:r w:rsidRPr="00E03E1D">
        <w:rPr>
          <w:b/>
          <w:smallCaps/>
          <w:sz w:val="22"/>
          <w:szCs w:val="22"/>
        </w:rPr>
        <w:t xml:space="preserve"> </w:t>
      </w:r>
      <w:r w:rsidRPr="00E03E1D">
        <w:rPr>
          <w:b/>
          <w:sz w:val="22"/>
          <w:szCs w:val="22"/>
        </w:rPr>
        <w:t>A relatíve megengedő előírások az elvárt természetvédelmi, körny</w:t>
      </w:r>
      <w:r w:rsidRPr="00E03E1D">
        <w:rPr>
          <w:b/>
          <w:sz w:val="22"/>
          <w:szCs w:val="22"/>
        </w:rPr>
        <w:t>e</w:t>
      </w:r>
      <w:r w:rsidRPr="00E03E1D">
        <w:rPr>
          <w:b/>
          <w:sz w:val="22"/>
          <w:szCs w:val="22"/>
        </w:rPr>
        <w:t xml:space="preserve">zetvédelmi, szerkezetváltási hatások ellen hatnak </w:t>
      </w:r>
      <w:r w:rsidR="00395E89">
        <w:rPr>
          <w:b/>
          <w:sz w:val="22"/>
          <w:szCs w:val="22"/>
        </w:rPr>
        <w:t>a II. tengely egyes intézkedéseiben</w:t>
      </w:r>
    </w:p>
    <w:p w:rsidR="00D16DA5" w:rsidRPr="00E03E1D" w:rsidRDefault="00D16DA5" w:rsidP="00D16DA5">
      <w:pPr>
        <w:pStyle w:val="AAMNormal"/>
        <w:ind w:left="360"/>
      </w:pPr>
      <w:r w:rsidRPr="00E03E1D">
        <w:rPr>
          <w:b/>
          <w:u w:val="single"/>
        </w:rPr>
        <w:t>Következtetés 8.1:</w:t>
      </w:r>
      <w:r w:rsidRPr="00E03E1D">
        <w:rPr>
          <w:b/>
        </w:rPr>
        <w:t xml:space="preserve"> </w:t>
      </w:r>
      <w:r w:rsidRPr="00E03E1D">
        <w:t>Az integrált szántóföldi célprogram a többi célprogramhoz képest kedvezően megf</w:t>
      </w:r>
      <w:r w:rsidRPr="00E03E1D">
        <w:t>o</w:t>
      </w:r>
      <w:r w:rsidRPr="00E03E1D">
        <w:t xml:space="preserve">galmazott előírásrendszere az AKG intézkedésen belül e célprogram súlyának növekedéséhez vezetett. Mivel ez a célprogram tartalmazza a legkevésbé </w:t>
      </w:r>
      <w:r>
        <w:t>szigorú</w:t>
      </w:r>
      <w:r w:rsidRPr="00E03E1D">
        <w:t xml:space="preserve"> előírásrendszert a környezet-, természet-, tájv</w:t>
      </w:r>
      <w:r w:rsidRPr="00E03E1D">
        <w:t>é</w:t>
      </w:r>
      <w:r w:rsidRPr="00E03E1D">
        <w:t>delem szempontjából, a várható hatások is ennek megfelelően alakulnak. Emiatt a környezet-, term</w:t>
      </w:r>
      <w:r w:rsidRPr="00E03E1D">
        <w:t>é</w:t>
      </w:r>
      <w:r w:rsidRPr="00E03E1D">
        <w:t>szet, tájvédelem szempontjából az AKG intézkedés teljes hatása a tervezéskor várttól valószínűleg elm</w:t>
      </w:r>
      <w:r w:rsidRPr="00E03E1D">
        <w:t>a</w:t>
      </w:r>
      <w:r w:rsidRPr="00E03E1D">
        <w:t>rad.</w:t>
      </w:r>
    </w:p>
    <w:p w:rsidR="00D16DA5" w:rsidRPr="00E03E1D" w:rsidRDefault="00D16DA5" w:rsidP="00D16DA5">
      <w:pPr>
        <w:pStyle w:val="AAMNormal"/>
        <w:ind w:left="360"/>
      </w:pPr>
      <w:r w:rsidRPr="00E03E1D">
        <w:rPr>
          <w:b/>
          <w:u w:val="single"/>
        </w:rPr>
        <w:t>Következtetés 8.2:</w:t>
      </w:r>
      <w:r w:rsidRPr="00E03E1D">
        <w:t xml:space="preserve"> A KAT intézkedésen belül a kérelmezők jelentős része nem változtat gazdálkodási szerkezetén. Ehelyett akkor kérelmezi a támogatást, ha az előírásoknak eleve megfelel. Emiatt a terv</w:t>
      </w:r>
      <w:r w:rsidRPr="00E03E1D">
        <w:t>e</w:t>
      </w:r>
      <w:r w:rsidRPr="00E03E1D">
        <w:t>zett szerkezetváltási cél várhatóan nem teljesül majd maradéktalanul.</w:t>
      </w:r>
    </w:p>
    <w:p w:rsidR="00D16DA5" w:rsidRPr="00E03E1D" w:rsidRDefault="00D16DA5" w:rsidP="00D5521F">
      <w:pPr>
        <w:pStyle w:val="AAMNormal"/>
        <w:numPr>
          <w:ilvl w:val="0"/>
          <w:numId w:val="27"/>
        </w:numPr>
        <w:rPr>
          <w:b/>
          <w:smallCaps/>
          <w:sz w:val="22"/>
          <w:szCs w:val="22"/>
        </w:rPr>
      </w:pPr>
      <w:r w:rsidRPr="00E03E1D">
        <w:rPr>
          <w:b/>
          <w:smallCaps/>
          <w:sz w:val="22"/>
          <w:szCs w:val="22"/>
        </w:rPr>
        <w:t>Átfogó következtetés 9</w:t>
      </w:r>
      <w:proofErr w:type="gramStart"/>
      <w:r w:rsidRPr="00E03E1D">
        <w:rPr>
          <w:b/>
          <w:smallCaps/>
          <w:sz w:val="22"/>
          <w:szCs w:val="22"/>
        </w:rPr>
        <w:t>.:</w:t>
      </w:r>
      <w:proofErr w:type="gramEnd"/>
      <w:r w:rsidRPr="00E03E1D">
        <w:rPr>
          <w:b/>
          <w:smallCaps/>
          <w:sz w:val="22"/>
          <w:szCs w:val="22"/>
        </w:rPr>
        <w:t xml:space="preserve"> </w:t>
      </w:r>
      <w:r w:rsidRPr="00E03E1D">
        <w:rPr>
          <w:b/>
          <w:sz w:val="22"/>
          <w:szCs w:val="22"/>
        </w:rPr>
        <w:t>A pénzügyi válság a vállalkozó kedv, a vállalkozói fejlesztések vissz</w:t>
      </w:r>
      <w:r w:rsidRPr="00E03E1D">
        <w:rPr>
          <w:b/>
          <w:sz w:val="22"/>
          <w:szCs w:val="22"/>
        </w:rPr>
        <w:t>a</w:t>
      </w:r>
      <w:r w:rsidRPr="00E03E1D">
        <w:rPr>
          <w:b/>
          <w:sz w:val="22"/>
          <w:szCs w:val="22"/>
        </w:rPr>
        <w:t>szorulásához vezetett. Ez a III</w:t>
      </w:r>
      <w:r w:rsidR="00CC5E76">
        <w:rPr>
          <w:b/>
          <w:sz w:val="22"/>
          <w:szCs w:val="22"/>
        </w:rPr>
        <w:t>.</w:t>
      </w:r>
      <w:r w:rsidRPr="00E03E1D">
        <w:rPr>
          <w:b/>
          <w:sz w:val="22"/>
          <w:szCs w:val="22"/>
        </w:rPr>
        <w:t xml:space="preserve"> tengelyben a vállalkozásfejlesztési projektek számának csök</w:t>
      </w:r>
      <w:r>
        <w:rPr>
          <w:b/>
          <w:sz w:val="22"/>
          <w:szCs w:val="22"/>
        </w:rPr>
        <w:t>k</w:t>
      </w:r>
      <w:r>
        <w:rPr>
          <w:b/>
          <w:sz w:val="22"/>
          <w:szCs w:val="22"/>
        </w:rPr>
        <w:t>e</w:t>
      </w:r>
      <w:r>
        <w:rPr>
          <w:b/>
          <w:sz w:val="22"/>
          <w:szCs w:val="22"/>
        </w:rPr>
        <w:t>nését okozta, amit fokoztak egyes eljárásrendi elemek is.</w:t>
      </w:r>
    </w:p>
    <w:p w:rsidR="00D16DA5" w:rsidRPr="00E03E1D" w:rsidRDefault="00D16DA5" w:rsidP="00D16DA5">
      <w:pPr>
        <w:pStyle w:val="AAMNormal"/>
        <w:ind w:left="360"/>
      </w:pPr>
      <w:r w:rsidRPr="00E03E1D">
        <w:rPr>
          <w:b/>
          <w:u w:val="single"/>
        </w:rPr>
        <w:t>Következtetés 9.1:</w:t>
      </w:r>
      <w:r w:rsidRPr="00E03E1D">
        <w:rPr>
          <w:b/>
        </w:rPr>
        <w:t xml:space="preserve"> </w:t>
      </w:r>
      <w:r w:rsidRPr="00E03E1D">
        <w:t xml:space="preserve">A </w:t>
      </w:r>
      <w:proofErr w:type="spellStart"/>
      <w:r w:rsidRPr="00E03E1D">
        <w:t>mikrovállalkozások</w:t>
      </w:r>
      <w:proofErr w:type="spellEnd"/>
      <w:r w:rsidRPr="00E03E1D">
        <w:t xml:space="preserve"> létrehozása és fejlesztése intézkedéstől várható létszámbőv</w:t>
      </w:r>
      <w:r w:rsidRPr="00E03E1D">
        <w:t>í</w:t>
      </w:r>
      <w:r w:rsidRPr="00E03E1D">
        <w:t>tés (318 fő) jelentősen elmarad a tervezett értéktől (3500 fő).</w:t>
      </w:r>
    </w:p>
    <w:p w:rsidR="00D16DA5" w:rsidRPr="00E03E1D" w:rsidRDefault="00D16DA5" w:rsidP="00D16DA5">
      <w:pPr>
        <w:pStyle w:val="AAMNormal"/>
        <w:ind w:left="360"/>
      </w:pPr>
      <w:r w:rsidRPr="00E03E1D">
        <w:rPr>
          <w:b/>
          <w:u w:val="single"/>
        </w:rPr>
        <w:t>Következtetés 9.2:</w:t>
      </w:r>
      <w:r w:rsidRPr="00E03E1D">
        <w:rPr>
          <w:b/>
        </w:rPr>
        <w:t xml:space="preserve"> </w:t>
      </w:r>
      <w:r w:rsidRPr="00E03E1D">
        <w:t>A III</w:t>
      </w:r>
      <w:r w:rsidR="00CC5E76">
        <w:t>.</w:t>
      </w:r>
      <w:r w:rsidRPr="00E03E1D">
        <w:t xml:space="preserve"> tengelyben várhatóan létrejövő új munkahelyek (1600-1700 fő) többsége (1000-1100) közösségi célú, amelyeknek fenntartása közösségi finanszírozást igényel majd a tovább</w:t>
      </w:r>
      <w:r w:rsidRPr="00E03E1D">
        <w:t>i</w:t>
      </w:r>
      <w:r w:rsidRPr="00E03E1D">
        <w:t>akban is.</w:t>
      </w:r>
    </w:p>
    <w:p w:rsidR="00D16DA5" w:rsidRPr="00E03E1D" w:rsidRDefault="00D16DA5" w:rsidP="00D5521F">
      <w:pPr>
        <w:pStyle w:val="AAMNormal"/>
        <w:numPr>
          <w:ilvl w:val="0"/>
          <w:numId w:val="27"/>
        </w:numPr>
        <w:rPr>
          <w:b/>
          <w:smallCaps/>
          <w:sz w:val="22"/>
          <w:szCs w:val="22"/>
        </w:rPr>
      </w:pPr>
      <w:r w:rsidRPr="00E03E1D">
        <w:rPr>
          <w:b/>
          <w:smallCaps/>
          <w:sz w:val="22"/>
          <w:szCs w:val="22"/>
        </w:rPr>
        <w:t>Átfogó következtetés 10</w:t>
      </w:r>
      <w:proofErr w:type="gramStart"/>
      <w:r w:rsidRPr="00E03E1D">
        <w:rPr>
          <w:b/>
          <w:smallCaps/>
          <w:sz w:val="22"/>
          <w:szCs w:val="22"/>
        </w:rPr>
        <w:t>.:</w:t>
      </w:r>
      <w:proofErr w:type="gramEnd"/>
      <w:r w:rsidRPr="00E03E1D">
        <w:rPr>
          <w:b/>
          <w:smallCaps/>
          <w:sz w:val="22"/>
          <w:szCs w:val="22"/>
        </w:rPr>
        <w:t xml:space="preserve"> </w:t>
      </w:r>
      <w:r w:rsidRPr="00E03E1D">
        <w:rPr>
          <w:b/>
          <w:sz w:val="22"/>
          <w:szCs w:val="22"/>
        </w:rPr>
        <w:t>Az I</w:t>
      </w:r>
      <w:r w:rsidR="0080001B">
        <w:rPr>
          <w:b/>
          <w:sz w:val="22"/>
          <w:szCs w:val="22"/>
        </w:rPr>
        <w:t>.</w:t>
      </w:r>
      <w:r w:rsidRPr="00E03E1D">
        <w:rPr>
          <w:b/>
          <w:sz w:val="22"/>
          <w:szCs w:val="22"/>
        </w:rPr>
        <w:t xml:space="preserve"> tengely nyertes projektjeire, fejlesztéseire az ÚMVST célkitűz</w:t>
      </w:r>
      <w:r w:rsidRPr="00E03E1D">
        <w:rPr>
          <w:b/>
          <w:sz w:val="22"/>
          <w:szCs w:val="22"/>
        </w:rPr>
        <w:t>é</w:t>
      </w:r>
      <w:r w:rsidRPr="00E03E1D">
        <w:rPr>
          <w:b/>
          <w:sz w:val="22"/>
          <w:szCs w:val="22"/>
        </w:rPr>
        <w:t>sével ellentétben csak kevés esetben volt jellemző az innovatív, marketing-orientált jelleg.</w:t>
      </w:r>
    </w:p>
    <w:p w:rsidR="00D16DA5" w:rsidRPr="00E03E1D" w:rsidRDefault="00D16DA5" w:rsidP="00D16DA5">
      <w:pPr>
        <w:pStyle w:val="AAMNormal"/>
        <w:ind w:left="360"/>
      </w:pPr>
      <w:r w:rsidRPr="00E03E1D">
        <w:rPr>
          <w:b/>
          <w:u w:val="single"/>
        </w:rPr>
        <w:t>Következtetés 10.1:</w:t>
      </w:r>
      <w:r w:rsidRPr="00E03E1D">
        <w:rPr>
          <w:b/>
        </w:rPr>
        <w:t xml:space="preserve"> </w:t>
      </w:r>
      <w:r w:rsidRPr="00E03E1D">
        <w:t>A projektek többségében alig volt innovatív fejlesztés, ami részben annak tudható be, hogy a bírálati szempontrendszer nem helyezett hangsúlyt erre a szempontra.</w:t>
      </w:r>
    </w:p>
    <w:p w:rsidR="00D16DA5" w:rsidRPr="00E03E1D" w:rsidRDefault="00D16DA5" w:rsidP="00D16DA5">
      <w:pPr>
        <w:pStyle w:val="AAMNormal"/>
        <w:ind w:left="360"/>
      </w:pPr>
      <w:r w:rsidRPr="00E03E1D">
        <w:rPr>
          <w:b/>
          <w:u w:val="single"/>
        </w:rPr>
        <w:t>Következtetés 10.2:</w:t>
      </w:r>
      <w:r w:rsidRPr="00E03E1D">
        <w:rPr>
          <w:b/>
        </w:rPr>
        <w:t xml:space="preserve"> </w:t>
      </w:r>
      <w:r w:rsidRPr="00E03E1D">
        <w:t>Nem volt olyan szereplő a Program intézményrendszerében, aki a tanácsadási, p</w:t>
      </w:r>
      <w:r w:rsidRPr="00E03E1D">
        <w:t>i</w:t>
      </w:r>
      <w:r w:rsidRPr="00E03E1D">
        <w:t>ackutatási, marketing, K+F+I tevékenységeket összefogta volna</w:t>
      </w:r>
      <w:r>
        <w:t>,</w:t>
      </w:r>
      <w:r w:rsidRPr="00E03E1D">
        <w:t xml:space="preserve"> és mindezekkel komplex módon tám</w:t>
      </w:r>
      <w:r w:rsidRPr="00E03E1D">
        <w:t>o</w:t>
      </w:r>
      <w:r w:rsidRPr="00E03E1D">
        <w:t>gatta volna a kedvezményezetteket. Iránymutatás nélkül a nyertesek kevésbé fókuszáltak az új piacok megnyitására, inkább jelenlegi termelési szerkezetüket korszerűsítették.</w:t>
      </w:r>
    </w:p>
    <w:p w:rsidR="00D16DA5" w:rsidRPr="00E03E1D" w:rsidRDefault="00D16DA5" w:rsidP="00D5521F">
      <w:pPr>
        <w:pStyle w:val="AAMNormal"/>
        <w:numPr>
          <w:ilvl w:val="0"/>
          <w:numId w:val="27"/>
        </w:numPr>
        <w:rPr>
          <w:b/>
          <w:smallCaps/>
          <w:sz w:val="22"/>
          <w:szCs w:val="22"/>
        </w:rPr>
      </w:pPr>
      <w:r w:rsidRPr="00E03E1D">
        <w:rPr>
          <w:b/>
          <w:smallCaps/>
          <w:sz w:val="22"/>
          <w:szCs w:val="22"/>
        </w:rPr>
        <w:t>Átfogó következtetés 11</w:t>
      </w:r>
      <w:proofErr w:type="gramStart"/>
      <w:r w:rsidRPr="00E03E1D">
        <w:rPr>
          <w:b/>
          <w:smallCaps/>
          <w:sz w:val="22"/>
          <w:szCs w:val="22"/>
        </w:rPr>
        <w:t>.:</w:t>
      </w:r>
      <w:proofErr w:type="gramEnd"/>
      <w:r w:rsidRPr="00E03E1D">
        <w:rPr>
          <w:b/>
          <w:smallCaps/>
          <w:sz w:val="22"/>
          <w:szCs w:val="22"/>
        </w:rPr>
        <w:t xml:space="preserve"> </w:t>
      </w:r>
      <w:r w:rsidRPr="00E03E1D">
        <w:rPr>
          <w:b/>
          <w:sz w:val="22"/>
          <w:szCs w:val="22"/>
        </w:rPr>
        <w:t>A II</w:t>
      </w:r>
      <w:r w:rsidR="00CC5E76">
        <w:rPr>
          <w:b/>
          <w:sz w:val="22"/>
          <w:szCs w:val="22"/>
        </w:rPr>
        <w:t>.</w:t>
      </w:r>
      <w:r w:rsidRPr="00E03E1D">
        <w:rPr>
          <w:b/>
          <w:sz w:val="22"/>
          <w:szCs w:val="22"/>
        </w:rPr>
        <w:t xml:space="preserve"> tengelyben a területalapú támogatások szegmentáltsága elfedi a gazdálkodók elől a támogatások valódi céljait</w:t>
      </w:r>
      <w:r>
        <w:rPr>
          <w:b/>
          <w:sz w:val="22"/>
          <w:szCs w:val="22"/>
        </w:rPr>
        <w:t>,</w:t>
      </w:r>
      <w:r w:rsidRPr="00E03E1D">
        <w:rPr>
          <w:b/>
          <w:sz w:val="22"/>
          <w:szCs w:val="22"/>
        </w:rPr>
        <w:t xml:space="preserve"> és a támogatási lehetőségek „vers</w:t>
      </w:r>
      <w:r w:rsidRPr="00E03E1D">
        <w:rPr>
          <w:b/>
          <w:sz w:val="22"/>
          <w:szCs w:val="22"/>
        </w:rPr>
        <w:t>e</w:t>
      </w:r>
      <w:r w:rsidRPr="00E03E1D">
        <w:rPr>
          <w:b/>
          <w:sz w:val="22"/>
          <w:szCs w:val="22"/>
        </w:rPr>
        <w:t>nyében” a nehezebben megérhető, „szokatlanabb”, de természeti, környezeti hatásai miatt k</w:t>
      </w:r>
      <w:r w:rsidRPr="00E03E1D">
        <w:rPr>
          <w:b/>
          <w:sz w:val="22"/>
          <w:szCs w:val="22"/>
        </w:rPr>
        <w:t>í</w:t>
      </w:r>
      <w:r w:rsidRPr="00E03E1D">
        <w:rPr>
          <w:b/>
          <w:sz w:val="22"/>
          <w:szCs w:val="22"/>
        </w:rPr>
        <w:t>vánatosabb támogatási formák hátrányba kerülnek az igénylésekben.</w:t>
      </w:r>
    </w:p>
    <w:p w:rsidR="00D16DA5" w:rsidRPr="00E03E1D" w:rsidRDefault="00D16DA5" w:rsidP="00D16DA5">
      <w:pPr>
        <w:pStyle w:val="AAMNormal"/>
        <w:ind w:left="360"/>
      </w:pPr>
      <w:r w:rsidRPr="00E03E1D">
        <w:rPr>
          <w:b/>
          <w:u w:val="single"/>
        </w:rPr>
        <w:t>Következtetés 11.1:</w:t>
      </w:r>
      <w:r w:rsidRPr="00E03E1D">
        <w:rPr>
          <w:b/>
        </w:rPr>
        <w:t xml:space="preserve"> </w:t>
      </w:r>
      <w:r w:rsidRPr="00E03E1D">
        <w:t xml:space="preserve">Vannak olyan területek, ahol a gazdálkodók akár négy-öt különböző területalapú támogatásban is részesülhetnek. Ennyi lehetőség eleve nehezen tekinthető át, és a vizsgált időszakban </w:t>
      </w:r>
      <w:r w:rsidRPr="00E03E1D">
        <w:lastRenderedPageBreak/>
        <w:t>nem sikerült a gazdálkodók információhiányát feloldani. Így a kérelembenyújtáskor a gazdálkodók, az egyszerűbb, könnyebben érthető, de természeti, környezeti szempontból kevésbé erős támogatási fo</w:t>
      </w:r>
      <w:r w:rsidRPr="00E03E1D">
        <w:t>r</w:t>
      </w:r>
      <w:r w:rsidRPr="00E03E1D">
        <w:t>mákat preferálták.</w:t>
      </w:r>
    </w:p>
    <w:p w:rsidR="00D16DA5" w:rsidRPr="001F7BFF" w:rsidRDefault="00D16DA5" w:rsidP="00D5521F">
      <w:pPr>
        <w:pStyle w:val="AAMNormal"/>
        <w:numPr>
          <w:ilvl w:val="0"/>
          <w:numId w:val="27"/>
        </w:numPr>
        <w:rPr>
          <w:b/>
          <w:sz w:val="22"/>
          <w:szCs w:val="22"/>
        </w:rPr>
      </w:pPr>
      <w:r w:rsidRPr="00E03E1D">
        <w:rPr>
          <w:b/>
          <w:smallCaps/>
          <w:sz w:val="22"/>
          <w:szCs w:val="22"/>
        </w:rPr>
        <w:t>Átfogó következtetés 12</w:t>
      </w:r>
      <w:proofErr w:type="gramStart"/>
      <w:r w:rsidRPr="00E03E1D">
        <w:rPr>
          <w:b/>
          <w:smallCaps/>
          <w:sz w:val="22"/>
          <w:szCs w:val="22"/>
        </w:rPr>
        <w:t>.:</w:t>
      </w:r>
      <w:proofErr w:type="gramEnd"/>
      <w:r w:rsidRPr="00E03E1D">
        <w:rPr>
          <w:b/>
          <w:smallCaps/>
          <w:sz w:val="22"/>
          <w:szCs w:val="22"/>
        </w:rPr>
        <w:t xml:space="preserve"> </w:t>
      </w:r>
      <w:r w:rsidRPr="001F7BFF">
        <w:rPr>
          <w:b/>
          <w:sz w:val="22"/>
          <w:szCs w:val="22"/>
        </w:rPr>
        <w:t xml:space="preserve">Erősíteni kell a </w:t>
      </w:r>
      <w:proofErr w:type="spellStart"/>
      <w:r w:rsidRPr="001F7BFF">
        <w:rPr>
          <w:b/>
          <w:sz w:val="22"/>
          <w:szCs w:val="22"/>
        </w:rPr>
        <w:t>HACS-ok</w:t>
      </w:r>
      <w:proofErr w:type="spellEnd"/>
      <w:r w:rsidRPr="001F7BFF">
        <w:rPr>
          <w:b/>
          <w:sz w:val="22"/>
          <w:szCs w:val="22"/>
        </w:rPr>
        <w:t xml:space="preserve"> közösségfejlesztő, projektgeneráló, a helyi gazdaságot fejlesztő tevékenységét</w:t>
      </w:r>
      <w:r>
        <w:rPr>
          <w:b/>
          <w:sz w:val="22"/>
          <w:szCs w:val="22"/>
        </w:rPr>
        <w:t>,</w:t>
      </w:r>
      <w:r w:rsidRPr="001F7BFF">
        <w:rPr>
          <w:b/>
          <w:sz w:val="22"/>
          <w:szCs w:val="22"/>
        </w:rPr>
        <w:t xml:space="preserve"> és ennek keretében érdemes felülvizsgálni a </w:t>
      </w:r>
      <w:proofErr w:type="spellStart"/>
      <w:r w:rsidRPr="001F7BFF">
        <w:rPr>
          <w:b/>
          <w:sz w:val="22"/>
          <w:szCs w:val="22"/>
        </w:rPr>
        <w:t>HACS-ok</w:t>
      </w:r>
      <w:proofErr w:type="spellEnd"/>
      <w:r w:rsidRPr="001F7BFF">
        <w:rPr>
          <w:b/>
          <w:sz w:val="22"/>
          <w:szCs w:val="22"/>
        </w:rPr>
        <w:t xml:space="preserve"> k</w:t>
      </w:r>
      <w:r w:rsidRPr="001F7BFF">
        <w:rPr>
          <w:b/>
          <w:sz w:val="22"/>
          <w:szCs w:val="22"/>
        </w:rPr>
        <w:t>i</w:t>
      </w:r>
      <w:r w:rsidRPr="001F7BFF">
        <w:rPr>
          <w:b/>
          <w:sz w:val="22"/>
          <w:szCs w:val="22"/>
        </w:rPr>
        <w:t>fizető ügynökségbe történt integrációjának gyakorlatát</w:t>
      </w:r>
    </w:p>
    <w:p w:rsidR="00D16DA5" w:rsidRPr="00E03E1D" w:rsidRDefault="00D16DA5" w:rsidP="00D16DA5">
      <w:pPr>
        <w:pStyle w:val="AAMNormal"/>
        <w:ind w:left="360"/>
      </w:pPr>
      <w:r w:rsidRPr="00E03E1D">
        <w:rPr>
          <w:b/>
          <w:u w:val="single"/>
        </w:rPr>
        <w:t>Következtetés 12.1:</w:t>
      </w:r>
      <w:r w:rsidRPr="00E03E1D">
        <w:t xml:space="preserve"> Felmérésünk szerint a </w:t>
      </w:r>
      <w:proofErr w:type="spellStart"/>
      <w:r w:rsidRPr="00E03E1D">
        <w:t>HACS-ok</w:t>
      </w:r>
      <w:proofErr w:type="spellEnd"/>
      <w:r w:rsidRPr="00E03E1D">
        <w:t xml:space="preserve"> a tervezettnél kevesebb időt fordítottak közössé</w:t>
      </w:r>
      <w:r w:rsidRPr="00E03E1D">
        <w:t>g</w:t>
      </w:r>
      <w:r w:rsidRPr="00E03E1D">
        <w:t xml:space="preserve">fejlesztési, projektgenerálási, gazdaságfejlesztési tevékenységre. A </w:t>
      </w:r>
      <w:proofErr w:type="spellStart"/>
      <w:r w:rsidRPr="00E03E1D">
        <w:t>HACS-ok</w:t>
      </w:r>
      <w:proofErr w:type="spellEnd"/>
      <w:r w:rsidRPr="00E03E1D">
        <w:t xml:space="preserve"> véleménye szerint ennek</w:t>
      </w:r>
      <w:r>
        <w:t xml:space="preserve"> oka</w:t>
      </w:r>
      <w:r w:rsidRPr="00E03E1D">
        <w:t xml:space="preserve"> részben a kérelemkezelési feladatok idő</w:t>
      </w:r>
      <w:r>
        <w:t>,</w:t>
      </w:r>
      <w:r w:rsidRPr="00E03E1D">
        <w:t xml:space="preserve"> és munkaigénye</w:t>
      </w:r>
      <w:r>
        <w:t xml:space="preserve"> volt</w:t>
      </w:r>
      <w:r w:rsidRPr="00E03E1D">
        <w:t>, amely elvonta ezektől a feladatoktól a kapacitásaikat, részben pedig az orientáció</w:t>
      </w:r>
      <w:r>
        <w:t>,</w:t>
      </w:r>
      <w:r w:rsidRPr="00E03E1D">
        <w:t xml:space="preserve"> és a képzések hiánya okolható ezért.</w:t>
      </w:r>
    </w:p>
    <w:p w:rsidR="00D16DA5" w:rsidRDefault="00D16DA5" w:rsidP="00D16DA5">
      <w:pPr>
        <w:pStyle w:val="AAMNormal"/>
        <w:ind w:left="360"/>
      </w:pPr>
      <w:r w:rsidRPr="00E03E1D">
        <w:rPr>
          <w:b/>
          <w:u w:val="single"/>
        </w:rPr>
        <w:t>Következtetés 12.2:</w:t>
      </w:r>
      <w:r w:rsidRPr="00E03E1D">
        <w:t xml:space="preserve"> A </w:t>
      </w:r>
      <w:proofErr w:type="spellStart"/>
      <w:r w:rsidRPr="00E03E1D">
        <w:t>HACS-ok</w:t>
      </w:r>
      <w:proofErr w:type="spellEnd"/>
      <w:r w:rsidRPr="00E03E1D">
        <w:t xml:space="preserve"> felkészítésének hiánya</w:t>
      </w:r>
      <w:r>
        <w:t>,</w:t>
      </w:r>
      <w:r w:rsidRPr="00E03E1D">
        <w:t xml:space="preserve"> és technikai feltételeikben tapasztalható szűk keresztmetszetek lebonyolítási anomáliákat okoztak a kérelemkezelés során, ami részben többleter</w:t>
      </w:r>
      <w:r w:rsidRPr="00E03E1D">
        <w:t>ő</w:t>
      </w:r>
      <w:r w:rsidRPr="00E03E1D">
        <w:t xml:space="preserve">forrást igényelt az </w:t>
      </w:r>
      <w:proofErr w:type="spellStart"/>
      <w:r w:rsidRPr="00E03E1D">
        <w:t>MVH-tól</w:t>
      </w:r>
      <w:proofErr w:type="spellEnd"/>
      <w:r w:rsidRPr="00E03E1D">
        <w:t>, részben hosszú átfutási időt eredményezett.</w:t>
      </w:r>
    </w:p>
    <w:p w:rsidR="00D16DA5" w:rsidRPr="001F7BFF" w:rsidRDefault="00D16DA5" w:rsidP="00D5521F">
      <w:pPr>
        <w:pStyle w:val="AAMNormal"/>
        <w:numPr>
          <w:ilvl w:val="0"/>
          <w:numId w:val="27"/>
        </w:numPr>
        <w:rPr>
          <w:b/>
          <w:sz w:val="22"/>
          <w:szCs w:val="22"/>
        </w:rPr>
      </w:pPr>
      <w:r>
        <w:rPr>
          <w:b/>
          <w:smallCaps/>
          <w:sz w:val="22"/>
          <w:szCs w:val="22"/>
        </w:rPr>
        <w:t>Átfogó következtetés 13</w:t>
      </w:r>
      <w:proofErr w:type="gramStart"/>
      <w:r w:rsidRPr="00E03E1D">
        <w:rPr>
          <w:b/>
          <w:smallCaps/>
          <w:sz w:val="22"/>
          <w:szCs w:val="22"/>
        </w:rPr>
        <w:t>.:</w:t>
      </w:r>
      <w:proofErr w:type="gramEnd"/>
      <w:r w:rsidRPr="00E03E1D">
        <w:rPr>
          <w:b/>
          <w:smallCaps/>
          <w:sz w:val="22"/>
          <w:szCs w:val="22"/>
        </w:rPr>
        <w:t xml:space="preserve"> </w:t>
      </w:r>
      <w:r>
        <w:rPr>
          <w:b/>
          <w:sz w:val="22"/>
          <w:szCs w:val="22"/>
        </w:rPr>
        <w:t>Bár a kialakított eljárásrend hatékony volt a forráskihelyezés sze</w:t>
      </w:r>
      <w:r>
        <w:rPr>
          <w:b/>
          <w:sz w:val="22"/>
          <w:szCs w:val="22"/>
        </w:rPr>
        <w:t>m</w:t>
      </w:r>
      <w:r>
        <w:rPr>
          <w:b/>
          <w:sz w:val="22"/>
          <w:szCs w:val="22"/>
        </w:rPr>
        <w:t>pontjából, de nem volt differenciált kellőképpen az eltérő fejlesztés típusok szerint.</w:t>
      </w:r>
    </w:p>
    <w:p w:rsidR="00D16DA5" w:rsidRPr="00E03E1D" w:rsidRDefault="00D16DA5" w:rsidP="00D16DA5">
      <w:pPr>
        <w:pStyle w:val="AAMNormal"/>
        <w:ind w:left="360"/>
      </w:pPr>
      <w:r>
        <w:rPr>
          <w:b/>
          <w:u w:val="single"/>
        </w:rPr>
        <w:t>Következtetés 13</w:t>
      </w:r>
      <w:r w:rsidRPr="00E03E1D">
        <w:rPr>
          <w:b/>
          <w:u w:val="single"/>
        </w:rPr>
        <w:t>.1:</w:t>
      </w:r>
      <w:r w:rsidRPr="00E03E1D">
        <w:t xml:space="preserve"> </w:t>
      </w:r>
      <w:r>
        <w:t>Az ÚMVP I</w:t>
      </w:r>
      <w:r w:rsidR="0080001B">
        <w:t>.</w:t>
      </w:r>
      <w:r>
        <w:t xml:space="preserve"> tengelyében relatív nagy léptékű, komplex projektek is megvalósultak (100 m Ft. </w:t>
      </w:r>
      <w:proofErr w:type="gramStart"/>
      <w:r>
        <w:t>költségvetés</w:t>
      </w:r>
      <w:proofErr w:type="gramEnd"/>
      <w:r>
        <w:t xml:space="preserve"> felett, pl.: 121, 123-as intézkedések). Az eljárásrend ezeknél sem biztosította a szakértői mérlegelést. A projektek egymáshoz történő hasonlítása vélhetően növelte volna a projektek hatását, különösen</w:t>
      </w:r>
      <w:r w:rsidR="0080001B">
        <w:t>,</w:t>
      </w:r>
      <w:r>
        <w:t xml:space="preserve"> ha a támogatottak körét a döntések leszűkítik a program szempontjából haték</w:t>
      </w:r>
      <w:r>
        <w:t>o</w:t>
      </w:r>
      <w:r>
        <w:t>nyabb projektekre.</w:t>
      </w:r>
    </w:p>
    <w:p w:rsidR="00D16DA5" w:rsidRDefault="00D16DA5" w:rsidP="00D16DA5">
      <w:pPr>
        <w:pStyle w:val="AAMNormal"/>
        <w:ind w:left="360"/>
      </w:pPr>
      <w:r w:rsidRPr="00495CA2">
        <w:rPr>
          <w:b/>
          <w:u w:val="single"/>
        </w:rPr>
        <w:t>Következtetés 13.2</w:t>
      </w:r>
      <w:r>
        <w:t>: A III. tengely nem horizontális intézkedéseinek és a IV</w:t>
      </w:r>
      <w:r w:rsidR="0080001B">
        <w:t>.</w:t>
      </w:r>
      <w:r>
        <w:t xml:space="preserve"> tengelynek a megvalósítás rendszere a központosított, normatív kontrolra épül, hiányzik belőle a partnerségi</w:t>
      </w:r>
      <w:r w:rsidR="0080001B">
        <w:t xml:space="preserve"> </w:t>
      </w:r>
      <w:r>
        <w:t>és a bizalmi elv. A fe</w:t>
      </w:r>
      <w:r>
        <w:t>l</w:t>
      </w:r>
      <w:r>
        <w:t xml:space="preserve">adatok, és a kontroll nyomása, az autonómia alacsony szintje, a képzés, tapasztalatcsere elmaradása következtében a </w:t>
      </w:r>
      <w:proofErr w:type="spellStart"/>
      <w:r>
        <w:t>HACS-ok</w:t>
      </w:r>
      <w:proofErr w:type="spellEnd"/>
      <w:r>
        <w:t xml:space="preserve"> jelentős része nem vált önálló, proaktív, partnerségi alapon működő helyi fe</w:t>
      </w:r>
      <w:r>
        <w:t>j</w:t>
      </w:r>
      <w:r>
        <w:t>lesztési ügynökséggé. Ehelyett sok helyi akciócsoport és a hozzá tartozó munkaszervezet az önkormán</w:t>
      </w:r>
      <w:r>
        <w:t>y</w:t>
      </w:r>
      <w:r>
        <w:t>zatok által dominált, az IH és az MVH által irányított, reaktív végrehajtó szervezet maradt.</w:t>
      </w:r>
    </w:p>
    <w:p w:rsidR="00D16DA5" w:rsidRDefault="00D16DA5" w:rsidP="00D16DA5">
      <w:pPr>
        <w:pStyle w:val="AAMNormal"/>
        <w:ind w:left="360"/>
      </w:pPr>
      <w:r>
        <w:rPr>
          <w:b/>
          <w:u w:val="single"/>
        </w:rPr>
        <w:t>Következtetés 13.2</w:t>
      </w:r>
      <w:proofErr w:type="gramStart"/>
      <w:r>
        <w:rPr>
          <w:b/>
          <w:u w:val="single"/>
        </w:rPr>
        <w:t>.</w:t>
      </w:r>
      <w:r>
        <w:t>:</w:t>
      </w:r>
      <w:proofErr w:type="gramEnd"/>
      <w:r>
        <w:t xml:space="preserve"> A </w:t>
      </w:r>
      <w:proofErr w:type="spellStart"/>
      <w:r>
        <w:t>HACS-ok</w:t>
      </w:r>
      <w:proofErr w:type="spellEnd"/>
      <w:r>
        <w:t xml:space="preserve"> teljesítményértékelési, szankcionálási és finanszírozási rendszere a csoportok egy részénél jelentős pénzügyi nehézséget okozott, illetve a jelenlegi feladatelosztásban ko</w:t>
      </w:r>
      <w:r>
        <w:t>r</w:t>
      </w:r>
      <w:r>
        <w:t>látozott mértékben tette lehetővé a valós fejlesztési tevékenységek végzését, az önfejlesztést, a tapas</w:t>
      </w:r>
      <w:r>
        <w:t>z</w:t>
      </w:r>
      <w:r>
        <w:t xml:space="preserve">talatcserét, és a térségek közötti, illetve nemzetközi együttműködések kialakítását. </w:t>
      </w:r>
    </w:p>
    <w:p w:rsidR="00D16DA5" w:rsidRPr="00E03E1D" w:rsidRDefault="00D16DA5" w:rsidP="00D16DA5">
      <w:pPr>
        <w:pStyle w:val="AAMNormal"/>
        <w:ind w:left="360"/>
        <w:rPr>
          <w:b/>
          <w:smallCaps/>
          <w:sz w:val="22"/>
          <w:szCs w:val="22"/>
        </w:rPr>
      </w:pPr>
    </w:p>
    <w:p w:rsidR="00D16DA5" w:rsidRPr="00E03E1D" w:rsidRDefault="00D16DA5" w:rsidP="00D16DA5">
      <w:pPr>
        <w:pStyle w:val="AAMNormal"/>
        <w:ind w:left="360"/>
      </w:pPr>
      <w:r w:rsidRPr="00E03E1D">
        <w:rPr>
          <w:b/>
          <w:smallCaps/>
          <w:sz w:val="22"/>
          <w:szCs w:val="22"/>
        </w:rPr>
        <w:t xml:space="preserve">Összegzés: </w:t>
      </w:r>
      <w:r w:rsidRPr="00E03E1D">
        <w:rPr>
          <w:b/>
        </w:rPr>
        <w:t xml:space="preserve">Az ÚMVST céljai továbbra is relevánsak, az ÚMVP tervezése óta eltelt időszak tendenciái csak megerősítik az eredeti célok indokoltságát. </w:t>
      </w:r>
      <w:r w:rsidRPr="00E03E1D">
        <w:t xml:space="preserve">Az </w:t>
      </w:r>
      <w:proofErr w:type="spellStart"/>
      <w:r w:rsidRPr="00E03E1D">
        <w:t>ÚMVP-ben</w:t>
      </w:r>
      <w:proofErr w:type="spellEnd"/>
      <w:r w:rsidRPr="00E03E1D">
        <w:t xml:space="preserve"> megnyitott intézkedések mind relevánsak a célok teljesítése szempontjából. A vizsgált időszakban domináns volt az ÚMVP lebonyolítását jellemző döntésekben a magyar mezőgazdasági vállalkozások gyors megsegítését célzó törekvések súlya</w:t>
      </w:r>
      <w:r>
        <w:t>.</w:t>
      </w:r>
      <w:r w:rsidRPr="00E03E1D">
        <w:t xml:space="preserve"> Ennek nem várt hatása, hogy </w:t>
      </w:r>
      <w:r w:rsidRPr="00E03E1D">
        <w:rPr>
          <w:b/>
        </w:rPr>
        <w:t>az ÚMVP tervezésekor megcélzott egyes indikátorok tekintetében jelenleg alulte</w:t>
      </w:r>
      <w:r w:rsidRPr="00E03E1D">
        <w:rPr>
          <w:b/>
        </w:rPr>
        <w:t>l</w:t>
      </w:r>
      <w:r w:rsidRPr="00E03E1D">
        <w:rPr>
          <w:b/>
        </w:rPr>
        <w:t>jesítés érzékelhető, ami a 2010-2013 időszakban kezelést igényel</w:t>
      </w:r>
      <w:r w:rsidRPr="00E03E1D">
        <w:t xml:space="preserve">. Ez leginkább a munkahelyteremtés, illetve a támogatott ágazatok megoszlására igaz. A korrekcióhoz a most még bírálat alatt álló projektek </w:t>
      </w:r>
      <w:r>
        <w:t>bírálata után megmaradó</w:t>
      </w:r>
      <w:r w:rsidRPr="00E03E1D">
        <w:t xml:space="preserve"> </w:t>
      </w:r>
      <w:r>
        <w:t xml:space="preserve">keret </w:t>
      </w:r>
      <w:r w:rsidRPr="00E03E1D">
        <w:t>biztosíthatja a forrást. Valószínűsíthető ugyanakkor, hogy egyes indik</w:t>
      </w:r>
      <w:r w:rsidRPr="00E03E1D">
        <w:t>á</w:t>
      </w:r>
      <w:r w:rsidRPr="00E03E1D">
        <w:t>torok célértékeinek teljesítését biztosító korrekcióhoz így sem lesz elégséges a felhasználható keret.</w:t>
      </w:r>
    </w:p>
    <w:p w:rsidR="00D16DA5" w:rsidRPr="00E03E1D" w:rsidRDefault="00D16DA5" w:rsidP="00D16DA5">
      <w:pPr>
        <w:pStyle w:val="HUNHeading2"/>
        <w:tabs>
          <w:tab w:val="clear" w:pos="567"/>
        </w:tabs>
        <w:ind w:left="709" w:hanging="709"/>
      </w:pPr>
      <w:bookmarkStart w:id="57" w:name="_Toc279566928"/>
      <w:bookmarkStart w:id="58" w:name="_Toc280788366"/>
      <w:r w:rsidRPr="00E03E1D">
        <w:lastRenderedPageBreak/>
        <w:t>Javaslatok</w:t>
      </w:r>
      <w:bookmarkEnd w:id="57"/>
      <w:bookmarkEnd w:id="58"/>
    </w:p>
    <w:p w:rsidR="00D16DA5" w:rsidRPr="00E03E1D" w:rsidRDefault="00D16DA5" w:rsidP="00D5521F">
      <w:pPr>
        <w:pStyle w:val="AAMNormal"/>
        <w:numPr>
          <w:ilvl w:val="0"/>
          <w:numId w:val="29"/>
        </w:numPr>
        <w:rPr>
          <w:b/>
          <w:smallCaps/>
          <w:sz w:val="22"/>
          <w:szCs w:val="22"/>
        </w:rPr>
      </w:pPr>
      <w:r w:rsidRPr="00E03E1D">
        <w:rPr>
          <w:b/>
          <w:smallCaps/>
          <w:sz w:val="22"/>
          <w:szCs w:val="22"/>
        </w:rPr>
        <w:t>Átfogó javaslat 1</w:t>
      </w:r>
      <w:proofErr w:type="gramStart"/>
      <w:r w:rsidRPr="00E03E1D">
        <w:rPr>
          <w:b/>
          <w:smallCaps/>
          <w:sz w:val="22"/>
          <w:szCs w:val="22"/>
        </w:rPr>
        <w:t>.:</w:t>
      </w:r>
      <w:proofErr w:type="gramEnd"/>
      <w:r w:rsidRPr="00E03E1D">
        <w:rPr>
          <w:b/>
          <w:smallCaps/>
          <w:sz w:val="22"/>
          <w:szCs w:val="22"/>
        </w:rPr>
        <w:t xml:space="preserve"> Az ÚMVP célértékeinek elérése érdekében az I. tengely fejlesztési prioritás</w:t>
      </w:r>
      <w:r w:rsidRPr="00E03E1D">
        <w:rPr>
          <w:b/>
          <w:smallCaps/>
          <w:sz w:val="22"/>
          <w:szCs w:val="22"/>
        </w:rPr>
        <w:t>a</w:t>
      </w:r>
      <w:r w:rsidRPr="00E03E1D">
        <w:rPr>
          <w:b/>
          <w:smallCaps/>
          <w:sz w:val="22"/>
          <w:szCs w:val="22"/>
        </w:rPr>
        <w:t>inak átalakítása javasolt az egyes célok, indikátorok tekintetében tapasztalt alulteljesítés ko</w:t>
      </w:r>
      <w:r w:rsidRPr="00E03E1D">
        <w:rPr>
          <w:b/>
          <w:smallCaps/>
          <w:sz w:val="22"/>
          <w:szCs w:val="22"/>
        </w:rPr>
        <w:t>m</w:t>
      </w:r>
      <w:r w:rsidRPr="00E03E1D">
        <w:rPr>
          <w:b/>
          <w:smallCaps/>
          <w:sz w:val="22"/>
          <w:szCs w:val="22"/>
        </w:rPr>
        <w:t xml:space="preserve">penzálására. Ehhez a lehetőség szerinti legtöbb forrást kell biztosítani az I. </w:t>
      </w:r>
      <w:proofErr w:type="gramStart"/>
      <w:r w:rsidRPr="00E03E1D">
        <w:rPr>
          <w:b/>
          <w:smallCaps/>
          <w:sz w:val="22"/>
          <w:szCs w:val="22"/>
        </w:rPr>
        <w:t>tengelyben foly</w:t>
      </w:r>
      <w:r w:rsidRPr="00E03E1D">
        <w:rPr>
          <w:b/>
          <w:smallCaps/>
          <w:sz w:val="22"/>
          <w:szCs w:val="22"/>
        </w:rPr>
        <w:t>a</w:t>
      </w:r>
      <w:r w:rsidRPr="00E03E1D">
        <w:rPr>
          <w:b/>
          <w:smallCaps/>
          <w:sz w:val="22"/>
          <w:szCs w:val="22"/>
        </w:rPr>
        <w:t>matban</w:t>
      </w:r>
      <w:proofErr w:type="gramEnd"/>
      <w:r w:rsidRPr="00E03E1D">
        <w:rPr>
          <w:b/>
          <w:smallCaps/>
          <w:sz w:val="22"/>
          <w:szCs w:val="22"/>
        </w:rPr>
        <w:t xml:space="preserve"> lévő bírálati döntések megalapozott előkészítésével.</w:t>
      </w:r>
    </w:p>
    <w:p w:rsidR="00D16DA5" w:rsidRPr="00E03E1D" w:rsidRDefault="00D16DA5" w:rsidP="00D16DA5">
      <w:pPr>
        <w:pStyle w:val="AAMNormal"/>
        <w:ind w:left="360"/>
        <w:rPr>
          <w:b/>
          <w:u w:val="single"/>
        </w:rPr>
      </w:pPr>
      <w:r w:rsidRPr="00E03E1D">
        <w:rPr>
          <w:b/>
          <w:u w:val="single"/>
        </w:rPr>
        <w:t xml:space="preserve">Javaslat 1.1: </w:t>
      </w:r>
      <w:r w:rsidRPr="00E03E1D">
        <w:t>Az I</w:t>
      </w:r>
      <w:r w:rsidR="00CC5E76">
        <w:t>.</w:t>
      </w:r>
      <w:r w:rsidRPr="00E03E1D">
        <w:t xml:space="preserve"> tengelyben jelenleg elbírálás alatt lévő kérelmek esetében a Forrásallokációs Bizot</w:t>
      </w:r>
      <w:r w:rsidRPr="00E03E1D">
        <w:t>t</w:t>
      </w:r>
      <w:r w:rsidRPr="00E03E1D">
        <w:t>ságnak alapos hatáselemzés alapján célszerű meghoznia döntését. Vizsgálni javasolt a benyújtott k</w:t>
      </w:r>
      <w:r w:rsidRPr="00E03E1D">
        <w:t>é</w:t>
      </w:r>
      <w:r w:rsidRPr="00E03E1D">
        <w:t>relmek terveit az adott intézkedés output</w:t>
      </w:r>
      <w:r>
        <w:t>,</w:t>
      </w:r>
      <w:r w:rsidRPr="00E03E1D">
        <w:t xml:space="preserve"> és eredmény indikátorai, továbbá a munkahelyteremtés szempontjából. Erre a benyújtott kérelmek üzleti terv adatai lehetőséget is adnak. A benyújtott kérelm</w:t>
      </w:r>
      <w:r w:rsidRPr="00E03E1D">
        <w:t>e</w:t>
      </w:r>
      <w:r w:rsidRPr="00E03E1D">
        <w:t>ket olyan mértékig célszerű kielégíteni, amíg az ÚMVP kapcsolódó indikátorainak teljesülését támoga</w:t>
      </w:r>
      <w:r w:rsidRPr="00E03E1D">
        <w:t>t</w:t>
      </w:r>
      <w:r w:rsidRPr="00E03E1D">
        <w:t>ják, illetve a munkahelyteremtés célját szolgálják. A döntéskor arra kell törekedni, hogy minél nagyobb forrás maradjon a 2010-2013-as évre a várható hatások tekintetében szükséges korrekciók finanszír</w:t>
      </w:r>
      <w:r w:rsidRPr="00E03E1D">
        <w:t>o</w:t>
      </w:r>
      <w:r w:rsidRPr="00E03E1D">
        <w:t>zása érdekében.</w:t>
      </w:r>
    </w:p>
    <w:p w:rsidR="009D0BC3" w:rsidRPr="009D0BC3" w:rsidRDefault="00D16DA5" w:rsidP="009D0BC3">
      <w:pPr>
        <w:pStyle w:val="AAMNormal"/>
        <w:ind w:left="360"/>
      </w:pPr>
      <w:r w:rsidRPr="00E03E1D">
        <w:rPr>
          <w:b/>
          <w:u w:val="single"/>
        </w:rPr>
        <w:t>Javaslat 1.2:</w:t>
      </w:r>
      <w:r w:rsidRPr="009D0BC3">
        <w:rPr>
          <w:b/>
          <w:u w:val="single"/>
        </w:rPr>
        <w:t xml:space="preserve"> </w:t>
      </w:r>
      <w:r w:rsidRPr="009D0BC3">
        <w:t>Mivel a bírálati szempontrendszerben magas arányban szerepel a munkahelymegtartás, munkahelyteremtés szempontja az I</w:t>
      </w:r>
      <w:r w:rsidR="0080001B">
        <w:t>.</w:t>
      </w:r>
      <w:r w:rsidRPr="009D0BC3">
        <w:t xml:space="preserve"> tengelyben, ezért valószínűsíthetően az ilyen hatást vállaló proje</w:t>
      </w:r>
      <w:r w:rsidRPr="009D0BC3">
        <w:t>k</w:t>
      </w:r>
      <w:r w:rsidRPr="009D0BC3">
        <w:t>tek kerülnek előre a bírálat során. A minimum pontszámot úgy érdemes meghatározni, hogy a munk</w:t>
      </w:r>
      <w:r w:rsidRPr="009D0BC3">
        <w:t>a</w:t>
      </w:r>
      <w:r w:rsidRPr="009D0BC3">
        <w:t>helycsökkentést tervező projektek jellemzően ne kapjanak támogatást. Így javítható a Program fogla</w:t>
      </w:r>
      <w:r w:rsidR="00CC5E76">
        <w:t>l</w:t>
      </w:r>
      <w:r w:rsidRPr="009D0BC3">
        <w:t>koztatási egyenlege, és a fennmaradó forrás a korrekciók szolgálatába állítható.</w:t>
      </w:r>
      <w:r w:rsidR="009D0BC3" w:rsidRPr="009D0BC3">
        <w:t xml:space="preserve"> Nem a bírálati sze</w:t>
      </w:r>
      <w:r w:rsidR="009D0BC3" w:rsidRPr="009D0BC3">
        <w:t>m</w:t>
      </w:r>
      <w:r w:rsidR="009D0BC3" w:rsidRPr="009D0BC3">
        <w:t>pontok módosítását (erre valóban nincs jogi lehetőség) javasoltuk, hanem a következő lépéssorozatot.</w:t>
      </w:r>
    </w:p>
    <w:p w:rsidR="009D0BC3" w:rsidRPr="009D0BC3" w:rsidRDefault="009D0BC3" w:rsidP="009D0BC3">
      <w:pPr>
        <w:pStyle w:val="AAMNormal"/>
        <w:numPr>
          <w:ilvl w:val="0"/>
          <w:numId w:val="47"/>
        </w:numPr>
      </w:pPr>
      <w:r w:rsidRPr="009D0BC3">
        <w:t>a bírálat során kialakuló rangsorban kerüljön feltüntetésre a döntéshozók számára az egyes projektek foglalkoztatási vállalása. Mivel a létszámbővítés preferált szempont a bírálati sze</w:t>
      </w:r>
      <w:r w:rsidRPr="009D0BC3">
        <w:t>m</w:t>
      </w:r>
      <w:r w:rsidRPr="009D0BC3">
        <w:t>pontrendszerben, ezért várakozásunk szerint a rangsor elején a bővítést vállaló projektek fo</w:t>
      </w:r>
      <w:r w:rsidRPr="009D0BC3">
        <w:t>g</w:t>
      </w:r>
      <w:r w:rsidRPr="009D0BC3">
        <w:t xml:space="preserve">nak sorakozni, míg a csökkentést vállaló projektek hátrasorolódnak. </w:t>
      </w:r>
    </w:p>
    <w:p w:rsidR="009D0BC3" w:rsidRPr="009D0BC3" w:rsidRDefault="009D0BC3" w:rsidP="009D0BC3">
      <w:pPr>
        <w:pStyle w:val="AAMNormal"/>
        <w:numPr>
          <w:ilvl w:val="0"/>
          <w:numId w:val="47"/>
        </w:numPr>
      </w:pPr>
      <w:r w:rsidRPr="009D0BC3">
        <w:t>A ponthúzásnál úgy kell a minimum pontot (az allokált forrást) meghatározni, hogy a létszá</w:t>
      </w:r>
      <w:r w:rsidRPr="009D0BC3">
        <w:t>m</w:t>
      </w:r>
      <w:r w:rsidRPr="009D0BC3">
        <w:t>csökkenést tervező projektek már ne kapjanak támogatást.</w:t>
      </w:r>
    </w:p>
    <w:p w:rsidR="009D0BC3" w:rsidRPr="009D0BC3" w:rsidRDefault="009D0BC3" w:rsidP="009D0BC3">
      <w:pPr>
        <w:pStyle w:val="AAMNormal"/>
        <w:ind w:left="360"/>
      </w:pPr>
      <w:r w:rsidRPr="009D0BC3">
        <w:t xml:space="preserve">Természetesen erre csak akkor van lehetőség, ha beigazolódik feltevésünk a bírálati </w:t>
      </w:r>
      <w:proofErr w:type="gramStart"/>
      <w:r w:rsidRPr="009D0BC3">
        <w:t>szempontok  ran</w:t>
      </w:r>
      <w:r w:rsidRPr="009D0BC3">
        <w:t>g</w:t>
      </w:r>
      <w:r w:rsidRPr="009D0BC3">
        <w:t>sorra</w:t>
      </w:r>
      <w:proofErr w:type="gramEnd"/>
      <w:r w:rsidRPr="009D0BC3">
        <w:t xml:space="preserve"> gyakorolt hatásáról.</w:t>
      </w:r>
    </w:p>
    <w:p w:rsidR="00D16DA5" w:rsidRPr="00E03E1D" w:rsidRDefault="00D16DA5" w:rsidP="00D16DA5">
      <w:pPr>
        <w:pStyle w:val="AAMNormal"/>
        <w:ind w:left="360"/>
      </w:pPr>
      <w:r w:rsidRPr="00E03E1D">
        <w:rPr>
          <w:b/>
          <w:u w:val="single"/>
        </w:rPr>
        <w:t>Javaslat 1.3:</w:t>
      </w:r>
      <w:r w:rsidRPr="00E03E1D">
        <w:rPr>
          <w:b/>
        </w:rPr>
        <w:t xml:space="preserve"> </w:t>
      </w:r>
      <w:r w:rsidRPr="00E03E1D">
        <w:t>Az I</w:t>
      </w:r>
      <w:r w:rsidR="00CC5E76">
        <w:t>.</w:t>
      </w:r>
      <w:r w:rsidRPr="00E03E1D">
        <w:t xml:space="preserve"> tengely jogcímeinél az ÚMVP céljainak teljesítése érdekében a jövőben preferálni kell azokat a projekteket, amelyek</w:t>
      </w:r>
    </w:p>
    <w:p w:rsidR="00D16DA5" w:rsidRPr="00E03E1D" w:rsidRDefault="00D16DA5" w:rsidP="00D5521F">
      <w:pPr>
        <w:pStyle w:val="AAMNormal"/>
        <w:numPr>
          <w:ilvl w:val="0"/>
          <w:numId w:val="28"/>
        </w:numPr>
      </w:pPr>
      <w:r w:rsidRPr="00E03E1D">
        <w:t>érdemi mértékben munkahelyeket teremtenek;</w:t>
      </w:r>
    </w:p>
    <w:p w:rsidR="00D16DA5" w:rsidRPr="00E03E1D" w:rsidRDefault="00D16DA5" w:rsidP="00D5521F">
      <w:pPr>
        <w:pStyle w:val="AAMNormal"/>
        <w:numPr>
          <w:ilvl w:val="0"/>
          <w:numId w:val="28"/>
        </w:numPr>
      </w:pPr>
      <w:r w:rsidRPr="00E03E1D">
        <w:t>érdemi integrációt képviselnek az értéklánc (termékpálya) mentén, és biztosítják a termékek minél magasabb feldolgozottságát</w:t>
      </w:r>
      <w:r>
        <w:t>,</w:t>
      </w:r>
      <w:r w:rsidRPr="00E03E1D">
        <w:t xml:space="preserve"> és értékesítését;</w:t>
      </w:r>
    </w:p>
    <w:p w:rsidR="00D16DA5" w:rsidRPr="00E03E1D" w:rsidRDefault="00D16DA5" w:rsidP="00D5521F">
      <w:pPr>
        <w:pStyle w:val="AAMNormal"/>
        <w:numPr>
          <w:ilvl w:val="0"/>
          <w:numId w:val="28"/>
        </w:numPr>
      </w:pPr>
      <w:r w:rsidRPr="00E03E1D">
        <w:t>az állattenyésztési, illetve a kertészeti termelési érték növelését célozzák;</w:t>
      </w:r>
    </w:p>
    <w:p w:rsidR="00D16DA5" w:rsidRPr="00E03E1D" w:rsidRDefault="00D16DA5" w:rsidP="00D5521F">
      <w:pPr>
        <w:pStyle w:val="AAMNormal"/>
        <w:numPr>
          <w:ilvl w:val="0"/>
          <w:numId w:val="28"/>
        </w:numPr>
      </w:pPr>
      <w:r w:rsidRPr="00E03E1D">
        <w:t>korszerű, innovatív termékek előállítását célozzák meg;</w:t>
      </w:r>
    </w:p>
    <w:p w:rsidR="00D16DA5" w:rsidRPr="00E03E1D" w:rsidRDefault="00D16DA5" w:rsidP="00D5521F">
      <w:pPr>
        <w:pStyle w:val="AAMNormal"/>
        <w:numPr>
          <w:ilvl w:val="0"/>
          <w:numId w:val="28"/>
        </w:numPr>
      </w:pPr>
      <w:r w:rsidRPr="00E03E1D">
        <w:t>a fenntartható gazdálkodási formákat képviselik.</w:t>
      </w:r>
    </w:p>
    <w:p w:rsidR="00D16DA5" w:rsidRPr="00E03E1D" w:rsidRDefault="00D16DA5" w:rsidP="00D16DA5">
      <w:pPr>
        <w:pStyle w:val="AAMNormal"/>
        <w:ind w:left="360"/>
      </w:pPr>
      <w:r w:rsidRPr="00E03E1D">
        <w:rPr>
          <w:b/>
          <w:u w:val="single"/>
        </w:rPr>
        <w:t>Javaslat 1.4:</w:t>
      </w:r>
      <w:r w:rsidRPr="00E03E1D">
        <w:rPr>
          <w:b/>
        </w:rPr>
        <w:t xml:space="preserve"> </w:t>
      </w:r>
      <w:r w:rsidRPr="00E03E1D">
        <w:t>A fenti célok preferálásával a Program alulteljesítése csökkenhető, és ezek a célok a str</w:t>
      </w:r>
      <w:r w:rsidRPr="00E03E1D">
        <w:t>a</w:t>
      </w:r>
      <w:r w:rsidRPr="00E03E1D">
        <w:t>tégiai értékelésekből kiolvasható kitörési pontoknak is jobban megfelelnek. Az I. tengelyben javaslatunk szerint olyan komplex, új fejlesztési jogcímek felelhetnek meg, amelyek a kertészeti, illetve az állatt</w:t>
      </w:r>
      <w:r w:rsidRPr="00E03E1D">
        <w:t>e</w:t>
      </w:r>
      <w:r w:rsidRPr="00E03E1D">
        <w:t>nyésztés értékláncokat (termékpályákat) célozzák meg, és:</w:t>
      </w:r>
    </w:p>
    <w:p w:rsidR="00D16DA5" w:rsidRPr="00E03E1D" w:rsidRDefault="00D16DA5" w:rsidP="00D5521F">
      <w:pPr>
        <w:pStyle w:val="AAMNormal"/>
        <w:numPr>
          <w:ilvl w:val="0"/>
          <w:numId w:val="28"/>
        </w:numPr>
      </w:pPr>
      <w:r w:rsidRPr="00E03E1D">
        <w:lastRenderedPageBreak/>
        <w:t>közepes léptékű projekteket finanszíroznak, mert ezeknél tapasztalható a legnagyobb munk</w:t>
      </w:r>
      <w:r w:rsidRPr="00E03E1D">
        <w:t>a</w:t>
      </w:r>
      <w:r w:rsidRPr="00E03E1D">
        <w:t>helyteremtő potenciál;</w:t>
      </w:r>
    </w:p>
    <w:p w:rsidR="00D16DA5" w:rsidRPr="00E03E1D" w:rsidRDefault="00D16DA5" w:rsidP="00D5521F">
      <w:pPr>
        <w:pStyle w:val="AAMNormal"/>
        <w:numPr>
          <w:ilvl w:val="0"/>
          <w:numId w:val="28"/>
        </w:numPr>
      </w:pPr>
      <w:r w:rsidRPr="00E03E1D">
        <w:t>az ökológiai, vagy extenzív gazdálkodást preferálják, így hozzájárulhatnak a természeti, körny</w:t>
      </w:r>
      <w:r w:rsidRPr="00E03E1D">
        <w:t>e</w:t>
      </w:r>
      <w:r w:rsidRPr="00E03E1D">
        <w:t>zeti hatásindikátorok javításához;</w:t>
      </w:r>
    </w:p>
    <w:p w:rsidR="00D16DA5" w:rsidRPr="00E03E1D" w:rsidRDefault="00D16DA5" w:rsidP="00D5521F">
      <w:pPr>
        <w:pStyle w:val="AAMNormal"/>
        <w:numPr>
          <w:ilvl w:val="0"/>
          <w:numId w:val="28"/>
        </w:numPr>
      </w:pPr>
      <w:r w:rsidRPr="00E03E1D">
        <w:t>támogatják a termékek feldolgozását, az értékesítési csatornák fejlesztését, valamint a mark</w:t>
      </w:r>
      <w:r w:rsidRPr="00E03E1D">
        <w:t>e</w:t>
      </w:r>
      <w:r w:rsidRPr="00E03E1D">
        <w:t>ting tevékenységet is a technológiai korszerűsítés mellett;</w:t>
      </w:r>
    </w:p>
    <w:p w:rsidR="00D16DA5" w:rsidRPr="00E03E1D" w:rsidRDefault="00D16DA5" w:rsidP="00D5521F">
      <w:pPr>
        <w:pStyle w:val="AAMNormal"/>
        <w:numPr>
          <w:ilvl w:val="0"/>
          <w:numId w:val="28"/>
        </w:numPr>
      </w:pPr>
      <w:r w:rsidRPr="00E03E1D">
        <w:t>az előállítandó termékre, annak üzleti lehetőségeire fókuszálnak a bírálat során;</w:t>
      </w:r>
    </w:p>
    <w:p w:rsidR="00D16DA5" w:rsidRPr="00E03E1D" w:rsidRDefault="00D16DA5" w:rsidP="00D5521F">
      <w:pPr>
        <w:pStyle w:val="AAMNormal"/>
        <w:numPr>
          <w:ilvl w:val="0"/>
          <w:numId w:val="28"/>
        </w:numPr>
      </w:pPr>
      <w:r w:rsidRPr="00E03E1D">
        <w:t>kiemelten támogatják a helyi gazdaság számára (is) termelő kapacitások fejlesztését (hozzáj</w:t>
      </w:r>
      <w:r w:rsidRPr="00E03E1D">
        <w:t>á</w:t>
      </w:r>
      <w:r w:rsidRPr="00E03E1D">
        <w:t>rulnak a helyi termelési – fogyasztási rendszerek kialakításához, vagy megerősítéséhez);</w:t>
      </w:r>
    </w:p>
    <w:p w:rsidR="00D16DA5" w:rsidRPr="00E03E1D" w:rsidRDefault="00D16DA5" w:rsidP="00D5521F">
      <w:pPr>
        <w:pStyle w:val="AAMNormal"/>
        <w:numPr>
          <w:ilvl w:val="0"/>
          <w:numId w:val="28"/>
        </w:numPr>
      </w:pPr>
      <w:r w:rsidRPr="00E03E1D">
        <w:t>az összes szükséges fejlesztési tevékenységet (</w:t>
      </w:r>
      <w:proofErr w:type="gramStart"/>
      <w:r w:rsidRPr="00E03E1D">
        <w:t>technológia fejlesztés</w:t>
      </w:r>
      <w:proofErr w:type="gramEnd"/>
      <w:r w:rsidRPr="00E03E1D">
        <w:t>, ültetvény korszerűsítés, megújuló energetikai beruházás, IT fejlesztés, stb.) tartalmazzák. Az egyes tevékenységeket a különböző intézkedések finanszírozhatják egy jogcímen belül, ahogy erre a vizsgált időszakban is volt példa. A megoldás előnye lenne, hogy a gazdálkodóknak nem kellene több jogcímre o</w:t>
      </w:r>
      <w:r w:rsidRPr="00E03E1D">
        <w:t>p</w:t>
      </w:r>
      <w:r w:rsidRPr="00E03E1D">
        <w:t>timalizálniuk egyszerre</w:t>
      </w:r>
      <w:r>
        <w:t>,</w:t>
      </w:r>
      <w:r w:rsidRPr="00E03E1D">
        <w:t xml:space="preserve"> és adminisztratív terheik is csökkennének.</w:t>
      </w:r>
    </w:p>
    <w:p w:rsidR="00D16DA5" w:rsidRPr="00E03E1D" w:rsidRDefault="00D16DA5" w:rsidP="00D16DA5">
      <w:pPr>
        <w:pStyle w:val="AAMNormal"/>
        <w:ind w:left="360"/>
      </w:pPr>
      <w:r w:rsidRPr="00E03E1D">
        <w:rPr>
          <w:b/>
          <w:u w:val="single"/>
        </w:rPr>
        <w:t>Javaslat 1.5:</w:t>
      </w:r>
      <w:r w:rsidRPr="00E03E1D">
        <w:rPr>
          <w:b/>
        </w:rPr>
        <w:t xml:space="preserve"> </w:t>
      </w:r>
      <w:r w:rsidRPr="00E03E1D">
        <w:t>Javasoljuk a fiatal gazdálkodók induló támogatása intézkedés megnyitását, a szükséges forrás más intézkedésről történő átcsoportosításával. Az új meghirdetés során ennél az intézkedésnél is preferálni kell a kertészeti, állattenyésztési fejlesztéseket a bírálati szempontrendszeren keresztül. Ezen fejlesztések esetében az elnyerhető keretet is célszerű megemelni, hogy a magasabb értékű kezdő b</w:t>
      </w:r>
      <w:r w:rsidRPr="00E03E1D">
        <w:t>e</w:t>
      </w:r>
      <w:r w:rsidRPr="00E03E1D">
        <w:t>ruházások finanszírozhatóak legyenek.</w:t>
      </w:r>
    </w:p>
    <w:p w:rsidR="00D16DA5" w:rsidRPr="00E03E1D" w:rsidRDefault="00D16DA5" w:rsidP="00D5521F">
      <w:pPr>
        <w:pStyle w:val="AAMNormal"/>
        <w:numPr>
          <w:ilvl w:val="0"/>
          <w:numId w:val="29"/>
        </w:numPr>
        <w:rPr>
          <w:b/>
          <w:smallCaps/>
          <w:sz w:val="22"/>
          <w:szCs w:val="22"/>
        </w:rPr>
      </w:pPr>
      <w:r w:rsidRPr="00E03E1D">
        <w:rPr>
          <w:b/>
          <w:smallCaps/>
          <w:sz w:val="22"/>
          <w:szCs w:val="22"/>
        </w:rPr>
        <w:t>Átfogó javaslat 2</w:t>
      </w:r>
      <w:proofErr w:type="gramStart"/>
      <w:r w:rsidRPr="00E03E1D">
        <w:rPr>
          <w:b/>
          <w:smallCaps/>
          <w:sz w:val="22"/>
          <w:szCs w:val="22"/>
        </w:rPr>
        <w:t>.:</w:t>
      </w:r>
      <w:proofErr w:type="gramEnd"/>
      <w:r w:rsidRPr="00E03E1D">
        <w:rPr>
          <w:b/>
          <w:smallCaps/>
          <w:sz w:val="22"/>
          <w:szCs w:val="22"/>
        </w:rPr>
        <w:t xml:space="preserve"> Az ÚMVP célértékeinek elérése érdekében a nyertes projektek hatásosságát is érdemes növelni a támogató tevékenységek fejlesztésén keresztül</w:t>
      </w:r>
    </w:p>
    <w:p w:rsidR="00D16DA5" w:rsidRPr="00E03E1D" w:rsidRDefault="00D16DA5" w:rsidP="00D16DA5">
      <w:pPr>
        <w:pStyle w:val="AAMNormal"/>
        <w:ind w:left="360"/>
      </w:pPr>
      <w:r w:rsidRPr="00E03E1D">
        <w:rPr>
          <w:b/>
          <w:u w:val="single"/>
        </w:rPr>
        <w:t>Javaslat 2.1:</w:t>
      </w:r>
      <w:r w:rsidRPr="00E03E1D">
        <w:rPr>
          <w:b/>
        </w:rPr>
        <w:t xml:space="preserve"> </w:t>
      </w:r>
      <w:r w:rsidRPr="00E03E1D">
        <w:t>A Gazdálkodói Információs Szolgálat, a szaktanácsadók, falugazdászok képzésének me</w:t>
      </w:r>
      <w:r w:rsidRPr="00E03E1D">
        <w:t>g</w:t>
      </w:r>
      <w:r w:rsidRPr="00E03E1D">
        <w:t>újításával szükség lenne a fenntarthatósági, természetvédelmi, környezetvédelmi szempontok érvény</w:t>
      </w:r>
      <w:r w:rsidRPr="00E03E1D">
        <w:t>e</w:t>
      </w:r>
      <w:r w:rsidRPr="00E03E1D">
        <w:t xml:space="preserve">sülésének erősítésére </w:t>
      </w:r>
      <w:proofErr w:type="gramStart"/>
      <w:r w:rsidRPr="00E03E1D">
        <w:t>ezen</w:t>
      </w:r>
      <w:proofErr w:type="gramEnd"/>
      <w:r w:rsidRPr="00E03E1D">
        <w:t xml:space="preserve"> támogató hálózatok munkájában. Érdemes lenne a hálózatokat képzéssel felkészíteni az éghajlatváltozással kapcsolatos kihívások kapcsán a gazdálkodás adaptációjának tám</w:t>
      </w:r>
      <w:r w:rsidRPr="00E03E1D">
        <w:t>o</w:t>
      </w:r>
      <w:r w:rsidRPr="00E03E1D">
        <w:t>gatására. További szerepet kaphatnának ezek a hálózatok a termelési szerkezet módosítása kapcsán, ha üzleti információkkal, tanácsadással tudnák segíteni a gazdálkodókat ezen a téren is. A támogató h</w:t>
      </w:r>
      <w:r w:rsidRPr="00E03E1D">
        <w:t>á</w:t>
      </w:r>
      <w:r w:rsidRPr="00E03E1D">
        <w:t>lózatok kapcsolatrendszere jó alapot szolgáltat a nyertes gazdálkodók elérésére</w:t>
      </w:r>
      <w:r>
        <w:t>,</w:t>
      </w:r>
      <w:r w:rsidRPr="00E03E1D">
        <w:t xml:space="preserve"> és üzleti, környezeti orientációjuk megváltoztatására, de a kívánt hatás eléréséhez ezen hálózatok tevékenységét ilyen szempontból is </w:t>
      </w:r>
      <w:r>
        <w:t>össze kell hangolni</w:t>
      </w:r>
      <w:r w:rsidRPr="00E03E1D">
        <w:t xml:space="preserve"> az ÚMVP intézményrendszeré</w:t>
      </w:r>
      <w:r>
        <w:t>vel</w:t>
      </w:r>
      <w:r w:rsidRPr="00E03E1D">
        <w:t>.</w:t>
      </w:r>
    </w:p>
    <w:p w:rsidR="00D16DA5" w:rsidRPr="00E03E1D" w:rsidRDefault="00D16DA5" w:rsidP="00D16DA5">
      <w:pPr>
        <w:pStyle w:val="AAMNormal"/>
        <w:ind w:left="360"/>
      </w:pPr>
      <w:r w:rsidRPr="00E03E1D">
        <w:rPr>
          <w:b/>
          <w:u w:val="single"/>
        </w:rPr>
        <w:t>Javaslat 2.2:</w:t>
      </w:r>
      <w:r w:rsidRPr="00E03E1D">
        <w:rPr>
          <w:b/>
        </w:rPr>
        <w:t xml:space="preserve"> </w:t>
      </w:r>
      <w:r w:rsidRPr="00E03E1D">
        <w:t>A szakképzések tematikájában adaptációs képesség növelése érdekében célszerű erős</w:t>
      </w:r>
      <w:r w:rsidRPr="00E03E1D">
        <w:t>í</w:t>
      </w:r>
      <w:r w:rsidRPr="00E03E1D">
        <w:t>teni az éghajlatváltozásra történő felkészülés ismeretanyagát</w:t>
      </w:r>
      <w:proofErr w:type="gramStart"/>
      <w:r w:rsidRPr="00E03E1D">
        <w:t>,.</w:t>
      </w:r>
      <w:proofErr w:type="gramEnd"/>
    </w:p>
    <w:p w:rsidR="00D16DA5" w:rsidRPr="00E03E1D" w:rsidRDefault="00D16DA5" w:rsidP="00D16DA5">
      <w:pPr>
        <w:pStyle w:val="AAMNormal"/>
        <w:ind w:left="360"/>
      </w:pPr>
      <w:r w:rsidRPr="00E03E1D">
        <w:rPr>
          <w:b/>
          <w:u w:val="single"/>
        </w:rPr>
        <w:t>Javaslat 2.3:</w:t>
      </w:r>
      <w:r w:rsidRPr="00E03E1D">
        <w:rPr>
          <w:b/>
        </w:rPr>
        <w:t xml:space="preserve"> </w:t>
      </w:r>
      <w:r w:rsidRPr="00E03E1D">
        <w:t xml:space="preserve">Direkt kommunikációs kampánnyal javasolt újra tájékoztatni az </w:t>
      </w:r>
      <w:proofErr w:type="spellStart"/>
      <w:r w:rsidRPr="00E03E1D">
        <w:t>AKG-ban</w:t>
      </w:r>
      <w:proofErr w:type="spellEnd"/>
      <w:r w:rsidRPr="00E03E1D">
        <w:t xml:space="preserve"> nyertes gazdá</w:t>
      </w:r>
      <w:r w:rsidRPr="00E03E1D">
        <w:t>l</w:t>
      </w:r>
      <w:r w:rsidRPr="00E03E1D">
        <w:t xml:space="preserve">kodókat az általuk választott célprogramoktól várt hatásokról annak érdekében, hogy a </w:t>
      </w:r>
      <w:r>
        <w:t>környezetv</w:t>
      </w:r>
      <w:r>
        <w:t>é</w:t>
      </w:r>
      <w:r>
        <w:t xml:space="preserve">delmi, természetvédelmi </w:t>
      </w:r>
      <w:r w:rsidRPr="00E03E1D">
        <w:t xml:space="preserve">tudatosságuk </w:t>
      </w:r>
      <w:r>
        <w:t>erősödjön</w:t>
      </w:r>
      <w:r w:rsidRPr="00E03E1D">
        <w:t>.</w:t>
      </w:r>
    </w:p>
    <w:p w:rsidR="00D16DA5" w:rsidRPr="00E03E1D" w:rsidRDefault="00D16DA5" w:rsidP="00D16DA5">
      <w:pPr>
        <w:pStyle w:val="AAMNormal"/>
        <w:ind w:left="360"/>
      </w:pPr>
      <w:r w:rsidRPr="00E03E1D">
        <w:rPr>
          <w:b/>
          <w:u w:val="single"/>
        </w:rPr>
        <w:t>Javaslat 2.4:</w:t>
      </w:r>
      <w:r w:rsidRPr="00E03E1D">
        <w:rPr>
          <w:b/>
        </w:rPr>
        <w:t xml:space="preserve"> </w:t>
      </w:r>
      <w:r w:rsidRPr="00E03E1D">
        <w:t xml:space="preserve">Az AKG intézkedés kapcsán elindítani javasolt környezeti, természeti </w:t>
      </w:r>
      <w:proofErr w:type="spellStart"/>
      <w:r w:rsidRPr="00E03E1D">
        <w:t>hatásmonitoring</w:t>
      </w:r>
      <w:proofErr w:type="spellEnd"/>
      <w:r w:rsidRPr="00E03E1D">
        <w:t xml:space="preserve"> eredményeit a gazdálkodókat közvetlenül megcélzó kampány segítségével kell tudatosítani. Az érdemi visszajelzések a tudatosság további növekedését eredményeznék.</w:t>
      </w:r>
    </w:p>
    <w:p w:rsidR="00D16DA5" w:rsidRPr="00E03E1D" w:rsidRDefault="00D16DA5" w:rsidP="00D16DA5">
      <w:pPr>
        <w:pStyle w:val="AAMNormal"/>
        <w:ind w:left="360"/>
      </w:pPr>
      <w:r w:rsidRPr="00E03E1D">
        <w:rPr>
          <w:b/>
          <w:u w:val="single"/>
        </w:rPr>
        <w:t>Javaslat 2.5:</w:t>
      </w:r>
      <w:r w:rsidRPr="00E03E1D">
        <w:rPr>
          <w:b/>
        </w:rPr>
        <w:t xml:space="preserve"> </w:t>
      </w:r>
      <w:r w:rsidRPr="00E03E1D">
        <w:t xml:space="preserve">Javasolt létrehozni egy olyan koordinációs funkciót a Vidékfejlesztési Minisztériumban, amely összefogja a VM háttérszerveinek munkáját a piackutatások, marketing, K+F+I, külkereskedelem területén, és az így kialakított komplex szolgáltatáscsomagokat eljuttatja az </w:t>
      </w:r>
      <w:proofErr w:type="spellStart"/>
      <w:r w:rsidRPr="00E03E1D">
        <w:t>ÚMVP-ben</w:t>
      </w:r>
      <w:proofErr w:type="spellEnd"/>
      <w:r w:rsidRPr="00E03E1D">
        <w:t xml:space="preserve"> nyertes vállalk</w:t>
      </w:r>
      <w:r w:rsidRPr="00E03E1D">
        <w:t>o</w:t>
      </w:r>
      <w:r w:rsidRPr="00E03E1D">
        <w:lastRenderedPageBreak/>
        <w:t>zásokhoz. Az eddigi támogatási döntések jellemzően a vállalkozások csak bizonyos részeinek technol</w:t>
      </w:r>
      <w:r w:rsidRPr="00E03E1D">
        <w:t>ó</w:t>
      </w:r>
      <w:r w:rsidRPr="00E03E1D">
        <w:t>giai korszerűsítésére koncentráltak. A tapasztalatok szerint valódi változást a vállalkozások fejlődésében a komplex fejlesztések okoznak, amennyiben a termelési kapacitás bővítése a piaci lehetőségek növ</w:t>
      </w:r>
      <w:r w:rsidRPr="00E03E1D">
        <w:t>e</w:t>
      </w:r>
      <w:r w:rsidRPr="00E03E1D">
        <w:t>lésével is együtt jár. Ezért kiemelten fontos a nyertes gazdálkodókat marketinggel és szervezési mego</w:t>
      </w:r>
      <w:r w:rsidRPr="00E03E1D">
        <w:t>l</w:t>
      </w:r>
      <w:r w:rsidRPr="00E03E1D">
        <w:t>dásokkal is segíteni üzleti lehetőségeik bővítésében. Ehhez jó lehetőséget kínálhatnak az MNVH még fel nem használt forrásai.</w:t>
      </w:r>
    </w:p>
    <w:p w:rsidR="00D16DA5" w:rsidRPr="00E03E1D" w:rsidRDefault="00D16DA5" w:rsidP="00D16DA5">
      <w:pPr>
        <w:pStyle w:val="AAMNormal"/>
        <w:ind w:left="360"/>
      </w:pPr>
      <w:r w:rsidRPr="00E03E1D">
        <w:rPr>
          <w:b/>
          <w:u w:val="single"/>
        </w:rPr>
        <w:t>Javaslat 2.6:</w:t>
      </w:r>
      <w:r w:rsidRPr="00E03E1D">
        <w:rPr>
          <w:b/>
        </w:rPr>
        <w:t xml:space="preserve"> </w:t>
      </w:r>
      <w:r>
        <w:t xml:space="preserve">Felmérésünk szerint a </w:t>
      </w:r>
      <w:proofErr w:type="spellStart"/>
      <w:r>
        <w:t>HACS-ok</w:t>
      </w:r>
      <w:proofErr w:type="spellEnd"/>
      <w:r>
        <w:t xml:space="preserve"> többsége alig végez hálózatfejlesztő, projektgeneráló tev</w:t>
      </w:r>
      <w:r>
        <w:t>é</w:t>
      </w:r>
      <w:r>
        <w:t>kenységet, aktivitásuk a helyi gazdaság szervezésében, fejlesztésében alacsony mértékű. Ennek rés</w:t>
      </w:r>
      <w:r>
        <w:t>z</w:t>
      </w:r>
      <w:r>
        <w:t>ben oka az, hogy minden Helyi Vidékfejlesztési Közösség megkapta a HACS státuszt, munkaszervezete</w:t>
      </w:r>
      <w:r>
        <w:t>i</w:t>
      </w:r>
      <w:r>
        <w:t>ket csak a cím elnyerése után alakították ki, így a tapasztalat, és felkészültség szintje jelentős eltérés</w:t>
      </w:r>
      <w:r>
        <w:t>e</w:t>
      </w:r>
      <w:r>
        <w:t xml:space="preserve">ket mutatott, részben pedig a vizsgált időszakban alig volt lehetőségük a </w:t>
      </w:r>
      <w:proofErr w:type="spellStart"/>
      <w:r>
        <w:t>HACS-oknak</w:t>
      </w:r>
      <w:proofErr w:type="spellEnd"/>
      <w:r>
        <w:t xml:space="preserve"> érdemi képzés</w:t>
      </w:r>
      <w:r>
        <w:t>e</w:t>
      </w:r>
      <w:r>
        <w:t xml:space="preserve">ken, tapasztalatcseréken, szemléletformálásban részt venni. Ezért szükségesnek látjuk a </w:t>
      </w:r>
      <w:proofErr w:type="spellStart"/>
      <w:r>
        <w:t>HACS-ok</w:t>
      </w:r>
      <w:proofErr w:type="spellEnd"/>
      <w:r>
        <w:t xml:space="preserve"> ilyen irányú közös tanulásának, és egyéni fejlődésének biztosítását. A közös tanulás szintereinek, és gyako</w:t>
      </w:r>
      <w:r>
        <w:t>r</w:t>
      </w:r>
      <w:r>
        <w:t xml:space="preserve">latának kialakulása, illetve a </w:t>
      </w:r>
      <w:proofErr w:type="spellStart"/>
      <w:r>
        <w:t>HACS-ok</w:t>
      </w:r>
      <w:proofErr w:type="spellEnd"/>
      <w:r>
        <w:t xml:space="preserve"> készségeinek, képzettségének megerősítése után a csoportok é</w:t>
      </w:r>
      <w:r>
        <w:t>r</w:t>
      </w:r>
      <w:r>
        <w:t>demi segítséget jelenthetnek a már támogatott projekteknek is a továbbfejlesztésben, az együttműk</w:t>
      </w:r>
      <w:r>
        <w:t>ö</w:t>
      </w:r>
      <w:r>
        <w:t>déseken, hálózaton alapuló marketingtevékenység és új üzleti lehetőségek feltérképezésében.</w:t>
      </w:r>
    </w:p>
    <w:p w:rsidR="00D16DA5" w:rsidRPr="00E03E1D" w:rsidRDefault="00D16DA5" w:rsidP="00D5521F">
      <w:pPr>
        <w:pStyle w:val="AAMNormal"/>
        <w:numPr>
          <w:ilvl w:val="0"/>
          <w:numId w:val="29"/>
        </w:numPr>
        <w:rPr>
          <w:b/>
          <w:smallCaps/>
          <w:sz w:val="22"/>
          <w:szCs w:val="22"/>
        </w:rPr>
      </w:pPr>
      <w:r w:rsidRPr="00E03E1D">
        <w:rPr>
          <w:b/>
          <w:smallCaps/>
          <w:sz w:val="22"/>
          <w:szCs w:val="22"/>
        </w:rPr>
        <w:t>Átfogó javaslat 3</w:t>
      </w:r>
      <w:proofErr w:type="gramStart"/>
      <w:r w:rsidRPr="00E03E1D">
        <w:rPr>
          <w:b/>
          <w:smallCaps/>
          <w:sz w:val="22"/>
          <w:szCs w:val="22"/>
        </w:rPr>
        <w:t>.:</w:t>
      </w:r>
      <w:proofErr w:type="gramEnd"/>
      <w:r w:rsidRPr="00E03E1D">
        <w:rPr>
          <w:b/>
          <w:smallCaps/>
          <w:sz w:val="22"/>
          <w:szCs w:val="22"/>
        </w:rPr>
        <w:t xml:space="preserve"> A 2014-2020-as fejlesztési időszak sikereinek megalapozása érdekében jav</w:t>
      </w:r>
      <w:r w:rsidRPr="00E03E1D">
        <w:rPr>
          <w:b/>
          <w:smallCaps/>
          <w:sz w:val="22"/>
          <w:szCs w:val="22"/>
        </w:rPr>
        <w:t>a</w:t>
      </w:r>
      <w:r w:rsidRPr="00E03E1D">
        <w:rPr>
          <w:b/>
          <w:smallCaps/>
          <w:sz w:val="22"/>
          <w:szCs w:val="22"/>
        </w:rPr>
        <w:t>solt pilot projektekkel kipróbálni olyan új támogatási konstrukciókat, amelyek hangsúlyt ka</w:t>
      </w:r>
      <w:r w:rsidRPr="00E03E1D">
        <w:rPr>
          <w:b/>
          <w:smallCaps/>
          <w:sz w:val="22"/>
          <w:szCs w:val="22"/>
        </w:rPr>
        <w:t>p</w:t>
      </w:r>
      <w:r w:rsidRPr="00E03E1D">
        <w:rPr>
          <w:b/>
          <w:smallCaps/>
          <w:sz w:val="22"/>
          <w:szCs w:val="22"/>
        </w:rPr>
        <w:t>hatnak 2014-től</w:t>
      </w:r>
    </w:p>
    <w:p w:rsidR="00D16DA5" w:rsidRPr="00E03E1D" w:rsidRDefault="00D16DA5" w:rsidP="00D16DA5">
      <w:pPr>
        <w:pStyle w:val="AAMNormal"/>
        <w:ind w:left="360"/>
      </w:pPr>
      <w:r w:rsidRPr="00E03E1D">
        <w:rPr>
          <w:b/>
          <w:u w:val="single"/>
        </w:rPr>
        <w:t>Javaslat 3.1:</w:t>
      </w:r>
      <w:r w:rsidRPr="00E03E1D">
        <w:rPr>
          <w:b/>
        </w:rPr>
        <w:t xml:space="preserve"> </w:t>
      </w:r>
      <w:r w:rsidRPr="00E03E1D">
        <w:t>Javasoljuk, hogy 2014-től a területalapú támogatások logikájában az eddigiektől eltérő megközelítés érvényesüljön. A különböző közösségi jogszabályokban szabályozott intézkedéseket eg</w:t>
      </w:r>
      <w:r w:rsidRPr="00E03E1D">
        <w:t>y</w:t>
      </w:r>
      <w:r w:rsidRPr="00E03E1D">
        <w:t>ségesen kellene megjeleníteni a gazdálkodók felé, az adott terület adottságaihoz igazodva. Ennek érd</w:t>
      </w:r>
      <w:r w:rsidRPr="00E03E1D">
        <w:t>e</w:t>
      </w:r>
      <w:r w:rsidRPr="00E03E1D">
        <w:t>kében a kiválasztott gazdálkodók területét komplex módon felmérve kellene a természeti, környezeti é</w:t>
      </w:r>
      <w:r w:rsidRPr="00E03E1D">
        <w:t>r</w:t>
      </w:r>
      <w:r w:rsidRPr="00E03E1D">
        <w:t xml:space="preserve">tékeket meghatározni, és a támogatás mértékét ezekhez igazítani. </w:t>
      </w:r>
    </w:p>
    <w:p w:rsidR="005D6D7B" w:rsidRDefault="005D6D7B" w:rsidP="005D6D7B">
      <w:pPr>
        <w:pStyle w:val="AAMNormal"/>
        <w:ind w:left="360"/>
      </w:pPr>
      <w:r w:rsidRPr="00E03E1D">
        <w:t xml:space="preserve">Ennek előkészítése érdekében egy olyan pilot jogcím elindítását javasoljuk a II. tengelyben, amely a KAT, NATURA intézkedéseket és az AKG jogcímeit integrálja egy támogatási megoldásba, kiküszöbölve ezzel a jelenlegi megoldás rossz ösztönzőit. A pilot </w:t>
      </w:r>
      <w:r>
        <w:t xml:space="preserve">(pl. „Komplex tájgazdálkodás” elnevezésű) </w:t>
      </w:r>
      <w:r w:rsidRPr="00E03E1D">
        <w:t>jogcímben java</w:t>
      </w:r>
      <w:r w:rsidRPr="00E03E1D">
        <w:t>s</w:t>
      </w:r>
      <w:r w:rsidRPr="00E03E1D">
        <w:t xml:space="preserve">latunk szerint a jelentkező gazdálkodók területének komplex felmérése </w:t>
      </w:r>
      <w:r>
        <w:t>alapján, egyedileg történne az adott gazdaságra vonatkozó</w:t>
      </w:r>
      <w:r w:rsidRPr="00E03E1D">
        <w:t xml:space="preserve"> előíráscsomag</w:t>
      </w:r>
      <w:r>
        <w:t xml:space="preserve"> összeállítása </w:t>
      </w:r>
      <w:r w:rsidRPr="00E03E1D">
        <w:t>és ezzel együtt a támogatás mérték</w:t>
      </w:r>
      <w:r>
        <w:t xml:space="preserve">ének a meghatározása. Így a jelenlegi rendszerhez képest sokkal jobban lehetne </w:t>
      </w:r>
      <w:r w:rsidRPr="00E03E1D">
        <w:t xml:space="preserve">az adott terület természeti, környezeti értékei alapján </w:t>
      </w:r>
      <w:r>
        <w:t xml:space="preserve">meghatározni a valóban szükséges előírásokat. Kétségtelen, hogy a javasolt rendszer működéséhez nélkülözhetetlen a terület természeti értékeit, a </w:t>
      </w:r>
      <w:proofErr w:type="gramStart"/>
      <w:r>
        <w:t>térség jellemző</w:t>
      </w:r>
      <w:proofErr w:type="gramEnd"/>
      <w:r>
        <w:t xml:space="preserve"> gazdálkodási gyakorlatát és magát a gazdálkodót is </w:t>
      </w:r>
      <w:r w:rsidRPr="002C31D0">
        <w:t>egyaránt</w:t>
      </w:r>
      <w:r>
        <w:t xml:space="preserve"> jól ismerő tanácsadó közreműködése. Az sem kétséges ugyanakkor, hogy javaslatunk megvalósításával közelebb kerülhetünk ahhoz, hogy a környezeti, term</w:t>
      </w:r>
      <w:r>
        <w:t>é</w:t>
      </w:r>
      <w:r>
        <w:t>szeti értékek fenntartását és növelését célzó intézkedések ne csupán hivatkozási alapok („jogcímek”) legyenek támogatás igénybevételére, hanem valós közcélokat megvalósító „tájfenntartó” szolgáltatások lehetőségeit biztosítandó működjenek.</w:t>
      </w:r>
    </w:p>
    <w:p w:rsidR="00D16DA5" w:rsidRPr="00E03E1D" w:rsidRDefault="00D16DA5" w:rsidP="00D16DA5">
      <w:pPr>
        <w:pStyle w:val="AAMNormal"/>
        <w:ind w:left="360"/>
      </w:pPr>
      <w:r w:rsidRPr="00E03E1D">
        <w:rPr>
          <w:b/>
          <w:u w:val="single"/>
        </w:rPr>
        <w:t>Javaslat 3.2:</w:t>
      </w:r>
      <w:r w:rsidRPr="00E03E1D">
        <w:rPr>
          <w:b/>
        </w:rPr>
        <w:t xml:space="preserve"> </w:t>
      </w:r>
      <w:r w:rsidRPr="00E03E1D">
        <w:t>Fontosnak tartjuk a LEADER elv</w:t>
      </w:r>
      <w:r>
        <w:t>,</w:t>
      </w:r>
      <w:r w:rsidRPr="00E03E1D">
        <w:t xml:space="preserve"> és a </w:t>
      </w:r>
      <w:proofErr w:type="spellStart"/>
      <w:r w:rsidRPr="00E03E1D">
        <w:t>HACS-ok</w:t>
      </w:r>
      <w:proofErr w:type="spellEnd"/>
      <w:r w:rsidRPr="00E03E1D">
        <w:t xml:space="preserve"> szerepének erősítését, mert 2014-től várh</w:t>
      </w:r>
      <w:r w:rsidRPr="00E03E1D">
        <w:t>a</w:t>
      </w:r>
      <w:r w:rsidRPr="00E03E1D">
        <w:t xml:space="preserve">tóan nagyobb szerepet </w:t>
      </w:r>
      <w:proofErr w:type="gramStart"/>
      <w:r w:rsidRPr="00E03E1D">
        <w:t>kap</w:t>
      </w:r>
      <w:proofErr w:type="gramEnd"/>
      <w:r w:rsidRPr="00E03E1D">
        <w:t xml:space="preserve"> majd ez a rendszer a KAP lebonyolításában. A </w:t>
      </w:r>
      <w:proofErr w:type="spellStart"/>
      <w:r w:rsidRPr="00E03E1D">
        <w:t>HACS-ok</w:t>
      </w:r>
      <w:proofErr w:type="spellEnd"/>
      <w:r w:rsidRPr="00E03E1D">
        <w:t xml:space="preserve"> Helyi Vidékfejlesztési Stratégiájuk megalkotásakor az I. és II. tengely céljaival, továbbá az </w:t>
      </w:r>
      <w:proofErr w:type="spellStart"/>
      <w:r w:rsidRPr="00E03E1D">
        <w:t>ÚMFT-hez</w:t>
      </w:r>
      <w:proofErr w:type="spellEnd"/>
      <w:r w:rsidRPr="00E03E1D">
        <w:t xml:space="preserve"> került fejlesztésekkel számoltak. A </w:t>
      </w:r>
      <w:proofErr w:type="spellStart"/>
      <w:r w:rsidRPr="00E03E1D">
        <w:t>HACS-ok</w:t>
      </w:r>
      <w:proofErr w:type="spellEnd"/>
      <w:r w:rsidRPr="00E03E1D">
        <w:t xml:space="preserve"> helyi kapcsolatai a III-IV</w:t>
      </w:r>
      <w:r w:rsidR="00CC5E76">
        <w:t>.</w:t>
      </w:r>
      <w:r w:rsidRPr="00E03E1D">
        <w:t xml:space="preserve"> </w:t>
      </w:r>
      <w:proofErr w:type="gramStart"/>
      <w:r w:rsidRPr="00E03E1D">
        <w:t>tengely</w:t>
      </w:r>
      <w:proofErr w:type="gramEnd"/>
      <w:r w:rsidRPr="00E03E1D">
        <w:t xml:space="preserve"> tapasztalatai alapján alkalmasak a helyi vállalk</w:t>
      </w:r>
      <w:r w:rsidRPr="00E03E1D">
        <w:t>o</w:t>
      </w:r>
      <w:r w:rsidRPr="00E03E1D">
        <w:t xml:space="preserve">zások mobilizálására, helyismeretük pedig segítheti a valós fejlesztési hatású projektek kiválasztását. Ezért javasoljuk, hogy a </w:t>
      </w:r>
      <w:proofErr w:type="spellStart"/>
      <w:r w:rsidRPr="00E03E1D">
        <w:t>HACS-ok</w:t>
      </w:r>
      <w:proofErr w:type="spellEnd"/>
      <w:r w:rsidRPr="00E03E1D">
        <w:t xml:space="preserve"> kapjanak szerepet az I. tengely egyes intézkedéseinél a kérelmezők előszűrésében. Ennek szükségességét és lehetőségét a fiatal gazdálkodók induló támogatása intézk</w:t>
      </w:r>
      <w:r w:rsidRPr="00E03E1D">
        <w:t>e</w:t>
      </w:r>
      <w:r w:rsidRPr="00E03E1D">
        <w:lastRenderedPageBreak/>
        <w:t>dés esetében, valamint a lokális gazdasághoz köthető kisléptékű élelmiszer-feldolgozói kapacitások b</w:t>
      </w:r>
      <w:r w:rsidRPr="00E03E1D">
        <w:t>ő</w:t>
      </w:r>
      <w:r w:rsidRPr="00E03E1D">
        <w:t xml:space="preserve">vítésénél látjuk. Ezeknél az intézkedéseknél a </w:t>
      </w:r>
      <w:proofErr w:type="spellStart"/>
      <w:r w:rsidRPr="00E03E1D">
        <w:t>HACS-ok</w:t>
      </w:r>
      <w:proofErr w:type="spellEnd"/>
      <w:r w:rsidRPr="00E03E1D">
        <w:t xml:space="preserve"> mozgósító, szervező, támogató kapacitását is érdemes kihasználni a sikeresség növelése érdekében. Ennek természetesen feltétele az egyes </w:t>
      </w:r>
      <w:proofErr w:type="spellStart"/>
      <w:r w:rsidRPr="00E03E1D">
        <w:t>HACS-oknál</w:t>
      </w:r>
      <w:proofErr w:type="spellEnd"/>
      <w:r w:rsidRPr="00E03E1D">
        <w:t xml:space="preserve"> tapasztalt anomáliák megszüntetése, illetve a rendszer konszolidálása.</w:t>
      </w:r>
    </w:p>
    <w:p w:rsidR="00D16DA5" w:rsidRPr="00E03E1D" w:rsidRDefault="00D16DA5" w:rsidP="00D5521F">
      <w:pPr>
        <w:pStyle w:val="AAMNormal"/>
        <w:numPr>
          <w:ilvl w:val="0"/>
          <w:numId w:val="29"/>
        </w:numPr>
        <w:rPr>
          <w:b/>
          <w:smallCaps/>
          <w:sz w:val="22"/>
          <w:szCs w:val="22"/>
        </w:rPr>
      </w:pPr>
      <w:r w:rsidRPr="00E03E1D">
        <w:rPr>
          <w:b/>
          <w:smallCaps/>
          <w:sz w:val="22"/>
          <w:szCs w:val="22"/>
        </w:rPr>
        <w:t>Átfogó javaslat 4</w:t>
      </w:r>
      <w:proofErr w:type="gramStart"/>
      <w:r w:rsidRPr="00E03E1D">
        <w:rPr>
          <w:b/>
          <w:smallCaps/>
          <w:sz w:val="22"/>
          <w:szCs w:val="22"/>
        </w:rPr>
        <w:t>.:</w:t>
      </w:r>
      <w:proofErr w:type="gramEnd"/>
      <w:r w:rsidRPr="00E03E1D">
        <w:rPr>
          <w:b/>
          <w:smallCaps/>
          <w:sz w:val="22"/>
          <w:szCs w:val="22"/>
        </w:rPr>
        <w:t xml:space="preserve"> A 2014-2020-as fejlesztési időszak sikereinek megalapozása érdekében meg kell őrizni a kialakított vidékfejlesztési struktúrák működőképességét, mert a leépülés és a fe</w:t>
      </w:r>
      <w:r w:rsidRPr="00E03E1D">
        <w:rPr>
          <w:b/>
          <w:smallCaps/>
          <w:sz w:val="22"/>
          <w:szCs w:val="22"/>
        </w:rPr>
        <w:t>l</w:t>
      </w:r>
      <w:r w:rsidRPr="00E03E1D">
        <w:rPr>
          <w:b/>
          <w:smallCaps/>
          <w:sz w:val="22"/>
          <w:szCs w:val="22"/>
        </w:rPr>
        <w:t>fejlesztés időigénye újabb támogatási holtidőszakot okozhat</w:t>
      </w:r>
    </w:p>
    <w:p w:rsidR="00D16DA5" w:rsidRPr="00E03E1D" w:rsidRDefault="00D16DA5" w:rsidP="00D16DA5">
      <w:pPr>
        <w:pStyle w:val="AAMNormal"/>
        <w:ind w:left="360"/>
      </w:pPr>
      <w:r w:rsidRPr="00E03E1D">
        <w:rPr>
          <w:b/>
          <w:u w:val="single"/>
        </w:rPr>
        <w:t>Javaslat 4.1:</w:t>
      </w:r>
      <w:r w:rsidRPr="00E03E1D">
        <w:t xml:space="preserve"> Az ÚMVP forrásai olyan mértékben kerültek lekötésre, ami a 2010-2013</w:t>
      </w:r>
      <w:r w:rsidR="00CC5E76">
        <w:t>.</w:t>
      </w:r>
      <w:r w:rsidRPr="00E03E1D">
        <w:t xml:space="preserve"> években a vidé</w:t>
      </w:r>
      <w:r w:rsidRPr="00E03E1D">
        <w:t>k</w:t>
      </w:r>
      <w:r w:rsidRPr="00E03E1D">
        <w:t>fejlesztési támogatások drasztikus visszaesését okozza majd. Így ugyan a fejlesztések gyorsabban val</w:t>
      </w:r>
      <w:r w:rsidRPr="00E03E1D">
        <w:t>ó</w:t>
      </w:r>
      <w:r w:rsidRPr="00E03E1D">
        <w:t>sulnak meg a tervezettnél, de nehezebb lesz a 2010-2013</w:t>
      </w:r>
      <w:r w:rsidR="00CC5E76">
        <w:t>.</w:t>
      </w:r>
      <w:r w:rsidRPr="00E03E1D">
        <w:t xml:space="preserve"> időszak kihívásaira, igényeire reagálni</w:t>
      </w:r>
      <w:r>
        <w:t>a a v</w:t>
      </w:r>
      <w:r>
        <w:t>i</w:t>
      </w:r>
      <w:r>
        <w:t>dékfejlesztési politikának ebben az időszakban</w:t>
      </w:r>
      <w:r w:rsidRPr="00E03E1D">
        <w:t xml:space="preserve">. </w:t>
      </w:r>
      <w:r>
        <w:t>Ennek fényében</w:t>
      </w:r>
      <w:r w:rsidRPr="00E03E1D">
        <w:t xml:space="preserve"> </w:t>
      </w:r>
      <w:r>
        <w:t xml:space="preserve">érdemes már </w:t>
      </w:r>
      <w:r w:rsidRPr="00E03E1D">
        <w:t>a 2014-2020</w:t>
      </w:r>
      <w:r w:rsidR="00CC5E76">
        <w:t>.</w:t>
      </w:r>
      <w:r w:rsidRPr="00E03E1D">
        <w:t xml:space="preserve"> időszakra való felkészülés</w:t>
      </w:r>
      <w:r>
        <w:t>re fókuszálni</w:t>
      </w:r>
      <w:r w:rsidRPr="00E03E1D">
        <w:t>. Meg kell teremteni annak minden feltételét, hogy 2014</w:t>
      </w:r>
      <w:r w:rsidR="00CC5E76">
        <w:t>.</w:t>
      </w:r>
      <w:r w:rsidRPr="00E03E1D">
        <w:t xml:space="preserve"> elejétől az új KAP források a kulcsterületeken, lebonyolítási kompromisszumok nélkül felhasználhatók legyenek.</w:t>
      </w:r>
    </w:p>
    <w:p w:rsidR="00D16DA5" w:rsidRPr="00E03E1D" w:rsidRDefault="00D16DA5" w:rsidP="00D16DA5">
      <w:pPr>
        <w:pStyle w:val="AAMNormal"/>
        <w:ind w:left="360"/>
      </w:pPr>
      <w:r w:rsidRPr="00E03E1D">
        <w:rPr>
          <w:b/>
          <w:u w:val="single"/>
        </w:rPr>
        <w:t>Javaslat 4.2:</w:t>
      </w:r>
      <w:r w:rsidRPr="00E03E1D">
        <w:t xml:space="preserve"> A 2014</w:t>
      </w:r>
      <w:r w:rsidR="00CC5E76">
        <w:t>.</w:t>
      </w:r>
      <w:r w:rsidRPr="00E03E1D">
        <w:t xml:space="preserve"> utáni időszak lebonyolításának kulcselemei lehetnek a </w:t>
      </w:r>
      <w:proofErr w:type="spellStart"/>
      <w:r w:rsidRPr="00E03E1D">
        <w:t>HACS-ok</w:t>
      </w:r>
      <w:proofErr w:type="spellEnd"/>
      <w:r w:rsidRPr="00E03E1D">
        <w:t xml:space="preserve">. Azonban a </w:t>
      </w:r>
      <w:proofErr w:type="spellStart"/>
      <w:r w:rsidRPr="00E03E1D">
        <w:t>HACS-ok</w:t>
      </w:r>
      <w:proofErr w:type="spellEnd"/>
      <w:r w:rsidRPr="00E03E1D">
        <w:t xml:space="preserve"> beavatkozás hiányában érdemi feladatok nélkül maradnak 2014-ig, mivel a fejlesztések támogatás</w:t>
      </w:r>
      <w:r w:rsidRPr="00E03E1D">
        <w:t>á</w:t>
      </w:r>
      <w:r w:rsidRPr="00E03E1D">
        <w:t xml:space="preserve">ra felhasználható forrásaik a legtöbb esetben 2011-2012-ben kimerülnek. Amennyiben a </w:t>
      </w:r>
      <w:proofErr w:type="spellStart"/>
      <w:r w:rsidRPr="00E03E1D">
        <w:t>HACS-ok</w:t>
      </w:r>
      <w:proofErr w:type="spellEnd"/>
      <w:r w:rsidRPr="00E03E1D">
        <w:t xml:space="preserve"> é</w:t>
      </w:r>
      <w:r w:rsidRPr="00E03E1D">
        <w:t>r</w:t>
      </w:r>
      <w:r w:rsidRPr="00E03E1D">
        <w:t>demi mozgástér nélkül maradnak a támogatások felosztásánál, a lassan megindult folyamat visszafo</w:t>
      </w:r>
      <w:r w:rsidRPr="00E03E1D">
        <w:t>r</w:t>
      </w:r>
      <w:r w:rsidRPr="00E03E1D">
        <w:t>dulhat, és a helyi kormányzás jelentősége újra csökkenni fog. Javasolt ezért az ÚMFT intézményrendsz</w:t>
      </w:r>
      <w:r w:rsidRPr="00E03E1D">
        <w:t>e</w:t>
      </w:r>
      <w:r w:rsidRPr="00E03E1D">
        <w:t xml:space="preserve">rével egyeztetni annak lehetőségéről, hogy a </w:t>
      </w:r>
      <w:proofErr w:type="spellStart"/>
      <w:r w:rsidRPr="00E03E1D">
        <w:t>HACS-ok</w:t>
      </w:r>
      <w:proofErr w:type="spellEnd"/>
      <w:r w:rsidRPr="00E03E1D">
        <w:t xml:space="preserve"> közvetetett támogatásokért pályázhassanak az ÚMFT számukra elkülönített keretére, hogy aztán az elnyert forrást saját eljárásrend kialakítása mellett a hozzájuk benyújtott fejlesztések finanszírozására fordíthassák. Ezzel párhuzamosan felül kell vizsgálni az ÚMFT</w:t>
      </w:r>
      <w:r>
        <w:t>,</w:t>
      </w:r>
      <w:r w:rsidRPr="00E03E1D">
        <w:t xml:space="preserve"> és az ÚMVP lehatárolását, hogy a vidéki területek hátrányát a forrásallokációban csökkenteni lehessen.</w:t>
      </w:r>
    </w:p>
    <w:p w:rsidR="00D16DA5" w:rsidRPr="00E03E1D" w:rsidRDefault="00D16DA5" w:rsidP="00D16DA5">
      <w:pPr>
        <w:pStyle w:val="AAMNormal"/>
        <w:ind w:left="360"/>
      </w:pPr>
      <w:r w:rsidRPr="00E03E1D">
        <w:rPr>
          <w:b/>
          <w:u w:val="single"/>
        </w:rPr>
        <w:t>Javaslat 4.3:</w:t>
      </w:r>
      <w:r w:rsidRPr="00E03E1D">
        <w:t xml:space="preserve"> A III</w:t>
      </w:r>
      <w:r w:rsidR="00CC5E76">
        <w:t>.</w:t>
      </w:r>
      <w:r w:rsidRPr="00E03E1D">
        <w:t xml:space="preserve"> tengely végrehajtásánál indokolt a horizontális lebonyolítású intézkedések körét felü</w:t>
      </w:r>
      <w:r w:rsidRPr="00E03E1D">
        <w:t>l</w:t>
      </w:r>
      <w:r w:rsidRPr="00E03E1D">
        <w:t xml:space="preserve">vizsgálni, és ahol lehetséges, a </w:t>
      </w:r>
      <w:proofErr w:type="spellStart"/>
      <w:r w:rsidRPr="00E03E1D">
        <w:t>HACS-ok</w:t>
      </w:r>
      <w:proofErr w:type="spellEnd"/>
      <w:r w:rsidRPr="00E03E1D">
        <w:t xml:space="preserve"> helyismeretére, projektgeneráló tevékenységére támas</w:t>
      </w:r>
      <w:r w:rsidRPr="00E03E1D">
        <w:t>z</w:t>
      </w:r>
      <w:r w:rsidRPr="00E03E1D">
        <w:t xml:space="preserve">kodni. Az Integrált Közösségi Szolgáltató Terek, illetve a </w:t>
      </w:r>
      <w:proofErr w:type="gramStart"/>
      <w:r w:rsidRPr="00E03E1D">
        <w:t>Diverzifikáció intézkedésnél</w:t>
      </w:r>
      <w:proofErr w:type="gramEnd"/>
      <w:r w:rsidRPr="00E03E1D">
        <w:t xml:space="preserve"> a </w:t>
      </w:r>
      <w:proofErr w:type="spellStart"/>
      <w:r w:rsidRPr="00E03E1D">
        <w:t>HACS-ok</w:t>
      </w:r>
      <w:proofErr w:type="spellEnd"/>
      <w:r w:rsidRPr="00E03E1D">
        <w:t xml:space="preserve"> szere</w:t>
      </w:r>
      <w:r w:rsidRPr="00E03E1D">
        <w:t>p</w:t>
      </w:r>
      <w:r w:rsidRPr="00E03E1D">
        <w:t>vállalása mindenképpen indokolt lenne.</w:t>
      </w:r>
    </w:p>
    <w:p w:rsidR="00D16DA5" w:rsidRPr="00E03E1D" w:rsidRDefault="00D16DA5" w:rsidP="00D16DA5">
      <w:pPr>
        <w:pStyle w:val="AAMNormal"/>
        <w:ind w:left="360"/>
      </w:pPr>
      <w:r w:rsidRPr="00E03E1D">
        <w:rPr>
          <w:b/>
          <w:u w:val="single"/>
        </w:rPr>
        <w:t>Javaslat 4.4:</w:t>
      </w:r>
      <w:r w:rsidRPr="00E03E1D">
        <w:rPr>
          <w:b/>
        </w:rPr>
        <w:t xml:space="preserve"> </w:t>
      </w:r>
      <w:r w:rsidRPr="00E03E1D">
        <w:t>Javasoljuk egy olyan TS finanszírozási terv elkészítését, amely feltárja a várható reális köl</w:t>
      </w:r>
      <w:r w:rsidRPr="00E03E1D">
        <w:t>t</w:t>
      </w:r>
      <w:r w:rsidRPr="00E03E1D">
        <w:t>ségeket 2013-ig</w:t>
      </w:r>
      <w:r>
        <w:t>,</w:t>
      </w:r>
      <w:r w:rsidRPr="00E03E1D">
        <w:t xml:space="preserve"> és rendezi az egyes intézmények megmaradó/hiányzó kereteinek sorsát. Ezáltal elk</w:t>
      </w:r>
      <w:r w:rsidRPr="00E03E1D">
        <w:t>e</w:t>
      </w:r>
      <w:r w:rsidRPr="00E03E1D">
        <w:t>rülhető, hogy az ÚMVP lebonyolításában résztvevő szervezetek tapasztalt munkatársai elhagyják az i</w:t>
      </w:r>
      <w:r w:rsidRPr="00E03E1D">
        <w:t>n</w:t>
      </w:r>
      <w:r w:rsidRPr="00E03E1D">
        <w:t>tézményrendszert a 2014-es új tervezési ciklus előtt.</w:t>
      </w:r>
    </w:p>
    <w:p w:rsidR="00D16DA5" w:rsidRPr="00E03E1D" w:rsidRDefault="00D16DA5" w:rsidP="00D5521F">
      <w:pPr>
        <w:pStyle w:val="AAMNormal"/>
        <w:numPr>
          <w:ilvl w:val="0"/>
          <w:numId w:val="29"/>
        </w:numPr>
        <w:rPr>
          <w:b/>
          <w:smallCaps/>
          <w:sz w:val="22"/>
          <w:szCs w:val="22"/>
        </w:rPr>
      </w:pPr>
      <w:r w:rsidRPr="00E03E1D">
        <w:rPr>
          <w:b/>
          <w:smallCaps/>
          <w:sz w:val="22"/>
          <w:szCs w:val="22"/>
        </w:rPr>
        <w:t>Átfogó javaslat 5</w:t>
      </w:r>
      <w:proofErr w:type="gramStart"/>
      <w:r w:rsidRPr="00E03E1D">
        <w:rPr>
          <w:b/>
          <w:smallCaps/>
          <w:sz w:val="22"/>
          <w:szCs w:val="22"/>
        </w:rPr>
        <w:t>.:</w:t>
      </w:r>
      <w:proofErr w:type="gramEnd"/>
      <w:r w:rsidRPr="00E03E1D">
        <w:rPr>
          <w:b/>
          <w:smallCaps/>
          <w:sz w:val="22"/>
          <w:szCs w:val="22"/>
        </w:rPr>
        <w:t xml:space="preserve"> Az eljárásrend részleges átalakításával a jövőben az egyes fejlesztéstíp</w:t>
      </w:r>
      <w:r w:rsidRPr="00E03E1D">
        <w:rPr>
          <w:b/>
          <w:smallCaps/>
          <w:sz w:val="22"/>
          <w:szCs w:val="22"/>
        </w:rPr>
        <w:t>u</w:t>
      </w:r>
      <w:r w:rsidRPr="00E03E1D">
        <w:rPr>
          <w:b/>
          <w:smallCaps/>
          <w:sz w:val="22"/>
          <w:szCs w:val="22"/>
        </w:rPr>
        <w:t>sokhoz jobban igazodó bírálati eljárásokat kell alkalmazni</w:t>
      </w:r>
    </w:p>
    <w:p w:rsidR="00D16DA5" w:rsidRPr="00E03E1D" w:rsidRDefault="00D16DA5" w:rsidP="00D16DA5">
      <w:pPr>
        <w:pStyle w:val="AAMNormal"/>
        <w:ind w:left="360"/>
      </w:pPr>
      <w:r w:rsidRPr="00E03E1D">
        <w:rPr>
          <w:b/>
          <w:u w:val="single"/>
        </w:rPr>
        <w:t>Javaslat 5.1:</w:t>
      </w:r>
      <w:r w:rsidRPr="00E03E1D">
        <w:t xml:space="preserve"> A nagyléptékű beruházásoknál (100 m Ft felett) indokolt az üzleti terv, építési tervdok</w:t>
      </w:r>
      <w:r w:rsidRPr="00E03E1D">
        <w:t>u</w:t>
      </w:r>
      <w:r w:rsidRPr="00E03E1D">
        <w:t>mentáció, technológiai terv szakértői bírálatát minden intézkedésnél a bírálat részévé tenni. Ehhez mi</w:t>
      </w:r>
      <w:r w:rsidRPr="00E03E1D">
        <w:t>n</w:t>
      </w:r>
      <w:r w:rsidRPr="00E03E1D">
        <w:t>den, ezt a nagyságrendet meghaladó projektnél az ÚMVP eredeti előírásainak is jobban megfelelő kom</w:t>
      </w:r>
      <w:r w:rsidRPr="00E03E1D">
        <w:t>p</w:t>
      </w:r>
      <w:r w:rsidRPr="00E03E1D">
        <w:t xml:space="preserve">lex üzleti tervet, az építési beruházásokhoz részletesebb tervdokumentációt, a </w:t>
      </w:r>
      <w:proofErr w:type="gramStart"/>
      <w:r w:rsidRPr="00E03E1D">
        <w:t>technológia korszerűs</w:t>
      </w:r>
      <w:r w:rsidRPr="00E03E1D">
        <w:t>í</w:t>
      </w:r>
      <w:r w:rsidRPr="00E03E1D">
        <w:t>téshez</w:t>
      </w:r>
      <w:proofErr w:type="gramEnd"/>
      <w:r w:rsidRPr="00E03E1D">
        <w:t xml:space="preserve"> technológiai leírást kell </w:t>
      </w:r>
      <w:r>
        <w:t>bekérni</w:t>
      </w:r>
      <w:r w:rsidRPr="00E03E1D">
        <w:t>.</w:t>
      </w:r>
    </w:p>
    <w:p w:rsidR="00D16DA5" w:rsidRPr="00E03E1D" w:rsidRDefault="00D16DA5" w:rsidP="00D16DA5">
      <w:pPr>
        <w:pStyle w:val="AAMNormal"/>
        <w:ind w:left="360"/>
      </w:pPr>
      <w:r w:rsidRPr="00E03E1D">
        <w:rPr>
          <w:b/>
          <w:u w:val="single"/>
        </w:rPr>
        <w:t>Javaslat 5.2:</w:t>
      </w:r>
      <w:r w:rsidRPr="00E03E1D">
        <w:t xml:space="preserve"> A komplex területfejlesztési projektek (III-IV</w:t>
      </w:r>
      <w:r w:rsidR="00CC5E76">
        <w:t>.</w:t>
      </w:r>
      <w:r w:rsidRPr="00E03E1D">
        <w:t xml:space="preserve"> tengely) bírálatánál csökkenteni kell a norm</w:t>
      </w:r>
      <w:r w:rsidRPr="00E03E1D">
        <w:t>a</w:t>
      </w:r>
      <w:r w:rsidRPr="00E03E1D">
        <w:t xml:space="preserve">tív szempontok arányát, és növelni kell azokat, melyek </w:t>
      </w:r>
      <w:proofErr w:type="gramStart"/>
      <w:r w:rsidRPr="00E03E1D">
        <w:t>segítségével</w:t>
      </w:r>
      <w:proofErr w:type="gramEnd"/>
      <w:r w:rsidRPr="00E03E1D">
        <w:t xml:space="preserve"> a helyismerettel rendelkező </w:t>
      </w:r>
      <w:proofErr w:type="spellStart"/>
      <w:r w:rsidRPr="00E03E1D">
        <w:t>HACS-ok</w:t>
      </w:r>
      <w:proofErr w:type="spellEnd"/>
      <w:r w:rsidRPr="00E03E1D">
        <w:t xml:space="preserve"> területfejlesztési szempontjai érvényesülhetnek. </w:t>
      </w:r>
    </w:p>
    <w:p w:rsidR="00D16DA5" w:rsidRDefault="00D16DA5" w:rsidP="00D16DA5">
      <w:pPr>
        <w:pStyle w:val="AAMNormal"/>
        <w:ind w:left="360"/>
      </w:pPr>
      <w:r w:rsidRPr="00E03E1D">
        <w:rPr>
          <w:b/>
          <w:u w:val="single"/>
        </w:rPr>
        <w:t>Javaslat 5.3:</w:t>
      </w:r>
      <w:r w:rsidRPr="00E03E1D">
        <w:t xml:space="preserve"> A LEADER tengely pályázatainak eljárásrendjét (főleg az elszámolható költségek szabály</w:t>
      </w:r>
      <w:r w:rsidRPr="00E03E1D">
        <w:t>o</w:t>
      </w:r>
      <w:r w:rsidRPr="00E03E1D">
        <w:t xml:space="preserve">zását) rugalmasabb, az egyedi, innovatív projektek igényeihez igazodó új szabályozással kell kiváltani a </w:t>
      </w:r>
      <w:r w:rsidRPr="00E03E1D">
        <w:lastRenderedPageBreak/>
        <w:t>LEADER projektektől elvárható komplex helyi közösség</w:t>
      </w:r>
      <w:r>
        <w:t>,</w:t>
      </w:r>
      <w:r w:rsidRPr="00E03E1D">
        <w:t xml:space="preserve"> és gazdaságfejlesztés megvalósulása érdek</w:t>
      </w:r>
      <w:r w:rsidRPr="00E03E1D">
        <w:t>é</w:t>
      </w:r>
      <w:r w:rsidRPr="00E03E1D">
        <w:t>ben.</w:t>
      </w:r>
    </w:p>
    <w:p w:rsidR="00D16DA5" w:rsidRDefault="00D16DA5" w:rsidP="00D16DA5">
      <w:pPr>
        <w:pStyle w:val="AAMNormal"/>
        <w:ind w:left="360"/>
      </w:pPr>
      <w:r w:rsidRPr="00F919A9">
        <w:rPr>
          <w:b/>
          <w:u w:val="single"/>
        </w:rPr>
        <w:t>Javaslat 5.4</w:t>
      </w:r>
      <w:r>
        <w:t xml:space="preserve">: A </w:t>
      </w:r>
      <w:proofErr w:type="spellStart"/>
      <w:r>
        <w:t>HACS-ok</w:t>
      </w:r>
      <w:proofErr w:type="spellEnd"/>
      <w:r>
        <w:t xml:space="preserve"> teljesítményértékelési, szankcionálási és finanszírozási rendszerének átalakít</w:t>
      </w:r>
      <w:r>
        <w:t>á</w:t>
      </w:r>
      <w:r>
        <w:t xml:space="preserve">sa az akciócsoportok pénzügyi mozgásterének növelése (valós fejlesztési tevékenységekhez kapacitás, tapasztalatcsere, önfejlesztés, stb.) érdekében. </w:t>
      </w:r>
    </w:p>
    <w:p w:rsidR="009D0BC3" w:rsidRPr="009D0BC3" w:rsidRDefault="009D0BC3" w:rsidP="00D16DA5">
      <w:pPr>
        <w:pStyle w:val="AAMNormal"/>
        <w:ind w:left="360"/>
      </w:pPr>
      <w:r>
        <w:rPr>
          <w:b/>
          <w:u w:val="single"/>
        </w:rPr>
        <w:t>Javaslat 5</w:t>
      </w:r>
      <w:r w:rsidRPr="009D0BC3">
        <w:rPr>
          <w:b/>
          <w:u w:val="single"/>
        </w:rPr>
        <w:t>.5</w:t>
      </w:r>
      <w:proofErr w:type="gramStart"/>
      <w:r w:rsidRPr="009D0BC3">
        <w:rPr>
          <w:b/>
          <w:u w:val="single"/>
        </w:rPr>
        <w:t>.</w:t>
      </w:r>
      <w:r>
        <w:rPr>
          <w:b/>
          <w:u w:val="single"/>
        </w:rPr>
        <w:t>:</w:t>
      </w:r>
      <w:proofErr w:type="gramEnd"/>
      <w:r w:rsidRPr="009D0BC3">
        <w:rPr>
          <w:b/>
        </w:rPr>
        <w:t xml:space="preserve"> </w:t>
      </w:r>
      <w:r w:rsidRPr="009D0BC3">
        <w:t>A</w:t>
      </w:r>
      <w:r>
        <w:t xml:space="preserve">z átfutási idők és a kapacitások rendszeres </w:t>
      </w:r>
      <w:proofErr w:type="spellStart"/>
      <w:r>
        <w:t>monitoringján</w:t>
      </w:r>
      <w:proofErr w:type="spellEnd"/>
      <w:r>
        <w:t xml:space="preserve"> keresztül szükséges biztosítani az információs hátteret azokhoz a kapacitásallokációs döntésekhez, amelyekkel az elmúlt időszak jele</w:t>
      </w:r>
      <w:r>
        <w:t>n</w:t>
      </w:r>
      <w:r>
        <w:t>tős határidőcsúszásai kiküszöbölhetőek.</w:t>
      </w:r>
    </w:p>
    <w:p w:rsidR="00D16DA5" w:rsidRPr="00E03E1D" w:rsidRDefault="00D16DA5" w:rsidP="00D5521F">
      <w:pPr>
        <w:pStyle w:val="AAMNormal"/>
        <w:numPr>
          <w:ilvl w:val="0"/>
          <w:numId w:val="29"/>
        </w:numPr>
        <w:rPr>
          <w:b/>
          <w:smallCaps/>
          <w:sz w:val="22"/>
          <w:szCs w:val="22"/>
        </w:rPr>
      </w:pPr>
      <w:r w:rsidRPr="00E03E1D">
        <w:rPr>
          <w:b/>
          <w:smallCaps/>
          <w:sz w:val="22"/>
          <w:szCs w:val="22"/>
        </w:rPr>
        <w:t>Átfogó javaslat 6</w:t>
      </w:r>
      <w:proofErr w:type="gramStart"/>
      <w:r w:rsidRPr="00E03E1D">
        <w:rPr>
          <w:b/>
          <w:smallCaps/>
          <w:sz w:val="22"/>
          <w:szCs w:val="22"/>
        </w:rPr>
        <w:t>.:</w:t>
      </w:r>
      <w:proofErr w:type="gramEnd"/>
      <w:r w:rsidRPr="00E03E1D">
        <w:rPr>
          <w:b/>
          <w:smallCaps/>
          <w:sz w:val="22"/>
          <w:szCs w:val="22"/>
        </w:rPr>
        <w:t xml:space="preserve"> A </w:t>
      </w:r>
      <w:proofErr w:type="spellStart"/>
      <w:r w:rsidRPr="00E03E1D">
        <w:rPr>
          <w:b/>
          <w:smallCaps/>
          <w:sz w:val="22"/>
          <w:szCs w:val="22"/>
        </w:rPr>
        <w:t>HACS-ok</w:t>
      </w:r>
      <w:proofErr w:type="spellEnd"/>
      <w:r w:rsidRPr="00E03E1D">
        <w:rPr>
          <w:b/>
          <w:smallCaps/>
          <w:sz w:val="22"/>
          <w:szCs w:val="22"/>
        </w:rPr>
        <w:t xml:space="preserve"> közösségfejlesztő, projektgeneráló, helyi gazdaságfejlesztő t</w:t>
      </w:r>
      <w:r w:rsidRPr="00E03E1D">
        <w:rPr>
          <w:b/>
          <w:smallCaps/>
          <w:sz w:val="22"/>
          <w:szCs w:val="22"/>
        </w:rPr>
        <w:t>e</w:t>
      </w:r>
      <w:r w:rsidRPr="00E03E1D">
        <w:rPr>
          <w:b/>
          <w:smallCaps/>
          <w:sz w:val="22"/>
          <w:szCs w:val="22"/>
        </w:rPr>
        <w:t xml:space="preserve">vékenységének megerősítése szükséges. Ennek keretében érdemes felülvizsgálni részvételük mértékét a kérelemkezelési eljárásban. </w:t>
      </w:r>
    </w:p>
    <w:p w:rsidR="00D16DA5" w:rsidRPr="00E03E1D" w:rsidRDefault="00D16DA5" w:rsidP="00D16DA5">
      <w:pPr>
        <w:pStyle w:val="AAMNormal"/>
        <w:ind w:left="360"/>
      </w:pPr>
      <w:r w:rsidRPr="00E03E1D">
        <w:rPr>
          <w:b/>
          <w:u w:val="single"/>
        </w:rPr>
        <w:t>Javaslat 6.1:</w:t>
      </w:r>
      <w:r w:rsidRPr="00E03E1D">
        <w:t xml:space="preserve"> </w:t>
      </w:r>
      <w:r>
        <w:t xml:space="preserve">Az </w:t>
      </w:r>
      <w:proofErr w:type="spellStart"/>
      <w:r>
        <w:t>MNVH-n</w:t>
      </w:r>
      <w:proofErr w:type="spellEnd"/>
      <w:r>
        <w:t xml:space="preserve"> képzési tevékenységén és a HACS munkaszervezete és partnersége által igénybe vehető testre szabott képzések finanszírozási lehetőségének megteremtésén keresztül meg kell erősíteni a </w:t>
      </w:r>
      <w:proofErr w:type="spellStart"/>
      <w:r>
        <w:t>HACS-ok</w:t>
      </w:r>
      <w:proofErr w:type="spellEnd"/>
      <w:r>
        <w:t xml:space="preserve"> ismereteit, és készségeit a vidékfejlesztés szempontjából fontos területeken és s</w:t>
      </w:r>
      <w:r>
        <w:t>e</w:t>
      </w:r>
      <w:r>
        <w:t>gíteni kell a tevékenységüket elsősorban a helyi gazdaság (</w:t>
      </w:r>
      <w:proofErr w:type="spellStart"/>
      <w:r>
        <w:t>LEADER-szerű</w:t>
      </w:r>
      <w:proofErr w:type="spellEnd"/>
      <w:r>
        <w:t>) fejlesztéséhez szükséges i</w:t>
      </w:r>
      <w:r>
        <w:t>n</w:t>
      </w:r>
      <w:r>
        <w:t xml:space="preserve">formációkkal, </w:t>
      </w:r>
      <w:proofErr w:type="spellStart"/>
      <w:r>
        <w:t>mentorálással</w:t>
      </w:r>
      <w:proofErr w:type="spellEnd"/>
      <w:r>
        <w:t>.</w:t>
      </w:r>
    </w:p>
    <w:p w:rsidR="00D16DA5" w:rsidRPr="00E03E1D" w:rsidRDefault="00D16DA5" w:rsidP="00D16DA5">
      <w:pPr>
        <w:pStyle w:val="AAMNormal"/>
        <w:ind w:left="360"/>
      </w:pPr>
      <w:r w:rsidRPr="00E03E1D">
        <w:rPr>
          <w:b/>
          <w:u w:val="single"/>
        </w:rPr>
        <w:t>Javaslat 6.2:</w:t>
      </w:r>
      <w:r w:rsidRPr="00E03E1D">
        <w:t xml:space="preserve"> A </w:t>
      </w:r>
      <w:proofErr w:type="spellStart"/>
      <w:r w:rsidRPr="00E03E1D">
        <w:t>HACS-ok</w:t>
      </w:r>
      <w:proofErr w:type="spellEnd"/>
      <w:r w:rsidRPr="00E03E1D">
        <w:t xml:space="preserve"> bevonásával kell döntést hozni a </w:t>
      </w:r>
      <w:proofErr w:type="spellStart"/>
      <w:r w:rsidRPr="00E03E1D">
        <w:t>HACS-ok</w:t>
      </w:r>
      <w:proofErr w:type="spellEnd"/>
      <w:r w:rsidRPr="00E03E1D">
        <w:t xml:space="preserve"> kérelemkezelésben betöltött szerep</w:t>
      </w:r>
      <w:r w:rsidRPr="00E03E1D">
        <w:t>é</w:t>
      </w:r>
      <w:r w:rsidRPr="00E03E1D">
        <w:t xml:space="preserve">ről, megvizsgálva azt is, hogy képes-e az MVH átvenni a feladatokat. Bármilyen megoldás is szülessen ezen a téren, arra kell törekedni, hogy a </w:t>
      </w:r>
      <w:proofErr w:type="spellStart"/>
      <w:r w:rsidRPr="00E03E1D">
        <w:t>HACS-ok</w:t>
      </w:r>
      <w:proofErr w:type="spellEnd"/>
      <w:r w:rsidRPr="00E03E1D">
        <w:t xml:space="preserve"> döntési jogköre bővüljön (a kérelemkezelés nem egyenlő a döntéssel), illetve a </w:t>
      </w:r>
      <w:proofErr w:type="spellStart"/>
      <w:r w:rsidRPr="00E03E1D">
        <w:t>HACS-ok</w:t>
      </w:r>
      <w:proofErr w:type="spellEnd"/>
      <w:r w:rsidRPr="00E03E1D">
        <w:t xml:space="preserve"> vidékfejlesztés céljaira mozgósítható erőforrásai (létszám, köl</w:t>
      </w:r>
      <w:r w:rsidRPr="00E03E1D">
        <w:t>t</w:t>
      </w:r>
      <w:r w:rsidRPr="00E03E1D">
        <w:t>ségkeret) ne csökkenjenek.</w:t>
      </w:r>
    </w:p>
    <w:p w:rsidR="00D16DA5" w:rsidRPr="00E03E1D" w:rsidRDefault="00D16DA5" w:rsidP="00D5521F">
      <w:pPr>
        <w:pStyle w:val="AAMNormal"/>
        <w:numPr>
          <w:ilvl w:val="0"/>
          <w:numId w:val="29"/>
        </w:numPr>
        <w:rPr>
          <w:b/>
          <w:smallCaps/>
          <w:sz w:val="22"/>
          <w:szCs w:val="22"/>
        </w:rPr>
      </w:pPr>
      <w:r w:rsidRPr="00E03E1D">
        <w:rPr>
          <w:b/>
          <w:smallCaps/>
          <w:sz w:val="22"/>
          <w:szCs w:val="22"/>
        </w:rPr>
        <w:t>Átfogó javaslat 7</w:t>
      </w:r>
      <w:proofErr w:type="gramStart"/>
      <w:r w:rsidRPr="00E03E1D">
        <w:rPr>
          <w:b/>
          <w:smallCaps/>
          <w:sz w:val="22"/>
          <w:szCs w:val="22"/>
        </w:rPr>
        <w:t>.:</w:t>
      </w:r>
      <w:proofErr w:type="gramEnd"/>
      <w:r w:rsidRPr="00E03E1D">
        <w:rPr>
          <w:b/>
          <w:smallCaps/>
          <w:sz w:val="22"/>
          <w:szCs w:val="22"/>
        </w:rPr>
        <w:t xml:space="preserve"> A III</w:t>
      </w:r>
      <w:r w:rsidR="00CC5E76">
        <w:rPr>
          <w:b/>
          <w:smallCaps/>
          <w:sz w:val="22"/>
          <w:szCs w:val="22"/>
        </w:rPr>
        <w:t>.</w:t>
      </w:r>
      <w:r w:rsidRPr="00E03E1D">
        <w:rPr>
          <w:b/>
          <w:smallCaps/>
          <w:sz w:val="22"/>
          <w:szCs w:val="22"/>
        </w:rPr>
        <w:t>, IV</w:t>
      </w:r>
      <w:r w:rsidR="00CC5E76">
        <w:rPr>
          <w:b/>
          <w:smallCaps/>
          <w:sz w:val="22"/>
          <w:szCs w:val="22"/>
        </w:rPr>
        <w:t>.</w:t>
      </w:r>
      <w:r w:rsidRPr="00E03E1D">
        <w:rPr>
          <w:b/>
          <w:smallCaps/>
          <w:sz w:val="22"/>
          <w:szCs w:val="22"/>
        </w:rPr>
        <w:t xml:space="preserve"> tengelyben fokozottabban kell támaszkodni a </w:t>
      </w:r>
      <w:proofErr w:type="spellStart"/>
      <w:r w:rsidRPr="00E03E1D">
        <w:rPr>
          <w:b/>
          <w:smallCaps/>
          <w:sz w:val="22"/>
          <w:szCs w:val="22"/>
        </w:rPr>
        <w:t>HACS-ok</w:t>
      </w:r>
      <w:proofErr w:type="spellEnd"/>
      <w:r w:rsidRPr="00E03E1D">
        <w:rPr>
          <w:b/>
          <w:smallCaps/>
          <w:sz w:val="22"/>
          <w:szCs w:val="22"/>
        </w:rPr>
        <w:t xml:space="preserve"> helyismer</w:t>
      </w:r>
      <w:r w:rsidRPr="00E03E1D">
        <w:rPr>
          <w:b/>
          <w:smallCaps/>
          <w:sz w:val="22"/>
          <w:szCs w:val="22"/>
        </w:rPr>
        <w:t>e</w:t>
      </w:r>
      <w:r w:rsidRPr="00E03E1D">
        <w:rPr>
          <w:b/>
          <w:smallCaps/>
          <w:sz w:val="22"/>
          <w:szCs w:val="22"/>
        </w:rPr>
        <w:t>tére a projektek relevanciájának növelése érdekében</w:t>
      </w:r>
    </w:p>
    <w:p w:rsidR="00D16DA5" w:rsidRPr="00F919A9" w:rsidRDefault="00D16DA5" w:rsidP="00D16DA5">
      <w:pPr>
        <w:pStyle w:val="AAMNormal"/>
        <w:ind w:left="360"/>
        <w:rPr>
          <w:b/>
          <w:u w:val="single"/>
        </w:rPr>
      </w:pPr>
      <w:r w:rsidRPr="00E03E1D">
        <w:rPr>
          <w:b/>
          <w:u w:val="single"/>
        </w:rPr>
        <w:t>Javaslat 7.1:</w:t>
      </w:r>
      <w:r w:rsidRPr="00F919A9">
        <w:rPr>
          <w:b/>
          <w:u w:val="single"/>
        </w:rPr>
        <w:t xml:space="preserve"> </w:t>
      </w:r>
      <w:r w:rsidRPr="00F919A9">
        <w:t>A III</w:t>
      </w:r>
      <w:r w:rsidR="00CC5E76">
        <w:t>.</w:t>
      </w:r>
      <w:r w:rsidRPr="00F919A9">
        <w:t xml:space="preserve"> tengely jogcímeinél növelni kell a </w:t>
      </w:r>
      <w:proofErr w:type="spellStart"/>
      <w:r w:rsidRPr="00F919A9">
        <w:t>HACS-ok</w:t>
      </w:r>
      <w:proofErr w:type="spellEnd"/>
      <w:r w:rsidRPr="00F919A9">
        <w:t xml:space="preserve"> döntési mozgásterét, hogy helyismeretük segítségével prioritást élvezzenek azok a kérelmek, amelyek valóban illeszkednek a Helyi Vidékfejles</w:t>
      </w:r>
      <w:r w:rsidRPr="00F919A9">
        <w:t>z</w:t>
      </w:r>
      <w:r w:rsidRPr="00F919A9">
        <w:t xml:space="preserve">tési Stratégiához, nem csak szövegükben utalnak arra. Ez megvalósulhat a </w:t>
      </w:r>
      <w:proofErr w:type="spellStart"/>
      <w:r w:rsidRPr="00F919A9">
        <w:t>HACS-ok</w:t>
      </w:r>
      <w:proofErr w:type="spellEnd"/>
      <w:r w:rsidRPr="00F919A9">
        <w:t xml:space="preserve"> által befolyásolt b</w:t>
      </w:r>
      <w:r w:rsidRPr="00F919A9">
        <w:t>í</w:t>
      </w:r>
      <w:r w:rsidRPr="00F919A9">
        <w:t xml:space="preserve">rálati pontszámok emelésével, illetve a </w:t>
      </w:r>
      <w:proofErr w:type="spellStart"/>
      <w:r w:rsidRPr="00F919A9">
        <w:t>HACS-ok</w:t>
      </w:r>
      <w:proofErr w:type="spellEnd"/>
      <w:r w:rsidRPr="00F919A9">
        <w:t xml:space="preserve"> támogató nyilatkozatának magas arányú figyelembev</w:t>
      </w:r>
      <w:r w:rsidRPr="00F919A9">
        <w:t>é</w:t>
      </w:r>
      <w:r w:rsidRPr="00F919A9">
        <w:t>telével a bírálat során.</w:t>
      </w:r>
    </w:p>
    <w:p w:rsidR="00D16DA5" w:rsidRPr="00E03E1D" w:rsidRDefault="00D16DA5" w:rsidP="00D5521F">
      <w:pPr>
        <w:pStyle w:val="AAMNormal"/>
        <w:numPr>
          <w:ilvl w:val="0"/>
          <w:numId w:val="29"/>
        </w:numPr>
        <w:rPr>
          <w:b/>
          <w:smallCaps/>
          <w:sz w:val="22"/>
          <w:szCs w:val="22"/>
        </w:rPr>
      </w:pPr>
      <w:r w:rsidRPr="00E03E1D">
        <w:rPr>
          <w:b/>
          <w:smallCaps/>
          <w:sz w:val="22"/>
          <w:szCs w:val="22"/>
        </w:rPr>
        <w:t>Átfogó javaslat 8</w:t>
      </w:r>
      <w:proofErr w:type="gramStart"/>
      <w:r w:rsidRPr="00E03E1D">
        <w:rPr>
          <w:b/>
          <w:smallCaps/>
          <w:sz w:val="22"/>
          <w:szCs w:val="22"/>
        </w:rPr>
        <w:t>.:</w:t>
      </w:r>
      <w:proofErr w:type="gramEnd"/>
      <w:r w:rsidRPr="00E03E1D">
        <w:rPr>
          <w:b/>
          <w:smallCaps/>
          <w:sz w:val="22"/>
          <w:szCs w:val="22"/>
        </w:rPr>
        <w:t xml:space="preserve"> A</w:t>
      </w:r>
      <w:r>
        <w:rPr>
          <w:b/>
          <w:smallCaps/>
          <w:sz w:val="22"/>
          <w:szCs w:val="22"/>
        </w:rPr>
        <w:t xml:space="preserve"> </w:t>
      </w:r>
      <w:r w:rsidRPr="00E03E1D">
        <w:rPr>
          <w:b/>
          <w:smallCaps/>
          <w:sz w:val="22"/>
          <w:szCs w:val="22"/>
        </w:rPr>
        <w:t>monitoring rendszer megerősítése a bírálati döntések megalapozottsága, továbbá az ex-post értékelés sikeressége érdekében</w:t>
      </w:r>
    </w:p>
    <w:p w:rsidR="00D16DA5" w:rsidRPr="00E03E1D" w:rsidRDefault="00D16DA5" w:rsidP="00D16DA5">
      <w:pPr>
        <w:pStyle w:val="AAMNormal"/>
        <w:ind w:left="360"/>
      </w:pPr>
      <w:r w:rsidRPr="00E03E1D">
        <w:rPr>
          <w:b/>
          <w:smallCaps/>
          <w:sz w:val="22"/>
          <w:szCs w:val="22"/>
          <w:u w:val="single"/>
        </w:rPr>
        <w:t>Javaslat 8.1:</w:t>
      </w:r>
      <w:r w:rsidRPr="00E03E1D">
        <w:rPr>
          <w:b/>
          <w:smallCaps/>
          <w:sz w:val="22"/>
          <w:szCs w:val="22"/>
        </w:rPr>
        <w:t xml:space="preserve"> </w:t>
      </w:r>
      <w:r w:rsidRPr="00E03E1D">
        <w:t>Szükséges a már benyújtott monitoring adatok felülvizsgálata, a konzisztencia</w:t>
      </w:r>
      <w:r>
        <w:t>,</w:t>
      </w:r>
      <w:r w:rsidRPr="00E03E1D">
        <w:t xml:space="preserve"> és az ad</w:t>
      </w:r>
      <w:r w:rsidRPr="00E03E1D">
        <w:t>a</w:t>
      </w:r>
      <w:r w:rsidRPr="00E03E1D">
        <w:t>tok megbízhatóságának növelése érdekében. Ehhez egy külön projekt keretében meg kell határozni az egyes indikátorok lehetséges szélsőértékeit</w:t>
      </w:r>
      <w:r>
        <w:t>,</w:t>
      </w:r>
      <w:r w:rsidRPr="00E03E1D">
        <w:t xml:space="preserve"> és az ezekből „kilógó”, illetve hiányos adatokat újra be kell gyűjteni.</w:t>
      </w:r>
    </w:p>
    <w:p w:rsidR="00D16DA5" w:rsidRPr="00E03E1D" w:rsidRDefault="00D16DA5" w:rsidP="00D16DA5">
      <w:pPr>
        <w:pStyle w:val="AAMNormal"/>
        <w:ind w:left="360"/>
      </w:pPr>
      <w:r w:rsidRPr="00E03E1D">
        <w:rPr>
          <w:b/>
          <w:u w:val="single"/>
        </w:rPr>
        <w:t>Javaslat 8.2:</w:t>
      </w:r>
      <w:r w:rsidRPr="00E03E1D">
        <w:t xml:space="preserve"> Bővíteni kell az adatszolgáltatók körét a közigazgatási adatgazdákkal, mert a nyertes pr</w:t>
      </w:r>
      <w:r w:rsidRPr="00E03E1D">
        <w:t>o</w:t>
      </w:r>
      <w:r w:rsidRPr="00E03E1D">
        <w:t>jektek adatszolgáltatása nem minden esetben megbízható. Lehetőséget látunk a gazdasági adatok j</w:t>
      </w:r>
      <w:r w:rsidRPr="00E03E1D">
        <w:t>e</w:t>
      </w:r>
      <w:r w:rsidRPr="00E03E1D">
        <w:t xml:space="preserve">lentős körének átvételére az APEH adatbázisaiból, illetve a </w:t>
      </w:r>
      <w:proofErr w:type="spellStart"/>
      <w:r w:rsidRPr="00E03E1D">
        <w:t>biodiverzitás</w:t>
      </w:r>
      <w:proofErr w:type="spellEnd"/>
      <w:r w:rsidRPr="00E03E1D">
        <w:t xml:space="preserve"> adatok átvételére a Magyar Madártani Egyesület Mindennapi Madaraink Monitoring adatbázisából (ehhez a mintavételi pontok rés</w:t>
      </w:r>
      <w:r w:rsidRPr="00E03E1D">
        <w:t>z</w:t>
      </w:r>
      <w:r w:rsidRPr="00E03E1D">
        <w:t xml:space="preserve">leges módosítása, kibővítése is szükséges). Intézményesíteni kell emellett az adatszolgáltatást azon szervezetekkel, amelyek adatai eddig is felhasználásra kerültek (KSH, VÁTI, AKI, </w:t>
      </w:r>
      <w:proofErr w:type="spellStart"/>
      <w:r w:rsidRPr="00E03E1D">
        <w:t>MGSzH</w:t>
      </w:r>
      <w:proofErr w:type="spellEnd"/>
      <w:r w:rsidRPr="00E03E1D">
        <w:t>, FÖMI, KÖH, stb.)</w:t>
      </w:r>
    </w:p>
    <w:p w:rsidR="00D16DA5" w:rsidRPr="00E03E1D" w:rsidRDefault="00D16DA5" w:rsidP="00D16DA5">
      <w:pPr>
        <w:pStyle w:val="AAMNormal"/>
        <w:ind w:left="360"/>
      </w:pPr>
      <w:r w:rsidRPr="00E03E1D">
        <w:rPr>
          <w:b/>
          <w:u w:val="single"/>
        </w:rPr>
        <w:lastRenderedPageBreak/>
        <w:t>Javaslat 8.3:</w:t>
      </w:r>
      <w:r w:rsidRPr="00E03E1D">
        <w:t xml:space="preserve"> A megfelelő forrás allokálásával el kell indítani a </w:t>
      </w:r>
      <w:proofErr w:type="spellStart"/>
      <w:r w:rsidRPr="00E03E1D">
        <w:t>hatásmonitoringot</w:t>
      </w:r>
      <w:proofErr w:type="spellEnd"/>
      <w:r w:rsidRPr="00E03E1D">
        <w:t xml:space="preserve"> </w:t>
      </w:r>
      <w:r w:rsidR="00395E89">
        <w:t>az AKG</w:t>
      </w:r>
      <w:r w:rsidRPr="00E03E1D">
        <w:t xml:space="preserve"> támogatás</w:t>
      </w:r>
      <w:r w:rsidR="00395E89">
        <w:t>o</w:t>
      </w:r>
      <w:r w:rsidRPr="00E03E1D">
        <w:t>k tekintetében, hogy a valós hatások megismerhetőek legyenek</w:t>
      </w:r>
      <w:r>
        <w:t>,</w:t>
      </w:r>
      <w:r w:rsidRPr="00E03E1D">
        <w:t xml:space="preserve"> és az ex-post értékelésnél már ezekre l</w:t>
      </w:r>
      <w:r w:rsidRPr="00E03E1D">
        <w:t>e</w:t>
      </w:r>
      <w:r w:rsidRPr="00E03E1D">
        <w:t>hessen támaszkodni.</w:t>
      </w:r>
    </w:p>
    <w:p w:rsidR="00D16DA5" w:rsidRPr="00E03E1D" w:rsidRDefault="00D16DA5" w:rsidP="00D5521F">
      <w:pPr>
        <w:pStyle w:val="AAMNormal"/>
        <w:numPr>
          <w:ilvl w:val="0"/>
          <w:numId w:val="29"/>
        </w:numPr>
        <w:rPr>
          <w:b/>
          <w:smallCaps/>
          <w:sz w:val="22"/>
          <w:szCs w:val="22"/>
        </w:rPr>
      </w:pPr>
      <w:r w:rsidRPr="00E03E1D">
        <w:rPr>
          <w:b/>
          <w:smallCaps/>
          <w:sz w:val="22"/>
          <w:szCs w:val="22"/>
        </w:rPr>
        <w:t>Átfogó javaslat 9</w:t>
      </w:r>
      <w:proofErr w:type="gramStart"/>
      <w:r w:rsidRPr="00E03E1D">
        <w:rPr>
          <w:b/>
          <w:smallCaps/>
          <w:sz w:val="22"/>
          <w:szCs w:val="22"/>
        </w:rPr>
        <w:t>.:</w:t>
      </w:r>
      <w:proofErr w:type="gramEnd"/>
      <w:r w:rsidRPr="00E03E1D">
        <w:rPr>
          <w:b/>
          <w:smallCaps/>
          <w:sz w:val="22"/>
          <w:szCs w:val="22"/>
        </w:rPr>
        <w:t xml:space="preserve"> A megfelelő forrás allokálásával meg kell erősíteni az értékelési funkciót a Programban</w:t>
      </w:r>
    </w:p>
    <w:p w:rsidR="00D16DA5" w:rsidRPr="00E03E1D" w:rsidRDefault="00D16DA5" w:rsidP="00D16DA5">
      <w:pPr>
        <w:pStyle w:val="AAMNormal"/>
        <w:ind w:left="360"/>
      </w:pPr>
      <w:r w:rsidRPr="00E03E1D">
        <w:rPr>
          <w:b/>
          <w:u w:val="single"/>
        </w:rPr>
        <w:t>Javaslat 9.1:</w:t>
      </w:r>
      <w:r w:rsidRPr="00E03E1D">
        <w:t xml:space="preserve"> A 2010-es évtől már jelentős számban válnak értékelhetővé projektek. A megmaradó, ko</w:t>
      </w:r>
      <w:r w:rsidRPr="00E03E1D">
        <w:t>r</w:t>
      </w:r>
      <w:r w:rsidRPr="00E03E1D">
        <w:t>látozott nagyságrendű forrás megfelelő allokálásához a már támogatott projektek eredményeinek, hat</w:t>
      </w:r>
      <w:r w:rsidRPr="00E03E1D">
        <w:t>á</w:t>
      </w:r>
      <w:r w:rsidRPr="00E03E1D">
        <w:t>sainak ismerete hozzájárulhat. Az értékelések növelnék továbbá a 2014-es tervezés sikerességét. Ezért a megfelelő forrás allokálásával a 2014-től várhatóan hangsúlyos intézkedéseknél, illetve az addig meghirdetni tervezett intézkedéseknél független (</w:t>
      </w:r>
      <w:proofErr w:type="spellStart"/>
      <w:r w:rsidRPr="00E03E1D">
        <w:t>on-going</w:t>
      </w:r>
      <w:proofErr w:type="spellEnd"/>
      <w:r w:rsidRPr="00E03E1D">
        <w:t>) értékelésekkel kell feltárni a fejlesztések eredményességét, hatásosságát a félidei értékelésben kialakított módszertanokra alapozva.</w:t>
      </w:r>
    </w:p>
    <w:p w:rsidR="00D16DA5" w:rsidRPr="00E03E1D" w:rsidRDefault="00D16DA5" w:rsidP="00D16DA5">
      <w:pPr>
        <w:pStyle w:val="AAMNormal"/>
        <w:ind w:left="360"/>
      </w:pPr>
      <w:r w:rsidRPr="00E03E1D">
        <w:rPr>
          <w:b/>
          <w:u w:val="single"/>
        </w:rPr>
        <w:t>Javaslat 9.2:</w:t>
      </w:r>
      <w:r w:rsidRPr="00E03E1D">
        <w:t xml:space="preserve"> Meg kell erősíteni az IH kapacitásait egy olyan belső elemző csapattal, akik megteremtik a monitoring rendszerből, illetve az </w:t>
      </w:r>
      <w:proofErr w:type="spellStart"/>
      <w:r w:rsidRPr="00E03E1D">
        <w:t>IIER-ből</w:t>
      </w:r>
      <w:proofErr w:type="spellEnd"/>
      <w:r w:rsidRPr="00E03E1D">
        <w:t xml:space="preserve"> elérhető adatok elemzésének feltételeit, és képesek külső s</w:t>
      </w:r>
      <w:r w:rsidRPr="00E03E1D">
        <w:t>e</w:t>
      </w:r>
      <w:r w:rsidRPr="00E03E1D">
        <w:t>gítség nélkül is egy-egy döntés előtt a várható hatások egyszerűsített előrejelzésére.</w:t>
      </w:r>
    </w:p>
    <w:p w:rsidR="00D16DA5" w:rsidRPr="00E03E1D" w:rsidRDefault="00D16DA5" w:rsidP="00D5521F">
      <w:pPr>
        <w:pStyle w:val="AAMNormal"/>
        <w:numPr>
          <w:ilvl w:val="0"/>
          <w:numId w:val="29"/>
        </w:numPr>
        <w:rPr>
          <w:b/>
          <w:smallCaps/>
          <w:sz w:val="22"/>
          <w:szCs w:val="22"/>
        </w:rPr>
      </w:pPr>
      <w:r w:rsidRPr="00E03E1D">
        <w:rPr>
          <w:b/>
          <w:smallCaps/>
          <w:sz w:val="22"/>
          <w:szCs w:val="22"/>
        </w:rPr>
        <w:t>Átfogó javaslat 10</w:t>
      </w:r>
      <w:proofErr w:type="gramStart"/>
      <w:r w:rsidRPr="00E03E1D">
        <w:rPr>
          <w:b/>
          <w:smallCaps/>
          <w:sz w:val="22"/>
          <w:szCs w:val="22"/>
        </w:rPr>
        <w:t>.:</w:t>
      </w:r>
      <w:proofErr w:type="gramEnd"/>
      <w:r w:rsidRPr="00E03E1D">
        <w:rPr>
          <w:b/>
          <w:smallCaps/>
          <w:sz w:val="22"/>
          <w:szCs w:val="22"/>
        </w:rPr>
        <w:t xml:space="preserve"> Megfelelő forrás allokálásával el kell indítani a 2014-2020-as időszak tervezését</w:t>
      </w:r>
    </w:p>
    <w:p w:rsidR="00D16DA5" w:rsidRPr="00E03E1D" w:rsidRDefault="00D16DA5" w:rsidP="00D16DA5">
      <w:pPr>
        <w:pStyle w:val="AAMNormal"/>
        <w:ind w:left="360"/>
      </w:pPr>
      <w:r w:rsidRPr="00E03E1D">
        <w:rPr>
          <w:b/>
          <w:u w:val="single"/>
        </w:rPr>
        <w:t>Javaslat 10.1:</w:t>
      </w:r>
      <w:r w:rsidRPr="00E03E1D">
        <w:t xml:space="preserve"> Jelenleg erre a célra nem allokáltak sem pénzügyi, sem humán erőforrást. A félidei ért</w:t>
      </w:r>
      <w:r w:rsidRPr="00E03E1D">
        <w:t>é</w:t>
      </w:r>
      <w:r w:rsidRPr="00E03E1D">
        <w:t>kelés tapasztalatai a nemzetközi szakirodalommal összhangban azt mutatják, hogy a vidékfejlesztésben az integrált</w:t>
      </w:r>
      <w:r>
        <w:t>,</w:t>
      </w:r>
      <w:r w:rsidRPr="00E03E1D">
        <w:t xml:space="preserve"> és komplex megközelítés hozhat eredményt, ami az ÚMVP eddigi időszakában kevés</w:t>
      </w:r>
      <w:r>
        <w:t>b</w:t>
      </w:r>
      <w:r w:rsidRPr="00E03E1D">
        <w:t>é volt jellemző. A 2014-2020 időszak programjának előkészítése során erre nagyobb hangsúlyt kell helyezni. Integrált, átgondolt program elkészítéséhez viszont a programozást már 2011-től meg kell kezdeni.</w:t>
      </w:r>
    </w:p>
    <w:sectPr w:rsidR="00D16DA5" w:rsidRPr="00E03E1D" w:rsidSect="006E633E">
      <w:headerReference w:type="default" r:id="rId28"/>
      <w:footerReference w:type="default" r:id="rId29"/>
      <w:headerReference w:type="first" r:id="rId30"/>
      <w:pgSz w:w="11907" w:h="16840" w:code="9"/>
      <w:pgMar w:top="1985" w:right="1372" w:bottom="1701" w:left="1372" w:header="953" w:footer="578" w:gutter="0"/>
      <w:pgNumType w:start="393"/>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389" w:rsidRDefault="00C57389">
      <w:r>
        <w:separator/>
      </w:r>
    </w:p>
  </w:endnote>
  <w:endnote w:type="continuationSeparator" w:id="0">
    <w:p w:rsidR="00C57389" w:rsidRDefault="00C573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Univers CE 45 Ligh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55" w:rsidRPr="00963878" w:rsidRDefault="00D11655" w:rsidP="0056470D">
    <w:pPr>
      <w:pBdr>
        <w:top w:val="single" w:sz="4" w:space="1" w:color="auto"/>
      </w:pBdr>
      <w:spacing w:before="120" w:line="120" w:lineRule="atLeast"/>
      <w:jc w:val="right"/>
      <w:rPr>
        <w:color w:val="53564F"/>
        <w:sz w:val="14"/>
        <w:szCs w:val="18"/>
      </w:rPr>
    </w:pPr>
    <w:r w:rsidRPr="00963878">
      <w:rPr>
        <w:rFonts w:ascii="Franklin Gothic Demi" w:hAnsi="Franklin Gothic Demi"/>
        <w:color w:val="53564F"/>
        <w:sz w:val="14"/>
        <w:szCs w:val="18"/>
      </w:rPr>
      <w:t>Dátum:</w:t>
    </w:r>
    <w:r>
      <w:rPr>
        <w:rFonts w:ascii="Franklin Gothic Demi" w:hAnsi="Franklin Gothic Demi"/>
        <w:color w:val="53564F"/>
        <w:sz w:val="14"/>
        <w:szCs w:val="18"/>
      </w:rPr>
      <w:t xml:space="preserve"> </w:t>
    </w:r>
    <w:fldSimple w:instr=" DATE   \* MERGEFORMAT ">
      <w:r w:rsidRPr="00194DF0">
        <w:rPr>
          <w:noProof/>
          <w:color w:val="53564F"/>
          <w:sz w:val="14"/>
          <w:szCs w:val="18"/>
        </w:rPr>
        <w:t>2010.12.22.</w:t>
      </w:r>
    </w:fldSimple>
    <w:r w:rsidRPr="00963878">
      <w:rPr>
        <w:color w:val="53564F"/>
        <w:sz w:val="14"/>
        <w:szCs w:val="18"/>
      </w:rPr>
      <w:t xml:space="preserve">– </w:t>
    </w:r>
    <w:r w:rsidRPr="00963878">
      <w:rPr>
        <w:rFonts w:ascii="Franklin Gothic Demi" w:hAnsi="Franklin Gothic Demi"/>
        <w:color w:val="53564F"/>
        <w:sz w:val="14"/>
        <w:szCs w:val="18"/>
      </w:rPr>
      <w:t>Készítette:</w:t>
    </w:r>
    <w:r w:rsidRPr="00963878">
      <w:rPr>
        <w:color w:val="53564F"/>
        <w:sz w:val="14"/>
        <w:szCs w:val="18"/>
      </w:rPr>
      <w:t xml:space="preserve"> </w:t>
    </w:r>
    <w:r>
      <w:rPr>
        <w:color w:val="53564F"/>
        <w:sz w:val="14"/>
        <w:szCs w:val="14"/>
      </w:rPr>
      <w:t>HUNGARIKUM Konzorcium</w:t>
    </w:r>
  </w:p>
  <w:p w:rsidR="00D11655" w:rsidRPr="0056470D" w:rsidRDefault="00D11655" w:rsidP="0056470D">
    <w:pPr>
      <w:spacing w:before="120" w:line="120" w:lineRule="atLeast"/>
      <w:jc w:val="right"/>
      <w:rPr>
        <w:szCs w:val="14"/>
      </w:rPr>
    </w:pPr>
    <w:r w:rsidRPr="00963878">
      <w:rPr>
        <w:rFonts w:ascii="Franklin Gothic Demi" w:hAnsi="Franklin Gothic Demi"/>
        <w:color w:val="53564F"/>
        <w:sz w:val="14"/>
        <w:szCs w:val="18"/>
      </w:rPr>
      <w:t>Fájlnév</w:t>
    </w:r>
    <w:r w:rsidRPr="00963878">
      <w:rPr>
        <w:rFonts w:ascii="Franklin Gothic Demi" w:hAnsi="Franklin Gothic Demi"/>
        <w:color w:val="53564F"/>
        <w:sz w:val="14"/>
        <w:szCs w:val="14"/>
      </w:rPr>
      <w:t>:</w:t>
    </w:r>
    <w:r w:rsidRPr="00963878">
      <w:rPr>
        <w:color w:val="53564F"/>
        <w:sz w:val="14"/>
        <w:szCs w:val="14"/>
      </w:rPr>
      <w:t xml:space="preserve"> </w:t>
    </w:r>
    <w:r w:rsidRPr="00963878">
      <w:rPr>
        <w:color w:val="53564F"/>
        <w:sz w:val="14"/>
        <w:szCs w:val="14"/>
      </w:rPr>
      <w:fldChar w:fldCharType="begin"/>
    </w:r>
    <w:r w:rsidRPr="00963878">
      <w:rPr>
        <w:color w:val="53564F"/>
        <w:sz w:val="14"/>
        <w:szCs w:val="14"/>
      </w:rPr>
      <w:instrText xml:space="preserve"> FILENAME </w:instrText>
    </w:r>
    <w:r w:rsidRPr="00963878">
      <w:rPr>
        <w:color w:val="53564F"/>
        <w:sz w:val="14"/>
        <w:szCs w:val="14"/>
      </w:rPr>
      <w:fldChar w:fldCharType="separate"/>
    </w:r>
    <w:r>
      <w:rPr>
        <w:noProof/>
        <w:color w:val="53564F"/>
        <w:sz w:val="14"/>
        <w:szCs w:val="14"/>
      </w:rPr>
      <w:t>UMVPMTE_Zárójelentés_5.5-7_fejezetek_v33</w:t>
    </w:r>
    <w:r w:rsidRPr="00963878">
      <w:rPr>
        <w:color w:val="53564F"/>
        <w:sz w:val="14"/>
        <w:szCs w:val="14"/>
      </w:rPr>
      <w:fldChar w:fldCharType="end"/>
    </w:r>
    <w:r>
      <w:rPr>
        <w:color w:val="53564F"/>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389" w:rsidRDefault="00C57389">
      <w:r>
        <w:separator/>
      </w:r>
    </w:p>
  </w:footnote>
  <w:footnote w:type="continuationSeparator" w:id="0">
    <w:p w:rsidR="00C57389" w:rsidRDefault="00C57389">
      <w:r>
        <w:continuationSeparator/>
      </w:r>
    </w:p>
  </w:footnote>
  <w:footnote w:id="1">
    <w:p w:rsidR="00D11655" w:rsidRPr="00A645BA" w:rsidRDefault="00D11655">
      <w:pPr>
        <w:pStyle w:val="FootnoteText"/>
        <w:rPr>
          <w:sz w:val="16"/>
          <w:szCs w:val="16"/>
        </w:rPr>
      </w:pPr>
      <w:r w:rsidRPr="005E7E76">
        <w:rPr>
          <w:rStyle w:val="FootnoteReference"/>
          <w:sz w:val="16"/>
          <w:szCs w:val="16"/>
        </w:rPr>
        <w:footnoteRef/>
      </w:r>
      <w:r w:rsidRPr="005E7E76">
        <w:rPr>
          <w:sz w:val="16"/>
          <w:szCs w:val="16"/>
        </w:rPr>
        <w:t xml:space="preserve"> </w:t>
      </w:r>
      <w:r w:rsidRPr="00A645BA">
        <w:rPr>
          <w:sz w:val="16"/>
          <w:szCs w:val="16"/>
        </w:rPr>
        <w:t>Az ÚMVP tervezéséhez használt 272,1 Ft/EUR árfolyammal számolva</w:t>
      </w:r>
    </w:p>
  </w:footnote>
  <w:footnote w:id="2">
    <w:p w:rsidR="00D11655" w:rsidRPr="00A645BA" w:rsidRDefault="00D11655" w:rsidP="003070C3">
      <w:pPr>
        <w:tabs>
          <w:tab w:val="left" w:pos="709"/>
        </w:tabs>
        <w:jc w:val="both"/>
        <w:rPr>
          <w:sz w:val="16"/>
          <w:szCs w:val="16"/>
        </w:rPr>
      </w:pPr>
      <w:r w:rsidRPr="00A645BA">
        <w:rPr>
          <w:rStyle w:val="FootnoteReference"/>
          <w:sz w:val="16"/>
          <w:szCs w:val="16"/>
        </w:rPr>
        <w:footnoteRef/>
      </w:r>
      <w:r w:rsidRPr="00A645BA">
        <w:rPr>
          <w:sz w:val="16"/>
          <w:szCs w:val="16"/>
        </w:rPr>
        <w:t xml:space="preserve"> </w:t>
      </w:r>
      <w:proofErr w:type="gramStart"/>
      <w:r w:rsidRPr="00A645BA">
        <w:rPr>
          <w:sz w:val="16"/>
          <w:szCs w:val="16"/>
        </w:rPr>
        <w:t>a</w:t>
      </w:r>
      <w:proofErr w:type="gramEnd"/>
      <w:r w:rsidRPr="00A645BA">
        <w:rPr>
          <w:sz w:val="16"/>
          <w:szCs w:val="16"/>
        </w:rPr>
        <w:t xml:space="preserve"> </w:t>
      </w:r>
      <w:r w:rsidRPr="00A645BA">
        <w:rPr>
          <w:i/>
          <w:sz w:val="16"/>
          <w:szCs w:val="16"/>
        </w:rPr>
        <w:t>pesszimista forgatókönyv</w:t>
      </w:r>
      <w:r w:rsidRPr="00A645BA">
        <w:rPr>
          <w:sz w:val="16"/>
          <w:szCs w:val="16"/>
        </w:rPr>
        <w:t xml:space="preserve"> a 2007-2010 MNB havi átlagárfolyamával számolt (263,09 Ft/euró) az </w:t>
      </w:r>
      <w:r w:rsidRPr="00A645BA">
        <w:rPr>
          <w:i/>
          <w:sz w:val="16"/>
          <w:szCs w:val="16"/>
        </w:rPr>
        <w:t xml:space="preserve">optimista forgatókönyv </w:t>
      </w:r>
      <w:r w:rsidRPr="00A645BA">
        <w:rPr>
          <w:sz w:val="16"/>
          <w:szCs w:val="16"/>
        </w:rPr>
        <w:t>280,00 Ft/euró árfolyammal számolt.</w:t>
      </w:r>
    </w:p>
    <w:p w:rsidR="00D11655" w:rsidRDefault="00D11655">
      <w:pPr>
        <w:pStyle w:val="FootnoteText"/>
      </w:pPr>
    </w:p>
  </w:footnote>
  <w:footnote w:id="3">
    <w:p w:rsidR="00D11655" w:rsidRPr="00A645BA" w:rsidRDefault="00D11655" w:rsidP="002330EF">
      <w:pPr>
        <w:pStyle w:val="FootnoteText"/>
        <w:rPr>
          <w:sz w:val="16"/>
          <w:szCs w:val="16"/>
        </w:rPr>
      </w:pPr>
      <w:r w:rsidRPr="00A645BA">
        <w:rPr>
          <w:rStyle w:val="FootnoteReference"/>
          <w:sz w:val="16"/>
          <w:szCs w:val="16"/>
        </w:rPr>
        <w:footnoteRef/>
      </w:r>
      <w:r w:rsidRPr="00A645BA">
        <w:rPr>
          <w:sz w:val="16"/>
          <w:szCs w:val="16"/>
        </w:rPr>
        <w:t xml:space="preserve"> Kötelezettségvállalásként az MVH Szervezési és Koordinációs Főosztályától 2010.08.06-án kapott ún. „tételes lista” adatait vettük figyelembe: azon rekordok kerültek bele a számításba, melyeknél az „Egységes státusz” oszlopban a „Jóváhagyott” érték szerepelt. Egyes jogcímek (intézkedések) esetén, ahol az IIER nem szolgál aktuális kötelezettségvállalási adattal az Irányító Hatóság, vagy az MVH jogcímfelelősök közvetlen adatszolgáltatását vettük figyelembe.</w:t>
      </w:r>
    </w:p>
  </w:footnote>
  <w:footnote w:id="4">
    <w:p w:rsidR="00D11655" w:rsidRDefault="00D11655" w:rsidP="00A817A4">
      <w:pPr>
        <w:pStyle w:val="FootnoteText"/>
      </w:pPr>
      <w:r w:rsidRPr="00A645BA">
        <w:rPr>
          <w:rStyle w:val="FootnoteReference"/>
          <w:sz w:val="16"/>
          <w:szCs w:val="16"/>
        </w:rPr>
        <w:footnoteRef/>
      </w:r>
      <w:r w:rsidRPr="00A645BA">
        <w:rPr>
          <w:sz w:val="16"/>
          <w:szCs w:val="16"/>
        </w:rPr>
        <w:t xml:space="preserve"> NVT kötelezettségvállalás és NVT determináció nélkül.</w:t>
      </w:r>
    </w:p>
  </w:footnote>
  <w:footnote w:id="5">
    <w:p w:rsidR="00D11655" w:rsidRDefault="00D11655" w:rsidP="00A817A4">
      <w:pPr>
        <w:pStyle w:val="FootnoteText"/>
        <w:spacing w:line="180" w:lineRule="atLeast"/>
      </w:pPr>
      <w:r w:rsidRPr="00D85553">
        <w:rPr>
          <w:rStyle w:val="FootnoteReference"/>
          <w:sz w:val="16"/>
          <w:szCs w:val="16"/>
        </w:rPr>
        <w:footnoteRef/>
      </w:r>
      <w:r w:rsidRPr="00D85553">
        <w:rPr>
          <w:sz w:val="16"/>
          <w:szCs w:val="16"/>
        </w:rPr>
        <w:t xml:space="preserve"> Az IH által 2010.10.27-én átadott </w:t>
      </w:r>
      <w:r w:rsidRPr="00B107C9">
        <w:rPr>
          <w:i/>
          <w:sz w:val="16"/>
          <w:szCs w:val="16"/>
        </w:rPr>
        <w:t>Teljes_forrástábla</w:t>
      </w:r>
      <w:proofErr w:type="gramStart"/>
      <w:r w:rsidRPr="00B107C9">
        <w:rPr>
          <w:i/>
          <w:sz w:val="16"/>
          <w:szCs w:val="16"/>
        </w:rPr>
        <w:t>.xls</w:t>
      </w:r>
      <w:proofErr w:type="gramEnd"/>
      <w:r w:rsidRPr="00D85553">
        <w:rPr>
          <w:sz w:val="16"/>
          <w:szCs w:val="16"/>
        </w:rPr>
        <w:t xml:space="preserve"> f oszlopainak összesítése alapján</w:t>
      </w:r>
    </w:p>
  </w:footnote>
  <w:footnote w:id="6">
    <w:p w:rsidR="00D11655" w:rsidRDefault="00D11655" w:rsidP="00A817A4">
      <w:pPr>
        <w:pStyle w:val="FootnoteText"/>
        <w:spacing w:line="180" w:lineRule="atLeast"/>
      </w:pPr>
      <w:r w:rsidRPr="0008090D">
        <w:rPr>
          <w:rStyle w:val="FootnoteReference"/>
          <w:sz w:val="16"/>
          <w:szCs w:val="16"/>
        </w:rPr>
        <w:footnoteRef/>
      </w:r>
      <w:r w:rsidRPr="0008090D">
        <w:rPr>
          <w:sz w:val="16"/>
          <w:szCs w:val="16"/>
        </w:rPr>
        <w:t>Az I. tengely esetében</w:t>
      </w:r>
      <w:r>
        <w:rPr>
          <w:sz w:val="16"/>
          <w:szCs w:val="16"/>
        </w:rPr>
        <w:t xml:space="preserve"> 67,9%-kal, a III. tengely esetében 60,3%-kal, a IV. tengely esetében 46,8%-kal számoltunk. A II. tengely esetében 100%-kal számoltunk.</w:t>
      </w:r>
    </w:p>
  </w:footnote>
  <w:footnote w:id="7">
    <w:p w:rsidR="00D11655" w:rsidRDefault="00D11655" w:rsidP="00A817A4">
      <w:pPr>
        <w:pStyle w:val="FootnoteText"/>
        <w:jc w:val="both"/>
      </w:pPr>
      <w:r>
        <w:rPr>
          <w:rStyle w:val="FootnoteReference"/>
        </w:rPr>
        <w:footnoteRef/>
      </w:r>
      <w:r>
        <w:t xml:space="preserve"> </w:t>
      </w:r>
      <w:r w:rsidRPr="003853F2">
        <w:rPr>
          <w:sz w:val="18"/>
        </w:rPr>
        <w:t>Pl.: árfolyamkockázat, túlvállalás</w:t>
      </w:r>
      <w:r>
        <w:rPr>
          <w:sz w:val="18"/>
        </w:rPr>
        <w:t>, fellebbezések miatti pótlólagos kifizetések</w:t>
      </w:r>
      <w:r w:rsidRPr="003853F2">
        <w:rPr>
          <w:sz w:val="18"/>
        </w:rPr>
        <w:t xml:space="preserve"> stb.</w:t>
      </w:r>
    </w:p>
  </w:footnote>
  <w:footnote w:id="8">
    <w:p w:rsidR="00D11655" w:rsidRDefault="00D11655" w:rsidP="00A817A4">
      <w:pPr>
        <w:pStyle w:val="FootnoteText"/>
      </w:pPr>
      <w:r w:rsidRPr="008E1C63">
        <w:rPr>
          <w:rStyle w:val="FootnoteReference"/>
          <w:sz w:val="16"/>
          <w:szCs w:val="16"/>
        </w:rPr>
        <w:footnoteRef/>
      </w:r>
      <w:r w:rsidRPr="008E1C63">
        <w:rPr>
          <w:sz w:val="16"/>
          <w:szCs w:val="16"/>
        </w:rPr>
        <w:t xml:space="preserve"> </w:t>
      </w:r>
      <w:r w:rsidRPr="00980A0A">
        <w:rPr>
          <w:sz w:val="18"/>
          <w:szCs w:val="16"/>
        </w:rPr>
        <w:t>Közösségi Stratégiai Iránymutatások</w:t>
      </w:r>
    </w:p>
  </w:footnote>
  <w:footnote w:id="9">
    <w:p w:rsidR="00D11655" w:rsidRDefault="00D11655" w:rsidP="00A817A4">
      <w:pPr>
        <w:pStyle w:val="FootnoteText"/>
      </w:pPr>
      <w:r w:rsidRPr="008E1C63">
        <w:rPr>
          <w:rStyle w:val="FootnoteReference"/>
          <w:sz w:val="16"/>
          <w:szCs w:val="16"/>
        </w:rPr>
        <w:footnoteRef/>
      </w:r>
      <w:r w:rsidRPr="008E1C63">
        <w:rPr>
          <w:sz w:val="16"/>
          <w:szCs w:val="16"/>
        </w:rPr>
        <w:t xml:space="preserve"> </w:t>
      </w:r>
      <w:r w:rsidRPr="00980A0A">
        <w:rPr>
          <w:sz w:val="18"/>
          <w:szCs w:val="16"/>
        </w:rPr>
        <w:t>1698/2005 EK rendelet</w:t>
      </w:r>
    </w:p>
  </w:footnote>
  <w:footnote w:id="10">
    <w:p w:rsidR="00D11655" w:rsidRDefault="00D11655" w:rsidP="005E7D75">
      <w:pPr>
        <w:pStyle w:val="HUNNormal"/>
        <w:tabs>
          <w:tab w:val="left" w:pos="709"/>
        </w:tabs>
        <w:spacing w:before="0" w:after="0" w:line="240" w:lineRule="auto"/>
      </w:pPr>
      <w:r>
        <w:rPr>
          <w:rStyle w:val="FootnoteReference"/>
        </w:rPr>
        <w:footnoteRef/>
      </w:r>
      <w:r>
        <w:t xml:space="preserve"> </w:t>
      </w:r>
      <w:r w:rsidRPr="00887AC4">
        <w:rPr>
          <w:sz w:val="18"/>
        </w:rPr>
        <w:t>Az</w:t>
      </w:r>
      <w:r>
        <w:rPr>
          <w:sz w:val="18"/>
        </w:rPr>
        <w:t xml:space="preserve"> e-monitoring adatok</w:t>
      </w:r>
      <w:r w:rsidRPr="00887AC4">
        <w:rPr>
          <w:sz w:val="18"/>
        </w:rPr>
        <w:t xml:space="preserve"> alapján</w:t>
      </w:r>
      <w:r>
        <w:rPr>
          <w:sz w:val="18"/>
        </w:rPr>
        <w:t xml:space="preserve"> a jogcímben támogatott kérelmezők koreloszlása a következő: </w:t>
      </w:r>
      <w:r w:rsidRPr="00887AC4">
        <w:rPr>
          <w:sz w:val="18"/>
        </w:rPr>
        <w:t>25 év alattiak</w:t>
      </w:r>
      <w:r>
        <w:rPr>
          <w:sz w:val="18"/>
        </w:rPr>
        <w:t xml:space="preserve"> -</w:t>
      </w:r>
      <w:r w:rsidRPr="00887AC4">
        <w:rPr>
          <w:sz w:val="18"/>
        </w:rPr>
        <w:t xml:space="preserve"> 18%, 25-30 év között</w:t>
      </w:r>
      <w:r>
        <w:rPr>
          <w:sz w:val="18"/>
        </w:rPr>
        <w:t xml:space="preserve"> - 3</w:t>
      </w:r>
      <w:r w:rsidRPr="00887AC4">
        <w:rPr>
          <w:sz w:val="18"/>
        </w:rPr>
        <w:t>4%, 30-35 év között</w:t>
      </w:r>
      <w:r>
        <w:rPr>
          <w:sz w:val="18"/>
        </w:rPr>
        <w:t xml:space="preserve"> - </w:t>
      </w:r>
      <w:r w:rsidRPr="00887AC4">
        <w:rPr>
          <w:sz w:val="18"/>
        </w:rPr>
        <w:t>32%, 35-40 év között</w:t>
      </w:r>
      <w:r>
        <w:rPr>
          <w:sz w:val="18"/>
        </w:rPr>
        <w:t xml:space="preserve"> - </w:t>
      </w:r>
      <w:r w:rsidRPr="00887AC4">
        <w:rPr>
          <w:sz w:val="18"/>
        </w:rPr>
        <w:t>13%, 40 év felett</w:t>
      </w:r>
      <w:r>
        <w:rPr>
          <w:sz w:val="18"/>
        </w:rPr>
        <w:t xml:space="preserve"> - </w:t>
      </w:r>
      <w:r w:rsidRPr="00887AC4">
        <w:rPr>
          <w:sz w:val="18"/>
        </w:rPr>
        <w:t>3% (1423 kedvezményezett válasza alapján).</w:t>
      </w:r>
    </w:p>
  </w:footnote>
  <w:footnote w:id="11">
    <w:p w:rsidR="00D11655" w:rsidRDefault="00D11655" w:rsidP="005E7D75">
      <w:pPr>
        <w:pStyle w:val="FootnoteText"/>
        <w:jc w:val="both"/>
      </w:pPr>
      <w:r>
        <w:rPr>
          <w:rStyle w:val="FootnoteReference"/>
        </w:rPr>
        <w:footnoteRef/>
      </w:r>
      <w:r>
        <w:t xml:space="preserve"> </w:t>
      </w:r>
      <w:r w:rsidRPr="00887AC4">
        <w:rPr>
          <w:sz w:val="18"/>
        </w:rPr>
        <w:t>A 36 kedvezményezett közül összesen 23-an adtak monitoring adatszolgáltatást, mely alapján megállapítható, hogy az átadó gazdák átlagéletkora 60 év (az egyes értékek 57 és 63 év között szóródnak).</w:t>
      </w:r>
    </w:p>
  </w:footnote>
  <w:footnote w:id="12">
    <w:p w:rsidR="00D11655" w:rsidRDefault="00D11655" w:rsidP="005E7D75">
      <w:pPr>
        <w:pStyle w:val="FootnoteText"/>
        <w:jc w:val="both"/>
      </w:pPr>
      <w:r>
        <w:rPr>
          <w:rStyle w:val="FootnoteReference"/>
        </w:rPr>
        <w:footnoteRef/>
      </w:r>
      <w:r>
        <w:t xml:space="preserve"> </w:t>
      </w:r>
      <w:r w:rsidRPr="003802A9">
        <w:rPr>
          <w:sz w:val="18"/>
        </w:rPr>
        <w:t xml:space="preserve">114, 121, 122, 123, 212, 213, 214, 216, 221, 222, 313, 411-413 intézkedések. Az összevezetést az ügyfél </w:t>
      </w:r>
      <w:proofErr w:type="spellStart"/>
      <w:r w:rsidRPr="003802A9">
        <w:rPr>
          <w:sz w:val="18"/>
        </w:rPr>
        <w:t>regisztrácisó</w:t>
      </w:r>
      <w:proofErr w:type="spellEnd"/>
      <w:r w:rsidRPr="003802A9">
        <w:rPr>
          <w:sz w:val="18"/>
        </w:rPr>
        <w:t xml:space="preserve"> szám alapján végeztük el, a jóváhagyott státuszú támogatási kérelmekre.</w:t>
      </w:r>
    </w:p>
  </w:footnote>
  <w:footnote w:id="13">
    <w:p w:rsidR="00D11655" w:rsidRDefault="00D11655" w:rsidP="00A817A4">
      <w:pPr>
        <w:pStyle w:val="FootnoteText"/>
        <w:jc w:val="both"/>
      </w:pPr>
      <w:r>
        <w:rPr>
          <w:rStyle w:val="FootnoteReference"/>
        </w:rPr>
        <w:footnoteRef/>
      </w:r>
      <w:r>
        <w:t xml:space="preserve"> </w:t>
      </w:r>
      <w:r w:rsidRPr="00FE7708">
        <w:rPr>
          <w:sz w:val="18"/>
        </w:rPr>
        <w:t xml:space="preserve">Forrás: MVH Szervezési és Koordinációs Főosztálytól, 2010.08.06-án kapott „tételes lista” adatai alapján </w:t>
      </w:r>
      <w:proofErr w:type="gramStart"/>
      <w:r w:rsidRPr="00FE7708">
        <w:rPr>
          <w:sz w:val="18"/>
        </w:rPr>
        <w:t>A</w:t>
      </w:r>
      <w:proofErr w:type="gramEnd"/>
      <w:r w:rsidRPr="00FE7708">
        <w:rPr>
          <w:sz w:val="18"/>
        </w:rPr>
        <w:t xml:space="preserve"> regisztr</w:t>
      </w:r>
      <w:r w:rsidRPr="00FE7708">
        <w:rPr>
          <w:sz w:val="18"/>
        </w:rPr>
        <w:t>á</w:t>
      </w:r>
      <w:r w:rsidRPr="00FE7708">
        <w:rPr>
          <w:sz w:val="18"/>
        </w:rPr>
        <w:t xml:space="preserve">ciós számokat vizsgáltuk </w:t>
      </w:r>
      <w:r>
        <w:rPr>
          <w:sz w:val="18"/>
        </w:rPr>
        <w:t>(</w:t>
      </w:r>
      <w:r w:rsidRPr="00FE7708">
        <w:rPr>
          <w:sz w:val="18"/>
        </w:rPr>
        <w:t>1 db regisztrációs</w:t>
      </w:r>
      <w:r>
        <w:rPr>
          <w:sz w:val="18"/>
        </w:rPr>
        <w:t xml:space="preserve"> szám = 1 db kérelmező) a </w:t>
      </w:r>
      <w:proofErr w:type="spellStart"/>
      <w:r>
        <w:rPr>
          <w:sz w:val="18"/>
        </w:rPr>
        <w:t>támogatotti</w:t>
      </w:r>
      <w:proofErr w:type="spellEnd"/>
      <w:r>
        <w:rPr>
          <w:sz w:val="18"/>
        </w:rPr>
        <w:t xml:space="preserve"> körben (azon beérkezett támogatási kérelmeket vettük figyelembe, melyeknél az egységes státusz „Jóváhagyott” állapotban volt).</w:t>
      </w:r>
    </w:p>
  </w:footnote>
  <w:footnote w:id="14">
    <w:p w:rsidR="00D11655" w:rsidRDefault="00D11655" w:rsidP="00972141">
      <w:pPr>
        <w:pStyle w:val="FootnoteText"/>
        <w:jc w:val="both"/>
      </w:pPr>
      <w:r>
        <w:rPr>
          <w:rStyle w:val="FootnoteReference"/>
        </w:rPr>
        <w:footnoteRef/>
      </w:r>
      <w:r>
        <w:t xml:space="preserve"> </w:t>
      </w:r>
      <w:r w:rsidRPr="00031E22">
        <w:rPr>
          <w:sz w:val="18"/>
          <w:szCs w:val="18"/>
        </w:rPr>
        <w:t>Az intézkedések fontosabb jellemzői: 112 – Fiatal gazdálkodók támogatása: 2373 fő támogatott gazda, 24 455 969 000 Ft megítélt támogatás, koreloszlás (az e-monitoring adatok alapján) - 25 év alattiak - 18%, 25-30 év között - 34%, 30-35 év között - 32%, 35-40 év között - 13%, 40 év felett - 3%.</w:t>
      </w:r>
      <w:r>
        <w:rPr>
          <w:sz w:val="18"/>
          <w:szCs w:val="18"/>
        </w:rPr>
        <w:t xml:space="preserve"> </w:t>
      </w:r>
      <w:r w:rsidRPr="00031E22">
        <w:rPr>
          <w:sz w:val="18"/>
          <w:szCs w:val="18"/>
        </w:rPr>
        <w:t>113 – Mezőgazdasági termelők gazdasá</w:t>
      </w:r>
      <w:r w:rsidRPr="00031E22">
        <w:rPr>
          <w:sz w:val="18"/>
          <w:szCs w:val="18"/>
        </w:rPr>
        <w:t>g</w:t>
      </w:r>
      <w:r w:rsidRPr="00031E22">
        <w:rPr>
          <w:sz w:val="18"/>
          <w:szCs w:val="18"/>
        </w:rPr>
        <w:t>átadása: 37 fő támogatott, 307 533 492 Ft megítélt támogatás, az átadó gazdák átlagéletkora 60 év (az egyes értékek 57 és 63 év között szóródnak, az e-monitoring adatszolgáltatás adatai alapján).</w:t>
      </w:r>
    </w:p>
  </w:footnote>
  <w:footnote w:id="15">
    <w:p w:rsidR="00D11655" w:rsidRPr="00F26652" w:rsidRDefault="00D11655" w:rsidP="00972141">
      <w:pPr>
        <w:pStyle w:val="FootnoteText"/>
        <w:spacing w:line="276" w:lineRule="auto"/>
        <w:jc w:val="both"/>
        <w:rPr>
          <w:sz w:val="18"/>
          <w:szCs w:val="18"/>
        </w:rPr>
      </w:pPr>
      <w:r w:rsidRPr="00F26652">
        <w:rPr>
          <w:rStyle w:val="FootnoteReference"/>
          <w:sz w:val="18"/>
          <w:szCs w:val="18"/>
        </w:rPr>
        <w:footnoteRef/>
      </w:r>
      <w:r w:rsidRPr="00F26652">
        <w:rPr>
          <w:sz w:val="18"/>
          <w:szCs w:val="18"/>
        </w:rPr>
        <w:t xml:space="preserve"> Lásd a költségszerkezeti táblázatok technológiai felbontását.</w:t>
      </w:r>
    </w:p>
  </w:footnote>
  <w:footnote w:id="16">
    <w:p w:rsidR="00D11655" w:rsidRDefault="00D11655" w:rsidP="00FE1385">
      <w:pPr>
        <w:pStyle w:val="FootnoteText"/>
        <w:jc w:val="both"/>
      </w:pPr>
      <w:r>
        <w:rPr>
          <w:rStyle w:val="FootnoteReference"/>
        </w:rPr>
        <w:footnoteRef/>
      </w:r>
      <w:r>
        <w:t xml:space="preserve"> </w:t>
      </w:r>
      <w:r w:rsidRPr="004948A8">
        <w:rPr>
          <w:sz w:val="18"/>
        </w:rPr>
        <w:t>Forrás: MVH Szervezési és Koordinációs Főosztályától 2010.08.06-án kapott ún. „tételes lista”.</w:t>
      </w:r>
    </w:p>
  </w:footnote>
  <w:footnote w:id="17">
    <w:p w:rsidR="00D11655" w:rsidRPr="00F26652" w:rsidRDefault="00D11655" w:rsidP="00FE1385">
      <w:pPr>
        <w:pStyle w:val="FootnoteText"/>
        <w:spacing w:line="276" w:lineRule="auto"/>
        <w:jc w:val="both"/>
        <w:rPr>
          <w:sz w:val="18"/>
          <w:szCs w:val="18"/>
        </w:rPr>
      </w:pPr>
      <w:r w:rsidRPr="00F26652">
        <w:rPr>
          <w:rStyle w:val="FootnoteReference"/>
          <w:sz w:val="18"/>
          <w:szCs w:val="18"/>
        </w:rPr>
        <w:footnoteRef/>
      </w:r>
      <w:r w:rsidRPr="00F26652">
        <w:rPr>
          <w:sz w:val="18"/>
          <w:szCs w:val="18"/>
        </w:rPr>
        <w:t xml:space="preserve"> Forrás: MVH</w:t>
      </w:r>
      <w:r>
        <w:rPr>
          <w:sz w:val="18"/>
          <w:szCs w:val="18"/>
        </w:rPr>
        <w:t>, településsoros</w:t>
      </w:r>
      <w:r w:rsidRPr="00F26652">
        <w:rPr>
          <w:sz w:val="18"/>
          <w:szCs w:val="18"/>
        </w:rPr>
        <w:t xml:space="preserve"> </w:t>
      </w:r>
      <w:r>
        <w:rPr>
          <w:sz w:val="18"/>
          <w:szCs w:val="18"/>
        </w:rPr>
        <w:t xml:space="preserve">megítélt támogatási adatok (kötelezettségvállalás) </w:t>
      </w:r>
    </w:p>
  </w:footnote>
  <w:footnote w:id="18">
    <w:p w:rsidR="00D11655" w:rsidRPr="00F26652" w:rsidRDefault="00D11655" w:rsidP="0090471E">
      <w:pPr>
        <w:pStyle w:val="FootnoteText"/>
        <w:spacing w:line="276" w:lineRule="auto"/>
        <w:jc w:val="both"/>
        <w:rPr>
          <w:sz w:val="18"/>
          <w:szCs w:val="18"/>
        </w:rPr>
      </w:pPr>
      <w:r w:rsidRPr="00F26652">
        <w:rPr>
          <w:rStyle w:val="FootnoteReference"/>
          <w:sz w:val="18"/>
          <w:szCs w:val="18"/>
        </w:rPr>
        <w:footnoteRef/>
      </w:r>
      <w:r w:rsidRPr="00F26652">
        <w:rPr>
          <w:sz w:val="18"/>
          <w:szCs w:val="18"/>
        </w:rPr>
        <w:t xml:space="preserve"> Elnökségi Konklúziók, Göteborg, 2001. június 15. és 16.</w:t>
      </w:r>
    </w:p>
  </w:footnote>
  <w:footnote w:id="19">
    <w:p w:rsidR="00D11655" w:rsidRPr="008A065B" w:rsidRDefault="00D11655" w:rsidP="008A065B">
      <w:pPr>
        <w:pStyle w:val="FootnoteText"/>
        <w:jc w:val="both"/>
        <w:rPr>
          <w:sz w:val="16"/>
          <w:szCs w:val="16"/>
        </w:rPr>
      </w:pPr>
      <w:r w:rsidRPr="008A065B">
        <w:rPr>
          <w:rStyle w:val="FootnoteReference"/>
          <w:sz w:val="16"/>
          <w:szCs w:val="16"/>
        </w:rPr>
        <w:footnoteRef/>
      </w:r>
      <w:r w:rsidRPr="008A065B">
        <w:rPr>
          <w:sz w:val="16"/>
          <w:szCs w:val="16"/>
        </w:rPr>
        <w:t xml:space="preserve"> Ezek: </w:t>
      </w:r>
      <w:proofErr w:type="spellStart"/>
      <w:r w:rsidRPr="008A065B">
        <w:rPr>
          <w:sz w:val="16"/>
          <w:szCs w:val="16"/>
        </w:rPr>
        <w:t>Biodiverzitás</w:t>
      </w:r>
      <w:proofErr w:type="spellEnd"/>
      <w:r w:rsidRPr="008A065B">
        <w:rPr>
          <w:sz w:val="16"/>
          <w:szCs w:val="16"/>
        </w:rPr>
        <w:t xml:space="preserve">: védett erdők (11. számú), </w:t>
      </w:r>
      <w:proofErr w:type="spellStart"/>
      <w:r w:rsidRPr="008A065B">
        <w:rPr>
          <w:sz w:val="16"/>
          <w:szCs w:val="16"/>
        </w:rPr>
        <w:t>Biodiverzitás</w:t>
      </w:r>
      <w:proofErr w:type="spellEnd"/>
      <w:r w:rsidRPr="008A065B">
        <w:rPr>
          <w:sz w:val="16"/>
          <w:szCs w:val="16"/>
        </w:rPr>
        <w:t xml:space="preserve">: mezőgazdasági területen fészkelő vadon élő madarak állománya (17. számú), </w:t>
      </w:r>
      <w:proofErr w:type="spellStart"/>
      <w:r w:rsidRPr="008A065B">
        <w:rPr>
          <w:sz w:val="16"/>
          <w:szCs w:val="16"/>
        </w:rPr>
        <w:t>Biodiverzitás</w:t>
      </w:r>
      <w:proofErr w:type="spellEnd"/>
      <w:r w:rsidRPr="008A065B">
        <w:rPr>
          <w:sz w:val="16"/>
          <w:szCs w:val="16"/>
        </w:rPr>
        <w:t xml:space="preserve">: mezőgazdasági hasznosítású magas természeti értékű területek (18. számú), </w:t>
      </w:r>
      <w:proofErr w:type="spellStart"/>
      <w:r w:rsidRPr="008A065B">
        <w:rPr>
          <w:sz w:val="16"/>
          <w:szCs w:val="16"/>
        </w:rPr>
        <w:t>Biodiverzitás</w:t>
      </w:r>
      <w:proofErr w:type="spellEnd"/>
      <w:r w:rsidRPr="008A065B">
        <w:rPr>
          <w:sz w:val="16"/>
          <w:szCs w:val="16"/>
        </w:rPr>
        <w:t xml:space="preserve">: </w:t>
      </w:r>
      <w:proofErr w:type="spellStart"/>
      <w:r w:rsidRPr="008A065B">
        <w:rPr>
          <w:sz w:val="16"/>
          <w:szCs w:val="16"/>
        </w:rPr>
        <w:t>fafajösszetétel</w:t>
      </w:r>
      <w:proofErr w:type="spellEnd"/>
      <w:r w:rsidRPr="008A065B">
        <w:rPr>
          <w:sz w:val="16"/>
          <w:szCs w:val="16"/>
        </w:rPr>
        <w:t xml:space="preserve"> (19. számú), Érzékeny természeti terület (28. számú) és Érzékeny természeti terület (28. számú).</w:t>
      </w:r>
    </w:p>
  </w:footnote>
  <w:footnote w:id="20">
    <w:p w:rsidR="00D11655" w:rsidRDefault="00D11655" w:rsidP="000B7A47">
      <w:pPr>
        <w:pStyle w:val="FootnoteText"/>
        <w:jc w:val="both"/>
      </w:pPr>
      <w:r>
        <w:rPr>
          <w:rStyle w:val="FootnoteReference"/>
        </w:rPr>
        <w:footnoteRef/>
      </w:r>
      <w:r>
        <w:t xml:space="preserve"> </w:t>
      </w:r>
      <w:r w:rsidRPr="006B3746">
        <w:rPr>
          <w:sz w:val="18"/>
        </w:rPr>
        <w:t>Ezek: Éghajlatváltozás: mezőgazdaságból és erdészetből származó megújuló energia termelése (25. számú), Éghajla</w:t>
      </w:r>
      <w:r w:rsidRPr="006B3746">
        <w:rPr>
          <w:sz w:val="18"/>
        </w:rPr>
        <w:t>t</w:t>
      </w:r>
      <w:r w:rsidRPr="006B3746">
        <w:rPr>
          <w:sz w:val="18"/>
        </w:rPr>
        <w:t>változás: megújuló energia termelésére hasznosított mezőgazdasági terület (25. számú), Éghajlatvált</w:t>
      </w:r>
      <w:r w:rsidRPr="006B3746">
        <w:rPr>
          <w:sz w:val="18"/>
        </w:rPr>
        <w:t>o</w:t>
      </w:r>
      <w:r w:rsidRPr="006B3746">
        <w:rPr>
          <w:sz w:val="18"/>
        </w:rPr>
        <w:t>zás/levegőminőség: mezőgazdaság üvegház hatású gáz és ammónia kibocsátása (26. számú), Éghajlatváltozás mérsé</w:t>
      </w:r>
      <w:r w:rsidRPr="006B3746">
        <w:rPr>
          <w:sz w:val="18"/>
        </w:rPr>
        <w:t>k</w:t>
      </w:r>
      <w:r w:rsidRPr="006B3746">
        <w:rPr>
          <w:sz w:val="18"/>
        </w:rPr>
        <w:t>lése (26. számú).</w:t>
      </w:r>
    </w:p>
  </w:footnote>
  <w:footnote w:id="21">
    <w:p w:rsidR="00D11655" w:rsidRPr="008A065B" w:rsidRDefault="00D11655" w:rsidP="008A065B">
      <w:pPr>
        <w:pStyle w:val="FootnoteText"/>
        <w:jc w:val="both"/>
        <w:rPr>
          <w:sz w:val="16"/>
          <w:szCs w:val="16"/>
        </w:rPr>
      </w:pPr>
      <w:r w:rsidRPr="008A065B">
        <w:rPr>
          <w:rStyle w:val="FootnoteReference"/>
          <w:sz w:val="16"/>
          <w:szCs w:val="16"/>
        </w:rPr>
        <w:footnoteRef/>
      </w:r>
      <w:r w:rsidRPr="008A065B">
        <w:rPr>
          <w:sz w:val="16"/>
          <w:szCs w:val="16"/>
        </w:rPr>
        <w:t xml:space="preserve"> Ezek: Vízminőség (14. számú), Vízfelhasználás (15. számú), Vízminőség: bruttó tápanyagegyensúly (20. számú), Vízminőség: bruttó tápanyagegyensúly (20. számú) és Vízminőség: nitrát- és </w:t>
      </w:r>
      <w:proofErr w:type="spellStart"/>
      <w:r w:rsidRPr="008A065B">
        <w:rPr>
          <w:sz w:val="16"/>
          <w:szCs w:val="16"/>
        </w:rPr>
        <w:t>növényvédőszer</w:t>
      </w:r>
      <w:proofErr w:type="spellEnd"/>
      <w:r w:rsidRPr="008A065B">
        <w:rPr>
          <w:sz w:val="16"/>
          <w:szCs w:val="16"/>
        </w:rPr>
        <w:t xml:space="preserve"> terhelés (21. számú).</w:t>
      </w:r>
    </w:p>
  </w:footnote>
  <w:footnote w:id="22">
    <w:p w:rsidR="00D11655" w:rsidRDefault="00D11655" w:rsidP="008A065B">
      <w:pPr>
        <w:pStyle w:val="FootnoteText"/>
        <w:jc w:val="both"/>
      </w:pPr>
      <w:r w:rsidRPr="008A065B">
        <w:rPr>
          <w:rStyle w:val="FootnoteReference"/>
          <w:sz w:val="16"/>
          <w:szCs w:val="16"/>
        </w:rPr>
        <w:footnoteRef/>
      </w:r>
      <w:r w:rsidRPr="008A065B">
        <w:rPr>
          <w:sz w:val="16"/>
          <w:szCs w:val="16"/>
        </w:rPr>
        <w:t xml:space="preserve"> Ezek: Talajerő-visszapótlás (7. számú), Talaj- és </w:t>
      </w:r>
      <w:proofErr w:type="spellStart"/>
      <w:r w:rsidRPr="008A065B">
        <w:rPr>
          <w:sz w:val="16"/>
          <w:szCs w:val="16"/>
        </w:rPr>
        <w:t>vízbázisvédelem</w:t>
      </w:r>
      <w:proofErr w:type="spellEnd"/>
      <w:r w:rsidRPr="008A065B">
        <w:rPr>
          <w:sz w:val="16"/>
          <w:szCs w:val="16"/>
        </w:rPr>
        <w:t xml:space="preserve"> szempontjából védett erdők (16. számú), Talaj: erózióval veszélye</w:t>
      </w:r>
      <w:r w:rsidRPr="008A065B">
        <w:rPr>
          <w:sz w:val="16"/>
          <w:szCs w:val="16"/>
        </w:rPr>
        <w:t>z</w:t>
      </w:r>
      <w:r w:rsidRPr="008A065B">
        <w:rPr>
          <w:sz w:val="16"/>
          <w:szCs w:val="16"/>
        </w:rPr>
        <w:t>tetett területek (22. számú), Talaj: ökológiai gazdálkodás (23. számú).</w:t>
      </w:r>
    </w:p>
  </w:footnote>
  <w:footnote w:id="23">
    <w:p w:rsidR="00D11655" w:rsidRDefault="00D11655" w:rsidP="0090471E">
      <w:pPr>
        <w:pStyle w:val="FootnoteText"/>
        <w:jc w:val="both"/>
      </w:pPr>
      <w:r>
        <w:rPr>
          <w:rStyle w:val="FootnoteReference"/>
        </w:rPr>
        <w:footnoteRef/>
      </w:r>
      <w:r>
        <w:t xml:space="preserve"> </w:t>
      </w:r>
      <w:r w:rsidRPr="00791697">
        <w:rPr>
          <w:sz w:val="18"/>
        </w:rPr>
        <w:t xml:space="preserve">KAT, NATURA 2000, AKG, ÁTK, Mezőgazdasági és erdészeti </w:t>
      </w:r>
      <w:proofErr w:type="gramStart"/>
      <w:r w:rsidRPr="00791697">
        <w:rPr>
          <w:sz w:val="18"/>
        </w:rPr>
        <w:t>infrastruktúra intézkedésekkel</w:t>
      </w:r>
      <w:proofErr w:type="gramEnd"/>
      <w:r w:rsidRPr="00791697">
        <w:rPr>
          <w:sz w:val="18"/>
        </w:rPr>
        <w:t xml:space="preserve"> számolva.</w:t>
      </w:r>
      <w:r>
        <w:rPr>
          <w:sz w:val="18"/>
        </w:rPr>
        <w:t xml:space="preserve"> Forrás: ÚMVP, 7. verzió, indikatív forráselosztás.</w:t>
      </w:r>
    </w:p>
  </w:footnote>
  <w:footnote w:id="24">
    <w:p w:rsidR="00D11655" w:rsidRPr="005A1177" w:rsidRDefault="00D11655" w:rsidP="00972141">
      <w:pPr>
        <w:pStyle w:val="FootnoteText"/>
        <w:spacing w:line="276" w:lineRule="auto"/>
        <w:jc w:val="both"/>
        <w:rPr>
          <w:sz w:val="16"/>
          <w:szCs w:val="16"/>
        </w:rPr>
      </w:pPr>
      <w:r w:rsidRPr="005A1177">
        <w:rPr>
          <w:rStyle w:val="FootnoteReference"/>
          <w:sz w:val="16"/>
          <w:szCs w:val="16"/>
        </w:rPr>
        <w:footnoteRef/>
      </w:r>
      <w:r w:rsidRPr="005A1177">
        <w:rPr>
          <w:sz w:val="16"/>
          <w:szCs w:val="16"/>
        </w:rPr>
        <w:t xml:space="preserve"> ÁTK – Új férőhelyek: 50,3 Mrd, ÉLIP: 78 Mrd, Erdészeti gép: 4,5 Mrd, Gépbeszerzés: 76,7 Mrd, Kertészeti gép és üzem: 24,5 Mrd.</w:t>
      </w:r>
    </w:p>
  </w:footnote>
  <w:footnote w:id="25">
    <w:p w:rsidR="00D11655" w:rsidRDefault="00D11655" w:rsidP="00EB5F94">
      <w:pPr>
        <w:pStyle w:val="FootnoteText"/>
        <w:jc w:val="both"/>
      </w:pPr>
      <w:r w:rsidRPr="005A1177">
        <w:rPr>
          <w:rStyle w:val="FootnoteReference"/>
          <w:sz w:val="16"/>
          <w:szCs w:val="16"/>
        </w:rPr>
        <w:footnoteRef/>
      </w:r>
      <w:r w:rsidRPr="005A1177">
        <w:rPr>
          <w:sz w:val="16"/>
          <w:szCs w:val="16"/>
        </w:rPr>
        <w:t xml:space="preserve"> A vizsgált jogcímek: Öntözés, melioráció, területi vízgazdálkodás, Állattartó telepek korszerűsítése, Önálló, építéssel nem járó gépek beszerzése, Kertészeti gépbeszerzés.</w:t>
      </w:r>
    </w:p>
  </w:footnote>
  <w:footnote w:id="26">
    <w:p w:rsidR="00D11655" w:rsidRPr="008A065B" w:rsidRDefault="00D11655" w:rsidP="00285223">
      <w:pPr>
        <w:pStyle w:val="HUNNormal"/>
        <w:tabs>
          <w:tab w:val="left" w:pos="709"/>
        </w:tabs>
        <w:spacing w:before="0" w:after="0" w:line="240" w:lineRule="auto"/>
        <w:rPr>
          <w:sz w:val="16"/>
          <w:szCs w:val="16"/>
        </w:rPr>
      </w:pPr>
      <w:r>
        <w:rPr>
          <w:rStyle w:val="FootnoteReference"/>
        </w:rPr>
        <w:footnoteRef/>
      </w:r>
      <w:r>
        <w:t xml:space="preserve"> </w:t>
      </w:r>
      <w:r w:rsidRPr="009E475B">
        <w:rPr>
          <w:sz w:val="18"/>
          <w:szCs w:val="18"/>
        </w:rPr>
        <w:t xml:space="preserve">Nem rendelkezünk pontos </w:t>
      </w:r>
      <w:proofErr w:type="gramStart"/>
      <w:r w:rsidRPr="009E475B">
        <w:rPr>
          <w:sz w:val="18"/>
          <w:szCs w:val="18"/>
        </w:rPr>
        <w:t>adattal</w:t>
      </w:r>
      <w:proofErr w:type="gramEnd"/>
      <w:r w:rsidRPr="009E475B">
        <w:rPr>
          <w:sz w:val="18"/>
          <w:szCs w:val="18"/>
        </w:rPr>
        <w:t xml:space="preserve"> azzal kapcsolatban, hogy mekkora a </w:t>
      </w:r>
      <w:proofErr w:type="spellStart"/>
      <w:r w:rsidRPr="009E475B">
        <w:rPr>
          <w:sz w:val="18"/>
          <w:szCs w:val="18"/>
        </w:rPr>
        <w:t>Natura</w:t>
      </w:r>
      <w:proofErr w:type="spellEnd"/>
      <w:r w:rsidRPr="009E475B">
        <w:rPr>
          <w:sz w:val="18"/>
          <w:szCs w:val="18"/>
        </w:rPr>
        <w:t xml:space="preserve"> 2000 hálózat magyarországi támoga</w:t>
      </w:r>
      <w:r w:rsidRPr="009E475B">
        <w:rPr>
          <w:sz w:val="18"/>
          <w:szCs w:val="18"/>
        </w:rPr>
        <w:t>t</w:t>
      </w:r>
      <w:r w:rsidRPr="009E475B">
        <w:rPr>
          <w:sz w:val="18"/>
          <w:szCs w:val="18"/>
        </w:rPr>
        <w:t>ható területe, azonban tudjuk, hogy 2010-ben 172 452,98 h</w:t>
      </w:r>
      <w:r>
        <w:rPr>
          <w:sz w:val="18"/>
          <w:szCs w:val="18"/>
        </w:rPr>
        <w:t>ektár</w:t>
      </w:r>
      <w:r w:rsidRPr="009E475B">
        <w:rPr>
          <w:sz w:val="18"/>
          <w:szCs w:val="18"/>
        </w:rPr>
        <w:t xml:space="preserve"> területen igényelték a </w:t>
      </w:r>
      <w:proofErr w:type="spellStart"/>
      <w:r w:rsidRPr="009E475B">
        <w:rPr>
          <w:sz w:val="18"/>
          <w:szCs w:val="18"/>
        </w:rPr>
        <w:t>Natura</w:t>
      </w:r>
      <w:proofErr w:type="spellEnd"/>
      <w:r w:rsidRPr="009E475B">
        <w:rPr>
          <w:sz w:val="18"/>
          <w:szCs w:val="18"/>
        </w:rPr>
        <w:t xml:space="preserve"> 2000 támogatást. A </w:t>
      </w:r>
      <w:proofErr w:type="spellStart"/>
      <w:r w:rsidRPr="008A065B">
        <w:rPr>
          <w:sz w:val="16"/>
          <w:szCs w:val="16"/>
        </w:rPr>
        <w:t>Natura</w:t>
      </w:r>
      <w:proofErr w:type="spellEnd"/>
      <w:r w:rsidRPr="008A065B">
        <w:rPr>
          <w:sz w:val="16"/>
          <w:szCs w:val="16"/>
        </w:rPr>
        <w:t xml:space="preserve"> 2000 blokkok összterületét összevetve a </w:t>
      </w:r>
      <w:proofErr w:type="spellStart"/>
      <w:r w:rsidRPr="008A065B">
        <w:rPr>
          <w:sz w:val="16"/>
          <w:szCs w:val="16"/>
        </w:rPr>
        <w:t>Corine</w:t>
      </w:r>
      <w:proofErr w:type="spellEnd"/>
      <w:r w:rsidRPr="008A065B">
        <w:rPr>
          <w:sz w:val="16"/>
          <w:szCs w:val="16"/>
        </w:rPr>
        <w:t xml:space="preserve"> 50 adatbázis gyepterületeivel úgy becsüljük, hogy ez az összes </w:t>
      </w:r>
      <w:proofErr w:type="spellStart"/>
      <w:r w:rsidRPr="008A065B">
        <w:rPr>
          <w:sz w:val="16"/>
          <w:szCs w:val="16"/>
        </w:rPr>
        <w:t>Natura</w:t>
      </w:r>
      <w:proofErr w:type="spellEnd"/>
      <w:r w:rsidRPr="008A065B">
        <w:rPr>
          <w:sz w:val="16"/>
          <w:szCs w:val="16"/>
        </w:rPr>
        <w:t xml:space="preserve"> 2000 gyepterületnek kb. 39 %-</w:t>
      </w:r>
      <w:proofErr w:type="gramStart"/>
      <w:r w:rsidRPr="008A065B">
        <w:rPr>
          <w:sz w:val="16"/>
          <w:szCs w:val="16"/>
        </w:rPr>
        <w:t>a.</w:t>
      </w:r>
      <w:proofErr w:type="gramEnd"/>
    </w:p>
  </w:footnote>
  <w:footnote w:id="27">
    <w:p w:rsidR="00D11655" w:rsidRPr="008A065B" w:rsidRDefault="00D11655" w:rsidP="00285223">
      <w:pPr>
        <w:pStyle w:val="FootnoteText"/>
        <w:jc w:val="both"/>
        <w:rPr>
          <w:sz w:val="16"/>
          <w:szCs w:val="16"/>
        </w:rPr>
      </w:pPr>
      <w:r w:rsidRPr="008A065B">
        <w:rPr>
          <w:rStyle w:val="FootnoteReference"/>
          <w:sz w:val="16"/>
          <w:szCs w:val="16"/>
        </w:rPr>
        <w:footnoteRef/>
      </w:r>
      <w:r w:rsidRPr="008A065B">
        <w:rPr>
          <w:sz w:val="16"/>
          <w:szCs w:val="16"/>
        </w:rPr>
        <w:t xml:space="preserve"> Eddig összesen 110 támogatott projektről tudunk.</w:t>
      </w:r>
    </w:p>
  </w:footnote>
  <w:footnote w:id="28">
    <w:p w:rsidR="00D11655" w:rsidRDefault="00D11655" w:rsidP="00A817A4">
      <w:pPr>
        <w:pStyle w:val="FootnoteText"/>
        <w:jc w:val="both"/>
      </w:pPr>
      <w:r>
        <w:rPr>
          <w:rStyle w:val="FootnoteReference"/>
        </w:rPr>
        <w:footnoteRef/>
      </w:r>
      <w:r>
        <w:t xml:space="preserve"> </w:t>
      </w:r>
      <w:r w:rsidRPr="00664359">
        <w:rPr>
          <w:sz w:val="18"/>
        </w:rPr>
        <w:t>600 fő létszámleépítést – az SFH értékek hiánya miatt - nem lehetet méretnagysághoz sorolni.</w:t>
      </w:r>
    </w:p>
  </w:footnote>
  <w:footnote w:id="29">
    <w:p w:rsidR="00D11655" w:rsidRDefault="00D11655" w:rsidP="00A817A4">
      <w:pPr>
        <w:pStyle w:val="FootnoteText"/>
        <w:jc w:val="both"/>
      </w:pPr>
      <w:r>
        <w:rPr>
          <w:rStyle w:val="FootnoteReference"/>
        </w:rPr>
        <w:footnoteRef/>
      </w:r>
      <w:r>
        <w:t xml:space="preserve"> </w:t>
      </w:r>
      <w:r w:rsidRPr="00505D1A">
        <w:rPr>
          <w:sz w:val="18"/>
        </w:rPr>
        <w:t>Megítélt támogatási összegek szerint rendezett felső 5%-</w:t>
      </w:r>
      <w:proofErr w:type="gramStart"/>
      <w:r w:rsidRPr="00505D1A">
        <w:rPr>
          <w:sz w:val="18"/>
        </w:rPr>
        <w:t>a.</w:t>
      </w:r>
      <w:proofErr w:type="gramEnd"/>
    </w:p>
  </w:footnote>
  <w:footnote w:id="30">
    <w:p w:rsidR="00D11655" w:rsidRPr="00E01015" w:rsidRDefault="00D11655">
      <w:pPr>
        <w:pStyle w:val="FootnoteText"/>
        <w:rPr>
          <w:sz w:val="16"/>
          <w:szCs w:val="16"/>
        </w:rPr>
      </w:pPr>
      <w:r w:rsidRPr="00E01015">
        <w:rPr>
          <w:rStyle w:val="FootnoteReference"/>
          <w:sz w:val="16"/>
          <w:szCs w:val="16"/>
        </w:rPr>
        <w:footnoteRef/>
      </w:r>
      <w:r w:rsidRPr="00E01015">
        <w:rPr>
          <w:sz w:val="16"/>
          <w:szCs w:val="16"/>
        </w:rPr>
        <w:t xml:space="preserve"> Megítélt támogatások rendre: 76 784 719 852 Ft, 212 042 027 803 Ft, 1 945 113 954 Ft.</w:t>
      </w:r>
    </w:p>
  </w:footnote>
  <w:footnote w:id="31">
    <w:p w:rsidR="00D11655" w:rsidRDefault="00D11655">
      <w:pPr>
        <w:pStyle w:val="FootnoteText"/>
      </w:pPr>
      <w:r>
        <w:rPr>
          <w:rStyle w:val="FootnoteReference"/>
        </w:rPr>
        <w:footnoteRef/>
      </w:r>
      <w:r>
        <w:t xml:space="preserve">  </w:t>
      </w:r>
      <w:r w:rsidRPr="00074882">
        <w:rPr>
          <w:sz w:val="16"/>
          <w:szCs w:val="16"/>
        </w:rPr>
        <w:t xml:space="preserve">A </w:t>
      </w:r>
      <w:proofErr w:type="gramStart"/>
      <w:r w:rsidRPr="00074882">
        <w:rPr>
          <w:sz w:val="16"/>
          <w:szCs w:val="16"/>
        </w:rPr>
        <w:t>2010. novemberében</w:t>
      </w:r>
      <w:proofErr w:type="gramEnd"/>
      <w:r w:rsidRPr="00074882">
        <w:rPr>
          <w:sz w:val="16"/>
          <w:szCs w:val="16"/>
        </w:rPr>
        <w:t xml:space="preserve"> megindult a 2010. évi </w:t>
      </w:r>
      <w:proofErr w:type="spellStart"/>
      <w:r w:rsidRPr="00074882">
        <w:rPr>
          <w:sz w:val="16"/>
          <w:szCs w:val="16"/>
        </w:rPr>
        <w:t>MgTE</w:t>
      </w:r>
      <w:proofErr w:type="spellEnd"/>
      <w:r w:rsidRPr="00074882">
        <w:rPr>
          <w:sz w:val="16"/>
          <w:szCs w:val="16"/>
        </w:rPr>
        <w:t xml:space="preserve"> támogatási kérelmek vonatkozásában meghozott határozatok közlése, emiatt a kötelezettségvállalás folyamatosan növekszik.</w:t>
      </w:r>
    </w:p>
  </w:footnote>
  <w:footnote w:id="32">
    <w:p w:rsidR="00D11655" w:rsidRDefault="00D11655" w:rsidP="00B7428A">
      <w:pPr>
        <w:pStyle w:val="FootnoteText"/>
      </w:pPr>
      <w:r>
        <w:rPr>
          <w:rStyle w:val="FootnoteReference"/>
        </w:rPr>
        <w:footnoteRef/>
      </w:r>
      <w:r>
        <w:t xml:space="preserve"> </w:t>
      </w:r>
      <w:r w:rsidRPr="006445C7">
        <w:rPr>
          <w:sz w:val="16"/>
          <w:szCs w:val="16"/>
        </w:rPr>
        <w:t xml:space="preserve">Az ÚMVP 22. sz. mellékletében ez az intézkedés nem szerepel a horizontálisan megvalósuló intézkedések között, végrehajtására ugyanakkor </w:t>
      </w:r>
      <w:r>
        <w:rPr>
          <w:sz w:val="16"/>
          <w:szCs w:val="16"/>
        </w:rPr>
        <w:t xml:space="preserve">az </w:t>
      </w:r>
      <w:r w:rsidRPr="006445C7">
        <w:rPr>
          <w:sz w:val="16"/>
          <w:szCs w:val="16"/>
        </w:rPr>
        <w:t>eredeti</w:t>
      </w:r>
      <w:r>
        <w:rPr>
          <w:sz w:val="16"/>
          <w:szCs w:val="16"/>
        </w:rPr>
        <w:t xml:space="preserve"> elképzelések szerint</w:t>
      </w:r>
      <w:r w:rsidRPr="006445C7">
        <w:rPr>
          <w:sz w:val="16"/>
          <w:szCs w:val="16"/>
        </w:rPr>
        <w:t xml:space="preserve"> nem a </w:t>
      </w:r>
      <w:proofErr w:type="spellStart"/>
      <w:r w:rsidRPr="006445C7">
        <w:rPr>
          <w:sz w:val="16"/>
          <w:szCs w:val="16"/>
        </w:rPr>
        <w:t>HACS-ok</w:t>
      </w:r>
      <w:proofErr w:type="spellEnd"/>
      <w:r w:rsidRPr="006445C7">
        <w:rPr>
          <w:sz w:val="16"/>
          <w:szCs w:val="16"/>
        </w:rPr>
        <w:t xml:space="preserve">, hanem a </w:t>
      </w:r>
      <w:proofErr w:type="spellStart"/>
      <w:r w:rsidRPr="006445C7">
        <w:rPr>
          <w:sz w:val="16"/>
          <w:szCs w:val="16"/>
        </w:rPr>
        <w:t>HVI-k</w:t>
      </w:r>
      <w:proofErr w:type="spellEnd"/>
      <w:r w:rsidRPr="006445C7">
        <w:rPr>
          <w:sz w:val="16"/>
          <w:szCs w:val="16"/>
        </w:rPr>
        <w:t xml:space="preserve"> közreműködésével került volna sor. Az intézkedés megval</w:t>
      </w:r>
      <w:r w:rsidRPr="006445C7">
        <w:rPr>
          <w:sz w:val="16"/>
          <w:szCs w:val="16"/>
        </w:rPr>
        <w:t>ó</w:t>
      </w:r>
      <w:r w:rsidRPr="006445C7">
        <w:rPr>
          <w:sz w:val="16"/>
          <w:szCs w:val="16"/>
        </w:rPr>
        <w:t>sítására nem kerül sor, forrásai a vidéki gazdaság és lakosság számára nyújtott alapszolgáltatások intézkedésre</w:t>
      </w:r>
      <w:r>
        <w:t xml:space="preserve"> </w:t>
      </w:r>
      <w:r w:rsidRPr="00DF6B90">
        <w:rPr>
          <w:sz w:val="16"/>
          <w:szCs w:val="16"/>
        </w:rPr>
        <w:t xml:space="preserve">lettek átcsoportosítva. </w:t>
      </w:r>
    </w:p>
  </w:footnote>
  <w:footnote w:id="33">
    <w:p w:rsidR="00D11655" w:rsidRDefault="00D11655" w:rsidP="00B7428A">
      <w:pPr>
        <w:pStyle w:val="FootnoteText"/>
      </w:pPr>
      <w:r w:rsidRPr="00085E04">
        <w:rPr>
          <w:rStyle w:val="FootnoteReference"/>
          <w:sz w:val="16"/>
          <w:szCs w:val="16"/>
        </w:rPr>
        <w:footnoteRef/>
      </w:r>
      <w:r w:rsidRPr="00085E04">
        <w:rPr>
          <w:sz w:val="16"/>
          <w:szCs w:val="16"/>
        </w:rPr>
        <w:t xml:space="preserve"> Ebben az esetben a </w:t>
      </w:r>
      <w:proofErr w:type="spellStart"/>
      <w:r w:rsidRPr="00085E04">
        <w:rPr>
          <w:sz w:val="16"/>
          <w:szCs w:val="16"/>
        </w:rPr>
        <w:t>HACS-ok</w:t>
      </w:r>
      <w:proofErr w:type="spellEnd"/>
      <w:r w:rsidRPr="00085E04">
        <w:rPr>
          <w:sz w:val="16"/>
          <w:szCs w:val="16"/>
        </w:rPr>
        <w:t xml:space="preserve"> a minimum ponthatárnak felemelésével tudták elutasítani a helyi információk alapján nem támogata</w:t>
      </w:r>
      <w:r w:rsidRPr="00085E04">
        <w:rPr>
          <w:sz w:val="16"/>
          <w:szCs w:val="16"/>
        </w:rPr>
        <w:t>n</w:t>
      </w:r>
      <w:r w:rsidRPr="00085E04">
        <w:rPr>
          <w:sz w:val="16"/>
          <w:szCs w:val="16"/>
        </w:rPr>
        <w:t>dó pályázatokat, amelynek következtében azonban az összes alacsonyabb ponttal rendelkező pályázat elutasításra került.</w:t>
      </w:r>
    </w:p>
  </w:footnote>
  <w:footnote w:id="34">
    <w:p w:rsidR="00D11655" w:rsidRDefault="00D11655" w:rsidP="00B7428A">
      <w:pPr>
        <w:pStyle w:val="FootnoteText"/>
        <w:jc w:val="both"/>
      </w:pPr>
      <w:r>
        <w:rPr>
          <w:rStyle w:val="FootnoteReference"/>
        </w:rPr>
        <w:footnoteRef/>
      </w:r>
      <w:r>
        <w:t xml:space="preserve"> </w:t>
      </w:r>
      <w:r w:rsidRPr="00965023">
        <w:rPr>
          <w:sz w:val="18"/>
          <w:szCs w:val="18"/>
        </w:rPr>
        <w:t>„Az alakulás óta futottunk a feladatok után… Nincs is a fejünkben, hogy ilyen tevékenységeket kellene csinálnunk a kérelemkezelés mellett…”</w:t>
      </w:r>
    </w:p>
  </w:footnote>
  <w:footnote w:id="35">
    <w:p w:rsidR="00D11655" w:rsidRPr="005905DB" w:rsidRDefault="00D11655" w:rsidP="001F3132">
      <w:pPr>
        <w:pStyle w:val="FootnoteText"/>
        <w:rPr>
          <w:sz w:val="16"/>
          <w:szCs w:val="16"/>
        </w:rPr>
      </w:pPr>
      <w:r w:rsidRPr="005905DB">
        <w:rPr>
          <w:rStyle w:val="FootnoteReference"/>
          <w:sz w:val="16"/>
          <w:szCs w:val="16"/>
        </w:rPr>
        <w:footnoteRef/>
      </w:r>
      <w:r w:rsidRPr="005905DB">
        <w:rPr>
          <w:sz w:val="16"/>
          <w:szCs w:val="16"/>
        </w:rPr>
        <w:t xml:space="preserve"> A főosztály 2010 augusztusában</w:t>
      </w:r>
      <w:r>
        <w:rPr>
          <w:sz w:val="16"/>
          <w:szCs w:val="16"/>
        </w:rPr>
        <w:t xml:space="preserve"> </w:t>
      </w:r>
      <w:r w:rsidRPr="005905DB">
        <w:rPr>
          <w:sz w:val="16"/>
          <w:szCs w:val="16"/>
        </w:rPr>
        <w:t xml:space="preserve">a kormányváltás miatt bekövetkező átszervezés során </w:t>
      </w:r>
      <w:r>
        <w:rPr>
          <w:sz w:val="16"/>
          <w:szCs w:val="16"/>
        </w:rPr>
        <w:t>három f</w:t>
      </w:r>
      <w:r w:rsidRPr="005905DB">
        <w:rPr>
          <w:sz w:val="16"/>
          <w:szCs w:val="16"/>
        </w:rPr>
        <w:t>őosztályra vált szét.</w:t>
      </w:r>
    </w:p>
  </w:footnote>
  <w:footnote w:id="36">
    <w:p w:rsidR="00D11655" w:rsidRPr="005905DB" w:rsidRDefault="00D11655" w:rsidP="001F3132">
      <w:pPr>
        <w:pStyle w:val="FootnoteText"/>
        <w:rPr>
          <w:sz w:val="16"/>
          <w:szCs w:val="16"/>
        </w:rPr>
      </w:pPr>
      <w:r w:rsidRPr="005905DB">
        <w:rPr>
          <w:rStyle w:val="FootnoteReference"/>
          <w:sz w:val="16"/>
          <w:szCs w:val="16"/>
        </w:rPr>
        <w:footnoteRef/>
      </w:r>
      <w:r w:rsidRPr="005905DB">
        <w:rPr>
          <w:sz w:val="16"/>
          <w:szCs w:val="16"/>
        </w:rPr>
        <w:t xml:space="preserve"> A Tanács rendelete az Európai Mezőgazdasági Vidékfejlesztési Alapból (EMVA) nyújtandó vidékfejlesztési támogatásról (2005.09.20)</w:t>
      </w:r>
    </w:p>
  </w:footnote>
  <w:footnote w:id="37">
    <w:p w:rsidR="00D11655" w:rsidRPr="005905DB" w:rsidRDefault="00D11655" w:rsidP="001F3132">
      <w:pPr>
        <w:pStyle w:val="FootnoteText"/>
        <w:rPr>
          <w:sz w:val="16"/>
          <w:szCs w:val="16"/>
        </w:rPr>
      </w:pPr>
      <w:r w:rsidRPr="005905DB">
        <w:rPr>
          <w:rStyle w:val="FootnoteReference"/>
          <w:sz w:val="16"/>
          <w:szCs w:val="16"/>
        </w:rPr>
        <w:footnoteRef/>
      </w:r>
      <w:r w:rsidRPr="005905DB">
        <w:rPr>
          <w:sz w:val="16"/>
          <w:szCs w:val="16"/>
        </w:rPr>
        <w:t xml:space="preserve"> A Tanácsa rendelete </w:t>
      </w:r>
      <w:proofErr w:type="gramStart"/>
      <w:r w:rsidRPr="005905DB">
        <w:rPr>
          <w:sz w:val="16"/>
          <w:szCs w:val="16"/>
        </w:rPr>
        <w:t>a</w:t>
      </w:r>
      <w:proofErr w:type="gramEnd"/>
      <w:r w:rsidRPr="005905DB">
        <w:rPr>
          <w:sz w:val="16"/>
          <w:szCs w:val="16"/>
        </w:rPr>
        <w:t xml:space="preserve"> </w:t>
      </w:r>
      <w:proofErr w:type="spellStart"/>
      <w:r w:rsidRPr="005905DB">
        <w:rPr>
          <w:sz w:val="16"/>
          <w:szCs w:val="16"/>
        </w:rPr>
        <w:t>a</w:t>
      </w:r>
      <w:proofErr w:type="spellEnd"/>
      <w:r w:rsidRPr="005905DB">
        <w:rPr>
          <w:sz w:val="16"/>
          <w:szCs w:val="16"/>
        </w:rPr>
        <w:t xml:space="preserve"> közös agrárpolitika finanszírozásáról (2005.06. 21)</w:t>
      </w:r>
    </w:p>
  </w:footnote>
  <w:footnote w:id="38">
    <w:p w:rsidR="00D11655" w:rsidRPr="00404E9D" w:rsidRDefault="00D11655" w:rsidP="001F3132">
      <w:pPr>
        <w:pStyle w:val="FootnoteText"/>
        <w:rPr>
          <w:sz w:val="16"/>
          <w:szCs w:val="16"/>
        </w:rPr>
      </w:pPr>
      <w:r w:rsidRPr="005905DB">
        <w:rPr>
          <w:rStyle w:val="FootnoteReference"/>
          <w:sz w:val="16"/>
          <w:szCs w:val="16"/>
        </w:rPr>
        <w:footnoteRef/>
      </w:r>
      <w:r w:rsidRPr="005905DB">
        <w:rPr>
          <w:sz w:val="16"/>
          <w:szCs w:val="16"/>
        </w:rPr>
        <w:t xml:space="preserve"> Törvény a mezőgazdasági, agrár-vidékfejlesztési, valamint halászati támogatásokhoz és egyéb intézkedésekhez kapcsolódó eljárás egyes kérdéseiről</w:t>
      </w:r>
    </w:p>
  </w:footnote>
  <w:footnote w:id="39">
    <w:p w:rsidR="00D11655" w:rsidRDefault="00D11655" w:rsidP="001F3132">
      <w:pPr>
        <w:pStyle w:val="FootnoteText"/>
      </w:pPr>
      <w:r>
        <w:rPr>
          <w:rStyle w:val="FootnoteReference"/>
        </w:rPr>
        <w:footnoteRef/>
      </w:r>
      <w:r>
        <w:rPr>
          <w:sz w:val="16"/>
          <w:szCs w:val="16"/>
        </w:rPr>
        <w:t>A K</w:t>
      </w:r>
      <w:r w:rsidRPr="00E34D6F">
        <w:rPr>
          <w:sz w:val="16"/>
          <w:szCs w:val="16"/>
        </w:rPr>
        <w:t>ormány rendelete a Mezőgazdasági és Vidékfejlesztési Hivatalról</w:t>
      </w:r>
    </w:p>
  </w:footnote>
  <w:footnote w:id="40">
    <w:p w:rsidR="00D11655" w:rsidRPr="00DB434B" w:rsidRDefault="00D11655" w:rsidP="001F3132">
      <w:pPr>
        <w:pStyle w:val="FootnoteText"/>
        <w:rPr>
          <w:sz w:val="16"/>
          <w:szCs w:val="16"/>
        </w:rPr>
      </w:pPr>
      <w:r w:rsidRPr="00DB434B">
        <w:rPr>
          <w:rStyle w:val="FootnoteReference"/>
          <w:sz w:val="16"/>
          <w:szCs w:val="16"/>
        </w:rPr>
        <w:footnoteRef/>
      </w:r>
      <w:r w:rsidRPr="00DB434B">
        <w:rPr>
          <w:sz w:val="16"/>
          <w:szCs w:val="16"/>
        </w:rPr>
        <w:t xml:space="preserve"> Mezőgazdasági Parcella Azonosító Rendszer</w:t>
      </w:r>
    </w:p>
  </w:footnote>
  <w:footnote w:id="41">
    <w:p w:rsidR="00D11655" w:rsidRPr="0002375B" w:rsidRDefault="00D11655" w:rsidP="001F3132">
      <w:pPr>
        <w:pStyle w:val="FootnoteText"/>
        <w:rPr>
          <w:sz w:val="16"/>
          <w:szCs w:val="16"/>
        </w:rPr>
      </w:pPr>
      <w:r w:rsidRPr="0002375B">
        <w:rPr>
          <w:rStyle w:val="FootnoteReference"/>
          <w:sz w:val="16"/>
          <w:szCs w:val="16"/>
        </w:rPr>
        <w:footnoteRef/>
      </w:r>
      <w:r w:rsidRPr="0002375B">
        <w:rPr>
          <w:sz w:val="16"/>
          <w:szCs w:val="16"/>
        </w:rPr>
        <w:t xml:space="preserve"> Az </w:t>
      </w:r>
      <w:proofErr w:type="spellStart"/>
      <w:r w:rsidRPr="0002375B">
        <w:rPr>
          <w:sz w:val="16"/>
          <w:szCs w:val="16"/>
        </w:rPr>
        <w:t>AKI-tól</w:t>
      </w:r>
      <w:proofErr w:type="spellEnd"/>
      <w:r w:rsidRPr="0002375B">
        <w:rPr>
          <w:sz w:val="16"/>
          <w:szCs w:val="16"/>
        </w:rPr>
        <w:t xml:space="preserve"> 2010.11.18</w:t>
      </w:r>
      <w:r>
        <w:rPr>
          <w:sz w:val="16"/>
          <w:szCs w:val="16"/>
        </w:rPr>
        <w:t>-án kapott TS beszámoló alapján készített kivonat.</w:t>
      </w:r>
    </w:p>
  </w:footnote>
  <w:footnote w:id="42">
    <w:p w:rsidR="00D11655" w:rsidRPr="0073503C" w:rsidRDefault="00D11655" w:rsidP="001F3132">
      <w:pPr>
        <w:pStyle w:val="FootnoteText"/>
        <w:rPr>
          <w:sz w:val="16"/>
          <w:szCs w:val="16"/>
        </w:rPr>
      </w:pPr>
      <w:r w:rsidRPr="0073503C">
        <w:rPr>
          <w:rStyle w:val="FootnoteReference"/>
          <w:sz w:val="16"/>
          <w:szCs w:val="16"/>
        </w:rPr>
        <w:footnoteRef/>
      </w:r>
      <w:r w:rsidRPr="0073503C">
        <w:rPr>
          <w:sz w:val="16"/>
          <w:szCs w:val="16"/>
        </w:rPr>
        <w:t xml:space="preserve"> A </w:t>
      </w:r>
      <w:proofErr w:type="spellStart"/>
      <w:r w:rsidRPr="0073503C">
        <w:rPr>
          <w:sz w:val="16"/>
          <w:szCs w:val="16"/>
        </w:rPr>
        <w:t>HACS-ok</w:t>
      </w:r>
      <w:proofErr w:type="spellEnd"/>
      <w:r>
        <w:rPr>
          <w:sz w:val="16"/>
          <w:szCs w:val="16"/>
        </w:rPr>
        <w:t xml:space="preserve"> támogató</w:t>
      </w:r>
      <w:r w:rsidRPr="0073503C">
        <w:rPr>
          <w:sz w:val="16"/>
          <w:szCs w:val="16"/>
        </w:rPr>
        <w:t xml:space="preserve"> </w:t>
      </w:r>
      <w:r>
        <w:rPr>
          <w:sz w:val="16"/>
          <w:szCs w:val="16"/>
        </w:rPr>
        <w:t xml:space="preserve">tevékenységét részletesen az III-IV. </w:t>
      </w:r>
      <w:proofErr w:type="gramStart"/>
      <w:r>
        <w:rPr>
          <w:sz w:val="16"/>
          <w:szCs w:val="16"/>
        </w:rPr>
        <w:t>tengely</w:t>
      </w:r>
      <w:proofErr w:type="gramEnd"/>
      <w:r>
        <w:rPr>
          <w:sz w:val="16"/>
          <w:szCs w:val="16"/>
        </w:rPr>
        <w:t xml:space="preserve"> értékelése kapcsán elemezzük.</w:t>
      </w:r>
    </w:p>
  </w:footnote>
  <w:footnote w:id="43">
    <w:p w:rsidR="00D11655" w:rsidRDefault="00D11655" w:rsidP="002330EF">
      <w:pPr>
        <w:pStyle w:val="FootnoteText"/>
      </w:pPr>
      <w:r>
        <w:rPr>
          <w:rStyle w:val="FootnoteReference"/>
        </w:rPr>
        <w:footnoteRef/>
      </w:r>
      <w:r>
        <w:t xml:space="preserve"> </w:t>
      </w:r>
      <w:r w:rsidRPr="005C4164">
        <w:rPr>
          <w:sz w:val="16"/>
          <w:szCs w:val="16"/>
        </w:rPr>
        <w:t xml:space="preserve">Az </w:t>
      </w:r>
      <w:proofErr w:type="spellStart"/>
      <w:r w:rsidRPr="005C4164">
        <w:rPr>
          <w:sz w:val="16"/>
          <w:szCs w:val="16"/>
        </w:rPr>
        <w:t>MVH-tól</w:t>
      </w:r>
      <w:proofErr w:type="spellEnd"/>
      <w:r w:rsidRPr="005C4164">
        <w:rPr>
          <w:sz w:val="16"/>
          <w:szCs w:val="16"/>
        </w:rPr>
        <w:t xml:space="preserve"> kapott TS adatlapok 20100910+tárgy</w:t>
      </w:r>
      <w:proofErr w:type="gramStart"/>
      <w:r w:rsidRPr="005C4164">
        <w:rPr>
          <w:sz w:val="16"/>
          <w:szCs w:val="16"/>
        </w:rPr>
        <w:t>.xls</w:t>
      </w:r>
      <w:proofErr w:type="gramEnd"/>
      <w:r w:rsidRPr="005C4164">
        <w:rPr>
          <w:sz w:val="16"/>
          <w:szCs w:val="16"/>
        </w:rPr>
        <w:t xml:space="preserve"> </w:t>
      </w:r>
      <w:r>
        <w:rPr>
          <w:sz w:val="16"/>
          <w:szCs w:val="16"/>
        </w:rPr>
        <w:t xml:space="preserve">állomány </w:t>
      </w:r>
      <w:r w:rsidRPr="005C4164">
        <w:rPr>
          <w:sz w:val="16"/>
          <w:szCs w:val="16"/>
        </w:rPr>
        <w:t>Finanszírozási kérelem összege (nettó)</w:t>
      </w:r>
      <w:r>
        <w:rPr>
          <w:sz w:val="16"/>
          <w:szCs w:val="16"/>
        </w:rPr>
        <w:t xml:space="preserve"> oszlop értékeinek összegzése a</w:t>
      </w:r>
      <w:r w:rsidRPr="005C4164">
        <w:rPr>
          <w:sz w:val="16"/>
          <w:szCs w:val="16"/>
        </w:rPr>
        <w:t xml:space="preserve"> Kedvezményezett/támogatott megnevezése </w:t>
      </w:r>
      <w:r>
        <w:rPr>
          <w:sz w:val="16"/>
          <w:szCs w:val="16"/>
        </w:rPr>
        <w:t xml:space="preserve">oszlopban szereplő szervezetekre </w:t>
      </w:r>
    </w:p>
  </w:footnote>
  <w:footnote w:id="44">
    <w:p w:rsidR="00D11655" w:rsidRDefault="00D11655" w:rsidP="002330EF">
      <w:pPr>
        <w:pStyle w:val="FootnoteText"/>
      </w:pPr>
      <w:r>
        <w:rPr>
          <w:rStyle w:val="FootnoteReference"/>
        </w:rPr>
        <w:footnoteRef/>
      </w:r>
      <w:r>
        <w:t xml:space="preserve"> </w:t>
      </w:r>
      <w:r w:rsidRPr="005C4164">
        <w:rPr>
          <w:sz w:val="16"/>
          <w:szCs w:val="16"/>
        </w:rPr>
        <w:t xml:space="preserve">Az </w:t>
      </w:r>
      <w:proofErr w:type="spellStart"/>
      <w:r w:rsidRPr="005C4164">
        <w:rPr>
          <w:sz w:val="16"/>
          <w:szCs w:val="16"/>
        </w:rPr>
        <w:t>MVH-tól</w:t>
      </w:r>
      <w:proofErr w:type="spellEnd"/>
      <w:r w:rsidRPr="005C4164">
        <w:rPr>
          <w:sz w:val="16"/>
          <w:szCs w:val="16"/>
        </w:rPr>
        <w:t xml:space="preserve"> kapott TS adatlapok 20100910+tárgy</w:t>
      </w:r>
      <w:proofErr w:type="gramStart"/>
      <w:r w:rsidRPr="005C4164">
        <w:rPr>
          <w:sz w:val="16"/>
          <w:szCs w:val="16"/>
        </w:rPr>
        <w:t>.xls</w:t>
      </w:r>
      <w:proofErr w:type="gramEnd"/>
      <w:r w:rsidRPr="005C4164">
        <w:rPr>
          <w:sz w:val="16"/>
          <w:szCs w:val="16"/>
        </w:rPr>
        <w:t xml:space="preserve"> </w:t>
      </w:r>
      <w:r>
        <w:rPr>
          <w:sz w:val="16"/>
          <w:szCs w:val="16"/>
        </w:rPr>
        <w:t xml:space="preserve">állomány </w:t>
      </w:r>
      <w:r w:rsidRPr="005C4164">
        <w:rPr>
          <w:sz w:val="16"/>
          <w:szCs w:val="16"/>
        </w:rPr>
        <w:t>Finanszírozási kérelem összege (nettó)</w:t>
      </w:r>
      <w:r>
        <w:rPr>
          <w:sz w:val="16"/>
          <w:szCs w:val="16"/>
        </w:rPr>
        <w:t xml:space="preserve"> oszlop értékeinek összegzése a</w:t>
      </w:r>
      <w:r w:rsidRPr="005C4164">
        <w:rPr>
          <w:sz w:val="16"/>
          <w:szCs w:val="16"/>
        </w:rPr>
        <w:t xml:space="preserve"> Kedvezményezett/támogatott megnevezése </w:t>
      </w:r>
      <w:r>
        <w:rPr>
          <w:sz w:val="16"/>
          <w:szCs w:val="16"/>
        </w:rPr>
        <w:t xml:space="preserve">oszlopban szereplő szervezetekre </w:t>
      </w:r>
    </w:p>
  </w:footnote>
  <w:footnote w:id="45">
    <w:p w:rsidR="00D11655" w:rsidRDefault="00D11655" w:rsidP="002330EF">
      <w:pPr>
        <w:pStyle w:val="FootnoteText"/>
      </w:pPr>
      <w:r>
        <w:rPr>
          <w:rStyle w:val="FootnoteReference"/>
        </w:rPr>
        <w:footnoteRef/>
      </w:r>
      <w:r>
        <w:t xml:space="preserve"> </w:t>
      </w:r>
      <w:r w:rsidRPr="005C4164">
        <w:rPr>
          <w:sz w:val="16"/>
          <w:szCs w:val="16"/>
        </w:rPr>
        <w:t xml:space="preserve">Az </w:t>
      </w:r>
      <w:proofErr w:type="spellStart"/>
      <w:r w:rsidRPr="005C4164">
        <w:rPr>
          <w:sz w:val="16"/>
          <w:szCs w:val="16"/>
        </w:rPr>
        <w:t>MVH-tól</w:t>
      </w:r>
      <w:proofErr w:type="spellEnd"/>
      <w:r w:rsidRPr="005C4164">
        <w:rPr>
          <w:sz w:val="16"/>
          <w:szCs w:val="16"/>
        </w:rPr>
        <w:t xml:space="preserve"> kapott TS adatlapok 20100910+tárgy</w:t>
      </w:r>
      <w:proofErr w:type="gramStart"/>
      <w:r w:rsidRPr="005C4164">
        <w:rPr>
          <w:sz w:val="16"/>
          <w:szCs w:val="16"/>
        </w:rPr>
        <w:t>.xls</w:t>
      </w:r>
      <w:proofErr w:type="gramEnd"/>
      <w:r w:rsidRPr="005C4164">
        <w:rPr>
          <w:sz w:val="16"/>
          <w:szCs w:val="16"/>
        </w:rPr>
        <w:t xml:space="preserve"> </w:t>
      </w:r>
      <w:r>
        <w:rPr>
          <w:sz w:val="16"/>
          <w:szCs w:val="16"/>
        </w:rPr>
        <w:t xml:space="preserve">állomány </w:t>
      </w:r>
      <w:r w:rsidRPr="00243530">
        <w:rPr>
          <w:sz w:val="16"/>
          <w:szCs w:val="16"/>
        </w:rPr>
        <w:t xml:space="preserve">Kifizetett/kifizetésre engedélyezett összeg </w:t>
      </w:r>
      <w:r>
        <w:rPr>
          <w:sz w:val="16"/>
          <w:szCs w:val="16"/>
        </w:rPr>
        <w:t xml:space="preserve">oszlop és a </w:t>
      </w:r>
      <w:r w:rsidRPr="005C4164">
        <w:rPr>
          <w:sz w:val="16"/>
          <w:szCs w:val="16"/>
        </w:rPr>
        <w:t>Finanszírozási kérelem összege (nettó)</w:t>
      </w:r>
      <w:r>
        <w:rPr>
          <w:sz w:val="16"/>
          <w:szCs w:val="16"/>
        </w:rPr>
        <w:t xml:space="preserve"> oszlop értékeinek összevetése alapján</w:t>
      </w:r>
    </w:p>
  </w:footnote>
  <w:footnote w:id="46">
    <w:p w:rsidR="00D11655" w:rsidRDefault="00D11655" w:rsidP="002330EF">
      <w:pPr>
        <w:pStyle w:val="FootnoteText"/>
      </w:pPr>
      <w:r>
        <w:rPr>
          <w:rStyle w:val="FootnoteReference"/>
        </w:rPr>
        <w:footnoteRef/>
      </w:r>
      <w:r>
        <w:t xml:space="preserve"> </w:t>
      </w:r>
      <w:r w:rsidRPr="005C4164">
        <w:rPr>
          <w:sz w:val="16"/>
          <w:szCs w:val="16"/>
        </w:rPr>
        <w:t xml:space="preserve">Az </w:t>
      </w:r>
      <w:proofErr w:type="spellStart"/>
      <w:r w:rsidRPr="005C4164">
        <w:rPr>
          <w:sz w:val="16"/>
          <w:szCs w:val="16"/>
        </w:rPr>
        <w:t>MVH-tól</w:t>
      </w:r>
      <w:proofErr w:type="spellEnd"/>
      <w:r w:rsidRPr="005C4164">
        <w:rPr>
          <w:sz w:val="16"/>
          <w:szCs w:val="16"/>
        </w:rPr>
        <w:t xml:space="preserve"> kapott TS adatlapok 20100910+tárgy</w:t>
      </w:r>
      <w:proofErr w:type="gramStart"/>
      <w:r w:rsidRPr="005C4164">
        <w:rPr>
          <w:sz w:val="16"/>
          <w:szCs w:val="16"/>
        </w:rPr>
        <w:t>.xls</w:t>
      </w:r>
      <w:proofErr w:type="gramEnd"/>
      <w:r w:rsidRPr="005C4164">
        <w:rPr>
          <w:sz w:val="16"/>
          <w:szCs w:val="16"/>
        </w:rPr>
        <w:t xml:space="preserve"> </w:t>
      </w:r>
      <w:r>
        <w:rPr>
          <w:sz w:val="16"/>
          <w:szCs w:val="16"/>
        </w:rPr>
        <w:t xml:space="preserve">állomány </w:t>
      </w:r>
      <w:r w:rsidRPr="005C4164">
        <w:rPr>
          <w:sz w:val="16"/>
          <w:szCs w:val="16"/>
        </w:rPr>
        <w:t>Finanszírozási kérelem összege (nettó)</w:t>
      </w:r>
      <w:r>
        <w:rPr>
          <w:sz w:val="16"/>
          <w:szCs w:val="16"/>
        </w:rPr>
        <w:t xml:space="preserve"> oszlop értékeinek összegzése saját besorolás alapján</w:t>
      </w:r>
    </w:p>
  </w:footnote>
  <w:footnote w:id="47">
    <w:p w:rsidR="00D11655" w:rsidRPr="00F26652" w:rsidRDefault="00D11655" w:rsidP="00020AFE">
      <w:pPr>
        <w:pStyle w:val="FootnoteText"/>
        <w:spacing w:line="276" w:lineRule="auto"/>
        <w:jc w:val="both"/>
        <w:rPr>
          <w:sz w:val="18"/>
          <w:szCs w:val="18"/>
        </w:rPr>
      </w:pPr>
      <w:r w:rsidRPr="00F26652">
        <w:rPr>
          <w:rStyle w:val="FootnoteReference"/>
          <w:sz w:val="18"/>
          <w:szCs w:val="18"/>
        </w:rPr>
        <w:footnoteRef/>
      </w:r>
      <w:r w:rsidRPr="00F26652">
        <w:rPr>
          <w:sz w:val="18"/>
          <w:szCs w:val="18"/>
        </w:rPr>
        <w:t xml:space="preserve"> Növénytermesztési és állattenyésztési, földhasználathoz kapcsolódó szaktanácsadás.</w:t>
      </w:r>
    </w:p>
  </w:footnote>
  <w:footnote w:id="48">
    <w:p w:rsidR="00D11655" w:rsidRPr="00F26652" w:rsidRDefault="00D11655" w:rsidP="00020AFE">
      <w:pPr>
        <w:pStyle w:val="FootnoteText"/>
        <w:spacing w:line="276" w:lineRule="auto"/>
        <w:jc w:val="both"/>
        <w:rPr>
          <w:sz w:val="18"/>
          <w:szCs w:val="18"/>
        </w:rPr>
      </w:pPr>
      <w:r w:rsidRPr="00F26652">
        <w:rPr>
          <w:rStyle w:val="FootnoteReference"/>
          <w:sz w:val="18"/>
          <w:szCs w:val="18"/>
        </w:rPr>
        <w:footnoteRef/>
      </w:r>
      <w:r w:rsidRPr="00F26652">
        <w:rPr>
          <w:sz w:val="18"/>
          <w:szCs w:val="18"/>
        </w:rPr>
        <w:t xml:space="preserve"> Pl.: tápanyag-gazdálkodási </w:t>
      </w:r>
      <w:proofErr w:type="gramStart"/>
      <w:r w:rsidRPr="00F26652">
        <w:rPr>
          <w:sz w:val="18"/>
          <w:szCs w:val="18"/>
        </w:rPr>
        <w:t>terv készítés</w:t>
      </w:r>
      <w:proofErr w:type="gramEnd"/>
      <w:r w:rsidRPr="00F26652">
        <w:rPr>
          <w:sz w:val="18"/>
          <w:szCs w:val="18"/>
        </w:rPr>
        <w:t>, jó mezőgazdasági gyakorlat, trágyakezelés, vízgazdálkodás, környezetterh</w:t>
      </w:r>
      <w:r w:rsidRPr="00F26652">
        <w:rPr>
          <w:sz w:val="18"/>
          <w:szCs w:val="18"/>
        </w:rPr>
        <w:t>e</w:t>
      </w:r>
      <w:r w:rsidRPr="00F26652">
        <w:rPr>
          <w:sz w:val="18"/>
          <w:szCs w:val="18"/>
        </w:rPr>
        <w:t>léssel kapcsolatos tanácsadás, termőhely-feltárás, környezetvédelmi terv készítés, talajjavítás, földvédelemmel kapcs</w:t>
      </w:r>
      <w:r w:rsidRPr="00F26652">
        <w:rPr>
          <w:sz w:val="18"/>
          <w:szCs w:val="18"/>
        </w:rPr>
        <w:t>o</w:t>
      </w:r>
      <w:r w:rsidRPr="00F26652">
        <w:rPr>
          <w:sz w:val="18"/>
          <w:szCs w:val="18"/>
        </w:rPr>
        <w:t>latos tanácsadás, energetikai terv készítés, erózióvédelem stb.</w:t>
      </w:r>
    </w:p>
  </w:footnote>
  <w:footnote w:id="49">
    <w:p w:rsidR="00D11655" w:rsidRPr="00F26652" w:rsidRDefault="00D11655" w:rsidP="00020AFE">
      <w:pPr>
        <w:pStyle w:val="FootnoteText"/>
        <w:spacing w:line="276" w:lineRule="auto"/>
        <w:jc w:val="both"/>
        <w:rPr>
          <w:sz w:val="18"/>
          <w:szCs w:val="18"/>
        </w:rPr>
      </w:pPr>
      <w:r w:rsidRPr="00F26652">
        <w:rPr>
          <w:rStyle w:val="FootnoteReference"/>
          <w:sz w:val="18"/>
          <w:szCs w:val="18"/>
        </w:rPr>
        <w:footnoteRef/>
      </w:r>
      <w:r w:rsidRPr="00F26652">
        <w:rPr>
          <w:sz w:val="18"/>
          <w:szCs w:val="18"/>
        </w:rPr>
        <w:t xml:space="preserve"> A 268 db kedvezményezett közül összesen 246-an adtak monitoring adatszolgáltatást. A vizsgált kérdésekre 168-168 db kedvezményezett válaszolt.</w:t>
      </w:r>
    </w:p>
  </w:footnote>
  <w:footnote w:id="50">
    <w:p w:rsidR="00D11655" w:rsidRPr="00F26652" w:rsidRDefault="00D11655" w:rsidP="00020AFE">
      <w:pPr>
        <w:pStyle w:val="FootnoteText"/>
        <w:spacing w:line="276" w:lineRule="auto"/>
        <w:jc w:val="both"/>
        <w:rPr>
          <w:sz w:val="18"/>
          <w:szCs w:val="18"/>
        </w:rPr>
      </w:pPr>
      <w:r w:rsidRPr="00F26652">
        <w:rPr>
          <w:rStyle w:val="FootnoteReference"/>
          <w:sz w:val="18"/>
          <w:szCs w:val="18"/>
        </w:rPr>
        <w:footnoteRef/>
      </w:r>
      <w:r w:rsidRPr="00F26652">
        <w:rPr>
          <w:sz w:val="18"/>
          <w:szCs w:val="18"/>
        </w:rPr>
        <w:t xml:space="preserve"> 246 adatszolgáltató közül 78-an nem adtak választ erre a kérdésre, 87-en „0”, 74-en „1”, 5-en „2”, továbbá 1-1 ada</w:t>
      </w:r>
      <w:r w:rsidRPr="00F26652">
        <w:rPr>
          <w:sz w:val="18"/>
          <w:szCs w:val="18"/>
        </w:rPr>
        <w:t>t</w:t>
      </w:r>
      <w:r w:rsidRPr="00F26652">
        <w:rPr>
          <w:sz w:val="18"/>
          <w:szCs w:val="18"/>
        </w:rPr>
        <w:t>szolgáltató „7” és „8” választ adott.</w:t>
      </w:r>
    </w:p>
  </w:footnote>
  <w:footnote w:id="51">
    <w:p w:rsidR="00D11655" w:rsidRPr="00F26652" w:rsidRDefault="00D11655" w:rsidP="00020AFE">
      <w:pPr>
        <w:pStyle w:val="FootnoteText"/>
        <w:spacing w:line="276" w:lineRule="auto"/>
        <w:jc w:val="both"/>
        <w:rPr>
          <w:sz w:val="18"/>
          <w:szCs w:val="18"/>
        </w:rPr>
      </w:pPr>
      <w:r w:rsidRPr="00F26652">
        <w:rPr>
          <w:rStyle w:val="FootnoteReference"/>
          <w:sz w:val="18"/>
          <w:szCs w:val="18"/>
        </w:rPr>
        <w:footnoteRef/>
      </w:r>
      <w:r w:rsidRPr="00F26652">
        <w:rPr>
          <w:sz w:val="18"/>
          <w:szCs w:val="18"/>
        </w:rPr>
        <w:t xml:space="preserve"> 246 adatszolgáltató közül 78-an nem adtak választ erre a kérdésre, 138-an „0”, 17-en „1”, 4-en „2”, 3-an „3” választ adott. „4” érték fölött összesen 6-an adtak választ.</w:t>
      </w:r>
    </w:p>
  </w:footnote>
  <w:footnote w:id="52">
    <w:p w:rsidR="00D11655" w:rsidRDefault="00D11655" w:rsidP="00020AFE">
      <w:pPr>
        <w:pStyle w:val="FootnoteText"/>
        <w:jc w:val="both"/>
      </w:pPr>
      <w:r>
        <w:rPr>
          <w:rStyle w:val="FootnoteReference"/>
        </w:rPr>
        <w:footnoteRef/>
      </w:r>
      <w:r>
        <w:t xml:space="preserve"> </w:t>
      </w:r>
      <w:r w:rsidRPr="00282856">
        <w:rPr>
          <w:sz w:val="18"/>
        </w:rPr>
        <w:t xml:space="preserve">Forrás: MVH Szervezési és Koordinációs Főosztályától 2010.08.06-án kapott ún. </w:t>
      </w:r>
      <w:proofErr w:type="gramStart"/>
      <w:r w:rsidRPr="00282856">
        <w:rPr>
          <w:sz w:val="18"/>
        </w:rPr>
        <w:t>tételes</w:t>
      </w:r>
      <w:proofErr w:type="gramEnd"/>
      <w:r w:rsidRPr="00282856">
        <w:rPr>
          <w:sz w:val="18"/>
        </w:rPr>
        <w:t xml:space="preserve"> lista.</w:t>
      </w:r>
    </w:p>
  </w:footnote>
  <w:footnote w:id="53">
    <w:p w:rsidR="00D11655" w:rsidRDefault="00D11655" w:rsidP="00D16DA5">
      <w:pPr>
        <w:pStyle w:val="FootnoteText"/>
      </w:pPr>
      <w:r w:rsidRPr="006153DB">
        <w:rPr>
          <w:rStyle w:val="FootnoteReference"/>
          <w:sz w:val="16"/>
          <w:szCs w:val="16"/>
        </w:rPr>
        <w:footnoteRef/>
      </w:r>
      <w:r w:rsidRPr="006153DB">
        <w:rPr>
          <w:sz w:val="16"/>
          <w:szCs w:val="16"/>
        </w:rPr>
        <w:t xml:space="preserve"> A legutóbbi kutatások, tanulmányok már az </w:t>
      </w:r>
      <w:proofErr w:type="spellStart"/>
      <w:r w:rsidRPr="006153DB">
        <w:rPr>
          <w:sz w:val="16"/>
          <w:szCs w:val="16"/>
        </w:rPr>
        <w:t>agro-business</w:t>
      </w:r>
      <w:proofErr w:type="spellEnd"/>
      <w:r w:rsidRPr="006153DB">
        <w:rPr>
          <w:sz w:val="16"/>
          <w:szCs w:val="16"/>
        </w:rPr>
        <w:t xml:space="preserve"> fogalmát használják, amely magában foglalja a mezőgazdaságot, élelm</w:t>
      </w:r>
      <w:r w:rsidRPr="006153DB">
        <w:rPr>
          <w:sz w:val="16"/>
          <w:szCs w:val="16"/>
        </w:rPr>
        <w:t>i</w:t>
      </w:r>
      <w:r w:rsidRPr="006153DB">
        <w:rPr>
          <w:sz w:val="16"/>
          <w:szCs w:val="16"/>
        </w:rPr>
        <w:t>szeripart, erdőgazdálkodást</w:t>
      </w:r>
      <w:r>
        <w:rPr>
          <w:sz w:val="16"/>
          <w:szCs w:val="16"/>
        </w:rPr>
        <w:t>,</w:t>
      </w:r>
      <w:r w:rsidRPr="006153DB">
        <w:rPr>
          <w:sz w:val="16"/>
          <w:szCs w:val="16"/>
        </w:rPr>
        <w:t xml:space="preserve"> és az ezeket kiszolgáló szolgáltatások körét is, mint például finanszírozás és logisztika.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55" w:rsidRPr="0056470D" w:rsidRDefault="00D11655" w:rsidP="0056470D">
    <w:pPr>
      <w:pStyle w:val="Header"/>
      <w:pBdr>
        <w:bottom w:val="single" w:sz="4" w:space="1" w:color="auto"/>
      </w:pBdr>
      <w:tabs>
        <w:tab w:val="clear" w:pos="4536"/>
        <w:tab w:val="left" w:pos="426"/>
      </w:tabs>
      <w:spacing w:before="60" w:after="60" w:line="280" w:lineRule="atLeast"/>
      <w:ind w:left="426" w:right="91"/>
      <w:rPr>
        <w:smallCaps/>
        <w:color w:val="53564F"/>
      </w:rPr>
    </w:pPr>
    <w:r>
      <w:rPr>
        <w:b/>
        <w:smallCaps/>
        <w:noProof/>
        <w:color w:val="53564F"/>
      </w:rPr>
      <w:drawing>
        <wp:anchor distT="0" distB="0" distL="114300" distR="114300" simplePos="0" relativeHeight="251658240" behindDoc="0" locked="0" layoutInCell="1" allowOverlap="1">
          <wp:simplePos x="0" y="0"/>
          <wp:positionH relativeFrom="column">
            <wp:posOffset>-90170</wp:posOffset>
          </wp:positionH>
          <wp:positionV relativeFrom="paragraph">
            <wp:posOffset>-210185</wp:posOffset>
          </wp:positionV>
          <wp:extent cx="294640" cy="838835"/>
          <wp:effectExtent l="19050" t="0" r="0" b="0"/>
          <wp:wrapSquare wrapText="bothSides"/>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l="3052"/>
                  <a:stretch>
                    <a:fillRect/>
                  </a:stretch>
                </pic:blipFill>
                <pic:spPr bwMode="auto">
                  <a:xfrm>
                    <a:off x="0" y="0"/>
                    <a:ext cx="294640" cy="838835"/>
                  </a:xfrm>
                  <a:prstGeom prst="rect">
                    <a:avLst/>
                  </a:prstGeom>
                  <a:noFill/>
                  <a:ln w="9525">
                    <a:noFill/>
                    <a:miter lim="800000"/>
                    <a:headEnd/>
                    <a:tailEnd/>
                  </a:ln>
                </pic:spPr>
              </pic:pic>
            </a:graphicData>
          </a:graphic>
        </wp:anchor>
      </w:drawing>
    </w:r>
    <w:r w:rsidRPr="00A47147">
      <w:rPr>
        <w:b/>
        <w:smallCaps/>
        <w:color w:val="53564F"/>
      </w:rPr>
      <w:t>HUNGARIKUM KONZORCIUM</w:t>
    </w:r>
    <w:r>
      <w:rPr>
        <w:b/>
        <w:smallCaps/>
        <w:color w:val="53564F"/>
      </w:rPr>
      <w:tab/>
    </w:r>
    <w:r>
      <w:rPr>
        <w:smallCaps/>
        <w:color w:val="53564F"/>
      </w:rPr>
      <w:t>Zárójelentés</w:t>
    </w:r>
  </w:p>
  <w:p w:rsidR="00D11655" w:rsidRPr="00185D59" w:rsidRDefault="00D11655" w:rsidP="0056470D">
    <w:pPr>
      <w:pStyle w:val="Header"/>
      <w:tabs>
        <w:tab w:val="clear" w:pos="4536"/>
        <w:tab w:val="left" w:pos="426"/>
      </w:tabs>
      <w:spacing w:before="60" w:after="60" w:line="280" w:lineRule="atLeast"/>
      <w:ind w:left="426" w:right="91"/>
      <w:rPr>
        <w:highlight w:val="yellow"/>
      </w:rPr>
    </w:pPr>
    <w:r>
      <w:rPr>
        <w:color w:val="53564F"/>
      </w:rPr>
      <w:t>ÚMVP FÉLIDEI ÉRTÉKELÉS</w:t>
    </w:r>
    <w:r>
      <w:rPr>
        <w:color w:val="53564F"/>
      </w:rPr>
      <w:tab/>
    </w:r>
    <w:r>
      <w:rPr>
        <w:color w:val="53564F"/>
      </w:rPr>
      <w:fldChar w:fldCharType="begin"/>
    </w:r>
    <w:r>
      <w:rPr>
        <w:color w:val="53564F"/>
      </w:rPr>
      <w:instrText xml:space="preserve"> PAGE   \* MERGEFORMAT </w:instrText>
    </w:r>
    <w:r>
      <w:rPr>
        <w:color w:val="53564F"/>
      </w:rPr>
      <w:fldChar w:fldCharType="separate"/>
    </w:r>
    <w:r w:rsidR="00A97AE6">
      <w:rPr>
        <w:noProof/>
        <w:color w:val="53564F"/>
      </w:rPr>
      <w:t>395</w:t>
    </w:r>
    <w:r>
      <w:rPr>
        <w:color w:val="53564F"/>
      </w:rPr>
      <w:fldChar w:fldCharType="end"/>
    </w:r>
    <w:r>
      <w:rPr>
        <w:noProof/>
      </w:rPr>
      <w:pict>
        <v:shapetype id="_x0000_t202" coordsize="21600,21600" o:spt="202" path="m,l,21600r21600,l21600,xe">
          <v:stroke joinstyle="miter"/>
          <v:path gradientshapeok="t" o:connecttype="rect"/>
        </v:shapetype>
        <v:shape id="_x0000_s2049" type="#_x0000_t202" style="position:absolute;left:0;text-align:left;margin-left:985.8pt;margin-top:2.8pt;width:33pt;height:57pt;z-index:251657216;mso-position-horizontal-relative:text;mso-position-vertical-relative:text;mso-width-relative:margin;mso-height-relative:margin" filled="f" stroked="f">
          <v:textbox style="layout-flow:vertical;mso-layout-flow-alt:bottom-to-top;mso-next-textbox:#_x0000_s2049">
            <w:txbxContent>
              <w:p w:rsidR="00D11655" w:rsidRPr="00D57088" w:rsidRDefault="00D11655" w:rsidP="00637532">
                <w:pPr>
                  <w:jc w:val="center"/>
                  <w:rPr>
                    <w:rFonts w:ascii="Franklin Gothic Demi" w:hAnsi="Franklin Gothic Demi"/>
                    <w:color w:val="FFFFFF"/>
                    <w:sz w:val="18"/>
                    <w:szCs w:val="18"/>
                  </w:rPr>
                </w:pPr>
                <w:r w:rsidRPr="00D57088">
                  <w:rPr>
                    <w:rFonts w:ascii="Franklin Gothic Demi" w:hAnsi="Franklin Gothic Demi"/>
                    <w:color w:val="FFFFFF"/>
                    <w:sz w:val="18"/>
                    <w:szCs w:val="18"/>
                  </w:rPr>
                  <w:fldChar w:fldCharType="begin"/>
                </w:r>
                <w:r w:rsidRPr="00D57088">
                  <w:rPr>
                    <w:rFonts w:ascii="Franklin Gothic Demi" w:hAnsi="Franklin Gothic Demi"/>
                    <w:color w:val="FFFFFF"/>
                    <w:sz w:val="18"/>
                    <w:szCs w:val="18"/>
                  </w:rPr>
                  <w:instrText xml:space="preserve"> PAGE </w:instrText>
                </w:r>
                <w:r w:rsidRPr="00D57088">
                  <w:rPr>
                    <w:rFonts w:ascii="Franklin Gothic Demi" w:hAnsi="Franklin Gothic Demi"/>
                    <w:color w:val="FFFFFF"/>
                    <w:sz w:val="18"/>
                    <w:szCs w:val="18"/>
                  </w:rPr>
                  <w:fldChar w:fldCharType="separate"/>
                </w:r>
                <w:r w:rsidR="00A97AE6">
                  <w:rPr>
                    <w:rFonts w:ascii="Franklin Gothic Demi" w:hAnsi="Franklin Gothic Demi"/>
                    <w:noProof/>
                    <w:color w:val="FFFFFF"/>
                    <w:sz w:val="18"/>
                    <w:szCs w:val="18"/>
                  </w:rPr>
                  <w:t>395</w:t>
                </w:r>
                <w:r w:rsidRPr="00D57088">
                  <w:rPr>
                    <w:rFonts w:ascii="Franklin Gothic Demi" w:hAnsi="Franklin Gothic Demi"/>
                    <w:color w:val="FFFFFF"/>
                    <w:sz w:val="18"/>
                    <w:szCs w:val="18"/>
                  </w:rPr>
                  <w:fldChar w:fldCharType="end"/>
                </w:r>
                <w:r w:rsidRPr="00D57088">
                  <w:rPr>
                    <w:rFonts w:ascii="Franklin Gothic Demi" w:hAnsi="Franklin Gothic Demi"/>
                    <w:color w:val="FFFFFF"/>
                    <w:sz w:val="18"/>
                    <w:szCs w:val="18"/>
                  </w:rPr>
                  <w:t xml:space="preserve"> / </w:t>
                </w:r>
                <w:r w:rsidRPr="00D57088">
                  <w:rPr>
                    <w:rFonts w:ascii="Franklin Gothic Demi" w:hAnsi="Franklin Gothic Demi"/>
                    <w:color w:val="FFFFFF"/>
                    <w:sz w:val="18"/>
                    <w:szCs w:val="18"/>
                  </w:rPr>
                  <w:fldChar w:fldCharType="begin"/>
                </w:r>
                <w:r w:rsidRPr="00D57088">
                  <w:rPr>
                    <w:rFonts w:ascii="Franklin Gothic Demi" w:hAnsi="Franklin Gothic Demi"/>
                    <w:color w:val="FFFFFF"/>
                    <w:sz w:val="18"/>
                    <w:szCs w:val="18"/>
                  </w:rPr>
                  <w:instrText xml:space="preserve"> NUMPAGES  </w:instrText>
                </w:r>
                <w:r w:rsidRPr="00D57088">
                  <w:rPr>
                    <w:rFonts w:ascii="Franklin Gothic Demi" w:hAnsi="Franklin Gothic Demi"/>
                    <w:color w:val="FFFFFF"/>
                    <w:sz w:val="18"/>
                    <w:szCs w:val="18"/>
                  </w:rPr>
                  <w:fldChar w:fldCharType="separate"/>
                </w:r>
                <w:r w:rsidR="00A97AE6">
                  <w:rPr>
                    <w:rFonts w:ascii="Franklin Gothic Demi" w:hAnsi="Franklin Gothic Demi"/>
                    <w:noProof/>
                    <w:color w:val="FFFFFF"/>
                    <w:sz w:val="18"/>
                    <w:szCs w:val="18"/>
                  </w:rPr>
                  <w:t>133</w:t>
                </w:r>
                <w:r w:rsidRPr="00D57088">
                  <w:rPr>
                    <w:rFonts w:ascii="Franklin Gothic Demi" w:hAnsi="Franklin Gothic Demi"/>
                    <w:color w:val="FFFFFF"/>
                    <w:sz w:val="18"/>
                    <w:szCs w:val="18"/>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55" w:rsidRPr="00FC134F" w:rsidRDefault="00D11655" w:rsidP="00FC134F">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4A8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B87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B0FA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22CD0"/>
    <w:lvl w:ilvl="0">
      <w:start w:val="1"/>
      <w:numFmt w:val="decimal"/>
      <w:pStyle w:val="ListNumber2"/>
      <w:lvlText w:val="%1."/>
      <w:lvlJc w:val="left"/>
      <w:pPr>
        <w:tabs>
          <w:tab w:val="num" w:pos="643"/>
        </w:tabs>
        <w:ind w:left="643" w:hanging="360"/>
      </w:pPr>
    </w:lvl>
  </w:abstractNum>
  <w:abstractNum w:abstractNumId="4">
    <w:nsid w:val="FFFFFF88"/>
    <w:multiLevelType w:val="singleLevel"/>
    <w:tmpl w:val="BBF2D77E"/>
    <w:lvl w:ilvl="0">
      <w:start w:val="1"/>
      <w:numFmt w:val="decimal"/>
      <w:pStyle w:val="ListNumber"/>
      <w:lvlText w:val="%1."/>
      <w:lvlJc w:val="left"/>
      <w:pPr>
        <w:tabs>
          <w:tab w:val="num" w:pos="360"/>
        </w:tabs>
        <w:ind w:left="360" w:hanging="360"/>
      </w:pPr>
    </w:lvl>
  </w:abstractNum>
  <w:abstractNum w:abstractNumId="5">
    <w:nsid w:val="FFFFFF89"/>
    <w:multiLevelType w:val="singleLevel"/>
    <w:tmpl w:val="B0789F8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204602"/>
    <w:multiLevelType w:val="hybridMultilevel"/>
    <w:tmpl w:val="5B52E0C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76C7385"/>
    <w:multiLevelType w:val="hybridMultilevel"/>
    <w:tmpl w:val="2BF6EE14"/>
    <w:lvl w:ilvl="0" w:tplc="045EE3CE">
      <w:start w:val="1"/>
      <w:numFmt w:val="bullet"/>
      <w:pStyle w:val="HUNBullet3"/>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C2217F4"/>
    <w:multiLevelType w:val="hybridMultilevel"/>
    <w:tmpl w:val="B08436B2"/>
    <w:lvl w:ilvl="0" w:tplc="040E0001">
      <w:start w:val="1"/>
      <w:numFmt w:val="bullet"/>
      <w:lvlText w:val=""/>
      <w:lvlJc w:val="left"/>
      <w:pPr>
        <w:ind w:left="720" w:hanging="360"/>
      </w:pPr>
      <w:rPr>
        <w:rFonts w:ascii="Symbol" w:hAnsi="Symbol" w:hint="default"/>
      </w:rPr>
    </w:lvl>
    <w:lvl w:ilvl="1" w:tplc="F6F6F290">
      <w:numFmt w:val="bullet"/>
      <w:lvlText w:val="-"/>
      <w:lvlJc w:val="left"/>
      <w:pPr>
        <w:ind w:left="1440" w:hanging="360"/>
      </w:pPr>
      <w:rPr>
        <w:rFonts w:ascii="Franklin Gothic Book" w:eastAsia="Times New Roman" w:hAnsi="Franklin Gothic Book"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1006585D"/>
    <w:multiLevelType w:val="hybridMultilevel"/>
    <w:tmpl w:val="1716FB6C"/>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0">
    <w:nsid w:val="117A3050"/>
    <w:multiLevelType w:val="hybridMultilevel"/>
    <w:tmpl w:val="4DD66836"/>
    <w:lvl w:ilvl="0" w:tplc="D13EEC4E">
      <w:start w:val="1"/>
      <w:numFmt w:val="upperLetter"/>
      <w:pStyle w:val="HUNAnnexheading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75E1AEF"/>
    <w:multiLevelType w:val="hybridMultilevel"/>
    <w:tmpl w:val="E344526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1AF55E23"/>
    <w:multiLevelType w:val="hybridMultilevel"/>
    <w:tmpl w:val="6A22FF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CF4798F"/>
    <w:multiLevelType w:val="hybridMultilevel"/>
    <w:tmpl w:val="8EA03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0AC2604"/>
    <w:multiLevelType w:val="hybridMultilevel"/>
    <w:tmpl w:val="259669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3DD146A"/>
    <w:multiLevelType w:val="hybridMultilevel"/>
    <w:tmpl w:val="946C67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89935BB"/>
    <w:multiLevelType w:val="hybridMultilevel"/>
    <w:tmpl w:val="3CD066E2"/>
    <w:lvl w:ilvl="0" w:tplc="F1F4D230">
      <w:numFmt w:val="bullet"/>
      <w:lvlText w:val="-"/>
      <w:lvlJc w:val="left"/>
      <w:pPr>
        <w:ind w:left="720" w:hanging="360"/>
      </w:pPr>
      <w:rPr>
        <w:rFonts w:ascii="Franklin Gothic Book" w:eastAsia="Times New Roman" w:hAnsi="Franklin Gothic Book"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A8A35D0"/>
    <w:multiLevelType w:val="multilevel"/>
    <w:tmpl w:val="36C6D3DC"/>
    <w:lvl w:ilvl="0">
      <w:start w:val="5"/>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2D886A6F"/>
    <w:multiLevelType w:val="hybridMultilevel"/>
    <w:tmpl w:val="E2825368"/>
    <w:lvl w:ilvl="0" w:tplc="040E000D">
      <w:start w:val="1"/>
      <w:numFmt w:val="bullet"/>
      <w:lvlText w:val=""/>
      <w:lvlJc w:val="left"/>
      <w:pPr>
        <w:ind w:left="720" w:hanging="360"/>
      </w:pPr>
      <w:rPr>
        <w:rFonts w:ascii="Symbol" w:hAnsi="Symbol" w:hint="default"/>
      </w:rPr>
    </w:lvl>
    <w:lvl w:ilvl="1" w:tplc="689CB15E" w:tentative="1">
      <w:start w:val="1"/>
      <w:numFmt w:val="bullet"/>
      <w:lvlText w:val="o"/>
      <w:lvlJc w:val="left"/>
      <w:pPr>
        <w:ind w:left="1440" w:hanging="360"/>
      </w:pPr>
      <w:rPr>
        <w:rFonts w:ascii="Courier New" w:hAnsi="Courier New" w:hint="default"/>
      </w:rPr>
    </w:lvl>
    <w:lvl w:ilvl="2" w:tplc="0B42287A" w:tentative="1">
      <w:start w:val="1"/>
      <w:numFmt w:val="bullet"/>
      <w:lvlText w:val=""/>
      <w:lvlJc w:val="left"/>
      <w:pPr>
        <w:ind w:left="2160" w:hanging="360"/>
      </w:pPr>
      <w:rPr>
        <w:rFonts w:ascii="Wingdings" w:hAnsi="Wingdings" w:hint="default"/>
      </w:rPr>
    </w:lvl>
    <w:lvl w:ilvl="3" w:tplc="1EBA0F2E" w:tentative="1">
      <w:start w:val="1"/>
      <w:numFmt w:val="bullet"/>
      <w:lvlText w:val=""/>
      <w:lvlJc w:val="left"/>
      <w:pPr>
        <w:ind w:left="2880" w:hanging="360"/>
      </w:pPr>
      <w:rPr>
        <w:rFonts w:ascii="Symbol" w:hAnsi="Symbol" w:hint="default"/>
      </w:rPr>
    </w:lvl>
    <w:lvl w:ilvl="4" w:tplc="CF36DD42" w:tentative="1">
      <w:start w:val="1"/>
      <w:numFmt w:val="bullet"/>
      <w:lvlText w:val="o"/>
      <w:lvlJc w:val="left"/>
      <w:pPr>
        <w:ind w:left="3600" w:hanging="360"/>
      </w:pPr>
      <w:rPr>
        <w:rFonts w:ascii="Courier New" w:hAnsi="Courier New" w:hint="default"/>
      </w:rPr>
    </w:lvl>
    <w:lvl w:ilvl="5" w:tplc="C0FE899A" w:tentative="1">
      <w:start w:val="1"/>
      <w:numFmt w:val="bullet"/>
      <w:lvlText w:val=""/>
      <w:lvlJc w:val="left"/>
      <w:pPr>
        <w:ind w:left="4320" w:hanging="360"/>
      </w:pPr>
      <w:rPr>
        <w:rFonts w:ascii="Wingdings" w:hAnsi="Wingdings" w:hint="default"/>
      </w:rPr>
    </w:lvl>
    <w:lvl w:ilvl="6" w:tplc="6CBE4816" w:tentative="1">
      <w:start w:val="1"/>
      <w:numFmt w:val="bullet"/>
      <w:lvlText w:val=""/>
      <w:lvlJc w:val="left"/>
      <w:pPr>
        <w:ind w:left="5040" w:hanging="360"/>
      </w:pPr>
      <w:rPr>
        <w:rFonts w:ascii="Symbol" w:hAnsi="Symbol" w:hint="default"/>
      </w:rPr>
    </w:lvl>
    <w:lvl w:ilvl="7" w:tplc="D31EAE36" w:tentative="1">
      <w:start w:val="1"/>
      <w:numFmt w:val="bullet"/>
      <w:lvlText w:val="o"/>
      <w:lvlJc w:val="left"/>
      <w:pPr>
        <w:ind w:left="5760" w:hanging="360"/>
      </w:pPr>
      <w:rPr>
        <w:rFonts w:ascii="Courier New" w:hAnsi="Courier New" w:hint="default"/>
      </w:rPr>
    </w:lvl>
    <w:lvl w:ilvl="8" w:tplc="DEC607D2" w:tentative="1">
      <w:start w:val="1"/>
      <w:numFmt w:val="bullet"/>
      <w:lvlText w:val=""/>
      <w:lvlJc w:val="left"/>
      <w:pPr>
        <w:ind w:left="6480" w:hanging="360"/>
      </w:pPr>
      <w:rPr>
        <w:rFonts w:ascii="Wingdings" w:hAnsi="Wingdings" w:hint="default"/>
      </w:rPr>
    </w:lvl>
  </w:abstractNum>
  <w:abstractNum w:abstractNumId="19">
    <w:nsid w:val="31F82AD9"/>
    <w:multiLevelType w:val="multilevel"/>
    <w:tmpl w:val="526A309A"/>
    <w:lvl w:ilvl="0">
      <w:start w:val="1"/>
      <w:numFmt w:val="decimal"/>
      <w:lvlText w:val="%1."/>
      <w:lvlJc w:val="left"/>
      <w:pPr>
        <w:tabs>
          <w:tab w:val="num" w:pos="360"/>
        </w:tabs>
        <w:ind w:left="0" w:firstLine="0"/>
      </w:pPr>
    </w:lvl>
    <w:lvl w:ilvl="1">
      <w:start w:val="1"/>
      <w:numFmt w:val="decimal"/>
      <w:lvlText w:val="%1.%2"/>
      <w:lvlJc w:val="left"/>
      <w:pPr>
        <w:tabs>
          <w:tab w:val="num" w:pos="720"/>
        </w:tabs>
        <w:ind w:left="-284" w:firstLine="284"/>
      </w:pPr>
    </w:lvl>
    <w:lvl w:ilvl="2">
      <w:start w:val="1"/>
      <w:numFmt w:val="decimal"/>
      <w:lvlText w:val="%1.%2.%3"/>
      <w:lvlJc w:val="left"/>
      <w:pPr>
        <w:tabs>
          <w:tab w:val="num" w:pos="964"/>
        </w:tabs>
        <w:ind w:left="964" w:hanging="964"/>
      </w:pPr>
      <w:rPr>
        <w:rFonts w:cs="Times New Roman"/>
        <w:b w:val="0"/>
        <w:bCs w:val="0"/>
        <w:i w:val="0"/>
        <w:iCs w:val="0"/>
        <w: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247"/>
        </w:tabs>
        <w:ind w:left="1247" w:hanging="1247"/>
      </w:pPr>
    </w:lvl>
    <w:lvl w:ilvl="4">
      <w:start w:val="1"/>
      <w:numFmt w:val="decimal"/>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1702"/>
        </w:tabs>
        <w:ind w:left="1702" w:firstLine="0"/>
      </w:pPr>
    </w:lvl>
  </w:abstractNum>
  <w:abstractNum w:abstractNumId="20">
    <w:nsid w:val="32FE7FCE"/>
    <w:multiLevelType w:val="hybridMultilevel"/>
    <w:tmpl w:val="C138337A"/>
    <w:lvl w:ilvl="0" w:tplc="040E000F">
      <w:start w:val="1"/>
      <w:numFmt w:val="bullet"/>
      <w:lvlText w:val=""/>
      <w:lvlJc w:val="left"/>
      <w:pPr>
        <w:tabs>
          <w:tab w:val="num" w:pos="720"/>
        </w:tabs>
        <w:ind w:left="72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1">
    <w:nsid w:val="3615117B"/>
    <w:multiLevelType w:val="hybridMultilevel"/>
    <w:tmpl w:val="8FEA9B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7167BF2"/>
    <w:multiLevelType w:val="hybridMultilevel"/>
    <w:tmpl w:val="82965C04"/>
    <w:lvl w:ilvl="0" w:tplc="040E000F">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3B3D5C4E"/>
    <w:multiLevelType w:val="hybridMultilevel"/>
    <w:tmpl w:val="D82A75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EAA3855"/>
    <w:multiLevelType w:val="hybridMultilevel"/>
    <w:tmpl w:val="C0B6A4AA"/>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5">
    <w:nsid w:val="45F93005"/>
    <w:multiLevelType w:val="hybridMultilevel"/>
    <w:tmpl w:val="D05020BE"/>
    <w:lvl w:ilvl="0" w:tplc="040E000F">
      <w:start w:val="1"/>
      <w:numFmt w:val="decimal"/>
      <w:lvlText w:val="%1."/>
      <w:lvlJc w:val="left"/>
      <w:pPr>
        <w:tabs>
          <w:tab w:val="num" w:pos="720"/>
        </w:tabs>
        <w:ind w:left="720" w:hanging="360"/>
      </w:pPr>
      <w:rPr>
        <w:rFonts w:cs="Times New Roman"/>
      </w:rPr>
    </w:lvl>
    <w:lvl w:ilvl="1" w:tplc="040E0019">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6">
    <w:nsid w:val="4C441EA8"/>
    <w:multiLevelType w:val="hybridMultilevel"/>
    <w:tmpl w:val="645C98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E65340F"/>
    <w:multiLevelType w:val="hybridMultilevel"/>
    <w:tmpl w:val="AE42CA78"/>
    <w:lvl w:ilvl="0" w:tplc="040E000F">
      <w:start w:val="1"/>
      <w:numFmt w:val="bullet"/>
      <w:pStyle w:val="HUNBullet2"/>
      <w:lvlText w:val="o"/>
      <w:lvlJc w:val="left"/>
      <w:pPr>
        <w:ind w:left="720" w:hanging="360"/>
      </w:pPr>
      <w:rPr>
        <w:rFonts w:ascii="Courier New" w:hAnsi="Courier New" w:cs="Courier New"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8">
    <w:nsid w:val="4F744A9D"/>
    <w:multiLevelType w:val="hybridMultilevel"/>
    <w:tmpl w:val="469E8742"/>
    <w:lvl w:ilvl="0" w:tplc="040E0001">
      <w:start w:val="1"/>
      <w:numFmt w:val="decimal"/>
      <w:lvlText w:val="%1."/>
      <w:lvlJc w:val="left"/>
      <w:pPr>
        <w:ind w:left="720" w:hanging="360"/>
      </w:pPr>
      <w:rPr>
        <w:rFonts w:cs="Times New Roman"/>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29">
    <w:nsid w:val="50410DAC"/>
    <w:multiLevelType w:val="hybridMultilevel"/>
    <w:tmpl w:val="82F8C4B6"/>
    <w:lvl w:ilvl="0" w:tplc="3E78D81E">
      <w:start w:val="1"/>
      <w:numFmt w:val="decimal"/>
      <w:lvlText w:val="%1."/>
      <w:lvlJc w:val="left"/>
      <w:pPr>
        <w:ind w:left="360" w:hanging="360"/>
      </w:pPr>
      <w:rPr>
        <w:rFonts w:hint="default"/>
      </w:rPr>
    </w:lvl>
    <w:lvl w:ilvl="1" w:tplc="040E0003" w:tentative="1">
      <w:start w:val="1"/>
      <w:numFmt w:val="lowerLetter"/>
      <w:lvlText w:val="%2."/>
      <w:lvlJc w:val="left"/>
      <w:pPr>
        <w:ind w:left="1080" w:hanging="360"/>
      </w:pPr>
    </w:lvl>
    <w:lvl w:ilvl="2" w:tplc="040E0005" w:tentative="1">
      <w:start w:val="1"/>
      <w:numFmt w:val="lowerRoman"/>
      <w:lvlText w:val="%3."/>
      <w:lvlJc w:val="right"/>
      <w:pPr>
        <w:ind w:left="1800" w:hanging="180"/>
      </w:pPr>
    </w:lvl>
    <w:lvl w:ilvl="3" w:tplc="040E0001" w:tentative="1">
      <w:start w:val="1"/>
      <w:numFmt w:val="decimal"/>
      <w:lvlText w:val="%4."/>
      <w:lvlJc w:val="left"/>
      <w:pPr>
        <w:ind w:left="2520" w:hanging="360"/>
      </w:pPr>
    </w:lvl>
    <w:lvl w:ilvl="4" w:tplc="040E0003" w:tentative="1">
      <w:start w:val="1"/>
      <w:numFmt w:val="lowerLetter"/>
      <w:lvlText w:val="%5."/>
      <w:lvlJc w:val="left"/>
      <w:pPr>
        <w:ind w:left="3240" w:hanging="360"/>
      </w:pPr>
    </w:lvl>
    <w:lvl w:ilvl="5" w:tplc="040E0005" w:tentative="1">
      <w:start w:val="1"/>
      <w:numFmt w:val="lowerRoman"/>
      <w:lvlText w:val="%6."/>
      <w:lvlJc w:val="right"/>
      <w:pPr>
        <w:ind w:left="3960" w:hanging="180"/>
      </w:pPr>
    </w:lvl>
    <w:lvl w:ilvl="6" w:tplc="040E0001" w:tentative="1">
      <w:start w:val="1"/>
      <w:numFmt w:val="decimal"/>
      <w:lvlText w:val="%7."/>
      <w:lvlJc w:val="left"/>
      <w:pPr>
        <w:ind w:left="4680" w:hanging="360"/>
      </w:pPr>
    </w:lvl>
    <w:lvl w:ilvl="7" w:tplc="040E0003" w:tentative="1">
      <w:start w:val="1"/>
      <w:numFmt w:val="lowerLetter"/>
      <w:lvlText w:val="%8."/>
      <w:lvlJc w:val="left"/>
      <w:pPr>
        <w:ind w:left="5400" w:hanging="360"/>
      </w:pPr>
    </w:lvl>
    <w:lvl w:ilvl="8" w:tplc="040E0005" w:tentative="1">
      <w:start w:val="1"/>
      <w:numFmt w:val="lowerRoman"/>
      <w:lvlText w:val="%9."/>
      <w:lvlJc w:val="right"/>
      <w:pPr>
        <w:ind w:left="6120" w:hanging="180"/>
      </w:pPr>
    </w:lvl>
  </w:abstractNum>
  <w:abstractNum w:abstractNumId="30">
    <w:nsid w:val="509D6155"/>
    <w:multiLevelType w:val="hybridMultilevel"/>
    <w:tmpl w:val="617A1140"/>
    <w:lvl w:ilvl="0" w:tplc="19D6A610">
      <w:start w:val="1"/>
      <w:numFmt w:val="decimal"/>
      <w:lvlText w:val="%1."/>
      <w:lvlJc w:val="left"/>
      <w:pPr>
        <w:ind w:left="360" w:hanging="360"/>
      </w:pPr>
      <w:rPr>
        <w:rFonts w:cs="Times New Roman" w:hint="default"/>
      </w:rPr>
    </w:lvl>
    <w:lvl w:ilvl="1" w:tplc="3AB0FFB2" w:tentative="1">
      <w:start w:val="1"/>
      <w:numFmt w:val="lowerLetter"/>
      <w:lvlText w:val="%2."/>
      <w:lvlJc w:val="left"/>
      <w:pPr>
        <w:ind w:left="1080" w:hanging="360"/>
      </w:pPr>
      <w:rPr>
        <w:rFonts w:cs="Times New Roman"/>
      </w:rPr>
    </w:lvl>
    <w:lvl w:ilvl="2" w:tplc="D842EF42" w:tentative="1">
      <w:start w:val="1"/>
      <w:numFmt w:val="lowerRoman"/>
      <w:lvlText w:val="%3."/>
      <w:lvlJc w:val="right"/>
      <w:pPr>
        <w:ind w:left="1800" w:hanging="180"/>
      </w:pPr>
      <w:rPr>
        <w:rFonts w:cs="Times New Roman"/>
      </w:rPr>
    </w:lvl>
    <w:lvl w:ilvl="3" w:tplc="3872DADE" w:tentative="1">
      <w:start w:val="1"/>
      <w:numFmt w:val="decimal"/>
      <w:lvlText w:val="%4."/>
      <w:lvlJc w:val="left"/>
      <w:pPr>
        <w:ind w:left="2520" w:hanging="360"/>
      </w:pPr>
      <w:rPr>
        <w:rFonts w:cs="Times New Roman"/>
      </w:rPr>
    </w:lvl>
    <w:lvl w:ilvl="4" w:tplc="F4F26F7A" w:tentative="1">
      <w:start w:val="1"/>
      <w:numFmt w:val="lowerLetter"/>
      <w:lvlText w:val="%5."/>
      <w:lvlJc w:val="left"/>
      <w:pPr>
        <w:ind w:left="3240" w:hanging="360"/>
      </w:pPr>
      <w:rPr>
        <w:rFonts w:cs="Times New Roman"/>
      </w:rPr>
    </w:lvl>
    <w:lvl w:ilvl="5" w:tplc="2FFA0F2A" w:tentative="1">
      <w:start w:val="1"/>
      <w:numFmt w:val="lowerRoman"/>
      <w:lvlText w:val="%6."/>
      <w:lvlJc w:val="right"/>
      <w:pPr>
        <w:ind w:left="3960" w:hanging="180"/>
      </w:pPr>
      <w:rPr>
        <w:rFonts w:cs="Times New Roman"/>
      </w:rPr>
    </w:lvl>
    <w:lvl w:ilvl="6" w:tplc="FCB66A5E" w:tentative="1">
      <w:start w:val="1"/>
      <w:numFmt w:val="decimal"/>
      <w:lvlText w:val="%7."/>
      <w:lvlJc w:val="left"/>
      <w:pPr>
        <w:ind w:left="4680" w:hanging="360"/>
      </w:pPr>
      <w:rPr>
        <w:rFonts w:cs="Times New Roman"/>
      </w:rPr>
    </w:lvl>
    <w:lvl w:ilvl="7" w:tplc="2006E044" w:tentative="1">
      <w:start w:val="1"/>
      <w:numFmt w:val="lowerLetter"/>
      <w:lvlText w:val="%8."/>
      <w:lvlJc w:val="left"/>
      <w:pPr>
        <w:ind w:left="5400" w:hanging="360"/>
      </w:pPr>
      <w:rPr>
        <w:rFonts w:cs="Times New Roman"/>
      </w:rPr>
    </w:lvl>
    <w:lvl w:ilvl="8" w:tplc="2B549532" w:tentative="1">
      <w:start w:val="1"/>
      <w:numFmt w:val="lowerRoman"/>
      <w:lvlText w:val="%9."/>
      <w:lvlJc w:val="right"/>
      <w:pPr>
        <w:ind w:left="6120" w:hanging="180"/>
      </w:pPr>
      <w:rPr>
        <w:rFonts w:cs="Times New Roman"/>
      </w:rPr>
    </w:lvl>
  </w:abstractNum>
  <w:abstractNum w:abstractNumId="31">
    <w:nsid w:val="50B57C5A"/>
    <w:multiLevelType w:val="hybridMultilevel"/>
    <w:tmpl w:val="95D0C20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2">
    <w:nsid w:val="5989153F"/>
    <w:multiLevelType w:val="hybridMultilevel"/>
    <w:tmpl w:val="5AEA1B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59D57B39"/>
    <w:multiLevelType w:val="hybridMultilevel"/>
    <w:tmpl w:val="3BC8DCC8"/>
    <w:lvl w:ilvl="0" w:tplc="040E000F">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4">
    <w:nsid w:val="5A426BBE"/>
    <w:multiLevelType w:val="hybridMultilevel"/>
    <w:tmpl w:val="06A6651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nsid w:val="5DBE1D52"/>
    <w:multiLevelType w:val="multilevel"/>
    <w:tmpl w:val="48904D12"/>
    <w:lvl w:ilvl="0">
      <w:start w:val="5"/>
      <w:numFmt w:val="decimal"/>
      <w:pStyle w:val="HUNHeading1"/>
      <w:lvlText w:val="%1."/>
      <w:lvlJc w:val="left"/>
      <w:pPr>
        <w:ind w:left="360" w:hanging="360"/>
      </w:pPr>
      <w:rPr>
        <w:rFonts w:hint="default"/>
      </w:rPr>
    </w:lvl>
    <w:lvl w:ilvl="1">
      <w:start w:val="1"/>
      <w:numFmt w:val="decimal"/>
      <w:pStyle w:val="HUNHeading2"/>
      <w:lvlText w:val="%1.%2."/>
      <w:lvlJc w:val="left"/>
      <w:pPr>
        <w:ind w:left="792" w:hanging="432"/>
      </w:pPr>
      <w:rPr>
        <w:rFonts w:hint="default"/>
      </w:rPr>
    </w:lvl>
    <w:lvl w:ilvl="2">
      <w:start w:val="1"/>
      <w:numFmt w:val="decimal"/>
      <w:pStyle w:val="HUNHeading3"/>
      <w:lvlText w:val="%1.%2.%3."/>
      <w:lvlJc w:val="left"/>
      <w:pPr>
        <w:ind w:left="788" w:hanging="504"/>
      </w:pPr>
      <w:rPr>
        <w:rFonts w:hint="default"/>
      </w:rPr>
    </w:lvl>
    <w:lvl w:ilvl="3">
      <w:start w:val="1"/>
      <w:numFmt w:val="decimal"/>
      <w:pStyle w:val="HUNHeading4"/>
      <w:lvlText w:val="%1.%2.%3.%4."/>
      <w:lvlJc w:val="left"/>
      <w:pPr>
        <w:ind w:left="1728" w:hanging="648"/>
      </w:pPr>
      <w:rPr>
        <w:rFonts w:hint="default"/>
      </w:rPr>
    </w:lvl>
    <w:lvl w:ilvl="4">
      <w:start w:val="1"/>
      <w:numFmt w:val="decimal"/>
      <w:pStyle w:val="HUNHeading5"/>
      <w:lvlText w:val="%1.%2.%3.%4.%5."/>
      <w:lvlJc w:val="left"/>
      <w:pPr>
        <w:ind w:left="2232" w:hanging="792"/>
      </w:pPr>
      <w:rPr>
        <w:rFonts w:hint="default"/>
      </w:rPr>
    </w:lvl>
    <w:lvl w:ilvl="5">
      <w:start w:val="1"/>
      <w:numFmt w:val="decimal"/>
      <w:pStyle w:val="HUNHeading6"/>
      <w:lvlText w:val="%1.%2.%3.%4.%5.%6."/>
      <w:lvlJc w:val="left"/>
      <w:pPr>
        <w:ind w:left="2736" w:hanging="936"/>
      </w:pPr>
      <w:rPr>
        <w:rFonts w:hint="default"/>
      </w:rPr>
    </w:lvl>
    <w:lvl w:ilvl="6">
      <w:start w:val="1"/>
      <w:numFmt w:val="decimal"/>
      <w:pStyle w:val="HUNHeading7"/>
      <w:lvlText w:val="%1.%2.%3.%4.%5.%6.%7."/>
      <w:lvlJc w:val="left"/>
      <w:pPr>
        <w:ind w:left="3240" w:hanging="1080"/>
      </w:pPr>
      <w:rPr>
        <w:rFonts w:hint="default"/>
      </w:rPr>
    </w:lvl>
    <w:lvl w:ilvl="7">
      <w:start w:val="1"/>
      <w:numFmt w:val="decimal"/>
      <w:pStyle w:val="HUNHeading1"/>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FA20FB7"/>
    <w:multiLevelType w:val="hybridMultilevel"/>
    <w:tmpl w:val="138E6F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679D4EB9"/>
    <w:multiLevelType w:val="hybridMultilevel"/>
    <w:tmpl w:val="AF1EC88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8">
    <w:nsid w:val="69C750B6"/>
    <w:multiLevelType w:val="hybridMultilevel"/>
    <w:tmpl w:val="343EA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AF50CA2"/>
    <w:multiLevelType w:val="hybridMultilevel"/>
    <w:tmpl w:val="C142A8F6"/>
    <w:lvl w:ilvl="0" w:tplc="040E000F">
      <w:start w:val="1"/>
      <w:numFmt w:val="bullet"/>
      <w:pStyle w:val="HUNBullet1"/>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0">
    <w:nsid w:val="6F112ECE"/>
    <w:multiLevelType w:val="hybridMultilevel"/>
    <w:tmpl w:val="A1282458"/>
    <w:lvl w:ilvl="0" w:tplc="040E0001">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41">
    <w:nsid w:val="70251546"/>
    <w:multiLevelType w:val="hybridMultilevel"/>
    <w:tmpl w:val="B55867EC"/>
    <w:lvl w:ilvl="0" w:tplc="040E000F">
      <w:start w:val="1"/>
      <w:numFmt w:val="decimal"/>
      <w:lvlText w:val="%1."/>
      <w:lvlJc w:val="left"/>
      <w:pPr>
        <w:tabs>
          <w:tab w:val="num" w:pos="780"/>
        </w:tabs>
        <w:ind w:left="780" w:hanging="360"/>
      </w:pPr>
    </w:lvl>
    <w:lvl w:ilvl="1" w:tplc="040E0019">
      <w:start w:val="1"/>
      <w:numFmt w:val="lowerLetter"/>
      <w:lvlText w:val="%2."/>
      <w:lvlJc w:val="left"/>
      <w:pPr>
        <w:tabs>
          <w:tab w:val="num" w:pos="1500"/>
        </w:tabs>
        <w:ind w:left="1500" w:hanging="360"/>
      </w:pPr>
    </w:lvl>
    <w:lvl w:ilvl="2" w:tplc="040E001B">
      <w:start w:val="1"/>
      <w:numFmt w:val="lowerRoman"/>
      <w:lvlText w:val="%3."/>
      <w:lvlJc w:val="right"/>
      <w:pPr>
        <w:tabs>
          <w:tab w:val="num" w:pos="2220"/>
        </w:tabs>
        <w:ind w:left="2220" w:hanging="180"/>
      </w:pPr>
    </w:lvl>
    <w:lvl w:ilvl="3" w:tplc="040E000F">
      <w:start w:val="1"/>
      <w:numFmt w:val="decimal"/>
      <w:lvlText w:val="%4."/>
      <w:lvlJc w:val="left"/>
      <w:pPr>
        <w:tabs>
          <w:tab w:val="num" w:pos="2940"/>
        </w:tabs>
        <w:ind w:left="2940" w:hanging="360"/>
      </w:pPr>
    </w:lvl>
    <w:lvl w:ilvl="4" w:tplc="040E0019">
      <w:start w:val="1"/>
      <w:numFmt w:val="lowerLetter"/>
      <w:lvlText w:val="%5."/>
      <w:lvlJc w:val="left"/>
      <w:pPr>
        <w:tabs>
          <w:tab w:val="num" w:pos="3660"/>
        </w:tabs>
        <w:ind w:left="3660" w:hanging="360"/>
      </w:pPr>
    </w:lvl>
    <w:lvl w:ilvl="5" w:tplc="040E001B">
      <w:start w:val="1"/>
      <w:numFmt w:val="lowerRoman"/>
      <w:lvlText w:val="%6."/>
      <w:lvlJc w:val="right"/>
      <w:pPr>
        <w:tabs>
          <w:tab w:val="num" w:pos="4380"/>
        </w:tabs>
        <w:ind w:left="4380" w:hanging="180"/>
      </w:pPr>
    </w:lvl>
    <w:lvl w:ilvl="6" w:tplc="040E000F">
      <w:start w:val="1"/>
      <w:numFmt w:val="decimal"/>
      <w:lvlText w:val="%7."/>
      <w:lvlJc w:val="left"/>
      <w:pPr>
        <w:tabs>
          <w:tab w:val="num" w:pos="5100"/>
        </w:tabs>
        <w:ind w:left="5100" w:hanging="360"/>
      </w:pPr>
    </w:lvl>
    <w:lvl w:ilvl="7" w:tplc="040E0019">
      <w:start w:val="1"/>
      <w:numFmt w:val="lowerLetter"/>
      <w:lvlText w:val="%8."/>
      <w:lvlJc w:val="left"/>
      <w:pPr>
        <w:tabs>
          <w:tab w:val="num" w:pos="5820"/>
        </w:tabs>
        <w:ind w:left="5820" w:hanging="360"/>
      </w:pPr>
    </w:lvl>
    <w:lvl w:ilvl="8" w:tplc="040E001B">
      <w:start w:val="1"/>
      <w:numFmt w:val="lowerRoman"/>
      <w:lvlText w:val="%9."/>
      <w:lvlJc w:val="right"/>
      <w:pPr>
        <w:tabs>
          <w:tab w:val="num" w:pos="6540"/>
        </w:tabs>
        <w:ind w:left="6540" w:hanging="180"/>
      </w:pPr>
    </w:lvl>
  </w:abstractNum>
  <w:abstractNum w:abstractNumId="42">
    <w:nsid w:val="702D467B"/>
    <w:multiLevelType w:val="hybridMultilevel"/>
    <w:tmpl w:val="441A21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751F6A6A"/>
    <w:multiLevelType w:val="hybridMultilevel"/>
    <w:tmpl w:val="4F8C278E"/>
    <w:lvl w:ilvl="0" w:tplc="040E0001">
      <w:start w:val="1"/>
      <w:numFmt w:val="decimal"/>
      <w:lvlText w:val="%1."/>
      <w:lvlJc w:val="left"/>
      <w:pPr>
        <w:tabs>
          <w:tab w:val="num" w:pos="720"/>
        </w:tabs>
        <w:ind w:left="720" w:hanging="360"/>
      </w:pPr>
      <w:rPr>
        <w:rFonts w:cs="Times New Roman"/>
      </w:rPr>
    </w:lvl>
    <w:lvl w:ilvl="1" w:tplc="040E0003">
      <w:start w:val="1"/>
      <w:numFmt w:val="bullet"/>
      <w:lvlText w:val=""/>
      <w:lvlJc w:val="left"/>
      <w:pPr>
        <w:tabs>
          <w:tab w:val="num" w:pos="1440"/>
        </w:tabs>
        <w:ind w:left="1440" w:hanging="360"/>
      </w:pPr>
      <w:rPr>
        <w:rFonts w:ascii="Symbol" w:hAnsi="Symbol" w:hint="default"/>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44">
    <w:nsid w:val="75ED5004"/>
    <w:multiLevelType w:val="hybridMultilevel"/>
    <w:tmpl w:val="97F41768"/>
    <w:lvl w:ilvl="0" w:tplc="040E000F">
      <w:start w:val="1"/>
      <w:numFmt w:val="bullet"/>
      <w:lvlText w:val=""/>
      <w:lvlJc w:val="left"/>
      <w:pPr>
        <w:tabs>
          <w:tab w:val="num" w:pos="720"/>
        </w:tabs>
        <w:ind w:left="720" w:hanging="360"/>
      </w:pPr>
      <w:rPr>
        <w:rFonts w:ascii="Symbol" w:hAnsi="Symbol"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5">
    <w:nsid w:val="7E002802"/>
    <w:multiLevelType w:val="hybridMultilevel"/>
    <w:tmpl w:val="072C8A5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6">
    <w:nsid w:val="7F7F7718"/>
    <w:multiLevelType w:val="hybridMultilevel"/>
    <w:tmpl w:val="5F3ABF40"/>
    <w:lvl w:ilvl="0" w:tplc="E3BC4BB2">
      <w:start w:val="1"/>
      <w:numFmt w:val="lowerLetter"/>
      <w:pStyle w:val="HUNAlphabeticallist1"/>
      <w:lvlText w:val="%1)"/>
      <w:lvlJc w:val="left"/>
      <w:pPr>
        <w:ind w:left="720" w:hanging="360"/>
      </w:pPr>
    </w:lvl>
    <w:lvl w:ilvl="1" w:tplc="040E0003" w:tentative="1">
      <w:start w:val="1"/>
      <w:numFmt w:val="lowerLetter"/>
      <w:lvlText w:val="%2."/>
      <w:lvlJc w:val="left"/>
      <w:pPr>
        <w:ind w:left="1440" w:hanging="360"/>
      </w:pPr>
    </w:lvl>
    <w:lvl w:ilvl="2" w:tplc="4E72DA40"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num w:numId="1">
    <w:abstractNumId w:val="19"/>
  </w:num>
  <w:num w:numId="2">
    <w:abstractNumId w:val="39"/>
  </w:num>
  <w:num w:numId="3">
    <w:abstractNumId w:val="27"/>
  </w:num>
  <w:num w:numId="4">
    <w:abstractNumId w:val="7"/>
  </w:num>
  <w:num w:numId="5">
    <w:abstractNumId w:val="46"/>
  </w:num>
  <w:num w:numId="6">
    <w:abstractNumId w:val="10"/>
  </w:num>
  <w:num w:numId="7">
    <w:abstractNumId w:val="4"/>
  </w:num>
  <w:num w:numId="8">
    <w:abstractNumId w:val="3"/>
  </w:num>
  <w:num w:numId="9">
    <w:abstractNumId w:val="2"/>
  </w:num>
  <w:num w:numId="10">
    <w:abstractNumId w:val="1"/>
  </w:num>
  <w:num w:numId="11">
    <w:abstractNumId w:val="0"/>
  </w:num>
  <w:num w:numId="12">
    <w:abstractNumId w:val="35"/>
  </w:num>
  <w:num w:numId="13">
    <w:abstractNumId w:val="5"/>
  </w:num>
  <w:num w:numId="14">
    <w:abstractNumId w:val="12"/>
  </w:num>
  <w:num w:numId="15">
    <w:abstractNumId w:val="30"/>
  </w:num>
  <w:num w:numId="16">
    <w:abstractNumId w:val="9"/>
  </w:num>
  <w:num w:numId="17">
    <w:abstractNumId w:val="11"/>
  </w:num>
  <w:num w:numId="18">
    <w:abstractNumId w:val="28"/>
  </w:num>
  <w:num w:numId="19">
    <w:abstractNumId w:val="23"/>
  </w:num>
  <w:num w:numId="20">
    <w:abstractNumId w:val="43"/>
  </w:num>
  <w:num w:numId="21">
    <w:abstractNumId w:val="25"/>
  </w:num>
  <w:num w:numId="22">
    <w:abstractNumId w:val="8"/>
  </w:num>
  <w:num w:numId="23">
    <w:abstractNumId w:val="44"/>
  </w:num>
  <w:num w:numId="24">
    <w:abstractNumId w:val="33"/>
  </w:num>
  <w:num w:numId="25">
    <w:abstractNumId w:val="20"/>
  </w:num>
  <w:num w:numId="26">
    <w:abstractNumId w:val="18"/>
  </w:num>
  <w:num w:numId="27">
    <w:abstractNumId w:val="29"/>
  </w:num>
  <w:num w:numId="28">
    <w:abstractNumId w:val="22"/>
  </w:num>
  <w:num w:numId="29">
    <w:abstractNumId w:val="6"/>
  </w:num>
  <w:num w:numId="30">
    <w:abstractNumId w:val="13"/>
  </w:num>
  <w:num w:numId="31">
    <w:abstractNumId w:val="38"/>
  </w:num>
  <w:num w:numId="32">
    <w:abstractNumId w:val="17"/>
  </w:num>
  <w:num w:numId="33">
    <w:abstractNumId w:val="41"/>
  </w:num>
  <w:num w:numId="34">
    <w:abstractNumId w:val="24"/>
  </w:num>
  <w:num w:numId="35">
    <w:abstractNumId w:val="40"/>
  </w:num>
  <w:num w:numId="36">
    <w:abstractNumId w:val="37"/>
  </w:num>
  <w:num w:numId="37">
    <w:abstractNumId w:val="45"/>
  </w:num>
  <w:num w:numId="38">
    <w:abstractNumId w:val="31"/>
  </w:num>
  <w:num w:numId="39">
    <w:abstractNumId w:val="14"/>
  </w:num>
  <w:num w:numId="40">
    <w:abstractNumId w:val="36"/>
  </w:num>
  <w:num w:numId="41">
    <w:abstractNumId w:val="32"/>
  </w:num>
  <w:num w:numId="42">
    <w:abstractNumId w:val="42"/>
  </w:num>
  <w:num w:numId="43">
    <w:abstractNumId w:val="16"/>
  </w:num>
  <w:num w:numId="44">
    <w:abstractNumId w:val="21"/>
  </w:num>
  <w:num w:numId="45">
    <w:abstractNumId w:val="15"/>
  </w:num>
  <w:num w:numId="46">
    <w:abstractNumId w:val="26"/>
  </w:num>
  <w:num w:numId="47">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activeWritingStyle w:appName="MSWord" w:lang="hu-HU" w:vendorID="7" w:dllVersion="513" w:checkStyle="1"/>
  <w:activeWritingStyle w:appName="MSWord" w:lang="hu-HU" w:vendorID="7" w:dllVersion="522" w:checkStyle="1"/>
  <w:activeWritingStyle w:appName="MSWord" w:lang="de-DE" w:vendorID="9" w:dllVersion="512" w:checkStyle="1"/>
  <w:proofState w:spelling="clean" w:grammar="clean"/>
  <w:stylePaneFormatFilter w:val="3F04"/>
  <w:defaultTabStop w:val="3402"/>
  <w:autoHyphenation/>
  <w:hyphenationZone w:val="393"/>
  <w:drawingGridHorizontalSpacing w:val="100"/>
  <w:displayHorizontalDrawingGridEvery w:val="0"/>
  <w:displayVerticalDrawingGridEvery w:val="0"/>
  <w:noPunctuationKerning/>
  <w:characterSpacingControl w:val="doNotCompress"/>
  <w:hdrShapeDefaults>
    <o:shapedefaults v:ext="edit" spidmax="31746" style="mso-width-relative:margin;mso-height-relative:margin" fill="f" fillcolor="white" stroke="f">
      <v:fill color="white" on="f"/>
      <v:stroke on="f"/>
      <v:textbox style="layout-flow:vertical;mso-layout-flow-alt:bottom-to-top"/>
      <o:colormru v:ext="edit" colors="#daf2e0"/>
    </o:shapedefaults>
    <o:shapelayout v:ext="edit">
      <o:idmap v:ext="edit" data="2"/>
    </o:shapelayout>
  </w:hdrShapeDefaults>
  <w:footnotePr>
    <w:footnote w:id="-1"/>
    <w:footnote w:id="0"/>
  </w:footnotePr>
  <w:endnotePr>
    <w:endnote w:id="-1"/>
    <w:endnote w:id="0"/>
  </w:endnotePr>
  <w:compat/>
  <w:rsids>
    <w:rsidRoot w:val="00EE5CAC"/>
    <w:rsid w:val="0000216F"/>
    <w:rsid w:val="0000301F"/>
    <w:rsid w:val="00003DA2"/>
    <w:rsid w:val="0000424C"/>
    <w:rsid w:val="00004EFB"/>
    <w:rsid w:val="00006666"/>
    <w:rsid w:val="00006F96"/>
    <w:rsid w:val="0000706A"/>
    <w:rsid w:val="000104EF"/>
    <w:rsid w:val="00011767"/>
    <w:rsid w:val="000126AC"/>
    <w:rsid w:val="00012C67"/>
    <w:rsid w:val="00013C9A"/>
    <w:rsid w:val="00013F6A"/>
    <w:rsid w:val="0001680E"/>
    <w:rsid w:val="000171CA"/>
    <w:rsid w:val="000173D9"/>
    <w:rsid w:val="00020AFE"/>
    <w:rsid w:val="00020ED1"/>
    <w:rsid w:val="00022863"/>
    <w:rsid w:val="000236A3"/>
    <w:rsid w:val="00023CC9"/>
    <w:rsid w:val="0002680D"/>
    <w:rsid w:val="0003253F"/>
    <w:rsid w:val="00033059"/>
    <w:rsid w:val="0003374F"/>
    <w:rsid w:val="00035FBD"/>
    <w:rsid w:val="0003662A"/>
    <w:rsid w:val="000369BB"/>
    <w:rsid w:val="0004087D"/>
    <w:rsid w:val="00041BD5"/>
    <w:rsid w:val="00045A62"/>
    <w:rsid w:val="00046D6A"/>
    <w:rsid w:val="00051FA6"/>
    <w:rsid w:val="0005279D"/>
    <w:rsid w:val="00053891"/>
    <w:rsid w:val="00054933"/>
    <w:rsid w:val="000559A2"/>
    <w:rsid w:val="00060075"/>
    <w:rsid w:val="000613F1"/>
    <w:rsid w:val="000629CF"/>
    <w:rsid w:val="00062A8E"/>
    <w:rsid w:val="000640AD"/>
    <w:rsid w:val="00065EB4"/>
    <w:rsid w:val="00066EC9"/>
    <w:rsid w:val="00067065"/>
    <w:rsid w:val="000676B4"/>
    <w:rsid w:val="00067F22"/>
    <w:rsid w:val="00070404"/>
    <w:rsid w:val="00070CFC"/>
    <w:rsid w:val="00071630"/>
    <w:rsid w:val="0007181A"/>
    <w:rsid w:val="00071BE4"/>
    <w:rsid w:val="0007266A"/>
    <w:rsid w:val="0007274B"/>
    <w:rsid w:val="000741DC"/>
    <w:rsid w:val="00074882"/>
    <w:rsid w:val="000759A6"/>
    <w:rsid w:val="00080236"/>
    <w:rsid w:val="0008023C"/>
    <w:rsid w:val="00080866"/>
    <w:rsid w:val="00082900"/>
    <w:rsid w:val="000837D3"/>
    <w:rsid w:val="0008397B"/>
    <w:rsid w:val="00084397"/>
    <w:rsid w:val="000843CC"/>
    <w:rsid w:val="00087F1D"/>
    <w:rsid w:val="00090425"/>
    <w:rsid w:val="0009123C"/>
    <w:rsid w:val="000925FB"/>
    <w:rsid w:val="000929E9"/>
    <w:rsid w:val="00092AC2"/>
    <w:rsid w:val="00093633"/>
    <w:rsid w:val="0009428C"/>
    <w:rsid w:val="00095E5B"/>
    <w:rsid w:val="0009611F"/>
    <w:rsid w:val="000A04F6"/>
    <w:rsid w:val="000A0CE8"/>
    <w:rsid w:val="000A1F21"/>
    <w:rsid w:val="000A3778"/>
    <w:rsid w:val="000A38BA"/>
    <w:rsid w:val="000A3A1C"/>
    <w:rsid w:val="000A3D66"/>
    <w:rsid w:val="000A515B"/>
    <w:rsid w:val="000A6576"/>
    <w:rsid w:val="000A69B7"/>
    <w:rsid w:val="000A6B1F"/>
    <w:rsid w:val="000B0205"/>
    <w:rsid w:val="000B1234"/>
    <w:rsid w:val="000B158A"/>
    <w:rsid w:val="000B3039"/>
    <w:rsid w:val="000B38E6"/>
    <w:rsid w:val="000B52E6"/>
    <w:rsid w:val="000B6D96"/>
    <w:rsid w:val="000B765E"/>
    <w:rsid w:val="000B7A47"/>
    <w:rsid w:val="000B7BE4"/>
    <w:rsid w:val="000C02B7"/>
    <w:rsid w:val="000C0A7E"/>
    <w:rsid w:val="000C0E5C"/>
    <w:rsid w:val="000C1280"/>
    <w:rsid w:val="000C1FC9"/>
    <w:rsid w:val="000C27B6"/>
    <w:rsid w:val="000C4703"/>
    <w:rsid w:val="000C52B8"/>
    <w:rsid w:val="000C6A52"/>
    <w:rsid w:val="000C77B8"/>
    <w:rsid w:val="000D0410"/>
    <w:rsid w:val="000D0518"/>
    <w:rsid w:val="000D1FBF"/>
    <w:rsid w:val="000D285E"/>
    <w:rsid w:val="000D2875"/>
    <w:rsid w:val="000D3161"/>
    <w:rsid w:val="000D376F"/>
    <w:rsid w:val="000D452C"/>
    <w:rsid w:val="000D48C2"/>
    <w:rsid w:val="000D5EAB"/>
    <w:rsid w:val="000D6578"/>
    <w:rsid w:val="000D7BEB"/>
    <w:rsid w:val="000E047A"/>
    <w:rsid w:val="000E1542"/>
    <w:rsid w:val="000E1BEE"/>
    <w:rsid w:val="000E258B"/>
    <w:rsid w:val="000E2B80"/>
    <w:rsid w:val="000E3514"/>
    <w:rsid w:val="000E399D"/>
    <w:rsid w:val="000E3ACF"/>
    <w:rsid w:val="000E4ACF"/>
    <w:rsid w:val="000F06BD"/>
    <w:rsid w:val="000F0CF3"/>
    <w:rsid w:val="000F24B7"/>
    <w:rsid w:val="000F387F"/>
    <w:rsid w:val="000F5429"/>
    <w:rsid w:val="000F553F"/>
    <w:rsid w:val="0010128C"/>
    <w:rsid w:val="0010200F"/>
    <w:rsid w:val="00102173"/>
    <w:rsid w:val="00103FDF"/>
    <w:rsid w:val="00104A8A"/>
    <w:rsid w:val="00106EB2"/>
    <w:rsid w:val="00110280"/>
    <w:rsid w:val="001102B7"/>
    <w:rsid w:val="001102FE"/>
    <w:rsid w:val="00110E04"/>
    <w:rsid w:val="001124E0"/>
    <w:rsid w:val="00114E14"/>
    <w:rsid w:val="00115198"/>
    <w:rsid w:val="00115859"/>
    <w:rsid w:val="00116D50"/>
    <w:rsid w:val="00117073"/>
    <w:rsid w:val="001173B0"/>
    <w:rsid w:val="001176BC"/>
    <w:rsid w:val="00117A63"/>
    <w:rsid w:val="0012051D"/>
    <w:rsid w:val="00120AD6"/>
    <w:rsid w:val="00120E05"/>
    <w:rsid w:val="001236DA"/>
    <w:rsid w:val="0012523C"/>
    <w:rsid w:val="001265D0"/>
    <w:rsid w:val="00126CFE"/>
    <w:rsid w:val="00127BC0"/>
    <w:rsid w:val="001366A8"/>
    <w:rsid w:val="00140D79"/>
    <w:rsid w:val="00141499"/>
    <w:rsid w:val="00143511"/>
    <w:rsid w:val="001444F9"/>
    <w:rsid w:val="00146174"/>
    <w:rsid w:val="0014650A"/>
    <w:rsid w:val="00146D26"/>
    <w:rsid w:val="00153D1E"/>
    <w:rsid w:val="001550F8"/>
    <w:rsid w:val="00155225"/>
    <w:rsid w:val="00160AF1"/>
    <w:rsid w:val="00162133"/>
    <w:rsid w:val="001631E6"/>
    <w:rsid w:val="00166161"/>
    <w:rsid w:val="00166586"/>
    <w:rsid w:val="00167ED7"/>
    <w:rsid w:val="00170ED3"/>
    <w:rsid w:val="001711E0"/>
    <w:rsid w:val="00172943"/>
    <w:rsid w:val="00173CB8"/>
    <w:rsid w:val="00176263"/>
    <w:rsid w:val="00177A34"/>
    <w:rsid w:val="00182EBA"/>
    <w:rsid w:val="00185ABC"/>
    <w:rsid w:val="00185D59"/>
    <w:rsid w:val="00186059"/>
    <w:rsid w:val="001862CB"/>
    <w:rsid w:val="00190515"/>
    <w:rsid w:val="00190587"/>
    <w:rsid w:val="00192A32"/>
    <w:rsid w:val="00193107"/>
    <w:rsid w:val="00194C8B"/>
    <w:rsid w:val="00194DF0"/>
    <w:rsid w:val="0019532B"/>
    <w:rsid w:val="00196DF8"/>
    <w:rsid w:val="001A3220"/>
    <w:rsid w:val="001A33AC"/>
    <w:rsid w:val="001A3EB2"/>
    <w:rsid w:val="001A479D"/>
    <w:rsid w:val="001A496E"/>
    <w:rsid w:val="001A530E"/>
    <w:rsid w:val="001B0A45"/>
    <w:rsid w:val="001B1840"/>
    <w:rsid w:val="001B1A29"/>
    <w:rsid w:val="001B37FC"/>
    <w:rsid w:val="001B5BAD"/>
    <w:rsid w:val="001C0764"/>
    <w:rsid w:val="001C16AA"/>
    <w:rsid w:val="001C19C5"/>
    <w:rsid w:val="001C35A2"/>
    <w:rsid w:val="001C55A3"/>
    <w:rsid w:val="001C5664"/>
    <w:rsid w:val="001C585E"/>
    <w:rsid w:val="001C78E4"/>
    <w:rsid w:val="001D0094"/>
    <w:rsid w:val="001D0E85"/>
    <w:rsid w:val="001D1CB8"/>
    <w:rsid w:val="001D21E0"/>
    <w:rsid w:val="001D42EE"/>
    <w:rsid w:val="001D51CB"/>
    <w:rsid w:val="001D5DBF"/>
    <w:rsid w:val="001D79BF"/>
    <w:rsid w:val="001D7CF4"/>
    <w:rsid w:val="001E0110"/>
    <w:rsid w:val="001E2F73"/>
    <w:rsid w:val="001E4D0C"/>
    <w:rsid w:val="001E4E0A"/>
    <w:rsid w:val="001E54B5"/>
    <w:rsid w:val="001E5FF3"/>
    <w:rsid w:val="001E6503"/>
    <w:rsid w:val="001E780C"/>
    <w:rsid w:val="001E7EE9"/>
    <w:rsid w:val="001F015F"/>
    <w:rsid w:val="001F3132"/>
    <w:rsid w:val="001F38D4"/>
    <w:rsid w:val="001F62CB"/>
    <w:rsid w:val="001F71D8"/>
    <w:rsid w:val="001F7BFF"/>
    <w:rsid w:val="00202AED"/>
    <w:rsid w:val="002079CE"/>
    <w:rsid w:val="002103AB"/>
    <w:rsid w:val="002107C5"/>
    <w:rsid w:val="00210CF8"/>
    <w:rsid w:val="00211027"/>
    <w:rsid w:val="00212310"/>
    <w:rsid w:val="00212F22"/>
    <w:rsid w:val="00212F27"/>
    <w:rsid w:val="00213358"/>
    <w:rsid w:val="0021447D"/>
    <w:rsid w:val="00215313"/>
    <w:rsid w:val="00215513"/>
    <w:rsid w:val="002167B5"/>
    <w:rsid w:val="00216BB2"/>
    <w:rsid w:val="00216C97"/>
    <w:rsid w:val="00217225"/>
    <w:rsid w:val="0021759E"/>
    <w:rsid w:val="00217CC2"/>
    <w:rsid w:val="002212F7"/>
    <w:rsid w:val="00221351"/>
    <w:rsid w:val="0022280C"/>
    <w:rsid w:val="00222A11"/>
    <w:rsid w:val="0022453D"/>
    <w:rsid w:val="002251ED"/>
    <w:rsid w:val="00226123"/>
    <w:rsid w:val="002275D8"/>
    <w:rsid w:val="0023185F"/>
    <w:rsid w:val="0023233B"/>
    <w:rsid w:val="00232C53"/>
    <w:rsid w:val="002330EF"/>
    <w:rsid w:val="00234D36"/>
    <w:rsid w:val="0023510A"/>
    <w:rsid w:val="002365FB"/>
    <w:rsid w:val="00240048"/>
    <w:rsid w:val="002407AB"/>
    <w:rsid w:val="00242900"/>
    <w:rsid w:val="00242CEE"/>
    <w:rsid w:val="0024358C"/>
    <w:rsid w:val="0024404B"/>
    <w:rsid w:val="00244526"/>
    <w:rsid w:val="002458F7"/>
    <w:rsid w:val="00246816"/>
    <w:rsid w:val="00247E95"/>
    <w:rsid w:val="0025092A"/>
    <w:rsid w:val="00253024"/>
    <w:rsid w:val="00254531"/>
    <w:rsid w:val="002548F1"/>
    <w:rsid w:val="002549EB"/>
    <w:rsid w:val="0026114B"/>
    <w:rsid w:val="00262675"/>
    <w:rsid w:val="002632C3"/>
    <w:rsid w:val="00266C3C"/>
    <w:rsid w:val="002676FE"/>
    <w:rsid w:val="0027343E"/>
    <w:rsid w:val="0027345C"/>
    <w:rsid w:val="00273B06"/>
    <w:rsid w:val="0027676D"/>
    <w:rsid w:val="002777DE"/>
    <w:rsid w:val="002804D2"/>
    <w:rsid w:val="002828D1"/>
    <w:rsid w:val="00284226"/>
    <w:rsid w:val="002844E9"/>
    <w:rsid w:val="00284A88"/>
    <w:rsid w:val="00285223"/>
    <w:rsid w:val="00287E46"/>
    <w:rsid w:val="002946AC"/>
    <w:rsid w:val="002954C6"/>
    <w:rsid w:val="00297059"/>
    <w:rsid w:val="00297E39"/>
    <w:rsid w:val="002A0676"/>
    <w:rsid w:val="002A188C"/>
    <w:rsid w:val="002A2CE1"/>
    <w:rsid w:val="002A3FBC"/>
    <w:rsid w:val="002A5C77"/>
    <w:rsid w:val="002A5EC6"/>
    <w:rsid w:val="002A6543"/>
    <w:rsid w:val="002B1752"/>
    <w:rsid w:val="002B2053"/>
    <w:rsid w:val="002B2129"/>
    <w:rsid w:val="002B3E3F"/>
    <w:rsid w:val="002B3F37"/>
    <w:rsid w:val="002B5CAB"/>
    <w:rsid w:val="002B5E9C"/>
    <w:rsid w:val="002B7F7F"/>
    <w:rsid w:val="002C29A7"/>
    <w:rsid w:val="002C2EAD"/>
    <w:rsid w:val="002C3807"/>
    <w:rsid w:val="002C49D7"/>
    <w:rsid w:val="002C5069"/>
    <w:rsid w:val="002C60A1"/>
    <w:rsid w:val="002C6883"/>
    <w:rsid w:val="002C7448"/>
    <w:rsid w:val="002D0E4C"/>
    <w:rsid w:val="002D1929"/>
    <w:rsid w:val="002D2612"/>
    <w:rsid w:val="002D5B80"/>
    <w:rsid w:val="002D73BB"/>
    <w:rsid w:val="002E005C"/>
    <w:rsid w:val="002E11D7"/>
    <w:rsid w:val="002E4C5E"/>
    <w:rsid w:val="002E5048"/>
    <w:rsid w:val="002E741F"/>
    <w:rsid w:val="002F2B9F"/>
    <w:rsid w:val="002F350F"/>
    <w:rsid w:val="002F3CC5"/>
    <w:rsid w:val="002F5CC0"/>
    <w:rsid w:val="002F5E06"/>
    <w:rsid w:val="002F7134"/>
    <w:rsid w:val="00300756"/>
    <w:rsid w:val="00301997"/>
    <w:rsid w:val="00305476"/>
    <w:rsid w:val="00307027"/>
    <w:rsid w:val="003070C3"/>
    <w:rsid w:val="003111B7"/>
    <w:rsid w:val="00311478"/>
    <w:rsid w:val="00311518"/>
    <w:rsid w:val="003124E2"/>
    <w:rsid w:val="0031397F"/>
    <w:rsid w:val="00314346"/>
    <w:rsid w:val="003147CC"/>
    <w:rsid w:val="003147E0"/>
    <w:rsid w:val="00314B3A"/>
    <w:rsid w:val="00315BA7"/>
    <w:rsid w:val="00315BB1"/>
    <w:rsid w:val="00316840"/>
    <w:rsid w:val="0031765D"/>
    <w:rsid w:val="0031770A"/>
    <w:rsid w:val="00317D20"/>
    <w:rsid w:val="00321377"/>
    <w:rsid w:val="00323565"/>
    <w:rsid w:val="0032473A"/>
    <w:rsid w:val="00326F72"/>
    <w:rsid w:val="00327F31"/>
    <w:rsid w:val="00330D1B"/>
    <w:rsid w:val="00331C38"/>
    <w:rsid w:val="00331CFD"/>
    <w:rsid w:val="0033403F"/>
    <w:rsid w:val="0033512C"/>
    <w:rsid w:val="003356DD"/>
    <w:rsid w:val="00335BE2"/>
    <w:rsid w:val="003365AF"/>
    <w:rsid w:val="0033714E"/>
    <w:rsid w:val="003378EC"/>
    <w:rsid w:val="00337936"/>
    <w:rsid w:val="00337C2E"/>
    <w:rsid w:val="0034281A"/>
    <w:rsid w:val="00342A1D"/>
    <w:rsid w:val="00343D98"/>
    <w:rsid w:val="00343F62"/>
    <w:rsid w:val="00344956"/>
    <w:rsid w:val="00344E53"/>
    <w:rsid w:val="00347A9F"/>
    <w:rsid w:val="00347CC7"/>
    <w:rsid w:val="00354238"/>
    <w:rsid w:val="0035480F"/>
    <w:rsid w:val="00355EF6"/>
    <w:rsid w:val="00356356"/>
    <w:rsid w:val="00356A4D"/>
    <w:rsid w:val="003608EB"/>
    <w:rsid w:val="00360FB8"/>
    <w:rsid w:val="00361F14"/>
    <w:rsid w:val="00361F3F"/>
    <w:rsid w:val="00362B76"/>
    <w:rsid w:val="0036325F"/>
    <w:rsid w:val="003658F5"/>
    <w:rsid w:val="003665CC"/>
    <w:rsid w:val="003722D8"/>
    <w:rsid w:val="00372C95"/>
    <w:rsid w:val="00374AFA"/>
    <w:rsid w:val="00376973"/>
    <w:rsid w:val="0038103F"/>
    <w:rsid w:val="003819B6"/>
    <w:rsid w:val="00385D3D"/>
    <w:rsid w:val="00386C6F"/>
    <w:rsid w:val="00387742"/>
    <w:rsid w:val="00387761"/>
    <w:rsid w:val="00387E03"/>
    <w:rsid w:val="00390072"/>
    <w:rsid w:val="003901AD"/>
    <w:rsid w:val="00391928"/>
    <w:rsid w:val="00393257"/>
    <w:rsid w:val="00394AE8"/>
    <w:rsid w:val="0039510C"/>
    <w:rsid w:val="00395E89"/>
    <w:rsid w:val="00396CE8"/>
    <w:rsid w:val="00396E59"/>
    <w:rsid w:val="003A12DE"/>
    <w:rsid w:val="003A14F8"/>
    <w:rsid w:val="003A1E4F"/>
    <w:rsid w:val="003A205B"/>
    <w:rsid w:val="003A261B"/>
    <w:rsid w:val="003A2E92"/>
    <w:rsid w:val="003A41B6"/>
    <w:rsid w:val="003A44B1"/>
    <w:rsid w:val="003A6414"/>
    <w:rsid w:val="003A75ED"/>
    <w:rsid w:val="003B05E0"/>
    <w:rsid w:val="003B31C9"/>
    <w:rsid w:val="003B4F8A"/>
    <w:rsid w:val="003B532F"/>
    <w:rsid w:val="003B7448"/>
    <w:rsid w:val="003C0C2D"/>
    <w:rsid w:val="003C156C"/>
    <w:rsid w:val="003C3D1B"/>
    <w:rsid w:val="003C3F01"/>
    <w:rsid w:val="003C44C7"/>
    <w:rsid w:val="003C4859"/>
    <w:rsid w:val="003C5828"/>
    <w:rsid w:val="003C6BB6"/>
    <w:rsid w:val="003D387B"/>
    <w:rsid w:val="003D3F71"/>
    <w:rsid w:val="003D455F"/>
    <w:rsid w:val="003D4AD5"/>
    <w:rsid w:val="003D55B4"/>
    <w:rsid w:val="003D62FE"/>
    <w:rsid w:val="003D69FC"/>
    <w:rsid w:val="003D78AB"/>
    <w:rsid w:val="003D7F36"/>
    <w:rsid w:val="003E01E4"/>
    <w:rsid w:val="003E06B1"/>
    <w:rsid w:val="003E1913"/>
    <w:rsid w:val="003E33BB"/>
    <w:rsid w:val="003E3B7D"/>
    <w:rsid w:val="003E4253"/>
    <w:rsid w:val="003E593B"/>
    <w:rsid w:val="003E7504"/>
    <w:rsid w:val="003E75E6"/>
    <w:rsid w:val="003E7A3A"/>
    <w:rsid w:val="003E7B1B"/>
    <w:rsid w:val="003F0B16"/>
    <w:rsid w:val="003F1284"/>
    <w:rsid w:val="003F2E25"/>
    <w:rsid w:val="003F32F3"/>
    <w:rsid w:val="003F69F6"/>
    <w:rsid w:val="003F7953"/>
    <w:rsid w:val="003F7ED0"/>
    <w:rsid w:val="004035BF"/>
    <w:rsid w:val="004043BE"/>
    <w:rsid w:val="0040522E"/>
    <w:rsid w:val="0040544A"/>
    <w:rsid w:val="004059D6"/>
    <w:rsid w:val="00405ACC"/>
    <w:rsid w:val="00407613"/>
    <w:rsid w:val="00407C26"/>
    <w:rsid w:val="0041342B"/>
    <w:rsid w:val="00413B4A"/>
    <w:rsid w:val="00413E6F"/>
    <w:rsid w:val="00415516"/>
    <w:rsid w:val="00415959"/>
    <w:rsid w:val="00415EDE"/>
    <w:rsid w:val="0042018D"/>
    <w:rsid w:val="00420D44"/>
    <w:rsid w:val="00421E1F"/>
    <w:rsid w:val="0042429D"/>
    <w:rsid w:val="0042431D"/>
    <w:rsid w:val="00424C10"/>
    <w:rsid w:val="004312CC"/>
    <w:rsid w:val="00433619"/>
    <w:rsid w:val="00434188"/>
    <w:rsid w:val="0043575F"/>
    <w:rsid w:val="00435C25"/>
    <w:rsid w:val="00435C3F"/>
    <w:rsid w:val="00435E00"/>
    <w:rsid w:val="004400E8"/>
    <w:rsid w:val="00441600"/>
    <w:rsid w:val="00441B65"/>
    <w:rsid w:val="0044205D"/>
    <w:rsid w:val="00445CB7"/>
    <w:rsid w:val="00446CFB"/>
    <w:rsid w:val="0044744B"/>
    <w:rsid w:val="004479EC"/>
    <w:rsid w:val="00447BB8"/>
    <w:rsid w:val="00447E91"/>
    <w:rsid w:val="00451D5D"/>
    <w:rsid w:val="0045351F"/>
    <w:rsid w:val="0045441B"/>
    <w:rsid w:val="00455004"/>
    <w:rsid w:val="0045563A"/>
    <w:rsid w:val="0045563D"/>
    <w:rsid w:val="004560FB"/>
    <w:rsid w:val="004604FD"/>
    <w:rsid w:val="0046088A"/>
    <w:rsid w:val="00461A8A"/>
    <w:rsid w:val="00461C63"/>
    <w:rsid w:val="00465055"/>
    <w:rsid w:val="00465129"/>
    <w:rsid w:val="004651D8"/>
    <w:rsid w:val="00466848"/>
    <w:rsid w:val="00471B5C"/>
    <w:rsid w:val="004726BF"/>
    <w:rsid w:val="0047346D"/>
    <w:rsid w:val="004734AA"/>
    <w:rsid w:val="004754E5"/>
    <w:rsid w:val="00475BE9"/>
    <w:rsid w:val="0047779D"/>
    <w:rsid w:val="00477D93"/>
    <w:rsid w:val="00481509"/>
    <w:rsid w:val="004850D4"/>
    <w:rsid w:val="00485C69"/>
    <w:rsid w:val="00485F24"/>
    <w:rsid w:val="00486786"/>
    <w:rsid w:val="00486DA9"/>
    <w:rsid w:val="004902B5"/>
    <w:rsid w:val="00490F75"/>
    <w:rsid w:val="00492607"/>
    <w:rsid w:val="0049327D"/>
    <w:rsid w:val="004935E2"/>
    <w:rsid w:val="004938BD"/>
    <w:rsid w:val="00495CA2"/>
    <w:rsid w:val="00495D56"/>
    <w:rsid w:val="004A09A3"/>
    <w:rsid w:val="004A0B95"/>
    <w:rsid w:val="004A12C7"/>
    <w:rsid w:val="004A49C3"/>
    <w:rsid w:val="004A5228"/>
    <w:rsid w:val="004A60D4"/>
    <w:rsid w:val="004A63C1"/>
    <w:rsid w:val="004A7A3F"/>
    <w:rsid w:val="004B0CB5"/>
    <w:rsid w:val="004B39BE"/>
    <w:rsid w:val="004B45B1"/>
    <w:rsid w:val="004B551F"/>
    <w:rsid w:val="004B737D"/>
    <w:rsid w:val="004C0D17"/>
    <w:rsid w:val="004C1177"/>
    <w:rsid w:val="004C3394"/>
    <w:rsid w:val="004C5637"/>
    <w:rsid w:val="004C7B80"/>
    <w:rsid w:val="004D0C68"/>
    <w:rsid w:val="004D0F39"/>
    <w:rsid w:val="004D144A"/>
    <w:rsid w:val="004D1652"/>
    <w:rsid w:val="004D4F85"/>
    <w:rsid w:val="004D5065"/>
    <w:rsid w:val="004D530B"/>
    <w:rsid w:val="004D6E6C"/>
    <w:rsid w:val="004D72FF"/>
    <w:rsid w:val="004D7E05"/>
    <w:rsid w:val="004E1C02"/>
    <w:rsid w:val="004E1E0A"/>
    <w:rsid w:val="004E1ED5"/>
    <w:rsid w:val="004E382C"/>
    <w:rsid w:val="004E4D93"/>
    <w:rsid w:val="004E603B"/>
    <w:rsid w:val="004E60C9"/>
    <w:rsid w:val="004E7101"/>
    <w:rsid w:val="004F0031"/>
    <w:rsid w:val="004F0CBD"/>
    <w:rsid w:val="004F2144"/>
    <w:rsid w:val="004F44E5"/>
    <w:rsid w:val="004F4501"/>
    <w:rsid w:val="004F455A"/>
    <w:rsid w:val="005000A2"/>
    <w:rsid w:val="00501097"/>
    <w:rsid w:val="0050155E"/>
    <w:rsid w:val="00503BB3"/>
    <w:rsid w:val="00504BC9"/>
    <w:rsid w:val="005075F2"/>
    <w:rsid w:val="00510D8B"/>
    <w:rsid w:val="0051178A"/>
    <w:rsid w:val="0051424A"/>
    <w:rsid w:val="00514767"/>
    <w:rsid w:val="0052161C"/>
    <w:rsid w:val="00522340"/>
    <w:rsid w:val="00523152"/>
    <w:rsid w:val="00524CB1"/>
    <w:rsid w:val="005272E6"/>
    <w:rsid w:val="00527627"/>
    <w:rsid w:val="005319D5"/>
    <w:rsid w:val="00531CF1"/>
    <w:rsid w:val="00531E88"/>
    <w:rsid w:val="00532142"/>
    <w:rsid w:val="005333EA"/>
    <w:rsid w:val="00534527"/>
    <w:rsid w:val="00535918"/>
    <w:rsid w:val="00536449"/>
    <w:rsid w:val="00536798"/>
    <w:rsid w:val="005403C7"/>
    <w:rsid w:val="00540ED6"/>
    <w:rsid w:val="00542024"/>
    <w:rsid w:val="00542D07"/>
    <w:rsid w:val="005430D9"/>
    <w:rsid w:val="00543736"/>
    <w:rsid w:val="00544199"/>
    <w:rsid w:val="00544A1A"/>
    <w:rsid w:val="00544F85"/>
    <w:rsid w:val="005450F1"/>
    <w:rsid w:val="00547348"/>
    <w:rsid w:val="005474FC"/>
    <w:rsid w:val="00552389"/>
    <w:rsid w:val="00552D2A"/>
    <w:rsid w:val="00553A19"/>
    <w:rsid w:val="005545DA"/>
    <w:rsid w:val="00554AAC"/>
    <w:rsid w:val="005557F4"/>
    <w:rsid w:val="0055668F"/>
    <w:rsid w:val="00556B86"/>
    <w:rsid w:val="0055711F"/>
    <w:rsid w:val="00557C09"/>
    <w:rsid w:val="00560782"/>
    <w:rsid w:val="0056129B"/>
    <w:rsid w:val="00561BF6"/>
    <w:rsid w:val="005625E8"/>
    <w:rsid w:val="00562B60"/>
    <w:rsid w:val="0056470D"/>
    <w:rsid w:val="00566F60"/>
    <w:rsid w:val="00567BEB"/>
    <w:rsid w:val="005710D4"/>
    <w:rsid w:val="005711D1"/>
    <w:rsid w:val="00571535"/>
    <w:rsid w:val="00571ACD"/>
    <w:rsid w:val="0057202B"/>
    <w:rsid w:val="00572818"/>
    <w:rsid w:val="00572CAD"/>
    <w:rsid w:val="0057605C"/>
    <w:rsid w:val="00576778"/>
    <w:rsid w:val="005768EC"/>
    <w:rsid w:val="00576D36"/>
    <w:rsid w:val="00580077"/>
    <w:rsid w:val="00581547"/>
    <w:rsid w:val="00581EE5"/>
    <w:rsid w:val="00583976"/>
    <w:rsid w:val="00584EA0"/>
    <w:rsid w:val="0058722C"/>
    <w:rsid w:val="0058793C"/>
    <w:rsid w:val="00587CF9"/>
    <w:rsid w:val="0059148B"/>
    <w:rsid w:val="00591C87"/>
    <w:rsid w:val="00593AE2"/>
    <w:rsid w:val="00593B10"/>
    <w:rsid w:val="00594EE7"/>
    <w:rsid w:val="005977D2"/>
    <w:rsid w:val="00597F7C"/>
    <w:rsid w:val="005A1177"/>
    <w:rsid w:val="005A130D"/>
    <w:rsid w:val="005A19DE"/>
    <w:rsid w:val="005A2699"/>
    <w:rsid w:val="005A470D"/>
    <w:rsid w:val="005A4B5D"/>
    <w:rsid w:val="005A56C5"/>
    <w:rsid w:val="005B11C6"/>
    <w:rsid w:val="005B1775"/>
    <w:rsid w:val="005B1813"/>
    <w:rsid w:val="005B2F14"/>
    <w:rsid w:val="005B4D2F"/>
    <w:rsid w:val="005B4F2E"/>
    <w:rsid w:val="005B5205"/>
    <w:rsid w:val="005B59BE"/>
    <w:rsid w:val="005B5E42"/>
    <w:rsid w:val="005B6455"/>
    <w:rsid w:val="005B6BD5"/>
    <w:rsid w:val="005B7230"/>
    <w:rsid w:val="005C2FC3"/>
    <w:rsid w:val="005C3A74"/>
    <w:rsid w:val="005C3C77"/>
    <w:rsid w:val="005C3E86"/>
    <w:rsid w:val="005C6F02"/>
    <w:rsid w:val="005C77C1"/>
    <w:rsid w:val="005D152B"/>
    <w:rsid w:val="005D1B89"/>
    <w:rsid w:val="005D3776"/>
    <w:rsid w:val="005D4BE8"/>
    <w:rsid w:val="005D4C39"/>
    <w:rsid w:val="005D5C47"/>
    <w:rsid w:val="005D6BD2"/>
    <w:rsid w:val="005D6D7B"/>
    <w:rsid w:val="005E05ED"/>
    <w:rsid w:val="005E2849"/>
    <w:rsid w:val="005E2EE7"/>
    <w:rsid w:val="005E37C5"/>
    <w:rsid w:val="005E3D6B"/>
    <w:rsid w:val="005E453D"/>
    <w:rsid w:val="005E5E25"/>
    <w:rsid w:val="005E7D75"/>
    <w:rsid w:val="005E7E76"/>
    <w:rsid w:val="005E7F08"/>
    <w:rsid w:val="005F2D6E"/>
    <w:rsid w:val="005F341D"/>
    <w:rsid w:val="005F3DB1"/>
    <w:rsid w:val="005F4984"/>
    <w:rsid w:val="005F53BF"/>
    <w:rsid w:val="005F5FF1"/>
    <w:rsid w:val="005F67FE"/>
    <w:rsid w:val="005F69B0"/>
    <w:rsid w:val="005F70A8"/>
    <w:rsid w:val="005F72A6"/>
    <w:rsid w:val="00600DD7"/>
    <w:rsid w:val="00602902"/>
    <w:rsid w:val="00603705"/>
    <w:rsid w:val="00604BBD"/>
    <w:rsid w:val="00605139"/>
    <w:rsid w:val="00605A24"/>
    <w:rsid w:val="0060666A"/>
    <w:rsid w:val="0060753C"/>
    <w:rsid w:val="006075B2"/>
    <w:rsid w:val="00607669"/>
    <w:rsid w:val="00610F8F"/>
    <w:rsid w:val="0061153A"/>
    <w:rsid w:val="006124B6"/>
    <w:rsid w:val="00612CA6"/>
    <w:rsid w:val="00614059"/>
    <w:rsid w:val="0061639D"/>
    <w:rsid w:val="00616697"/>
    <w:rsid w:val="00617952"/>
    <w:rsid w:val="006219C2"/>
    <w:rsid w:val="00622455"/>
    <w:rsid w:val="00623B40"/>
    <w:rsid w:val="00623C38"/>
    <w:rsid w:val="006240CB"/>
    <w:rsid w:val="00624E89"/>
    <w:rsid w:val="006267DE"/>
    <w:rsid w:val="00626987"/>
    <w:rsid w:val="0062773C"/>
    <w:rsid w:val="006322CB"/>
    <w:rsid w:val="00636A99"/>
    <w:rsid w:val="0063732B"/>
    <w:rsid w:val="00637532"/>
    <w:rsid w:val="00640F85"/>
    <w:rsid w:val="00640FB2"/>
    <w:rsid w:val="00641DF7"/>
    <w:rsid w:val="006442B5"/>
    <w:rsid w:val="006446E8"/>
    <w:rsid w:val="00645EB4"/>
    <w:rsid w:val="006474D6"/>
    <w:rsid w:val="00647954"/>
    <w:rsid w:val="00647BB4"/>
    <w:rsid w:val="00652CA1"/>
    <w:rsid w:val="006548EB"/>
    <w:rsid w:val="00655B73"/>
    <w:rsid w:val="006569E1"/>
    <w:rsid w:val="00660338"/>
    <w:rsid w:val="006603F4"/>
    <w:rsid w:val="00660A22"/>
    <w:rsid w:val="006618BC"/>
    <w:rsid w:val="00661978"/>
    <w:rsid w:val="00661BF0"/>
    <w:rsid w:val="0066259F"/>
    <w:rsid w:val="00662906"/>
    <w:rsid w:val="00663B5B"/>
    <w:rsid w:val="00663CEB"/>
    <w:rsid w:val="006664F1"/>
    <w:rsid w:val="00666CC0"/>
    <w:rsid w:val="00667F7F"/>
    <w:rsid w:val="00667F8D"/>
    <w:rsid w:val="00671459"/>
    <w:rsid w:val="006737D6"/>
    <w:rsid w:val="006739B9"/>
    <w:rsid w:val="00673C9E"/>
    <w:rsid w:val="00673E27"/>
    <w:rsid w:val="0067588D"/>
    <w:rsid w:val="00676E7D"/>
    <w:rsid w:val="00680052"/>
    <w:rsid w:val="0068101E"/>
    <w:rsid w:val="00681E28"/>
    <w:rsid w:val="006820D9"/>
    <w:rsid w:val="00684D30"/>
    <w:rsid w:val="006877AB"/>
    <w:rsid w:val="0068787C"/>
    <w:rsid w:val="0069045D"/>
    <w:rsid w:val="00691A8C"/>
    <w:rsid w:val="00692303"/>
    <w:rsid w:val="00692875"/>
    <w:rsid w:val="00692891"/>
    <w:rsid w:val="00693492"/>
    <w:rsid w:val="0069429B"/>
    <w:rsid w:val="00695AD0"/>
    <w:rsid w:val="00696436"/>
    <w:rsid w:val="00696D06"/>
    <w:rsid w:val="0069713E"/>
    <w:rsid w:val="0069743B"/>
    <w:rsid w:val="00697F0F"/>
    <w:rsid w:val="006A034F"/>
    <w:rsid w:val="006A14D3"/>
    <w:rsid w:val="006A200F"/>
    <w:rsid w:val="006A3D62"/>
    <w:rsid w:val="006A422B"/>
    <w:rsid w:val="006A47C9"/>
    <w:rsid w:val="006A5BB5"/>
    <w:rsid w:val="006A61E5"/>
    <w:rsid w:val="006B0FF7"/>
    <w:rsid w:val="006B4135"/>
    <w:rsid w:val="006B5E48"/>
    <w:rsid w:val="006B661A"/>
    <w:rsid w:val="006B6FC7"/>
    <w:rsid w:val="006C1EA1"/>
    <w:rsid w:val="006C33F5"/>
    <w:rsid w:val="006C4F27"/>
    <w:rsid w:val="006C5123"/>
    <w:rsid w:val="006C6BC8"/>
    <w:rsid w:val="006C6F98"/>
    <w:rsid w:val="006C70EA"/>
    <w:rsid w:val="006D13B9"/>
    <w:rsid w:val="006D2196"/>
    <w:rsid w:val="006D247C"/>
    <w:rsid w:val="006D3748"/>
    <w:rsid w:val="006D4517"/>
    <w:rsid w:val="006D4B58"/>
    <w:rsid w:val="006D77FE"/>
    <w:rsid w:val="006E2728"/>
    <w:rsid w:val="006E3378"/>
    <w:rsid w:val="006E39AB"/>
    <w:rsid w:val="006E49DE"/>
    <w:rsid w:val="006E5FF8"/>
    <w:rsid w:val="006E633E"/>
    <w:rsid w:val="006E6903"/>
    <w:rsid w:val="006E7503"/>
    <w:rsid w:val="006E78D6"/>
    <w:rsid w:val="006E7A25"/>
    <w:rsid w:val="006F282F"/>
    <w:rsid w:val="006F43D1"/>
    <w:rsid w:val="006F4836"/>
    <w:rsid w:val="006F7517"/>
    <w:rsid w:val="00700C1D"/>
    <w:rsid w:val="00700CAA"/>
    <w:rsid w:val="00701A46"/>
    <w:rsid w:val="00704129"/>
    <w:rsid w:val="00704907"/>
    <w:rsid w:val="00704BAD"/>
    <w:rsid w:val="00705A59"/>
    <w:rsid w:val="00705ADC"/>
    <w:rsid w:val="00706250"/>
    <w:rsid w:val="00707418"/>
    <w:rsid w:val="00707574"/>
    <w:rsid w:val="007122D0"/>
    <w:rsid w:val="00712E36"/>
    <w:rsid w:val="007143D3"/>
    <w:rsid w:val="00714877"/>
    <w:rsid w:val="00716A06"/>
    <w:rsid w:val="00717092"/>
    <w:rsid w:val="00720CF0"/>
    <w:rsid w:val="00723D52"/>
    <w:rsid w:val="00723E3B"/>
    <w:rsid w:val="00724B5A"/>
    <w:rsid w:val="00724BAB"/>
    <w:rsid w:val="00724BFB"/>
    <w:rsid w:val="00726633"/>
    <w:rsid w:val="007270FE"/>
    <w:rsid w:val="0072728D"/>
    <w:rsid w:val="0072795A"/>
    <w:rsid w:val="00730102"/>
    <w:rsid w:val="0073076F"/>
    <w:rsid w:val="00730EE1"/>
    <w:rsid w:val="00731CFA"/>
    <w:rsid w:val="0073411D"/>
    <w:rsid w:val="00737EA5"/>
    <w:rsid w:val="0074087D"/>
    <w:rsid w:val="00741A90"/>
    <w:rsid w:val="0074229F"/>
    <w:rsid w:val="00742A54"/>
    <w:rsid w:val="007432AF"/>
    <w:rsid w:val="00744837"/>
    <w:rsid w:val="00745369"/>
    <w:rsid w:val="00746CEA"/>
    <w:rsid w:val="007475C2"/>
    <w:rsid w:val="00747CBA"/>
    <w:rsid w:val="00750099"/>
    <w:rsid w:val="007511BE"/>
    <w:rsid w:val="007519BE"/>
    <w:rsid w:val="007528A9"/>
    <w:rsid w:val="00752AE0"/>
    <w:rsid w:val="00752CA8"/>
    <w:rsid w:val="00754A70"/>
    <w:rsid w:val="00757218"/>
    <w:rsid w:val="00761825"/>
    <w:rsid w:val="007622EA"/>
    <w:rsid w:val="007639F9"/>
    <w:rsid w:val="007640A3"/>
    <w:rsid w:val="007727B7"/>
    <w:rsid w:val="00773AE9"/>
    <w:rsid w:val="00775F68"/>
    <w:rsid w:val="0077734B"/>
    <w:rsid w:val="00780539"/>
    <w:rsid w:val="00780946"/>
    <w:rsid w:val="007809B4"/>
    <w:rsid w:val="007815EF"/>
    <w:rsid w:val="00781BF4"/>
    <w:rsid w:val="00783179"/>
    <w:rsid w:val="00783CAC"/>
    <w:rsid w:val="00784FAD"/>
    <w:rsid w:val="0078517C"/>
    <w:rsid w:val="00785D3E"/>
    <w:rsid w:val="00787135"/>
    <w:rsid w:val="007905C3"/>
    <w:rsid w:val="0079127F"/>
    <w:rsid w:val="00791C73"/>
    <w:rsid w:val="00793A57"/>
    <w:rsid w:val="00794668"/>
    <w:rsid w:val="00795091"/>
    <w:rsid w:val="00795147"/>
    <w:rsid w:val="00795244"/>
    <w:rsid w:val="0079672E"/>
    <w:rsid w:val="0079738B"/>
    <w:rsid w:val="00797A58"/>
    <w:rsid w:val="00797FB5"/>
    <w:rsid w:val="007A215C"/>
    <w:rsid w:val="007A3872"/>
    <w:rsid w:val="007A3CB5"/>
    <w:rsid w:val="007A3D1C"/>
    <w:rsid w:val="007A4E97"/>
    <w:rsid w:val="007A5975"/>
    <w:rsid w:val="007A611D"/>
    <w:rsid w:val="007A65C0"/>
    <w:rsid w:val="007A6D09"/>
    <w:rsid w:val="007A72A2"/>
    <w:rsid w:val="007A7E08"/>
    <w:rsid w:val="007B1F25"/>
    <w:rsid w:val="007B2E8E"/>
    <w:rsid w:val="007B472D"/>
    <w:rsid w:val="007B5B5B"/>
    <w:rsid w:val="007B78E3"/>
    <w:rsid w:val="007C0659"/>
    <w:rsid w:val="007C0F34"/>
    <w:rsid w:val="007C1186"/>
    <w:rsid w:val="007C1424"/>
    <w:rsid w:val="007C19F6"/>
    <w:rsid w:val="007C3E2D"/>
    <w:rsid w:val="007C4563"/>
    <w:rsid w:val="007C492C"/>
    <w:rsid w:val="007C634A"/>
    <w:rsid w:val="007C7E8C"/>
    <w:rsid w:val="007D1D73"/>
    <w:rsid w:val="007D4A67"/>
    <w:rsid w:val="007D5B24"/>
    <w:rsid w:val="007E1147"/>
    <w:rsid w:val="007E1FC8"/>
    <w:rsid w:val="007E2AED"/>
    <w:rsid w:val="007E2D1C"/>
    <w:rsid w:val="007E5555"/>
    <w:rsid w:val="007E7810"/>
    <w:rsid w:val="007F1201"/>
    <w:rsid w:val="007F25D1"/>
    <w:rsid w:val="007F321A"/>
    <w:rsid w:val="007F457C"/>
    <w:rsid w:val="0080001B"/>
    <w:rsid w:val="00802BA9"/>
    <w:rsid w:val="0080329C"/>
    <w:rsid w:val="00805D13"/>
    <w:rsid w:val="008069C0"/>
    <w:rsid w:val="00811378"/>
    <w:rsid w:val="00813077"/>
    <w:rsid w:val="008136CB"/>
    <w:rsid w:val="0081414C"/>
    <w:rsid w:val="00815172"/>
    <w:rsid w:val="00815302"/>
    <w:rsid w:val="00815ED5"/>
    <w:rsid w:val="00816138"/>
    <w:rsid w:val="008202E2"/>
    <w:rsid w:val="0082208D"/>
    <w:rsid w:val="0082344A"/>
    <w:rsid w:val="008245FF"/>
    <w:rsid w:val="0082472C"/>
    <w:rsid w:val="00827587"/>
    <w:rsid w:val="008275AA"/>
    <w:rsid w:val="008278EF"/>
    <w:rsid w:val="008308C9"/>
    <w:rsid w:val="00835142"/>
    <w:rsid w:val="00835492"/>
    <w:rsid w:val="00836611"/>
    <w:rsid w:val="008375D6"/>
    <w:rsid w:val="00841609"/>
    <w:rsid w:val="00842CFC"/>
    <w:rsid w:val="008448FB"/>
    <w:rsid w:val="008452C0"/>
    <w:rsid w:val="008465AF"/>
    <w:rsid w:val="00847410"/>
    <w:rsid w:val="00847FFC"/>
    <w:rsid w:val="008512AB"/>
    <w:rsid w:val="00851505"/>
    <w:rsid w:val="00851C61"/>
    <w:rsid w:val="00852AE8"/>
    <w:rsid w:val="00853E81"/>
    <w:rsid w:val="0085412D"/>
    <w:rsid w:val="00854C8A"/>
    <w:rsid w:val="008553FD"/>
    <w:rsid w:val="00855982"/>
    <w:rsid w:val="00855B39"/>
    <w:rsid w:val="00856CE6"/>
    <w:rsid w:val="008575AF"/>
    <w:rsid w:val="00860134"/>
    <w:rsid w:val="00860907"/>
    <w:rsid w:val="008615E1"/>
    <w:rsid w:val="00861790"/>
    <w:rsid w:val="00862BAD"/>
    <w:rsid w:val="00863909"/>
    <w:rsid w:val="0086612B"/>
    <w:rsid w:val="0086650B"/>
    <w:rsid w:val="008672A5"/>
    <w:rsid w:val="00867919"/>
    <w:rsid w:val="00867CC1"/>
    <w:rsid w:val="008720A5"/>
    <w:rsid w:val="00872149"/>
    <w:rsid w:val="0087543E"/>
    <w:rsid w:val="0087561E"/>
    <w:rsid w:val="00875C22"/>
    <w:rsid w:val="008765FD"/>
    <w:rsid w:val="008779A4"/>
    <w:rsid w:val="00881F13"/>
    <w:rsid w:val="00882C6A"/>
    <w:rsid w:val="008830C6"/>
    <w:rsid w:val="008835E9"/>
    <w:rsid w:val="00884238"/>
    <w:rsid w:val="008856F0"/>
    <w:rsid w:val="00886B3E"/>
    <w:rsid w:val="0089088D"/>
    <w:rsid w:val="008919F5"/>
    <w:rsid w:val="00892C77"/>
    <w:rsid w:val="00893696"/>
    <w:rsid w:val="00893FC8"/>
    <w:rsid w:val="00894B82"/>
    <w:rsid w:val="00896329"/>
    <w:rsid w:val="008975AF"/>
    <w:rsid w:val="008A006D"/>
    <w:rsid w:val="008A0383"/>
    <w:rsid w:val="008A0568"/>
    <w:rsid w:val="008A065B"/>
    <w:rsid w:val="008A1ED0"/>
    <w:rsid w:val="008A2B23"/>
    <w:rsid w:val="008A2C22"/>
    <w:rsid w:val="008A3954"/>
    <w:rsid w:val="008A541B"/>
    <w:rsid w:val="008A5CF6"/>
    <w:rsid w:val="008A73A8"/>
    <w:rsid w:val="008A783C"/>
    <w:rsid w:val="008B0EB7"/>
    <w:rsid w:val="008B1FBB"/>
    <w:rsid w:val="008B2169"/>
    <w:rsid w:val="008B3CAA"/>
    <w:rsid w:val="008B6F11"/>
    <w:rsid w:val="008B75CE"/>
    <w:rsid w:val="008B7A74"/>
    <w:rsid w:val="008C0E43"/>
    <w:rsid w:val="008C0F89"/>
    <w:rsid w:val="008C2FD0"/>
    <w:rsid w:val="008C79A5"/>
    <w:rsid w:val="008C7B87"/>
    <w:rsid w:val="008D083C"/>
    <w:rsid w:val="008D1E07"/>
    <w:rsid w:val="008D211D"/>
    <w:rsid w:val="008D3E98"/>
    <w:rsid w:val="008D718E"/>
    <w:rsid w:val="008D7B10"/>
    <w:rsid w:val="008E0040"/>
    <w:rsid w:val="008E0BEF"/>
    <w:rsid w:val="008E4779"/>
    <w:rsid w:val="008F0A1F"/>
    <w:rsid w:val="008F1229"/>
    <w:rsid w:val="008F24C9"/>
    <w:rsid w:val="008F2DA2"/>
    <w:rsid w:val="008F63D0"/>
    <w:rsid w:val="009005AC"/>
    <w:rsid w:val="00902A59"/>
    <w:rsid w:val="00902C2E"/>
    <w:rsid w:val="009035E0"/>
    <w:rsid w:val="00903E41"/>
    <w:rsid w:val="0090458C"/>
    <w:rsid w:val="0090471E"/>
    <w:rsid w:val="0090526B"/>
    <w:rsid w:val="00906361"/>
    <w:rsid w:val="009069CF"/>
    <w:rsid w:val="00906B1F"/>
    <w:rsid w:val="009071A1"/>
    <w:rsid w:val="00911415"/>
    <w:rsid w:val="00911ACC"/>
    <w:rsid w:val="00912CDA"/>
    <w:rsid w:val="0091368E"/>
    <w:rsid w:val="00914138"/>
    <w:rsid w:val="00914318"/>
    <w:rsid w:val="0091436B"/>
    <w:rsid w:val="00914374"/>
    <w:rsid w:val="00914542"/>
    <w:rsid w:val="0091493F"/>
    <w:rsid w:val="009157AA"/>
    <w:rsid w:val="00915E1D"/>
    <w:rsid w:val="0091749A"/>
    <w:rsid w:val="00917C5F"/>
    <w:rsid w:val="00920532"/>
    <w:rsid w:val="00920CDE"/>
    <w:rsid w:val="00922727"/>
    <w:rsid w:val="009240C6"/>
    <w:rsid w:val="00924899"/>
    <w:rsid w:val="009248B3"/>
    <w:rsid w:val="009265E0"/>
    <w:rsid w:val="009279C4"/>
    <w:rsid w:val="00927E93"/>
    <w:rsid w:val="00932496"/>
    <w:rsid w:val="0093287D"/>
    <w:rsid w:val="0093384C"/>
    <w:rsid w:val="00933FF6"/>
    <w:rsid w:val="00934447"/>
    <w:rsid w:val="00935CEE"/>
    <w:rsid w:val="00940345"/>
    <w:rsid w:val="0094081F"/>
    <w:rsid w:val="009433C9"/>
    <w:rsid w:val="00944B64"/>
    <w:rsid w:val="009458DC"/>
    <w:rsid w:val="009464A2"/>
    <w:rsid w:val="00946EED"/>
    <w:rsid w:val="00947154"/>
    <w:rsid w:val="00951B41"/>
    <w:rsid w:val="00952CDC"/>
    <w:rsid w:val="00953319"/>
    <w:rsid w:val="00953FC0"/>
    <w:rsid w:val="009554F9"/>
    <w:rsid w:val="00956982"/>
    <w:rsid w:val="00957746"/>
    <w:rsid w:val="009577E2"/>
    <w:rsid w:val="00963878"/>
    <w:rsid w:val="009638DB"/>
    <w:rsid w:val="009639D6"/>
    <w:rsid w:val="009651EE"/>
    <w:rsid w:val="009660A6"/>
    <w:rsid w:val="00966798"/>
    <w:rsid w:val="00966DA8"/>
    <w:rsid w:val="00967CB8"/>
    <w:rsid w:val="009712E0"/>
    <w:rsid w:val="009717AD"/>
    <w:rsid w:val="00972141"/>
    <w:rsid w:val="00973DB7"/>
    <w:rsid w:val="00973E16"/>
    <w:rsid w:val="00974FE3"/>
    <w:rsid w:val="00975165"/>
    <w:rsid w:val="00975274"/>
    <w:rsid w:val="00981178"/>
    <w:rsid w:val="009819CA"/>
    <w:rsid w:val="00982143"/>
    <w:rsid w:val="0098221A"/>
    <w:rsid w:val="00983CBB"/>
    <w:rsid w:val="00987137"/>
    <w:rsid w:val="0099041D"/>
    <w:rsid w:val="00990C68"/>
    <w:rsid w:val="00990FCC"/>
    <w:rsid w:val="0099187D"/>
    <w:rsid w:val="009921AB"/>
    <w:rsid w:val="00992313"/>
    <w:rsid w:val="00993976"/>
    <w:rsid w:val="00994B5D"/>
    <w:rsid w:val="00995295"/>
    <w:rsid w:val="00995742"/>
    <w:rsid w:val="00997062"/>
    <w:rsid w:val="009A0C26"/>
    <w:rsid w:val="009A3D78"/>
    <w:rsid w:val="009A6C85"/>
    <w:rsid w:val="009A7A2F"/>
    <w:rsid w:val="009B0F9D"/>
    <w:rsid w:val="009B1043"/>
    <w:rsid w:val="009B156F"/>
    <w:rsid w:val="009B290E"/>
    <w:rsid w:val="009B33C3"/>
    <w:rsid w:val="009B47F4"/>
    <w:rsid w:val="009B5974"/>
    <w:rsid w:val="009B5DC7"/>
    <w:rsid w:val="009C0633"/>
    <w:rsid w:val="009C0734"/>
    <w:rsid w:val="009C134D"/>
    <w:rsid w:val="009C1F72"/>
    <w:rsid w:val="009C5508"/>
    <w:rsid w:val="009C6562"/>
    <w:rsid w:val="009C6B40"/>
    <w:rsid w:val="009D0BC3"/>
    <w:rsid w:val="009D7F7B"/>
    <w:rsid w:val="009D7FC9"/>
    <w:rsid w:val="009E13DA"/>
    <w:rsid w:val="009E570B"/>
    <w:rsid w:val="009E6507"/>
    <w:rsid w:val="009E6F8D"/>
    <w:rsid w:val="009E7369"/>
    <w:rsid w:val="009F234C"/>
    <w:rsid w:val="009F4F4B"/>
    <w:rsid w:val="009F5D1F"/>
    <w:rsid w:val="009F6211"/>
    <w:rsid w:val="009F67C5"/>
    <w:rsid w:val="009F6995"/>
    <w:rsid w:val="009F6A8F"/>
    <w:rsid w:val="00A01324"/>
    <w:rsid w:val="00A020FD"/>
    <w:rsid w:val="00A023FF"/>
    <w:rsid w:val="00A028A7"/>
    <w:rsid w:val="00A0582A"/>
    <w:rsid w:val="00A05FF9"/>
    <w:rsid w:val="00A06975"/>
    <w:rsid w:val="00A07006"/>
    <w:rsid w:val="00A10661"/>
    <w:rsid w:val="00A13084"/>
    <w:rsid w:val="00A143D1"/>
    <w:rsid w:val="00A15A79"/>
    <w:rsid w:val="00A1623A"/>
    <w:rsid w:val="00A21C4B"/>
    <w:rsid w:val="00A2235B"/>
    <w:rsid w:val="00A23023"/>
    <w:rsid w:val="00A24958"/>
    <w:rsid w:val="00A24A81"/>
    <w:rsid w:val="00A25CFD"/>
    <w:rsid w:val="00A2607B"/>
    <w:rsid w:val="00A261BD"/>
    <w:rsid w:val="00A31446"/>
    <w:rsid w:val="00A31AFE"/>
    <w:rsid w:val="00A32DF1"/>
    <w:rsid w:val="00A32F19"/>
    <w:rsid w:val="00A33D09"/>
    <w:rsid w:val="00A34E6D"/>
    <w:rsid w:val="00A362C3"/>
    <w:rsid w:val="00A41112"/>
    <w:rsid w:val="00A41436"/>
    <w:rsid w:val="00A41B70"/>
    <w:rsid w:val="00A42311"/>
    <w:rsid w:val="00A44306"/>
    <w:rsid w:val="00A44684"/>
    <w:rsid w:val="00A46E93"/>
    <w:rsid w:val="00A47147"/>
    <w:rsid w:val="00A504EA"/>
    <w:rsid w:val="00A54CD9"/>
    <w:rsid w:val="00A575DF"/>
    <w:rsid w:val="00A60EEE"/>
    <w:rsid w:val="00A61D42"/>
    <w:rsid w:val="00A645BA"/>
    <w:rsid w:val="00A66757"/>
    <w:rsid w:val="00A67211"/>
    <w:rsid w:val="00A679E5"/>
    <w:rsid w:val="00A67A86"/>
    <w:rsid w:val="00A67B55"/>
    <w:rsid w:val="00A7045C"/>
    <w:rsid w:val="00A7051C"/>
    <w:rsid w:val="00A71FD0"/>
    <w:rsid w:val="00A723E9"/>
    <w:rsid w:val="00A72ADB"/>
    <w:rsid w:val="00A74B57"/>
    <w:rsid w:val="00A75525"/>
    <w:rsid w:val="00A76072"/>
    <w:rsid w:val="00A76E60"/>
    <w:rsid w:val="00A7741F"/>
    <w:rsid w:val="00A7779A"/>
    <w:rsid w:val="00A8077E"/>
    <w:rsid w:val="00A8132B"/>
    <w:rsid w:val="00A817A4"/>
    <w:rsid w:val="00A81B79"/>
    <w:rsid w:val="00A823FE"/>
    <w:rsid w:val="00A82B80"/>
    <w:rsid w:val="00A82EA2"/>
    <w:rsid w:val="00A85CBE"/>
    <w:rsid w:val="00A8717C"/>
    <w:rsid w:val="00A87A3A"/>
    <w:rsid w:val="00A906FA"/>
    <w:rsid w:val="00A91DFF"/>
    <w:rsid w:val="00A92A78"/>
    <w:rsid w:val="00A95970"/>
    <w:rsid w:val="00A95CBA"/>
    <w:rsid w:val="00A96E95"/>
    <w:rsid w:val="00A97AE6"/>
    <w:rsid w:val="00AA0630"/>
    <w:rsid w:val="00AA0C25"/>
    <w:rsid w:val="00AA5FFD"/>
    <w:rsid w:val="00AA6727"/>
    <w:rsid w:val="00AA6DE5"/>
    <w:rsid w:val="00AA7DA3"/>
    <w:rsid w:val="00AB1F11"/>
    <w:rsid w:val="00AB2252"/>
    <w:rsid w:val="00AB3C02"/>
    <w:rsid w:val="00AB4160"/>
    <w:rsid w:val="00AB4BAE"/>
    <w:rsid w:val="00AB50C3"/>
    <w:rsid w:val="00AB7296"/>
    <w:rsid w:val="00AB733D"/>
    <w:rsid w:val="00AC16C1"/>
    <w:rsid w:val="00AC25BB"/>
    <w:rsid w:val="00AC3706"/>
    <w:rsid w:val="00AC4DA2"/>
    <w:rsid w:val="00AC599C"/>
    <w:rsid w:val="00AC5F14"/>
    <w:rsid w:val="00AC6208"/>
    <w:rsid w:val="00AD0B01"/>
    <w:rsid w:val="00AD0C2B"/>
    <w:rsid w:val="00AD140E"/>
    <w:rsid w:val="00AD4E64"/>
    <w:rsid w:val="00AE07C8"/>
    <w:rsid w:val="00AE1CFD"/>
    <w:rsid w:val="00AE250D"/>
    <w:rsid w:val="00AE257E"/>
    <w:rsid w:val="00AE2668"/>
    <w:rsid w:val="00AE341E"/>
    <w:rsid w:val="00AE3662"/>
    <w:rsid w:val="00AE5476"/>
    <w:rsid w:val="00AE59C2"/>
    <w:rsid w:val="00AE607E"/>
    <w:rsid w:val="00AE7D30"/>
    <w:rsid w:val="00AF171B"/>
    <w:rsid w:val="00AF2005"/>
    <w:rsid w:val="00AF23EB"/>
    <w:rsid w:val="00AF2646"/>
    <w:rsid w:val="00AF36C0"/>
    <w:rsid w:val="00AF588C"/>
    <w:rsid w:val="00AF62AB"/>
    <w:rsid w:val="00AF6685"/>
    <w:rsid w:val="00AF6C6F"/>
    <w:rsid w:val="00AF7ADC"/>
    <w:rsid w:val="00B002FF"/>
    <w:rsid w:val="00B005EE"/>
    <w:rsid w:val="00B011F4"/>
    <w:rsid w:val="00B0212E"/>
    <w:rsid w:val="00B03B16"/>
    <w:rsid w:val="00B040A6"/>
    <w:rsid w:val="00B0478A"/>
    <w:rsid w:val="00B04DD5"/>
    <w:rsid w:val="00B057D9"/>
    <w:rsid w:val="00B05B90"/>
    <w:rsid w:val="00B069C0"/>
    <w:rsid w:val="00B10A14"/>
    <w:rsid w:val="00B10CDD"/>
    <w:rsid w:val="00B1271E"/>
    <w:rsid w:val="00B140CE"/>
    <w:rsid w:val="00B143C4"/>
    <w:rsid w:val="00B149E5"/>
    <w:rsid w:val="00B165E2"/>
    <w:rsid w:val="00B16FAA"/>
    <w:rsid w:val="00B20BA4"/>
    <w:rsid w:val="00B21812"/>
    <w:rsid w:val="00B2234C"/>
    <w:rsid w:val="00B22814"/>
    <w:rsid w:val="00B22F54"/>
    <w:rsid w:val="00B24D40"/>
    <w:rsid w:val="00B24EBF"/>
    <w:rsid w:val="00B26EE2"/>
    <w:rsid w:val="00B26F3F"/>
    <w:rsid w:val="00B30839"/>
    <w:rsid w:val="00B30E1D"/>
    <w:rsid w:val="00B31788"/>
    <w:rsid w:val="00B32912"/>
    <w:rsid w:val="00B3544B"/>
    <w:rsid w:val="00B3596D"/>
    <w:rsid w:val="00B40223"/>
    <w:rsid w:val="00B40447"/>
    <w:rsid w:val="00B41B54"/>
    <w:rsid w:val="00B41CCF"/>
    <w:rsid w:val="00B41FB4"/>
    <w:rsid w:val="00B45813"/>
    <w:rsid w:val="00B47393"/>
    <w:rsid w:val="00B50C06"/>
    <w:rsid w:val="00B531DA"/>
    <w:rsid w:val="00B539D3"/>
    <w:rsid w:val="00B54032"/>
    <w:rsid w:val="00B5495E"/>
    <w:rsid w:val="00B56EDD"/>
    <w:rsid w:val="00B57171"/>
    <w:rsid w:val="00B60726"/>
    <w:rsid w:val="00B634B1"/>
    <w:rsid w:val="00B67E02"/>
    <w:rsid w:val="00B67EC3"/>
    <w:rsid w:val="00B70182"/>
    <w:rsid w:val="00B70EE1"/>
    <w:rsid w:val="00B716E5"/>
    <w:rsid w:val="00B7428A"/>
    <w:rsid w:val="00B8183B"/>
    <w:rsid w:val="00B83365"/>
    <w:rsid w:val="00B862EA"/>
    <w:rsid w:val="00B87A63"/>
    <w:rsid w:val="00B92271"/>
    <w:rsid w:val="00B92410"/>
    <w:rsid w:val="00B93251"/>
    <w:rsid w:val="00B93373"/>
    <w:rsid w:val="00B93E84"/>
    <w:rsid w:val="00BA068E"/>
    <w:rsid w:val="00BA098A"/>
    <w:rsid w:val="00BA0B3B"/>
    <w:rsid w:val="00BA11EE"/>
    <w:rsid w:val="00BA171D"/>
    <w:rsid w:val="00BA17BA"/>
    <w:rsid w:val="00BA1C58"/>
    <w:rsid w:val="00BA32F0"/>
    <w:rsid w:val="00BA3419"/>
    <w:rsid w:val="00BA3A1D"/>
    <w:rsid w:val="00BA727A"/>
    <w:rsid w:val="00BB046B"/>
    <w:rsid w:val="00BB33A5"/>
    <w:rsid w:val="00BB46B7"/>
    <w:rsid w:val="00BB4D57"/>
    <w:rsid w:val="00BB60F5"/>
    <w:rsid w:val="00BB620F"/>
    <w:rsid w:val="00BB6605"/>
    <w:rsid w:val="00BB713B"/>
    <w:rsid w:val="00BC4625"/>
    <w:rsid w:val="00BC65AC"/>
    <w:rsid w:val="00BC73BA"/>
    <w:rsid w:val="00BC7E05"/>
    <w:rsid w:val="00BC7E8A"/>
    <w:rsid w:val="00BD0681"/>
    <w:rsid w:val="00BD0E64"/>
    <w:rsid w:val="00BD4EF2"/>
    <w:rsid w:val="00BD5F5B"/>
    <w:rsid w:val="00BD771B"/>
    <w:rsid w:val="00BE0423"/>
    <w:rsid w:val="00BE0A0A"/>
    <w:rsid w:val="00BE0A55"/>
    <w:rsid w:val="00BE158C"/>
    <w:rsid w:val="00BE24CF"/>
    <w:rsid w:val="00BE38A7"/>
    <w:rsid w:val="00BE3F51"/>
    <w:rsid w:val="00BE462F"/>
    <w:rsid w:val="00BE4AFE"/>
    <w:rsid w:val="00BE73A4"/>
    <w:rsid w:val="00BE7BDD"/>
    <w:rsid w:val="00BE7DD2"/>
    <w:rsid w:val="00BF127A"/>
    <w:rsid w:val="00BF17D0"/>
    <w:rsid w:val="00BF1854"/>
    <w:rsid w:val="00BF2717"/>
    <w:rsid w:val="00BF2D7E"/>
    <w:rsid w:val="00BF2D94"/>
    <w:rsid w:val="00BF3657"/>
    <w:rsid w:val="00BF6979"/>
    <w:rsid w:val="00BF7D8B"/>
    <w:rsid w:val="00C04A8A"/>
    <w:rsid w:val="00C05D32"/>
    <w:rsid w:val="00C0655F"/>
    <w:rsid w:val="00C06849"/>
    <w:rsid w:val="00C07603"/>
    <w:rsid w:val="00C11B09"/>
    <w:rsid w:val="00C12DD9"/>
    <w:rsid w:val="00C16A71"/>
    <w:rsid w:val="00C17404"/>
    <w:rsid w:val="00C178FB"/>
    <w:rsid w:val="00C210CF"/>
    <w:rsid w:val="00C23029"/>
    <w:rsid w:val="00C2529D"/>
    <w:rsid w:val="00C268A1"/>
    <w:rsid w:val="00C271C9"/>
    <w:rsid w:val="00C2752C"/>
    <w:rsid w:val="00C27B28"/>
    <w:rsid w:val="00C27CA1"/>
    <w:rsid w:val="00C27DFC"/>
    <w:rsid w:val="00C30638"/>
    <w:rsid w:val="00C306F6"/>
    <w:rsid w:val="00C30FB8"/>
    <w:rsid w:val="00C3156D"/>
    <w:rsid w:val="00C3258D"/>
    <w:rsid w:val="00C3274F"/>
    <w:rsid w:val="00C328B8"/>
    <w:rsid w:val="00C32A9D"/>
    <w:rsid w:val="00C35AEE"/>
    <w:rsid w:val="00C365D4"/>
    <w:rsid w:val="00C36B3F"/>
    <w:rsid w:val="00C36F66"/>
    <w:rsid w:val="00C41C66"/>
    <w:rsid w:val="00C41CC8"/>
    <w:rsid w:val="00C43C8C"/>
    <w:rsid w:val="00C44EAD"/>
    <w:rsid w:val="00C52581"/>
    <w:rsid w:val="00C52B73"/>
    <w:rsid w:val="00C54288"/>
    <w:rsid w:val="00C544FC"/>
    <w:rsid w:val="00C57389"/>
    <w:rsid w:val="00C6038C"/>
    <w:rsid w:val="00C62ABD"/>
    <w:rsid w:val="00C62F31"/>
    <w:rsid w:val="00C65968"/>
    <w:rsid w:val="00C665C3"/>
    <w:rsid w:val="00C66D20"/>
    <w:rsid w:val="00C6732D"/>
    <w:rsid w:val="00C72D95"/>
    <w:rsid w:val="00C7494D"/>
    <w:rsid w:val="00C74BC0"/>
    <w:rsid w:val="00C75004"/>
    <w:rsid w:val="00C7650D"/>
    <w:rsid w:val="00C81836"/>
    <w:rsid w:val="00C8355D"/>
    <w:rsid w:val="00C87FB0"/>
    <w:rsid w:val="00C90063"/>
    <w:rsid w:val="00C9070D"/>
    <w:rsid w:val="00C92CD7"/>
    <w:rsid w:val="00C93B96"/>
    <w:rsid w:val="00C945DE"/>
    <w:rsid w:val="00C95472"/>
    <w:rsid w:val="00C95C53"/>
    <w:rsid w:val="00C9655A"/>
    <w:rsid w:val="00CA049C"/>
    <w:rsid w:val="00CA0886"/>
    <w:rsid w:val="00CA0908"/>
    <w:rsid w:val="00CA158C"/>
    <w:rsid w:val="00CA2E1F"/>
    <w:rsid w:val="00CA382C"/>
    <w:rsid w:val="00CA4CF0"/>
    <w:rsid w:val="00CA5E4F"/>
    <w:rsid w:val="00CA77B6"/>
    <w:rsid w:val="00CB1359"/>
    <w:rsid w:val="00CB190D"/>
    <w:rsid w:val="00CB1C66"/>
    <w:rsid w:val="00CB21E5"/>
    <w:rsid w:val="00CB64F1"/>
    <w:rsid w:val="00CB7F1F"/>
    <w:rsid w:val="00CC10EE"/>
    <w:rsid w:val="00CC15EC"/>
    <w:rsid w:val="00CC3736"/>
    <w:rsid w:val="00CC44EB"/>
    <w:rsid w:val="00CC460E"/>
    <w:rsid w:val="00CC466E"/>
    <w:rsid w:val="00CC4D99"/>
    <w:rsid w:val="00CC50DF"/>
    <w:rsid w:val="00CC5E76"/>
    <w:rsid w:val="00CC6FA3"/>
    <w:rsid w:val="00CC72E7"/>
    <w:rsid w:val="00CD03D3"/>
    <w:rsid w:val="00CD1AE7"/>
    <w:rsid w:val="00CD2114"/>
    <w:rsid w:val="00CD2CE4"/>
    <w:rsid w:val="00CD365D"/>
    <w:rsid w:val="00CD3AB4"/>
    <w:rsid w:val="00CD46B2"/>
    <w:rsid w:val="00CD6DBC"/>
    <w:rsid w:val="00CD7658"/>
    <w:rsid w:val="00CD76CE"/>
    <w:rsid w:val="00CD78AD"/>
    <w:rsid w:val="00CE14FC"/>
    <w:rsid w:val="00CE26D8"/>
    <w:rsid w:val="00CE3290"/>
    <w:rsid w:val="00CE4763"/>
    <w:rsid w:val="00CE552A"/>
    <w:rsid w:val="00CE57B3"/>
    <w:rsid w:val="00CE5E0C"/>
    <w:rsid w:val="00CE6B2B"/>
    <w:rsid w:val="00CF08F0"/>
    <w:rsid w:val="00CF09D3"/>
    <w:rsid w:val="00CF0DD4"/>
    <w:rsid w:val="00CF102C"/>
    <w:rsid w:val="00CF1960"/>
    <w:rsid w:val="00CF26FA"/>
    <w:rsid w:val="00CF44AD"/>
    <w:rsid w:val="00CF4DD6"/>
    <w:rsid w:val="00D00C96"/>
    <w:rsid w:val="00D011D6"/>
    <w:rsid w:val="00D012B0"/>
    <w:rsid w:val="00D013BA"/>
    <w:rsid w:val="00D01A01"/>
    <w:rsid w:val="00D0246F"/>
    <w:rsid w:val="00D02C8F"/>
    <w:rsid w:val="00D03A12"/>
    <w:rsid w:val="00D055CD"/>
    <w:rsid w:val="00D05C97"/>
    <w:rsid w:val="00D05EB8"/>
    <w:rsid w:val="00D06972"/>
    <w:rsid w:val="00D06C05"/>
    <w:rsid w:val="00D10631"/>
    <w:rsid w:val="00D11337"/>
    <w:rsid w:val="00D11655"/>
    <w:rsid w:val="00D117CE"/>
    <w:rsid w:val="00D11EBE"/>
    <w:rsid w:val="00D121C1"/>
    <w:rsid w:val="00D13A68"/>
    <w:rsid w:val="00D1468B"/>
    <w:rsid w:val="00D1608A"/>
    <w:rsid w:val="00D16C6D"/>
    <w:rsid w:val="00D16DA5"/>
    <w:rsid w:val="00D17B30"/>
    <w:rsid w:val="00D17C6B"/>
    <w:rsid w:val="00D213EB"/>
    <w:rsid w:val="00D2190F"/>
    <w:rsid w:val="00D21E4D"/>
    <w:rsid w:val="00D223B4"/>
    <w:rsid w:val="00D22DAD"/>
    <w:rsid w:val="00D23373"/>
    <w:rsid w:val="00D240F2"/>
    <w:rsid w:val="00D2523C"/>
    <w:rsid w:val="00D2574C"/>
    <w:rsid w:val="00D26C55"/>
    <w:rsid w:val="00D27D70"/>
    <w:rsid w:val="00D30041"/>
    <w:rsid w:val="00D30AE9"/>
    <w:rsid w:val="00D30F55"/>
    <w:rsid w:val="00D310BB"/>
    <w:rsid w:val="00D3229C"/>
    <w:rsid w:val="00D357E4"/>
    <w:rsid w:val="00D374DE"/>
    <w:rsid w:val="00D40931"/>
    <w:rsid w:val="00D41F0A"/>
    <w:rsid w:val="00D4317C"/>
    <w:rsid w:val="00D436ED"/>
    <w:rsid w:val="00D44B6E"/>
    <w:rsid w:val="00D44DE4"/>
    <w:rsid w:val="00D450E8"/>
    <w:rsid w:val="00D45280"/>
    <w:rsid w:val="00D45492"/>
    <w:rsid w:val="00D45A14"/>
    <w:rsid w:val="00D52992"/>
    <w:rsid w:val="00D53FAF"/>
    <w:rsid w:val="00D54924"/>
    <w:rsid w:val="00D5521F"/>
    <w:rsid w:val="00D55BAB"/>
    <w:rsid w:val="00D57088"/>
    <w:rsid w:val="00D610FA"/>
    <w:rsid w:val="00D632C3"/>
    <w:rsid w:val="00D6580B"/>
    <w:rsid w:val="00D67A16"/>
    <w:rsid w:val="00D70339"/>
    <w:rsid w:val="00D70554"/>
    <w:rsid w:val="00D705C8"/>
    <w:rsid w:val="00D70941"/>
    <w:rsid w:val="00D709F9"/>
    <w:rsid w:val="00D712E2"/>
    <w:rsid w:val="00D758EC"/>
    <w:rsid w:val="00D76AE3"/>
    <w:rsid w:val="00D76E66"/>
    <w:rsid w:val="00D809ED"/>
    <w:rsid w:val="00D82F93"/>
    <w:rsid w:val="00D83B75"/>
    <w:rsid w:val="00D874CB"/>
    <w:rsid w:val="00D8757B"/>
    <w:rsid w:val="00D945B5"/>
    <w:rsid w:val="00D9525A"/>
    <w:rsid w:val="00D96424"/>
    <w:rsid w:val="00D967E2"/>
    <w:rsid w:val="00D96A68"/>
    <w:rsid w:val="00DA0837"/>
    <w:rsid w:val="00DA162E"/>
    <w:rsid w:val="00DA1D2B"/>
    <w:rsid w:val="00DA373A"/>
    <w:rsid w:val="00DA3C88"/>
    <w:rsid w:val="00DA4AC7"/>
    <w:rsid w:val="00DA4D44"/>
    <w:rsid w:val="00DA4D8A"/>
    <w:rsid w:val="00DA5858"/>
    <w:rsid w:val="00DA5ED3"/>
    <w:rsid w:val="00DA67BE"/>
    <w:rsid w:val="00DB2299"/>
    <w:rsid w:val="00DB2B8B"/>
    <w:rsid w:val="00DB3112"/>
    <w:rsid w:val="00DB330B"/>
    <w:rsid w:val="00DB4B63"/>
    <w:rsid w:val="00DB62D2"/>
    <w:rsid w:val="00DB725D"/>
    <w:rsid w:val="00DC008D"/>
    <w:rsid w:val="00DC032A"/>
    <w:rsid w:val="00DC0593"/>
    <w:rsid w:val="00DC0806"/>
    <w:rsid w:val="00DC2093"/>
    <w:rsid w:val="00DC3068"/>
    <w:rsid w:val="00DC3C07"/>
    <w:rsid w:val="00DC3C73"/>
    <w:rsid w:val="00DC4E29"/>
    <w:rsid w:val="00DC55AE"/>
    <w:rsid w:val="00DC7511"/>
    <w:rsid w:val="00DC777F"/>
    <w:rsid w:val="00DC7C0D"/>
    <w:rsid w:val="00DD04BF"/>
    <w:rsid w:val="00DD16DA"/>
    <w:rsid w:val="00DD1A12"/>
    <w:rsid w:val="00DD308C"/>
    <w:rsid w:val="00DD3A21"/>
    <w:rsid w:val="00DD44B3"/>
    <w:rsid w:val="00DD53E9"/>
    <w:rsid w:val="00DD5C8D"/>
    <w:rsid w:val="00DE0B2E"/>
    <w:rsid w:val="00DE2176"/>
    <w:rsid w:val="00DE2BD4"/>
    <w:rsid w:val="00DE63A8"/>
    <w:rsid w:val="00DE7AA9"/>
    <w:rsid w:val="00DF1ABF"/>
    <w:rsid w:val="00DF5939"/>
    <w:rsid w:val="00DF5E45"/>
    <w:rsid w:val="00DF6A7B"/>
    <w:rsid w:val="00E00157"/>
    <w:rsid w:val="00E01015"/>
    <w:rsid w:val="00E02425"/>
    <w:rsid w:val="00E03D5A"/>
    <w:rsid w:val="00E03E1D"/>
    <w:rsid w:val="00E05272"/>
    <w:rsid w:val="00E07406"/>
    <w:rsid w:val="00E10E6A"/>
    <w:rsid w:val="00E118BE"/>
    <w:rsid w:val="00E12315"/>
    <w:rsid w:val="00E15D8F"/>
    <w:rsid w:val="00E2181A"/>
    <w:rsid w:val="00E21912"/>
    <w:rsid w:val="00E21A38"/>
    <w:rsid w:val="00E21FE5"/>
    <w:rsid w:val="00E24A0E"/>
    <w:rsid w:val="00E24C54"/>
    <w:rsid w:val="00E25171"/>
    <w:rsid w:val="00E255EC"/>
    <w:rsid w:val="00E25D46"/>
    <w:rsid w:val="00E3142B"/>
    <w:rsid w:val="00E32749"/>
    <w:rsid w:val="00E337A4"/>
    <w:rsid w:val="00E35568"/>
    <w:rsid w:val="00E355E8"/>
    <w:rsid w:val="00E35A9E"/>
    <w:rsid w:val="00E366E1"/>
    <w:rsid w:val="00E374BE"/>
    <w:rsid w:val="00E409C5"/>
    <w:rsid w:val="00E40FED"/>
    <w:rsid w:val="00E4163A"/>
    <w:rsid w:val="00E4234E"/>
    <w:rsid w:val="00E45C6E"/>
    <w:rsid w:val="00E52C40"/>
    <w:rsid w:val="00E537CF"/>
    <w:rsid w:val="00E53AA2"/>
    <w:rsid w:val="00E5607E"/>
    <w:rsid w:val="00E560CB"/>
    <w:rsid w:val="00E56112"/>
    <w:rsid w:val="00E6035D"/>
    <w:rsid w:val="00E61177"/>
    <w:rsid w:val="00E61846"/>
    <w:rsid w:val="00E6198B"/>
    <w:rsid w:val="00E63639"/>
    <w:rsid w:val="00E7205C"/>
    <w:rsid w:val="00E720C3"/>
    <w:rsid w:val="00E721DB"/>
    <w:rsid w:val="00E7363C"/>
    <w:rsid w:val="00E74BBB"/>
    <w:rsid w:val="00E74FC1"/>
    <w:rsid w:val="00E76C4C"/>
    <w:rsid w:val="00E77D64"/>
    <w:rsid w:val="00E82A02"/>
    <w:rsid w:val="00E83080"/>
    <w:rsid w:val="00E84E49"/>
    <w:rsid w:val="00E90629"/>
    <w:rsid w:val="00E91200"/>
    <w:rsid w:val="00E91C5A"/>
    <w:rsid w:val="00E9245A"/>
    <w:rsid w:val="00EA0376"/>
    <w:rsid w:val="00EA12A3"/>
    <w:rsid w:val="00EA25A5"/>
    <w:rsid w:val="00EA64C1"/>
    <w:rsid w:val="00EA6C20"/>
    <w:rsid w:val="00EB043C"/>
    <w:rsid w:val="00EB18E7"/>
    <w:rsid w:val="00EB2666"/>
    <w:rsid w:val="00EB3787"/>
    <w:rsid w:val="00EB3A97"/>
    <w:rsid w:val="00EB4941"/>
    <w:rsid w:val="00EB5F94"/>
    <w:rsid w:val="00EB7AFB"/>
    <w:rsid w:val="00EC06D2"/>
    <w:rsid w:val="00EC196A"/>
    <w:rsid w:val="00EC2459"/>
    <w:rsid w:val="00EC3158"/>
    <w:rsid w:val="00EC55D1"/>
    <w:rsid w:val="00EC58A9"/>
    <w:rsid w:val="00ED21B8"/>
    <w:rsid w:val="00ED2265"/>
    <w:rsid w:val="00ED684B"/>
    <w:rsid w:val="00EE067B"/>
    <w:rsid w:val="00EE0C79"/>
    <w:rsid w:val="00EE1454"/>
    <w:rsid w:val="00EE14EC"/>
    <w:rsid w:val="00EE48D0"/>
    <w:rsid w:val="00EE4E22"/>
    <w:rsid w:val="00EE4FB9"/>
    <w:rsid w:val="00EE54F0"/>
    <w:rsid w:val="00EE5CAC"/>
    <w:rsid w:val="00EE692B"/>
    <w:rsid w:val="00EE6E21"/>
    <w:rsid w:val="00EF0CF4"/>
    <w:rsid w:val="00EF0D1C"/>
    <w:rsid w:val="00EF1399"/>
    <w:rsid w:val="00EF1595"/>
    <w:rsid w:val="00EF1DCD"/>
    <w:rsid w:val="00EF30C9"/>
    <w:rsid w:val="00EF4DD9"/>
    <w:rsid w:val="00EF5C5C"/>
    <w:rsid w:val="00EF5E60"/>
    <w:rsid w:val="00EF6D98"/>
    <w:rsid w:val="00EF7093"/>
    <w:rsid w:val="00F006A4"/>
    <w:rsid w:val="00F0123F"/>
    <w:rsid w:val="00F0541C"/>
    <w:rsid w:val="00F059C0"/>
    <w:rsid w:val="00F061DD"/>
    <w:rsid w:val="00F0656E"/>
    <w:rsid w:val="00F075FE"/>
    <w:rsid w:val="00F07CB5"/>
    <w:rsid w:val="00F10F3C"/>
    <w:rsid w:val="00F1190A"/>
    <w:rsid w:val="00F133C6"/>
    <w:rsid w:val="00F13698"/>
    <w:rsid w:val="00F15826"/>
    <w:rsid w:val="00F166A6"/>
    <w:rsid w:val="00F2089D"/>
    <w:rsid w:val="00F20B18"/>
    <w:rsid w:val="00F23CE8"/>
    <w:rsid w:val="00F25CAC"/>
    <w:rsid w:val="00F26ED3"/>
    <w:rsid w:val="00F270B3"/>
    <w:rsid w:val="00F301AB"/>
    <w:rsid w:val="00F3076A"/>
    <w:rsid w:val="00F31A4B"/>
    <w:rsid w:val="00F376BE"/>
    <w:rsid w:val="00F408D5"/>
    <w:rsid w:val="00F4136B"/>
    <w:rsid w:val="00F415B9"/>
    <w:rsid w:val="00F433B8"/>
    <w:rsid w:val="00F440EE"/>
    <w:rsid w:val="00F44762"/>
    <w:rsid w:val="00F44780"/>
    <w:rsid w:val="00F45A7A"/>
    <w:rsid w:val="00F464F0"/>
    <w:rsid w:val="00F5361B"/>
    <w:rsid w:val="00F5509C"/>
    <w:rsid w:val="00F56399"/>
    <w:rsid w:val="00F56AFC"/>
    <w:rsid w:val="00F6023F"/>
    <w:rsid w:val="00F60AD1"/>
    <w:rsid w:val="00F60E61"/>
    <w:rsid w:val="00F61B8E"/>
    <w:rsid w:val="00F63D96"/>
    <w:rsid w:val="00F646BF"/>
    <w:rsid w:val="00F64782"/>
    <w:rsid w:val="00F65865"/>
    <w:rsid w:val="00F65F32"/>
    <w:rsid w:val="00F66631"/>
    <w:rsid w:val="00F7075B"/>
    <w:rsid w:val="00F70CB5"/>
    <w:rsid w:val="00F717E8"/>
    <w:rsid w:val="00F72EDF"/>
    <w:rsid w:val="00F72F88"/>
    <w:rsid w:val="00F73866"/>
    <w:rsid w:val="00F75522"/>
    <w:rsid w:val="00F7776D"/>
    <w:rsid w:val="00F80246"/>
    <w:rsid w:val="00F80BB4"/>
    <w:rsid w:val="00F834E7"/>
    <w:rsid w:val="00F84A01"/>
    <w:rsid w:val="00F854E4"/>
    <w:rsid w:val="00F85994"/>
    <w:rsid w:val="00F86724"/>
    <w:rsid w:val="00F86D30"/>
    <w:rsid w:val="00F8733E"/>
    <w:rsid w:val="00F919A9"/>
    <w:rsid w:val="00F927DE"/>
    <w:rsid w:val="00F92868"/>
    <w:rsid w:val="00F94047"/>
    <w:rsid w:val="00F95390"/>
    <w:rsid w:val="00F95672"/>
    <w:rsid w:val="00F97E5E"/>
    <w:rsid w:val="00FA11D9"/>
    <w:rsid w:val="00FA1B20"/>
    <w:rsid w:val="00FA509B"/>
    <w:rsid w:val="00FA6046"/>
    <w:rsid w:val="00FB19A9"/>
    <w:rsid w:val="00FB1DCC"/>
    <w:rsid w:val="00FB2023"/>
    <w:rsid w:val="00FB2CAB"/>
    <w:rsid w:val="00FB4451"/>
    <w:rsid w:val="00FB5275"/>
    <w:rsid w:val="00FB55B2"/>
    <w:rsid w:val="00FB5CEC"/>
    <w:rsid w:val="00FB67B6"/>
    <w:rsid w:val="00FB7608"/>
    <w:rsid w:val="00FC1217"/>
    <w:rsid w:val="00FC134F"/>
    <w:rsid w:val="00FC1D51"/>
    <w:rsid w:val="00FC2C13"/>
    <w:rsid w:val="00FC36D7"/>
    <w:rsid w:val="00FC596F"/>
    <w:rsid w:val="00FC65C0"/>
    <w:rsid w:val="00FC6CA6"/>
    <w:rsid w:val="00FC6F38"/>
    <w:rsid w:val="00FC7139"/>
    <w:rsid w:val="00FC7E90"/>
    <w:rsid w:val="00FD05D1"/>
    <w:rsid w:val="00FD08B2"/>
    <w:rsid w:val="00FD27AE"/>
    <w:rsid w:val="00FD2916"/>
    <w:rsid w:val="00FD43B3"/>
    <w:rsid w:val="00FD4450"/>
    <w:rsid w:val="00FD5F1E"/>
    <w:rsid w:val="00FD5FA9"/>
    <w:rsid w:val="00FD66BC"/>
    <w:rsid w:val="00FD68D2"/>
    <w:rsid w:val="00FD73A8"/>
    <w:rsid w:val="00FE1385"/>
    <w:rsid w:val="00FE1B74"/>
    <w:rsid w:val="00FE20A0"/>
    <w:rsid w:val="00FE34EB"/>
    <w:rsid w:val="00FE774B"/>
    <w:rsid w:val="00FE7C2F"/>
    <w:rsid w:val="00FF2A5C"/>
    <w:rsid w:val="00FF41D4"/>
    <w:rsid w:val="00FF45DE"/>
    <w:rsid w:val="00FF4E9D"/>
    <w:rsid w:val="00FF4FF5"/>
    <w:rsid w:val="00FF722A"/>
    <w:rsid w:val="00FF77BD"/>
    <w:rsid w:val="00FF7B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style="mso-width-relative:margin;mso-height-relative:margin" fill="f" fillcolor="white" stroke="f">
      <v:fill color="white" on="f"/>
      <v:stroke on="f"/>
      <v:textbox style="layout-flow:vertical;mso-layout-flow-alt:bottom-to-top"/>
      <o:colormru v:ext="edit" colors="#daf2e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9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iPriority="99"/>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Table Colorful 2"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99"/>
    <w:lsdException w:name="Light Grid Accent 2" w:uiPriority="99"/>
    <w:lsdException w:name="Medium Shading 1 Accent 2" w:uiPriority="99"/>
    <w:lsdException w:name="Medium Shading 2 Accent 2" w:uiPriority="99"/>
    <w:lsdException w:name="Medium List 1 Accent 2" w:uiPriority="65"/>
    <w:lsdException w:name="Medium List 2 Accent 2" w:uiPriority="66"/>
    <w:lsdException w:name="Medium Grid 1 Accent 2" w:uiPriority="99"/>
    <w:lsdException w:name="Medium Grid 2 Accent 2" w:uiPriority="68"/>
    <w:lsdException w:name="Medium Grid 3 Accent 2" w:uiPriority="9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semiHidden/>
    <w:qFormat/>
    <w:rsid w:val="00DF6A7B"/>
    <w:pPr>
      <w:spacing w:before="60" w:after="120" w:line="280" w:lineRule="atLeast"/>
    </w:pPr>
    <w:rPr>
      <w:rFonts w:ascii="Franklin Gothic Book" w:hAnsi="Franklin Gothic Book"/>
    </w:rPr>
  </w:style>
  <w:style w:type="paragraph" w:styleId="Heading1">
    <w:name w:val="heading 1"/>
    <w:basedOn w:val="Normal"/>
    <w:next w:val="Normal"/>
    <w:link w:val="Heading1Char"/>
    <w:qFormat/>
    <w:rsid w:val="00DF6A7B"/>
    <w:pPr>
      <w:keepNext/>
      <w:tabs>
        <w:tab w:val="left" w:pos="397"/>
      </w:tabs>
      <w:spacing w:before="240" w:after="240"/>
      <w:outlineLvl w:val="0"/>
    </w:pPr>
    <w:rPr>
      <w:rFonts w:ascii="Franklin Gothic Demi" w:hAnsi="Franklin Gothic Demi"/>
      <w:caps/>
      <w:sz w:val="30"/>
    </w:rPr>
  </w:style>
  <w:style w:type="paragraph" w:styleId="Heading2">
    <w:name w:val="heading 2"/>
    <w:basedOn w:val="Heading1"/>
    <w:next w:val="Normal"/>
    <w:link w:val="Heading2Char"/>
    <w:qFormat/>
    <w:rsid w:val="00B24D40"/>
    <w:pPr>
      <w:numPr>
        <w:ilvl w:val="1"/>
      </w:numPr>
      <w:tabs>
        <w:tab w:val="clear" w:pos="397"/>
        <w:tab w:val="left" w:pos="567"/>
      </w:tabs>
      <w:outlineLvl w:val="1"/>
    </w:pPr>
    <w:rPr>
      <w:caps w:val="0"/>
      <w:smallCaps/>
      <w:sz w:val="28"/>
    </w:rPr>
  </w:style>
  <w:style w:type="paragraph" w:styleId="Heading3">
    <w:name w:val="heading 3"/>
    <w:basedOn w:val="Heading2"/>
    <w:next w:val="Normal"/>
    <w:link w:val="Heading3Char"/>
    <w:qFormat/>
    <w:rsid w:val="00B24D40"/>
    <w:pPr>
      <w:numPr>
        <w:ilvl w:val="2"/>
      </w:numPr>
      <w:tabs>
        <w:tab w:val="clear" w:pos="567"/>
        <w:tab w:val="left" w:pos="794"/>
      </w:tabs>
      <w:outlineLvl w:val="2"/>
    </w:pPr>
  </w:style>
  <w:style w:type="paragraph" w:styleId="Heading4">
    <w:name w:val="heading 4"/>
    <w:basedOn w:val="Heading1"/>
    <w:next w:val="Normal"/>
    <w:link w:val="Heading4Char"/>
    <w:qFormat/>
    <w:rsid w:val="00B24D40"/>
    <w:pPr>
      <w:numPr>
        <w:ilvl w:val="3"/>
      </w:numPr>
      <w:tabs>
        <w:tab w:val="clear" w:pos="397"/>
        <w:tab w:val="left" w:pos="964"/>
      </w:tabs>
      <w:outlineLvl w:val="3"/>
    </w:pPr>
    <w:rPr>
      <w:caps w:val="0"/>
      <w:smallCaps/>
      <w:sz w:val="24"/>
    </w:rPr>
  </w:style>
  <w:style w:type="paragraph" w:styleId="Heading5">
    <w:name w:val="heading 5"/>
    <w:basedOn w:val="Heading1"/>
    <w:next w:val="Normal"/>
    <w:link w:val="Heading5Char"/>
    <w:qFormat/>
    <w:rsid w:val="00B24D40"/>
    <w:pPr>
      <w:numPr>
        <w:ilvl w:val="4"/>
      </w:numPr>
      <w:tabs>
        <w:tab w:val="clear" w:pos="397"/>
        <w:tab w:val="left" w:pos="1134"/>
      </w:tabs>
      <w:outlineLvl w:val="4"/>
    </w:pPr>
    <w:rPr>
      <w:caps w:val="0"/>
      <w:smallCaps/>
      <w:sz w:val="24"/>
    </w:rPr>
  </w:style>
  <w:style w:type="paragraph" w:styleId="Heading6">
    <w:name w:val="heading 6"/>
    <w:basedOn w:val="Normal"/>
    <w:next w:val="Normal"/>
    <w:link w:val="Heading6Char"/>
    <w:qFormat/>
    <w:rsid w:val="00B24D40"/>
    <w:pPr>
      <w:keepNext/>
      <w:numPr>
        <w:ilvl w:val="5"/>
        <w:numId w:val="1"/>
      </w:numPr>
      <w:tabs>
        <w:tab w:val="clear" w:pos="0"/>
        <w:tab w:val="left" w:pos="1361"/>
      </w:tabs>
      <w:spacing w:before="240" w:after="240"/>
      <w:outlineLvl w:val="5"/>
    </w:pPr>
    <w:rPr>
      <w:rFonts w:ascii="Franklin Gothic Demi" w:hAnsi="Franklin Gothic Demi"/>
      <w:smallCaps/>
      <w:sz w:val="24"/>
    </w:rPr>
  </w:style>
  <w:style w:type="paragraph" w:styleId="Heading7">
    <w:name w:val="heading 7"/>
    <w:basedOn w:val="Heading6"/>
    <w:next w:val="Normal"/>
    <w:link w:val="Heading7Char"/>
    <w:qFormat/>
    <w:rsid w:val="00B24D40"/>
    <w:pPr>
      <w:numPr>
        <w:ilvl w:val="6"/>
      </w:numPr>
      <w:tabs>
        <w:tab w:val="clear" w:pos="0"/>
        <w:tab w:val="clear" w:pos="1361"/>
        <w:tab w:val="left" w:pos="1588"/>
      </w:tabs>
      <w:outlineLvl w:val="6"/>
    </w:pPr>
  </w:style>
  <w:style w:type="paragraph" w:styleId="Heading8">
    <w:name w:val="heading 8"/>
    <w:basedOn w:val="Heading7"/>
    <w:next w:val="Normal"/>
    <w:link w:val="Heading8Char"/>
    <w:qFormat/>
    <w:rsid w:val="009464A2"/>
    <w:pPr>
      <w:numPr>
        <w:ilvl w:val="7"/>
      </w:numPr>
      <w:tabs>
        <w:tab w:val="clear" w:pos="0"/>
        <w:tab w:val="clear" w:pos="1588"/>
        <w:tab w:val="left" w:pos="1814"/>
      </w:tabs>
      <w:outlineLvl w:val="7"/>
    </w:pPr>
  </w:style>
  <w:style w:type="paragraph" w:styleId="Heading9">
    <w:name w:val="heading 9"/>
    <w:basedOn w:val="Normal"/>
    <w:next w:val="Normal"/>
    <w:link w:val="Heading9Char"/>
    <w:qFormat/>
    <w:rsid w:val="003C3F01"/>
    <w:pPr>
      <w:numPr>
        <w:ilvl w:val="8"/>
        <w:numId w:val="1"/>
      </w:numPr>
      <w:tabs>
        <w:tab w:val="clear" w:pos="1702"/>
        <w:tab w:val="left" w:pos="397"/>
      </w:tabs>
      <w:ind w:left="0"/>
      <w:outlineLvl w:val="8"/>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7A4"/>
    <w:rPr>
      <w:rFonts w:ascii="Franklin Gothic Demi" w:hAnsi="Franklin Gothic Demi"/>
      <w:caps/>
      <w:sz w:val="30"/>
    </w:rPr>
  </w:style>
  <w:style w:type="character" w:customStyle="1" w:styleId="Heading2Char">
    <w:name w:val="Heading 2 Char"/>
    <w:basedOn w:val="DefaultParagraphFont"/>
    <w:link w:val="Heading2"/>
    <w:rsid w:val="00A817A4"/>
    <w:rPr>
      <w:rFonts w:ascii="Franklin Gothic Demi" w:hAnsi="Franklin Gothic Demi"/>
      <w:smallCaps/>
      <w:sz w:val="28"/>
    </w:rPr>
  </w:style>
  <w:style w:type="character" w:customStyle="1" w:styleId="Heading3Char">
    <w:name w:val="Heading 3 Char"/>
    <w:basedOn w:val="DefaultParagraphFont"/>
    <w:link w:val="Heading3"/>
    <w:rsid w:val="00A817A4"/>
    <w:rPr>
      <w:rFonts w:ascii="Franklin Gothic Demi" w:hAnsi="Franklin Gothic Demi"/>
      <w:smallCaps/>
      <w:sz w:val="28"/>
    </w:rPr>
  </w:style>
  <w:style w:type="character" w:customStyle="1" w:styleId="Heading4Char">
    <w:name w:val="Heading 4 Char"/>
    <w:basedOn w:val="DefaultParagraphFont"/>
    <w:link w:val="Heading4"/>
    <w:rsid w:val="00A817A4"/>
    <w:rPr>
      <w:rFonts w:ascii="Franklin Gothic Demi" w:hAnsi="Franklin Gothic Demi"/>
      <w:smallCaps/>
      <w:sz w:val="24"/>
    </w:rPr>
  </w:style>
  <w:style w:type="character" w:customStyle="1" w:styleId="Heading5Char">
    <w:name w:val="Heading 5 Char"/>
    <w:basedOn w:val="DefaultParagraphFont"/>
    <w:link w:val="Heading5"/>
    <w:rsid w:val="00A817A4"/>
    <w:rPr>
      <w:rFonts w:ascii="Franklin Gothic Demi" w:hAnsi="Franklin Gothic Demi"/>
      <w:smallCaps/>
      <w:sz w:val="24"/>
    </w:rPr>
  </w:style>
  <w:style w:type="character" w:customStyle="1" w:styleId="Heading6Char">
    <w:name w:val="Heading 6 Char"/>
    <w:basedOn w:val="DefaultParagraphFont"/>
    <w:link w:val="Heading6"/>
    <w:rsid w:val="00A817A4"/>
    <w:rPr>
      <w:rFonts w:ascii="Franklin Gothic Demi" w:hAnsi="Franklin Gothic Demi"/>
      <w:smallCaps/>
      <w:sz w:val="24"/>
    </w:rPr>
  </w:style>
  <w:style w:type="character" w:customStyle="1" w:styleId="Heading7Char">
    <w:name w:val="Heading 7 Char"/>
    <w:basedOn w:val="DefaultParagraphFont"/>
    <w:link w:val="Heading7"/>
    <w:rsid w:val="00A817A4"/>
    <w:rPr>
      <w:rFonts w:ascii="Franklin Gothic Demi" w:hAnsi="Franklin Gothic Demi"/>
      <w:smallCaps/>
      <w:sz w:val="24"/>
    </w:rPr>
  </w:style>
  <w:style w:type="character" w:customStyle="1" w:styleId="Heading8Char">
    <w:name w:val="Heading 8 Char"/>
    <w:basedOn w:val="DefaultParagraphFont"/>
    <w:link w:val="Heading8"/>
    <w:rsid w:val="00A817A4"/>
    <w:rPr>
      <w:rFonts w:ascii="Franklin Gothic Demi" w:hAnsi="Franklin Gothic Demi"/>
      <w:smallCaps/>
      <w:sz w:val="24"/>
    </w:rPr>
  </w:style>
  <w:style w:type="character" w:customStyle="1" w:styleId="Heading9Char">
    <w:name w:val="Heading 9 Char"/>
    <w:basedOn w:val="DefaultParagraphFont"/>
    <w:link w:val="Heading9"/>
    <w:rsid w:val="00A817A4"/>
    <w:rPr>
      <w:rFonts w:ascii="Franklin Gothic Book" w:hAnsi="Franklin Gothic Book"/>
      <w:caps/>
      <w:sz w:val="24"/>
    </w:rPr>
  </w:style>
  <w:style w:type="paragraph" w:styleId="BalloonText">
    <w:name w:val="Balloon Text"/>
    <w:basedOn w:val="Normal"/>
    <w:link w:val="BalloonTextChar"/>
    <w:semiHidden/>
    <w:rsid w:val="00DB3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780C"/>
    <w:rPr>
      <w:rFonts w:ascii="Tahoma" w:hAnsi="Tahoma" w:cs="Tahoma"/>
      <w:sz w:val="16"/>
      <w:szCs w:val="16"/>
    </w:rPr>
  </w:style>
  <w:style w:type="paragraph" w:customStyle="1" w:styleId="HUNBullet1">
    <w:name w:val="HUN_Bullet 1"/>
    <w:basedOn w:val="Normal"/>
    <w:qFormat/>
    <w:rsid w:val="00ED684B"/>
    <w:pPr>
      <w:numPr>
        <w:numId w:val="2"/>
      </w:numPr>
      <w:ind w:left="568" w:hanging="284"/>
      <w:jc w:val="both"/>
    </w:pPr>
  </w:style>
  <w:style w:type="paragraph" w:customStyle="1" w:styleId="HUNBullet2">
    <w:name w:val="HUN_Bullet 2"/>
    <w:basedOn w:val="Normal"/>
    <w:qFormat/>
    <w:rsid w:val="00ED684B"/>
    <w:pPr>
      <w:numPr>
        <w:numId w:val="3"/>
      </w:numPr>
      <w:tabs>
        <w:tab w:val="left" w:pos="907"/>
      </w:tabs>
      <w:ind w:left="851" w:hanging="284"/>
      <w:jc w:val="both"/>
    </w:pPr>
  </w:style>
  <w:style w:type="paragraph" w:customStyle="1" w:styleId="HUNBullet3">
    <w:name w:val="HUN_Bullet 3"/>
    <w:basedOn w:val="Normal"/>
    <w:qFormat/>
    <w:rsid w:val="00ED684B"/>
    <w:pPr>
      <w:numPr>
        <w:numId w:val="4"/>
      </w:numPr>
      <w:tabs>
        <w:tab w:val="left" w:pos="1191"/>
      </w:tabs>
      <w:ind w:left="1135" w:hanging="284"/>
      <w:jc w:val="both"/>
    </w:pPr>
  </w:style>
  <w:style w:type="paragraph" w:customStyle="1" w:styleId="HUNAlphabeticallist1">
    <w:name w:val="HUN_Alphabetical list 1"/>
    <w:basedOn w:val="Normal"/>
    <w:qFormat/>
    <w:rsid w:val="00C41CC8"/>
    <w:pPr>
      <w:numPr>
        <w:numId w:val="5"/>
      </w:numPr>
      <w:ind w:left="568" w:hanging="284"/>
      <w:jc w:val="both"/>
    </w:pPr>
  </w:style>
  <w:style w:type="paragraph" w:customStyle="1" w:styleId="HUNAnnexheading1">
    <w:name w:val="HUN_Annex heading 1"/>
    <w:basedOn w:val="Heading1"/>
    <w:next w:val="Normal"/>
    <w:qFormat/>
    <w:rsid w:val="00EF0CF4"/>
  </w:style>
  <w:style w:type="paragraph" w:customStyle="1" w:styleId="HUNAnnexheading2">
    <w:name w:val="HUN_Annex heading 2"/>
    <w:basedOn w:val="Heading2"/>
    <w:next w:val="Normal"/>
    <w:qFormat/>
    <w:rsid w:val="00EF0CF4"/>
    <w:pPr>
      <w:pageBreakBefore/>
      <w:numPr>
        <w:ilvl w:val="0"/>
        <w:numId w:val="6"/>
      </w:numPr>
      <w:tabs>
        <w:tab w:val="clear" w:pos="567"/>
        <w:tab w:val="left" w:pos="397"/>
      </w:tabs>
      <w:ind w:left="0" w:firstLine="0"/>
    </w:pPr>
  </w:style>
  <w:style w:type="table" w:styleId="TableGrid">
    <w:name w:val="Table Grid"/>
    <w:basedOn w:val="TableNormal"/>
    <w:rsid w:val="00067F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AM">
    <w:name w:val="AAM"/>
    <w:basedOn w:val="TableNormal"/>
    <w:uiPriority w:val="99"/>
    <w:qFormat/>
    <w:rsid w:val="00BD771B"/>
    <w:pPr>
      <w:ind w:left="57" w:right="57"/>
    </w:pPr>
    <w:rPr>
      <w:rFonts w:ascii="Franklin Gothic Book" w:hAnsi="Franklin Gothic Book"/>
    </w:rPr>
    <w:tblPr>
      <w:tblStyleRowBandSize w:val="1"/>
      <w:tblStyleColBandSize w:val="1"/>
      <w:tblInd w:w="57" w:type="dxa"/>
      <w:tblBorders>
        <w:insideH w:val="single" w:sz="4" w:space="0" w:color="DCEEC5"/>
      </w:tblBorders>
      <w:tblCellMar>
        <w:top w:w="0" w:type="dxa"/>
        <w:left w:w="0" w:type="dxa"/>
        <w:bottom w:w="0" w:type="dxa"/>
        <w:right w:w="0" w:type="dxa"/>
      </w:tblCellMar>
    </w:tblPr>
    <w:tcPr>
      <w:shd w:val="clear" w:color="auto" w:fill="auto"/>
    </w:tcPr>
    <w:tblStylePr w:type="firstRow">
      <w:rPr>
        <w:rFonts w:ascii="Franklin Gothic Book" w:hAnsi="Franklin Gothic Book"/>
        <w:b/>
        <w:caps w:val="0"/>
        <w:smallCaps/>
        <w:sz w:val="20"/>
      </w:rPr>
      <w:tblPr/>
      <w:tcPr>
        <w:tcBorders>
          <w:bottom w:val="nil"/>
        </w:tcBorders>
        <w:shd w:val="clear" w:color="auto" w:fill="76923C"/>
      </w:tcPr>
    </w:tblStylePr>
    <w:tblStylePr w:type="lastRow">
      <w:rPr>
        <w:rFonts w:ascii="Franklin Gothic Book" w:hAnsi="Franklin Gothic Book"/>
        <w:b/>
        <w:caps w:val="0"/>
        <w:smallCaps/>
        <w:sz w:val="20"/>
      </w:rPr>
      <w:tblPr/>
      <w:tcPr>
        <w:tcBorders>
          <w:top w:val="nil"/>
        </w:tcBorders>
        <w:shd w:val="clear" w:color="auto" w:fill="76923C"/>
      </w:tcPr>
    </w:tblStylePr>
    <w:tblStylePr w:type="firstCol">
      <w:rPr>
        <w:rFonts w:ascii="Franklin Gothic Book" w:hAnsi="Franklin Gothic Book"/>
        <w:b/>
        <w:caps w:val="0"/>
        <w:smallCaps/>
        <w:sz w:val="20"/>
      </w:rPr>
      <w:tblPr/>
      <w:tcPr>
        <w:shd w:val="clear" w:color="auto" w:fill="76923C"/>
      </w:tcPr>
    </w:tblStylePr>
    <w:tblStylePr w:type="lastCol">
      <w:rPr>
        <w:rFonts w:ascii="Franklin Gothic Book" w:hAnsi="Franklin Gothic Book"/>
        <w:b/>
        <w:caps w:val="0"/>
        <w:smallCaps/>
        <w:sz w:val="20"/>
      </w:rPr>
      <w:tblPr/>
      <w:tcPr>
        <w:shd w:val="clear" w:color="auto" w:fill="76923C"/>
      </w:tc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Pr/>
      <w:tcPr>
        <w:tcBorders>
          <w:top w:val="nil"/>
          <w:left w:val="nil"/>
          <w:bottom w:val="nil"/>
          <w:right w:val="nil"/>
          <w:insideH w:val="nil"/>
          <w:insideV w:val="nil"/>
          <w:tl2br w:val="nil"/>
          <w:tr2bl w:val="nil"/>
        </w:tcBorders>
        <w:shd w:val="clear" w:color="auto" w:fill="C2D69B"/>
      </w:tcPr>
    </w:tblStylePr>
    <w:tblStylePr w:type="band2Horz">
      <w:rPr>
        <w:rFonts w:ascii="Franklin Gothic Book" w:hAnsi="Franklin Gothic Book"/>
        <w:sz w:val="20"/>
      </w:rPr>
      <w:tblPr/>
      <w:tcPr>
        <w:tcBorders>
          <w:top w:val="nil"/>
          <w:left w:val="nil"/>
          <w:bottom w:val="nil"/>
          <w:right w:val="nil"/>
          <w:insideH w:val="nil"/>
          <w:insideV w:val="nil"/>
          <w:tl2br w:val="nil"/>
          <w:tr2bl w:val="nil"/>
        </w:tcBorders>
        <w:shd w:val="clear" w:color="auto" w:fill="D6E3BC"/>
      </w:tcPr>
    </w:tblStylePr>
    <w:tblStylePr w:type="neCell">
      <w:tblPr/>
      <w:tcPr>
        <w:tcBorders>
          <w:bottom w:val="nil"/>
        </w:tcBorders>
        <w:shd w:val="clear" w:color="auto" w:fill="76923C"/>
      </w:tcPr>
    </w:tblStylePr>
    <w:tblStylePr w:type="nwCell">
      <w:tblPr/>
      <w:tcPr>
        <w:tcBorders>
          <w:bottom w:val="nil"/>
        </w:tcBorders>
        <w:shd w:val="clear" w:color="auto" w:fill="76923C"/>
      </w:tcPr>
    </w:tblStylePr>
    <w:tblStylePr w:type="seCell">
      <w:tblPr/>
      <w:tcPr>
        <w:tcBorders>
          <w:top w:val="nil"/>
        </w:tcBorders>
        <w:shd w:val="clear" w:color="auto" w:fill="76923C"/>
      </w:tcPr>
    </w:tblStylePr>
    <w:tblStylePr w:type="swCell">
      <w:tblPr/>
      <w:tcPr>
        <w:tcBorders>
          <w:top w:val="nil"/>
        </w:tcBorders>
        <w:shd w:val="clear" w:color="auto" w:fill="76923C"/>
      </w:tcPr>
    </w:tblStylePr>
  </w:style>
  <w:style w:type="table" w:customStyle="1" w:styleId="AAM4">
    <w:name w:val="AAM4"/>
    <w:basedOn w:val="TableNormal"/>
    <w:uiPriority w:val="99"/>
    <w:qFormat/>
    <w:rsid w:val="002632C3"/>
    <w:pPr>
      <w:spacing w:before="60" w:after="120" w:line="280" w:lineRule="atLeast"/>
      <w:ind w:left="57" w:right="57"/>
    </w:pPr>
    <w:rPr>
      <w:rFonts w:ascii="Franklin Gothic Book" w:hAnsi="Franklin Gothic Book"/>
    </w:rPr>
    <w:tblPr>
      <w:tblInd w:w="57" w:type="dxa"/>
      <w:tblBorders>
        <w:top w:val="single" w:sz="18" w:space="0" w:color="53564F"/>
        <w:left w:val="single" w:sz="18" w:space="0" w:color="53564F"/>
        <w:bottom w:val="single" w:sz="18" w:space="0" w:color="53564F"/>
        <w:right w:val="single" w:sz="18" w:space="0" w:color="53564F"/>
        <w:insideH w:val="single" w:sz="8" w:space="0" w:color="53564F"/>
        <w:insideV w:val="single" w:sz="8" w:space="0" w:color="53564F"/>
      </w:tblBorders>
      <w:tblCellMar>
        <w:top w:w="0" w:type="dxa"/>
        <w:left w:w="0" w:type="dxa"/>
        <w:bottom w:w="0" w:type="dxa"/>
        <w:right w:w="0" w:type="dxa"/>
      </w:tblCellMar>
    </w:tblPr>
    <w:tcPr>
      <w:shd w:val="clear" w:color="auto" w:fill="auto"/>
    </w:tcPr>
    <w:tblStylePr w:type="firstRow">
      <w:pPr>
        <w:jc w:val="center"/>
      </w:pPr>
      <w:rPr>
        <w:rFonts w:ascii="Franklin Gothic Book" w:hAnsi="Franklin Gothic Book"/>
        <w:b/>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lastRow">
      <w:rPr>
        <w:rFonts w:ascii="Franklin Gothic Book" w:hAnsi="Franklin Gothic Book"/>
        <w:b/>
        <w:caps w:val="0"/>
        <w:smallCaps/>
        <w:sz w:val="20"/>
      </w:rPr>
      <w:tblPr/>
      <w:tcPr>
        <w:tcBorders>
          <w:top w:val="double" w:sz="12"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firstCol">
      <w:rPr>
        <w:rFonts w:ascii="Franklin Gothic Book" w:hAnsi="Franklin Gothic Book"/>
        <w:b/>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shd w:val="clear" w:color="auto" w:fill="auto"/>
      </w:tcPr>
    </w:tblStylePr>
    <w:tblStylePr w:type="lastCol">
      <w:rPr>
        <w:rFonts w:ascii="Franklin Gothic Book" w:hAnsi="Franklin Gothic Book"/>
        <w:b/>
        <w:caps w:val="0"/>
        <w:smallCaps/>
        <w:sz w:val="20"/>
      </w:rPr>
      <w:tblPr/>
      <w:tcPr>
        <w:tcBorders>
          <w:left w:val="single" w:sz="18" w:space="0" w:color="53564F"/>
        </w:tcBorders>
        <w:shd w:val="clear" w:color="auto" w:fill="auto"/>
      </w:tcPr>
    </w:tblStylePr>
    <w:tblStylePr w:type="neCell">
      <w:tblPr/>
      <w:tcPr>
        <w:tcBorders>
          <w:left w:val="single" w:sz="18" w:space="0" w:color="53564F"/>
        </w:tcBorders>
        <w:shd w:val="clear" w:color="auto" w:fill="BFBFBF"/>
      </w:tcPr>
    </w:tblStylePr>
    <w:tblStylePr w:type="nwCell">
      <w:tblPr/>
      <w:tcPr>
        <w:tcBorders>
          <w:right w:val="single" w:sz="18" w:space="0" w:color="53564F"/>
        </w:tcBorders>
        <w:shd w:val="clear" w:color="auto" w:fill="BFBFBF"/>
      </w:tcPr>
    </w:tblStylePr>
    <w:tblStylePr w:type="seCell">
      <w:tblPr/>
      <w:tcPr>
        <w:tcBorders>
          <w:left w:val="single" w:sz="18" w:space="0" w:color="53564F"/>
        </w:tcBorders>
        <w:shd w:val="clear" w:color="auto" w:fill="BFBFBF"/>
      </w:tcPr>
    </w:tblStylePr>
    <w:tblStylePr w:type="swCell">
      <w:tblPr/>
      <w:tcPr>
        <w:tcBorders>
          <w:right w:val="single" w:sz="18" w:space="0" w:color="53564F"/>
        </w:tcBorders>
        <w:shd w:val="clear" w:color="auto" w:fill="BFBFBF"/>
      </w:tcPr>
    </w:tblStylePr>
  </w:style>
  <w:style w:type="table" w:customStyle="1" w:styleId="AAM2">
    <w:name w:val="AAM_2"/>
    <w:basedOn w:val="TableNormal"/>
    <w:uiPriority w:val="99"/>
    <w:qFormat/>
    <w:rsid w:val="00BD771B"/>
    <w:pPr>
      <w:ind w:left="57" w:right="57"/>
    </w:pPr>
    <w:rPr>
      <w:rFonts w:ascii="Franklin Gothic Book" w:hAnsi="Franklin Gothic Book"/>
    </w:rPr>
    <w:tblPr>
      <w:tblInd w:w="57" w:type="dxa"/>
      <w:tblBorders>
        <w:insideH w:val="single" w:sz="4" w:space="0" w:color="8CC63F"/>
        <w:insideV w:val="single" w:sz="4" w:space="0" w:color="8CC63F"/>
      </w:tblBorders>
      <w:tblCellMar>
        <w:top w:w="0" w:type="dxa"/>
        <w:left w:w="0" w:type="dxa"/>
        <w:bottom w:w="0" w:type="dxa"/>
        <w:right w:w="0" w:type="dxa"/>
      </w:tblCellMar>
    </w:tblPr>
    <w:tblStylePr w:type="firstRow">
      <w:pPr>
        <w:jc w:val="center"/>
      </w:pPr>
      <w:rPr>
        <w:rFonts w:ascii="Franklin Gothic Book" w:hAnsi="Franklin Gothic Book"/>
        <w:b/>
        <w:i w:val="0"/>
        <w:caps w:val="0"/>
        <w:smallCaps/>
        <w:strike w:val="0"/>
        <w:dstrike w:val="0"/>
        <w:outline w:val="0"/>
        <w:shadow w:val="0"/>
        <w:emboss w:val="0"/>
        <w:imprint w:val="0"/>
        <w:vanish w:val="0"/>
        <w:color w:val="auto"/>
        <w:sz w:val="20"/>
        <w:vertAlign w:val="baseline"/>
      </w:rPr>
      <w:tblPr/>
      <w:tcPr>
        <w:tcBorders>
          <w:top w:val="nil"/>
          <w:left w:val="nil"/>
          <w:bottom w:val="single" w:sz="18" w:space="0" w:color="8CC63F"/>
          <w:right w:val="nil"/>
          <w:insideH w:val="nil"/>
          <w:insideV w:val="single" w:sz="2" w:space="0" w:color="8CC63F"/>
          <w:tl2br w:val="nil"/>
          <w:tr2bl w:val="nil"/>
        </w:tcBorders>
        <w:vAlign w:val="center"/>
      </w:tcPr>
    </w:tblStylePr>
    <w:tblStylePr w:type="lastRow">
      <w:rPr>
        <w:rFonts w:ascii="Franklin Gothic Book" w:hAnsi="Franklin Gothic Book"/>
        <w:b/>
        <w:caps w:val="0"/>
        <w:smallCaps/>
        <w:sz w:val="20"/>
      </w:rPr>
      <w:tblPr/>
      <w:tcPr>
        <w:tcBorders>
          <w:top w:val="single" w:sz="18" w:space="0" w:color="8CC63F"/>
          <w:left w:val="nil"/>
          <w:bottom w:val="nil"/>
          <w:right w:val="nil"/>
          <w:insideH w:val="nil"/>
          <w:insideV w:val="single" w:sz="2" w:space="0" w:color="8CC63F"/>
          <w:tl2br w:val="nil"/>
          <w:tr2bl w:val="nil"/>
        </w:tcBorders>
      </w:tcPr>
    </w:tblStylePr>
    <w:tblStylePr w:type="firstCol">
      <w:rPr>
        <w:rFonts w:ascii="Franklin Gothic Book" w:hAnsi="Franklin Gothic Book"/>
        <w:b/>
        <w:caps w:val="0"/>
        <w:smallCaps/>
        <w:sz w:val="20"/>
      </w:rPr>
      <w:tblPr/>
      <w:tcPr>
        <w:tcBorders>
          <w:top w:val="nil"/>
          <w:left w:val="nil"/>
          <w:bottom w:val="nil"/>
          <w:right w:val="single" w:sz="18" w:space="0" w:color="8CC63F"/>
          <w:insideH w:val="nil"/>
          <w:insideV w:val="nil"/>
          <w:tl2br w:val="nil"/>
          <w:tr2bl w:val="nil"/>
        </w:tcBorders>
      </w:tcPr>
    </w:tblStylePr>
    <w:tblStylePr w:type="lastCol">
      <w:rPr>
        <w:rFonts w:ascii="Franklin Gothic Book" w:hAnsi="Franklin Gothic Book"/>
        <w:b/>
        <w:caps w:val="0"/>
        <w:smallCaps/>
        <w:sz w:val="20"/>
      </w:rPr>
      <w:tblPr/>
      <w:tcPr>
        <w:tcBorders>
          <w:top w:val="nil"/>
          <w:left w:val="single" w:sz="18" w:space="0" w:color="8CC63F"/>
          <w:bottom w:val="nil"/>
          <w:right w:val="nil"/>
          <w:insideH w:val="nil"/>
          <w:insideV w:val="nil"/>
          <w:tl2br w:val="nil"/>
          <w:tr2bl w:val="nil"/>
        </w:tcBorders>
      </w:tcPr>
    </w:tblStylePr>
    <w:tblStylePr w:type="neCell">
      <w:tblPr/>
      <w:tcPr>
        <w:tcBorders>
          <w:left w:val="single" w:sz="18" w:space="0" w:color="8CC63F"/>
        </w:tcBorders>
      </w:tcPr>
    </w:tblStylePr>
    <w:tblStylePr w:type="nwCell">
      <w:tblPr/>
      <w:tcPr>
        <w:tcBorders>
          <w:right w:val="single" w:sz="18" w:space="0" w:color="8CC63F"/>
        </w:tcBorders>
      </w:tcPr>
    </w:tblStylePr>
    <w:tblStylePr w:type="seCell">
      <w:tblPr/>
      <w:tcPr>
        <w:tcBorders>
          <w:left w:val="single" w:sz="18" w:space="0" w:color="8CC63F"/>
        </w:tcBorders>
      </w:tcPr>
    </w:tblStylePr>
    <w:tblStylePr w:type="swCell">
      <w:tblPr/>
      <w:tcPr>
        <w:tcBorders>
          <w:right w:val="single" w:sz="18" w:space="0" w:color="8CC63F"/>
        </w:tcBorders>
      </w:tcPr>
    </w:tblStylePr>
  </w:style>
  <w:style w:type="table" w:customStyle="1" w:styleId="AAM3">
    <w:name w:val="AAM_3"/>
    <w:basedOn w:val="TableNormal"/>
    <w:uiPriority w:val="99"/>
    <w:qFormat/>
    <w:rsid w:val="007D5B24"/>
    <w:pPr>
      <w:spacing w:before="60" w:after="120" w:line="280" w:lineRule="atLeast"/>
      <w:ind w:left="57" w:right="57"/>
      <w:jc w:val="center"/>
    </w:pPr>
    <w:rPr>
      <w:rFonts w:ascii="Franklin Gothic Book" w:hAnsi="Franklin Gothic Book"/>
    </w:rPr>
    <w:tblPr>
      <w:tblStyleRowBandSize w:val="1"/>
      <w:tblStyleColBandSize w:val="1"/>
      <w:tblInd w:w="57" w:type="dxa"/>
      <w:tblBorders>
        <w:top w:val="single" w:sz="18" w:space="0" w:color="53564F"/>
        <w:left w:val="single" w:sz="18" w:space="0" w:color="53564F"/>
        <w:bottom w:val="single" w:sz="18" w:space="0" w:color="53564F"/>
        <w:right w:val="single" w:sz="18" w:space="0" w:color="53564F"/>
        <w:insideH w:val="single" w:sz="2" w:space="0" w:color="53564F"/>
        <w:insideV w:val="single" w:sz="2" w:space="0" w:color="53564F"/>
      </w:tblBorders>
      <w:tblCellMar>
        <w:top w:w="0" w:type="dxa"/>
        <w:left w:w="0" w:type="dxa"/>
        <w:bottom w:w="0" w:type="dxa"/>
        <w:right w:w="0" w:type="dxa"/>
      </w:tblCellMar>
    </w:tblPr>
    <w:tcPr>
      <w:vAlign w:val="center"/>
    </w:tcPr>
    <w:tblStylePr w:type="firstRow">
      <w:pPr>
        <w:wordWrap/>
        <w:contextualSpacing w:val="0"/>
        <w:mirrorIndents w:val="0"/>
        <w:jc w:val="center"/>
      </w:pPr>
      <w:rPr>
        <w:rFonts w:ascii="Franklin Gothic Book" w:hAnsi="Franklin Gothic Book"/>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2" w:space="0" w:color="53564F"/>
          <w:tl2br w:val="nil"/>
          <w:tr2bl w:val="nil"/>
        </w:tcBorders>
        <w:shd w:val="clear" w:color="auto" w:fill="DCEEC5"/>
      </w:tcPr>
    </w:tblStylePr>
    <w:tblStylePr w:type="lastRow">
      <w:rPr>
        <w:rFonts w:ascii="Franklin Gothic Book" w:hAnsi="Franklin Gothic Book"/>
        <w:b/>
        <w:i w:val="0"/>
        <w:caps w:val="0"/>
        <w:smallCaps/>
        <w:sz w:val="20"/>
      </w:rPr>
      <w:tblPr/>
      <w:tcPr>
        <w:tcBorders>
          <w:top w:val="double" w:sz="12" w:space="0" w:color="53564F"/>
          <w:left w:val="single" w:sz="18" w:space="0" w:color="53564F"/>
          <w:bottom w:val="single" w:sz="18" w:space="0" w:color="53564F"/>
          <w:right w:val="single" w:sz="18" w:space="0" w:color="53564F"/>
          <w:insideH w:val="nil"/>
          <w:insideV w:val="nil"/>
          <w:tl2br w:val="nil"/>
          <w:tr2bl w:val="nil"/>
        </w:tcBorders>
        <w:shd w:val="clear" w:color="auto" w:fill="DCEEC5"/>
      </w:tcPr>
    </w:tblStylePr>
    <w:tblStylePr w:type="firstCol">
      <w:rPr>
        <w:rFonts w:ascii="Franklin Gothic Book" w:hAnsi="Franklin Gothic Book"/>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lastCol">
      <w:rPr>
        <w:rFonts w:ascii="Franklin Gothic Book" w:hAnsi="Franklin Gothic Book"/>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band1Vert">
      <w:rPr>
        <w:rFonts w:ascii="Franklin Gothic Book" w:hAnsi="Franklin Gothic Book"/>
        <w:b w:val="0"/>
        <w:i w:val="0"/>
        <w:sz w:val="20"/>
      </w:rPr>
    </w:tblStylePr>
    <w:tblStylePr w:type="band2Vert">
      <w:rPr>
        <w:rFonts w:ascii="Franklin Gothic Book" w:hAnsi="Franklin Gothic Book"/>
        <w:b w:val="0"/>
        <w:i w:val="0"/>
        <w:sz w:val="20"/>
      </w:rPr>
    </w:tblStylePr>
    <w:tblStylePr w:type="band1Horz">
      <w:rPr>
        <w:rFonts w:ascii="Franklin Gothic Book" w:hAnsi="Franklin Gothic Book"/>
        <w:b w:val="0"/>
        <w:i w:val="0"/>
        <w:sz w:val="20"/>
      </w:rPr>
    </w:tblStylePr>
    <w:tblStylePr w:type="band2Horz">
      <w:rPr>
        <w:rFonts w:ascii="Franklin Gothic Book" w:hAnsi="Franklin Gothic Book"/>
        <w:b w:val="0"/>
        <w:i w:val="0"/>
        <w:sz w:val="20"/>
      </w:r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left w:val="single" w:sz="18" w:space="0" w:color="53564F"/>
        </w:tcBorders>
      </w:tcPr>
    </w:tblStylePr>
    <w:tblStylePr w:type="swCell">
      <w:tblPr/>
      <w:tcPr>
        <w:tcBorders>
          <w:right w:val="single" w:sz="18" w:space="0" w:color="53564F"/>
        </w:tcBorders>
      </w:tcPr>
    </w:tblStylePr>
  </w:style>
  <w:style w:type="paragraph" w:styleId="Header">
    <w:name w:val="header"/>
    <w:basedOn w:val="Normal"/>
    <w:link w:val="HeaderChar"/>
    <w:uiPriority w:val="99"/>
    <w:rsid w:val="00A96E95"/>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96E95"/>
    <w:rPr>
      <w:rFonts w:ascii="Franklin Gothic Book" w:hAnsi="Franklin Gothic Book"/>
    </w:rPr>
  </w:style>
  <w:style w:type="paragraph" w:styleId="Footer">
    <w:name w:val="footer"/>
    <w:basedOn w:val="Normal"/>
    <w:link w:val="FooterChar"/>
    <w:uiPriority w:val="99"/>
    <w:semiHidden/>
    <w:rsid w:val="00A96E95"/>
    <w:pPr>
      <w:tabs>
        <w:tab w:val="center" w:pos="4536"/>
        <w:tab w:val="right" w:pos="9072"/>
      </w:tabs>
      <w:spacing w:before="0" w:after="0" w:line="240" w:lineRule="auto"/>
    </w:pPr>
  </w:style>
  <w:style w:type="character" w:customStyle="1" w:styleId="FooterChar">
    <w:name w:val="Footer Char"/>
    <w:basedOn w:val="DefaultParagraphFont"/>
    <w:link w:val="Footer"/>
    <w:uiPriority w:val="99"/>
    <w:semiHidden/>
    <w:rsid w:val="00A96E95"/>
    <w:rPr>
      <w:rFonts w:ascii="Franklin Gothic Book" w:hAnsi="Franklin Gothic Book"/>
    </w:rPr>
  </w:style>
  <w:style w:type="paragraph" w:customStyle="1" w:styleId="HUNDocumentTitle">
    <w:name w:val="HUN_Document Title"/>
    <w:basedOn w:val="Normal"/>
    <w:qFormat/>
    <w:rsid w:val="00EA6C20"/>
    <w:pPr>
      <w:spacing w:before="3480" w:after="240"/>
    </w:pPr>
    <w:rPr>
      <w:rFonts w:ascii="Franklin Gothic Demi" w:hAnsi="Franklin Gothic Demi"/>
      <w:smallCaps/>
      <w:sz w:val="70"/>
    </w:rPr>
  </w:style>
  <w:style w:type="paragraph" w:customStyle="1" w:styleId="HUNDocumentSubject">
    <w:name w:val="HUN_Document Subject"/>
    <w:basedOn w:val="Normal"/>
    <w:qFormat/>
    <w:rsid w:val="00EA6C20"/>
    <w:pPr>
      <w:spacing w:before="120"/>
      <w:ind w:right="4536"/>
    </w:pPr>
    <w:rPr>
      <w:sz w:val="30"/>
    </w:rPr>
  </w:style>
  <w:style w:type="paragraph" w:styleId="TOC1">
    <w:name w:val="toc 1"/>
    <w:basedOn w:val="Normal"/>
    <w:next w:val="Normal"/>
    <w:autoRedefine/>
    <w:uiPriority w:val="39"/>
    <w:qFormat/>
    <w:rsid w:val="0082208D"/>
    <w:pPr>
      <w:keepNext/>
      <w:pBdr>
        <w:top w:val="single" w:sz="18" w:space="1" w:color="FFFFFF"/>
        <w:bottom w:val="single" w:sz="18" w:space="1" w:color="FFFFFF"/>
        <w:between w:val="single" w:sz="12" w:space="1" w:color="FFFFFF"/>
      </w:pBdr>
      <w:shd w:val="clear" w:color="auto" w:fill="BFBFBF"/>
      <w:tabs>
        <w:tab w:val="left" w:pos="284"/>
        <w:tab w:val="right" w:pos="9015"/>
      </w:tabs>
      <w:spacing w:before="0" w:after="0" w:line="240" w:lineRule="auto"/>
    </w:pPr>
    <w:rPr>
      <w:caps/>
      <w:noProof/>
    </w:rPr>
  </w:style>
  <w:style w:type="paragraph" w:styleId="TOC2">
    <w:name w:val="toc 2"/>
    <w:basedOn w:val="Normal"/>
    <w:next w:val="Normal"/>
    <w:autoRedefine/>
    <w:uiPriority w:val="39"/>
    <w:qFormat/>
    <w:rsid w:val="0082208D"/>
    <w:pPr>
      <w:pBdr>
        <w:between w:val="single" w:sz="12" w:space="1" w:color="FFFFFF"/>
      </w:pBdr>
      <w:shd w:val="clear" w:color="auto" w:fill="DCEEC5"/>
      <w:tabs>
        <w:tab w:val="left" w:pos="454"/>
        <w:tab w:val="right" w:pos="9015"/>
      </w:tabs>
      <w:spacing w:before="0" w:after="0" w:line="240" w:lineRule="auto"/>
    </w:pPr>
  </w:style>
  <w:style w:type="paragraph" w:styleId="TOC3">
    <w:name w:val="toc 3"/>
    <w:basedOn w:val="Normal"/>
    <w:next w:val="Normal"/>
    <w:autoRedefine/>
    <w:uiPriority w:val="39"/>
    <w:qFormat/>
    <w:rsid w:val="0082208D"/>
    <w:pPr>
      <w:pBdr>
        <w:between w:val="single" w:sz="12" w:space="1" w:color="FFFFFF"/>
      </w:pBdr>
      <w:shd w:val="clear" w:color="auto" w:fill="DCEEC5"/>
      <w:tabs>
        <w:tab w:val="left" w:pos="624"/>
        <w:tab w:val="right" w:pos="9015"/>
      </w:tabs>
      <w:spacing w:before="0" w:after="0" w:line="240" w:lineRule="auto"/>
    </w:pPr>
  </w:style>
  <w:style w:type="paragraph" w:styleId="TOC4">
    <w:name w:val="toc 4"/>
    <w:basedOn w:val="Normal"/>
    <w:next w:val="Normal"/>
    <w:autoRedefine/>
    <w:uiPriority w:val="39"/>
    <w:rsid w:val="0082208D"/>
    <w:pPr>
      <w:pBdr>
        <w:between w:val="single" w:sz="12" w:space="1" w:color="FFFFFF"/>
      </w:pBdr>
      <w:shd w:val="clear" w:color="auto" w:fill="DCEEC5"/>
      <w:tabs>
        <w:tab w:val="left" w:pos="794"/>
        <w:tab w:val="right" w:pos="9015"/>
      </w:tabs>
      <w:spacing w:before="0" w:after="0" w:line="240" w:lineRule="auto"/>
    </w:pPr>
  </w:style>
  <w:style w:type="paragraph" w:styleId="TOC5">
    <w:name w:val="toc 5"/>
    <w:basedOn w:val="Normal"/>
    <w:next w:val="Normal"/>
    <w:autoRedefine/>
    <w:uiPriority w:val="99"/>
    <w:rsid w:val="0082208D"/>
    <w:pPr>
      <w:pBdr>
        <w:between w:val="single" w:sz="12" w:space="1" w:color="FFFFFF"/>
      </w:pBdr>
      <w:shd w:val="clear" w:color="auto" w:fill="DCEEC5"/>
      <w:tabs>
        <w:tab w:val="left" w:pos="964"/>
        <w:tab w:val="right" w:pos="9015"/>
      </w:tabs>
      <w:spacing w:before="0" w:after="0" w:line="240" w:lineRule="auto"/>
    </w:pPr>
  </w:style>
  <w:style w:type="paragraph" w:styleId="TOC6">
    <w:name w:val="toc 6"/>
    <w:basedOn w:val="Normal"/>
    <w:next w:val="Normal"/>
    <w:autoRedefine/>
    <w:uiPriority w:val="39"/>
    <w:rsid w:val="0082208D"/>
    <w:pPr>
      <w:pBdr>
        <w:between w:val="single" w:sz="12" w:space="1" w:color="FFFFFF"/>
      </w:pBdr>
      <w:shd w:val="clear" w:color="auto" w:fill="DCEEC5"/>
      <w:tabs>
        <w:tab w:val="left" w:pos="1134"/>
        <w:tab w:val="right" w:pos="9015"/>
      </w:tabs>
      <w:spacing w:before="0" w:after="0" w:line="240" w:lineRule="auto"/>
    </w:pPr>
  </w:style>
  <w:style w:type="paragraph" w:styleId="TOC7">
    <w:name w:val="toc 7"/>
    <w:basedOn w:val="Normal"/>
    <w:next w:val="Normal"/>
    <w:autoRedefine/>
    <w:uiPriority w:val="39"/>
    <w:rsid w:val="0082208D"/>
    <w:pPr>
      <w:pBdr>
        <w:between w:val="single" w:sz="12" w:space="1" w:color="FFFFFF"/>
      </w:pBdr>
      <w:shd w:val="clear" w:color="auto" w:fill="DCEEC5"/>
      <w:tabs>
        <w:tab w:val="left" w:pos="1304"/>
        <w:tab w:val="right" w:pos="9015"/>
      </w:tabs>
      <w:spacing w:before="0" w:after="0" w:line="240" w:lineRule="auto"/>
    </w:pPr>
  </w:style>
  <w:style w:type="paragraph" w:styleId="TOC8">
    <w:name w:val="toc 8"/>
    <w:basedOn w:val="Normal"/>
    <w:next w:val="Normal"/>
    <w:autoRedefine/>
    <w:uiPriority w:val="39"/>
    <w:rsid w:val="0082208D"/>
    <w:pPr>
      <w:pBdr>
        <w:between w:val="single" w:sz="12" w:space="1" w:color="FFFFFF"/>
      </w:pBdr>
      <w:shd w:val="clear" w:color="auto" w:fill="DCEEC5"/>
      <w:tabs>
        <w:tab w:val="left" w:pos="1474"/>
        <w:tab w:val="right" w:pos="9015"/>
      </w:tabs>
      <w:spacing w:before="0" w:after="0" w:line="240" w:lineRule="auto"/>
    </w:pPr>
  </w:style>
  <w:style w:type="character" w:styleId="Hyperlink">
    <w:name w:val="Hyperlink"/>
    <w:aliases w:val="AAM_Hyperlink"/>
    <w:basedOn w:val="DefaultParagraphFont"/>
    <w:uiPriority w:val="99"/>
    <w:unhideWhenUsed/>
    <w:rsid w:val="00572CAD"/>
    <w:rPr>
      <w:color w:val="0000FF"/>
      <w:u w:val="single"/>
    </w:rPr>
  </w:style>
  <w:style w:type="paragraph" w:customStyle="1" w:styleId="HUNReferencedateandTOCTitle">
    <w:name w:val="HUN_Reference date and TOC Title"/>
    <w:basedOn w:val="Normal"/>
    <w:rsid w:val="00A85CBE"/>
    <w:pPr>
      <w:spacing w:after="600"/>
      <w:ind w:right="-2"/>
    </w:pPr>
    <w:rPr>
      <w:rFonts w:ascii="Franklin Gothic Demi" w:hAnsi="Franklin Gothic Demi"/>
      <w:sz w:val="30"/>
    </w:rPr>
  </w:style>
  <w:style w:type="paragraph" w:customStyle="1" w:styleId="HUNDocumentTitle2">
    <w:name w:val="HUN_Document Title2"/>
    <w:basedOn w:val="Normal"/>
    <w:rsid w:val="006F7517"/>
    <w:pPr>
      <w:spacing w:before="240"/>
      <w:jc w:val="center"/>
    </w:pPr>
    <w:rPr>
      <w:rFonts w:ascii="Franklin Gothic Demi" w:hAnsi="Franklin Gothic Demi"/>
      <w:smallCaps/>
      <w:sz w:val="36"/>
    </w:rPr>
  </w:style>
  <w:style w:type="paragraph" w:customStyle="1" w:styleId="HUNDocumentSubtitle">
    <w:name w:val="HUN_Document Subtitle"/>
    <w:basedOn w:val="HUNDocumentTitle2"/>
    <w:rsid w:val="006F7517"/>
    <w:rPr>
      <w:smallCaps w:val="0"/>
      <w:sz w:val="24"/>
    </w:rPr>
  </w:style>
  <w:style w:type="paragraph" w:customStyle="1" w:styleId="HUNHeading1">
    <w:name w:val="HUN_Heading 1"/>
    <w:basedOn w:val="Heading1"/>
    <w:next w:val="HUNNormal"/>
    <w:qFormat/>
    <w:rsid w:val="006267DE"/>
    <w:pPr>
      <w:pageBreakBefore/>
      <w:numPr>
        <w:ilvl w:val="7"/>
        <w:numId w:val="12"/>
      </w:numPr>
    </w:pPr>
  </w:style>
  <w:style w:type="paragraph" w:customStyle="1" w:styleId="HUNNormal">
    <w:name w:val="HUN_Normal"/>
    <w:basedOn w:val="Normal"/>
    <w:uiPriority w:val="99"/>
    <w:qFormat/>
    <w:rsid w:val="00F92868"/>
    <w:pPr>
      <w:jc w:val="both"/>
    </w:pPr>
  </w:style>
  <w:style w:type="paragraph" w:customStyle="1" w:styleId="HUNHeading2">
    <w:name w:val="HUN_Heading 2"/>
    <w:basedOn w:val="Heading2"/>
    <w:next w:val="HUNNormal"/>
    <w:qFormat/>
    <w:rsid w:val="006267DE"/>
    <w:pPr>
      <w:numPr>
        <w:numId w:val="12"/>
      </w:numPr>
    </w:pPr>
    <w:rPr>
      <w:szCs w:val="28"/>
    </w:rPr>
  </w:style>
  <w:style w:type="paragraph" w:customStyle="1" w:styleId="HUNHeading3">
    <w:name w:val="HUN_Heading 3"/>
    <w:basedOn w:val="Heading3"/>
    <w:next w:val="HUNNormal"/>
    <w:qFormat/>
    <w:rsid w:val="00A143D1"/>
    <w:pPr>
      <w:numPr>
        <w:numId w:val="12"/>
      </w:numPr>
    </w:pPr>
  </w:style>
  <w:style w:type="paragraph" w:styleId="TOCHeading">
    <w:name w:val="TOC Heading"/>
    <w:basedOn w:val="Heading1"/>
    <w:next w:val="Normal"/>
    <w:uiPriority w:val="39"/>
    <w:unhideWhenUsed/>
    <w:qFormat/>
    <w:rsid w:val="0000706A"/>
    <w:pPr>
      <w:keepLines/>
      <w:tabs>
        <w:tab w:val="clear" w:pos="397"/>
      </w:tabs>
      <w:spacing w:before="480" w:after="0" w:line="276" w:lineRule="auto"/>
      <w:outlineLvl w:val="9"/>
    </w:pPr>
    <w:rPr>
      <w:rFonts w:ascii="Cambria" w:hAnsi="Cambria"/>
      <w:b/>
      <w:bCs/>
      <w:caps w:val="0"/>
      <w:color w:val="365F91"/>
      <w:sz w:val="28"/>
      <w:szCs w:val="28"/>
      <w:lang w:eastAsia="en-US"/>
    </w:rPr>
  </w:style>
  <w:style w:type="paragraph" w:customStyle="1" w:styleId="HUNHeading4">
    <w:name w:val="HUN_Heading 4"/>
    <w:basedOn w:val="Heading4"/>
    <w:next w:val="HUNNormal"/>
    <w:qFormat/>
    <w:rsid w:val="006267DE"/>
    <w:pPr>
      <w:numPr>
        <w:numId w:val="12"/>
      </w:numPr>
    </w:pPr>
    <w:rPr>
      <w:szCs w:val="24"/>
    </w:rPr>
  </w:style>
  <w:style w:type="paragraph" w:customStyle="1" w:styleId="HUNHeading5">
    <w:name w:val="HUN_Heading 5"/>
    <w:basedOn w:val="Heading5"/>
    <w:next w:val="HUNNormal"/>
    <w:qFormat/>
    <w:rsid w:val="006267DE"/>
    <w:pPr>
      <w:numPr>
        <w:numId w:val="12"/>
      </w:numPr>
    </w:pPr>
  </w:style>
  <w:style w:type="paragraph" w:customStyle="1" w:styleId="HUNHeading6">
    <w:name w:val="HUN_Heading 6"/>
    <w:basedOn w:val="Heading6"/>
    <w:next w:val="HUNNormal"/>
    <w:qFormat/>
    <w:rsid w:val="006267DE"/>
    <w:pPr>
      <w:numPr>
        <w:numId w:val="12"/>
      </w:numPr>
    </w:pPr>
  </w:style>
  <w:style w:type="paragraph" w:customStyle="1" w:styleId="HUNHeading7">
    <w:name w:val="HUN_Heading 7"/>
    <w:basedOn w:val="Heading7"/>
    <w:next w:val="HUNNormal"/>
    <w:qFormat/>
    <w:rsid w:val="006267DE"/>
    <w:pPr>
      <w:numPr>
        <w:numId w:val="12"/>
      </w:numPr>
    </w:pPr>
  </w:style>
  <w:style w:type="paragraph" w:customStyle="1" w:styleId="HUNHeading8">
    <w:name w:val="HUN_Heading 8"/>
    <w:basedOn w:val="Heading8"/>
    <w:next w:val="HUNNormal"/>
    <w:qFormat/>
    <w:rsid w:val="006267DE"/>
    <w:pPr>
      <w:numPr>
        <w:ilvl w:val="0"/>
        <w:numId w:val="0"/>
      </w:numPr>
      <w:ind w:left="1225" w:hanging="1225"/>
    </w:pPr>
  </w:style>
  <w:style w:type="paragraph" w:styleId="ListNumber">
    <w:name w:val="List Number"/>
    <w:basedOn w:val="Normal"/>
    <w:uiPriority w:val="99"/>
    <w:semiHidden/>
    <w:rsid w:val="004A49C3"/>
    <w:pPr>
      <w:numPr>
        <w:numId w:val="7"/>
      </w:numPr>
      <w:contextualSpacing/>
    </w:pPr>
  </w:style>
  <w:style w:type="paragraph" w:styleId="ListNumber2">
    <w:name w:val="List Number 2"/>
    <w:basedOn w:val="Normal"/>
    <w:semiHidden/>
    <w:rsid w:val="004A49C3"/>
    <w:pPr>
      <w:numPr>
        <w:numId w:val="8"/>
      </w:numPr>
      <w:contextualSpacing/>
    </w:pPr>
  </w:style>
  <w:style w:type="paragraph" w:styleId="ListNumber3">
    <w:name w:val="List Number 3"/>
    <w:basedOn w:val="Normal"/>
    <w:rsid w:val="004A49C3"/>
    <w:pPr>
      <w:numPr>
        <w:numId w:val="9"/>
      </w:numPr>
      <w:contextualSpacing/>
    </w:pPr>
  </w:style>
  <w:style w:type="paragraph" w:styleId="ListNumber4">
    <w:name w:val="List Number 4"/>
    <w:basedOn w:val="Normal"/>
    <w:semiHidden/>
    <w:rsid w:val="004A49C3"/>
    <w:pPr>
      <w:numPr>
        <w:numId w:val="10"/>
      </w:numPr>
      <w:contextualSpacing/>
    </w:pPr>
  </w:style>
  <w:style w:type="paragraph" w:styleId="ListNumber5">
    <w:name w:val="List Number 5"/>
    <w:basedOn w:val="Normal"/>
    <w:semiHidden/>
    <w:rsid w:val="004A49C3"/>
    <w:pPr>
      <w:numPr>
        <w:numId w:val="11"/>
      </w:numPr>
      <w:contextualSpacing/>
    </w:pPr>
  </w:style>
  <w:style w:type="paragraph" w:customStyle="1" w:styleId="HUNListNumber1">
    <w:name w:val="HUN_List Number 1"/>
    <w:basedOn w:val="ListNumber"/>
    <w:qFormat/>
    <w:rsid w:val="00E52C40"/>
    <w:pPr>
      <w:ind w:left="568" w:hanging="284"/>
    </w:pPr>
  </w:style>
  <w:style w:type="paragraph" w:customStyle="1" w:styleId="HUNListNumber2">
    <w:name w:val="HUN_List Number 2"/>
    <w:basedOn w:val="ListNumber2"/>
    <w:qFormat/>
    <w:rsid w:val="00E52C40"/>
    <w:pPr>
      <w:ind w:left="851" w:hanging="284"/>
    </w:pPr>
  </w:style>
  <w:style w:type="paragraph" w:customStyle="1" w:styleId="HUNListNumber3">
    <w:name w:val="HUN_List Number 3"/>
    <w:basedOn w:val="ListNumber3"/>
    <w:qFormat/>
    <w:rsid w:val="00E52C40"/>
    <w:pPr>
      <w:ind w:left="1135" w:hanging="284"/>
    </w:pPr>
  </w:style>
  <w:style w:type="paragraph" w:customStyle="1" w:styleId="HUNListNumber4">
    <w:name w:val="HUN_List Number 4"/>
    <w:basedOn w:val="ListNumber4"/>
    <w:qFormat/>
    <w:rsid w:val="006C6BC8"/>
  </w:style>
  <w:style w:type="paragraph" w:customStyle="1" w:styleId="HUNListNumber5">
    <w:name w:val="HUN_List Number 5"/>
    <w:basedOn w:val="ListNumber5"/>
    <w:qFormat/>
    <w:rsid w:val="006C6BC8"/>
  </w:style>
  <w:style w:type="paragraph" w:customStyle="1" w:styleId="HUNTOC1">
    <w:name w:val="HUN_TOC 1"/>
    <w:basedOn w:val="TOC1"/>
    <w:qFormat/>
    <w:rsid w:val="006B4135"/>
  </w:style>
  <w:style w:type="paragraph" w:customStyle="1" w:styleId="HUNTOC2">
    <w:name w:val="HUN_TOC 2"/>
    <w:basedOn w:val="TOC2"/>
    <w:qFormat/>
    <w:rsid w:val="006B4135"/>
  </w:style>
  <w:style w:type="paragraph" w:customStyle="1" w:styleId="HUNTOC3">
    <w:name w:val="HUN_TOC 3"/>
    <w:basedOn w:val="TOC3"/>
    <w:qFormat/>
    <w:rsid w:val="006B4135"/>
  </w:style>
  <w:style w:type="paragraph" w:customStyle="1" w:styleId="HUNTOC4">
    <w:name w:val="HUN_TOC 4"/>
    <w:basedOn w:val="TOC4"/>
    <w:qFormat/>
    <w:rsid w:val="006B4135"/>
  </w:style>
  <w:style w:type="paragraph" w:customStyle="1" w:styleId="HUNTOC5">
    <w:name w:val="HUN_TOC 5"/>
    <w:basedOn w:val="TOC5"/>
    <w:qFormat/>
    <w:rsid w:val="006B4135"/>
  </w:style>
  <w:style w:type="paragraph" w:customStyle="1" w:styleId="HUNTOC6">
    <w:name w:val="HUN_TOC 6"/>
    <w:basedOn w:val="TOC6"/>
    <w:qFormat/>
    <w:rsid w:val="006B4135"/>
  </w:style>
  <w:style w:type="paragraph" w:customStyle="1" w:styleId="HUNTOC7">
    <w:name w:val="HUN_TOC 7"/>
    <w:basedOn w:val="TOC7"/>
    <w:qFormat/>
    <w:rsid w:val="006B4135"/>
  </w:style>
  <w:style w:type="paragraph" w:customStyle="1" w:styleId="HUNTOC8">
    <w:name w:val="HUN_TOC 8"/>
    <w:basedOn w:val="TOC8"/>
    <w:qFormat/>
    <w:rsid w:val="006B4135"/>
  </w:style>
  <w:style w:type="table" w:customStyle="1" w:styleId="AAM5">
    <w:name w:val="AAM5"/>
    <w:basedOn w:val="TableNormal"/>
    <w:uiPriority w:val="99"/>
    <w:qFormat/>
    <w:rsid w:val="002632C3"/>
    <w:pPr>
      <w:spacing w:before="60" w:after="120" w:line="280" w:lineRule="atLeast"/>
      <w:ind w:left="57" w:right="57"/>
    </w:pPr>
    <w:rPr>
      <w:rFonts w:ascii="Franklin Gothic Book" w:hAnsi="Franklin Gothic Book"/>
    </w:rPr>
    <w:tblPr>
      <w:tblInd w:w="57" w:type="dxa"/>
      <w:tblBorders>
        <w:top w:val="single" w:sz="18" w:space="0" w:color="53564F"/>
        <w:left w:val="single" w:sz="18" w:space="0" w:color="53564F"/>
        <w:bottom w:val="single" w:sz="18" w:space="0" w:color="53564F"/>
        <w:right w:val="single" w:sz="18" w:space="0" w:color="53564F"/>
        <w:insideH w:val="single" w:sz="4" w:space="0" w:color="auto"/>
        <w:insideV w:val="single" w:sz="4" w:space="0" w:color="auto"/>
      </w:tblBorders>
      <w:tblCellMar>
        <w:top w:w="0" w:type="dxa"/>
        <w:left w:w="0" w:type="dxa"/>
        <w:bottom w:w="0" w:type="dxa"/>
        <w:right w:w="0" w:type="dxa"/>
      </w:tblCellMar>
    </w:tblPr>
    <w:tblStylePr w:type="firstRow">
      <w:rPr>
        <w:rFonts w:ascii="Franklin Gothic Book" w:hAnsi="Franklin Gothic Book"/>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Row">
      <w:rPr>
        <w:rFonts w:ascii="Franklin Gothic Book" w:hAnsi="Franklin Gothic Book"/>
        <w:b/>
        <w:sz w:val="20"/>
      </w:rPr>
      <w:tblPr/>
      <w:tcPr>
        <w:tcBorders>
          <w:top w:val="double" w:sz="12" w:space="0" w:color="53564F"/>
          <w:left w:val="single" w:sz="18" w:space="0" w:color="53564F"/>
          <w:bottom w:val="single" w:sz="18" w:space="0" w:color="53564F"/>
          <w:right w:val="single" w:sz="18" w:space="0" w:color="53564F"/>
        </w:tcBorders>
        <w:shd w:val="clear" w:color="auto" w:fill="DCEEC5"/>
      </w:tcPr>
    </w:tblStylePr>
    <w:tblStylePr w:type="firstCol">
      <w:rPr>
        <w:rFonts w:ascii="Franklin Gothic Book" w:hAnsi="Franklin Gothic Book"/>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Col">
      <w:rPr>
        <w:rFonts w:ascii="Franklin Gothic Book" w:hAnsi="Franklin Gothic Book"/>
        <w:b/>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top w:val="double" w:sz="12" w:space="0" w:color="53564F"/>
          <w:left w:val="single" w:sz="18" w:space="0" w:color="53564F"/>
          <w:bottom w:val="single" w:sz="18" w:space="0" w:color="53564F"/>
          <w:right w:val="single" w:sz="18" w:space="0" w:color="53564F"/>
        </w:tcBorders>
      </w:tcPr>
    </w:tblStylePr>
    <w:tblStylePr w:type="swCell">
      <w:tblPr/>
      <w:tcPr>
        <w:tcBorders>
          <w:top w:val="double" w:sz="12" w:space="0" w:color="53564F"/>
          <w:left w:val="single" w:sz="18" w:space="0" w:color="53564F"/>
          <w:bottom w:val="single" w:sz="18" w:space="0" w:color="53564F"/>
          <w:right w:val="single" w:sz="18" w:space="0" w:color="53564F"/>
        </w:tcBorders>
      </w:tcPr>
    </w:tblStylePr>
  </w:style>
  <w:style w:type="character" w:styleId="PlaceholderText">
    <w:name w:val="Placeholder Text"/>
    <w:basedOn w:val="DefaultParagraphFont"/>
    <w:uiPriority w:val="99"/>
    <w:semiHidden/>
    <w:rsid w:val="00953FC0"/>
    <w:rPr>
      <w:color w:val="808080"/>
    </w:rPr>
  </w:style>
  <w:style w:type="paragraph" w:customStyle="1" w:styleId="HUNListContinue1">
    <w:name w:val="HUN_List Continue 1"/>
    <w:basedOn w:val="HUNNormal"/>
    <w:rsid w:val="00BE0A0A"/>
    <w:pPr>
      <w:ind w:left="567"/>
    </w:pPr>
  </w:style>
  <w:style w:type="paragraph" w:customStyle="1" w:styleId="HUNListContinue2">
    <w:name w:val="HUN_List Continue 2"/>
    <w:basedOn w:val="HUNListContinue1"/>
    <w:rsid w:val="00F7776D"/>
    <w:pPr>
      <w:ind w:left="851"/>
    </w:pPr>
  </w:style>
  <w:style w:type="paragraph" w:customStyle="1" w:styleId="HUNListContinue3">
    <w:name w:val="HUN_List Continue 3"/>
    <w:basedOn w:val="HUNListContinue2"/>
    <w:rsid w:val="00F7776D"/>
    <w:pPr>
      <w:ind w:left="1134"/>
    </w:pPr>
  </w:style>
  <w:style w:type="paragraph" w:styleId="TOC9">
    <w:name w:val="toc 9"/>
    <w:basedOn w:val="Normal"/>
    <w:next w:val="Normal"/>
    <w:autoRedefine/>
    <w:uiPriority w:val="39"/>
    <w:unhideWhenUsed/>
    <w:rsid w:val="002C49D7"/>
    <w:pPr>
      <w:spacing w:before="0" w:after="100" w:line="276" w:lineRule="auto"/>
      <w:ind w:left="1760"/>
    </w:pPr>
    <w:rPr>
      <w:rFonts w:ascii="Calibri" w:hAnsi="Calibri"/>
      <w:sz w:val="22"/>
      <w:szCs w:val="22"/>
    </w:rPr>
  </w:style>
  <w:style w:type="paragraph" w:customStyle="1" w:styleId="StyleHUNHeading2Justified">
    <w:name w:val="Style HUN_Heading 2 + Justified"/>
    <w:basedOn w:val="HUNHeading2"/>
    <w:rsid w:val="00485C69"/>
    <w:pPr>
      <w:ind w:left="432"/>
      <w:jc w:val="both"/>
    </w:pPr>
    <w:rPr>
      <w:szCs w:val="20"/>
    </w:rPr>
  </w:style>
  <w:style w:type="paragraph" w:customStyle="1" w:styleId="StyleHUNHeading3Justified">
    <w:name w:val="Style HUN_Heading 3 + Justified"/>
    <w:basedOn w:val="HUNHeading3"/>
    <w:rsid w:val="006E5FF8"/>
    <w:pPr>
      <w:jc w:val="both"/>
    </w:pPr>
    <w:rPr>
      <w:sz w:val="24"/>
    </w:rPr>
  </w:style>
  <w:style w:type="paragraph" w:styleId="ListParagraph">
    <w:name w:val="List Paragraph"/>
    <w:basedOn w:val="Normal"/>
    <w:uiPriority w:val="34"/>
    <w:qFormat/>
    <w:rsid w:val="00B20BA4"/>
    <w:pPr>
      <w:ind w:left="720"/>
      <w:contextualSpacing/>
    </w:pPr>
  </w:style>
  <w:style w:type="table" w:styleId="MediumShading2-Accent2">
    <w:name w:val="Medium Shading 2 Accent 2"/>
    <w:basedOn w:val="TableNormal"/>
    <w:uiPriority w:val="99"/>
    <w:rsid w:val="001665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rsid w:val="002C60A1"/>
    <w:pPr>
      <w:spacing w:before="0" w:after="0" w:line="240" w:lineRule="auto"/>
    </w:pPr>
  </w:style>
  <w:style w:type="character" w:customStyle="1" w:styleId="FootnoteTextChar">
    <w:name w:val="Footnote Text Char"/>
    <w:basedOn w:val="DefaultParagraphFont"/>
    <w:link w:val="FootnoteText"/>
    <w:rsid w:val="002C60A1"/>
    <w:rPr>
      <w:rFonts w:ascii="Franklin Gothic Book" w:hAnsi="Franklin Gothic Book"/>
    </w:rPr>
  </w:style>
  <w:style w:type="character" w:styleId="FootnoteReference">
    <w:name w:val="footnote reference"/>
    <w:basedOn w:val="DefaultParagraphFont"/>
    <w:rsid w:val="002C60A1"/>
    <w:rPr>
      <w:vertAlign w:val="superscript"/>
    </w:rPr>
  </w:style>
  <w:style w:type="table" w:styleId="ColorfulList-Accent2">
    <w:name w:val="Colorful List Accent 2"/>
    <w:basedOn w:val="TableNormal"/>
    <w:uiPriority w:val="72"/>
    <w:rsid w:val="000A6B1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CommentReference">
    <w:name w:val="annotation reference"/>
    <w:basedOn w:val="DefaultParagraphFont"/>
    <w:semiHidden/>
    <w:rsid w:val="00090425"/>
    <w:rPr>
      <w:sz w:val="16"/>
      <w:szCs w:val="16"/>
    </w:rPr>
  </w:style>
  <w:style w:type="paragraph" w:styleId="CommentText">
    <w:name w:val="annotation text"/>
    <w:basedOn w:val="Normal"/>
    <w:link w:val="CommentTextChar"/>
    <w:semiHidden/>
    <w:rsid w:val="00090425"/>
    <w:pPr>
      <w:spacing w:line="240" w:lineRule="auto"/>
    </w:pPr>
  </w:style>
  <w:style w:type="character" w:customStyle="1" w:styleId="CommentTextChar">
    <w:name w:val="Comment Text Char"/>
    <w:basedOn w:val="DefaultParagraphFont"/>
    <w:link w:val="CommentText"/>
    <w:semiHidden/>
    <w:rsid w:val="00090425"/>
    <w:rPr>
      <w:rFonts w:ascii="Franklin Gothic Book" w:hAnsi="Franklin Gothic Book"/>
    </w:rPr>
  </w:style>
  <w:style w:type="paragraph" w:styleId="CommentSubject">
    <w:name w:val="annotation subject"/>
    <w:basedOn w:val="CommentText"/>
    <w:next w:val="CommentText"/>
    <w:link w:val="CommentSubjectChar"/>
    <w:semiHidden/>
    <w:rsid w:val="00090425"/>
    <w:rPr>
      <w:b/>
      <w:bCs/>
    </w:rPr>
  </w:style>
  <w:style w:type="character" w:customStyle="1" w:styleId="CommentSubjectChar">
    <w:name w:val="Comment Subject Char"/>
    <w:basedOn w:val="CommentTextChar"/>
    <w:link w:val="CommentSubject"/>
    <w:semiHidden/>
    <w:rsid w:val="00090425"/>
    <w:rPr>
      <w:b/>
      <w:bCs/>
    </w:rPr>
  </w:style>
  <w:style w:type="paragraph" w:customStyle="1" w:styleId="AAMNormal">
    <w:name w:val="AAM_Normal"/>
    <w:basedOn w:val="Normal"/>
    <w:uiPriority w:val="99"/>
    <w:qFormat/>
    <w:rsid w:val="00EE6E21"/>
    <w:pPr>
      <w:jc w:val="both"/>
    </w:pPr>
  </w:style>
  <w:style w:type="table" w:styleId="MediumShading1-Accent2">
    <w:name w:val="Medium Shading 1 Accent 2"/>
    <w:basedOn w:val="TableNormal"/>
    <w:uiPriority w:val="99"/>
    <w:rsid w:val="009B597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MainTitle">
    <w:name w:val="Main Title"/>
    <w:basedOn w:val="Normal"/>
    <w:rsid w:val="00C75004"/>
    <w:pPr>
      <w:spacing w:before="120" w:line="288" w:lineRule="auto"/>
    </w:pPr>
    <w:rPr>
      <w:rFonts w:ascii="Univers CE 45 Light" w:hAnsi="Univers CE 45 Light" w:cs="Arial"/>
      <w:color w:val="00338D"/>
      <w:sz w:val="28"/>
      <w:szCs w:val="28"/>
      <w:lang w:eastAsia="en-US"/>
    </w:rPr>
  </w:style>
  <w:style w:type="character" w:styleId="FollowedHyperlink">
    <w:name w:val="FollowedHyperlink"/>
    <w:basedOn w:val="DefaultParagraphFont"/>
    <w:semiHidden/>
    <w:rsid w:val="006B5E48"/>
    <w:rPr>
      <w:color w:val="800080" w:themeColor="followedHyperlink"/>
      <w:u w:val="single"/>
    </w:rPr>
  </w:style>
  <w:style w:type="paragraph" w:customStyle="1" w:styleId="HUNHeading20">
    <w:name w:val="HUN_Heading 2 +"/>
    <w:basedOn w:val="HUNHeading2"/>
    <w:qFormat/>
    <w:rsid w:val="003B4F8A"/>
    <w:pPr>
      <w:numPr>
        <w:ilvl w:val="0"/>
        <w:numId w:val="0"/>
      </w:numPr>
    </w:pPr>
  </w:style>
  <w:style w:type="paragraph" w:styleId="Caption">
    <w:name w:val="caption"/>
    <w:basedOn w:val="Normal"/>
    <w:next w:val="Normal"/>
    <w:link w:val="CaptionChar"/>
    <w:qFormat/>
    <w:rsid w:val="002D1929"/>
    <w:pPr>
      <w:spacing w:before="0" w:after="200" w:line="240" w:lineRule="auto"/>
    </w:pPr>
    <w:rPr>
      <w:b/>
      <w:bCs/>
      <w:color w:val="4F81BD" w:themeColor="accent1"/>
      <w:sz w:val="18"/>
      <w:szCs w:val="18"/>
    </w:rPr>
  </w:style>
  <w:style w:type="character" w:customStyle="1" w:styleId="CaptionChar">
    <w:name w:val="Caption Char"/>
    <w:link w:val="Caption"/>
    <w:uiPriority w:val="99"/>
    <w:locked/>
    <w:rsid w:val="00A817A4"/>
    <w:rPr>
      <w:rFonts w:ascii="Franklin Gothic Book" w:hAnsi="Franklin Gothic Book"/>
      <w:b/>
      <w:bCs/>
      <w:color w:val="4F81BD" w:themeColor="accent1"/>
      <w:sz w:val="18"/>
      <w:szCs w:val="18"/>
    </w:rPr>
  </w:style>
  <w:style w:type="table" w:styleId="MediumGrid3-Accent2">
    <w:name w:val="Medium Grid 3 Accent 2"/>
    <w:basedOn w:val="TableNormal"/>
    <w:uiPriority w:val="99"/>
    <w:rsid w:val="00EF70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99"/>
    <w:rsid w:val="0089632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99"/>
    <w:rsid w:val="00314B3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Norml1">
    <w:name w:val="Normál 1"/>
    <w:basedOn w:val="Normal"/>
    <w:rsid w:val="00A817A4"/>
    <w:pPr>
      <w:spacing w:before="0"/>
      <w:ind w:left="397"/>
      <w:jc w:val="both"/>
    </w:pPr>
    <w:rPr>
      <w:rFonts w:ascii="Arial" w:hAnsi="Arial"/>
    </w:rPr>
  </w:style>
  <w:style w:type="paragraph" w:customStyle="1" w:styleId="Norml3">
    <w:name w:val="Normál 3"/>
    <w:basedOn w:val="Normal"/>
    <w:rsid w:val="00A817A4"/>
    <w:pPr>
      <w:spacing w:before="0"/>
      <w:ind w:left="964"/>
      <w:jc w:val="both"/>
    </w:pPr>
    <w:rPr>
      <w:rFonts w:ascii="Arial" w:hAnsi="Arial"/>
    </w:rPr>
  </w:style>
  <w:style w:type="paragraph" w:customStyle="1" w:styleId="AAMHeading1">
    <w:name w:val="AAM_Heading 1"/>
    <w:basedOn w:val="Heading1"/>
    <w:next w:val="AAMNormal"/>
    <w:qFormat/>
    <w:rsid w:val="00A817A4"/>
    <w:pPr>
      <w:tabs>
        <w:tab w:val="num" w:pos="360"/>
      </w:tabs>
    </w:pPr>
  </w:style>
  <w:style w:type="paragraph" w:customStyle="1" w:styleId="AAMHeading2">
    <w:name w:val="AAM_Heading 2"/>
    <w:basedOn w:val="Heading2"/>
    <w:next w:val="AAMNormal"/>
    <w:qFormat/>
    <w:rsid w:val="00A817A4"/>
    <w:pPr>
      <w:numPr>
        <w:ilvl w:val="0"/>
      </w:numPr>
      <w:tabs>
        <w:tab w:val="num" w:pos="720"/>
      </w:tabs>
      <w:ind w:left="-284" w:firstLine="284"/>
    </w:pPr>
  </w:style>
  <w:style w:type="paragraph" w:customStyle="1" w:styleId="AAMReferencedateandTOCTitle">
    <w:name w:val="AAM_Reference date and TOC Title"/>
    <w:basedOn w:val="Normal"/>
    <w:rsid w:val="00A817A4"/>
    <w:pPr>
      <w:spacing w:after="600"/>
      <w:ind w:right="-2"/>
    </w:pPr>
    <w:rPr>
      <w:rFonts w:ascii="Franklin Gothic Demi" w:hAnsi="Franklin Gothic Demi"/>
      <w:sz w:val="30"/>
    </w:rPr>
  </w:style>
  <w:style w:type="paragraph" w:customStyle="1" w:styleId="AAMHeading3">
    <w:name w:val="AAM_Heading 3"/>
    <w:basedOn w:val="Heading3"/>
    <w:next w:val="Normal"/>
    <w:rsid w:val="00A817A4"/>
    <w:pPr>
      <w:numPr>
        <w:ilvl w:val="0"/>
      </w:numPr>
      <w:ind w:left="505" w:hanging="505"/>
    </w:pPr>
  </w:style>
  <w:style w:type="paragraph" w:customStyle="1" w:styleId="AAMHeading4">
    <w:name w:val="AAM_Heading 4"/>
    <w:basedOn w:val="Heading4"/>
    <w:next w:val="Normal"/>
    <w:rsid w:val="00A817A4"/>
    <w:pPr>
      <w:numPr>
        <w:ilvl w:val="0"/>
      </w:numPr>
      <w:ind w:left="646" w:hanging="646"/>
    </w:pPr>
    <w:rPr>
      <w:szCs w:val="24"/>
    </w:rPr>
  </w:style>
  <w:style w:type="paragraph" w:customStyle="1" w:styleId="AAMHeading5">
    <w:name w:val="AAM_Heading 5"/>
    <w:basedOn w:val="Heading5"/>
    <w:next w:val="Normal"/>
    <w:rsid w:val="00A817A4"/>
    <w:pPr>
      <w:numPr>
        <w:ilvl w:val="0"/>
      </w:numPr>
      <w:ind w:left="794" w:hanging="794"/>
    </w:pPr>
  </w:style>
  <w:style w:type="paragraph" w:customStyle="1" w:styleId="AAMHeading6">
    <w:name w:val="AAM_Heading 6"/>
    <w:basedOn w:val="Heading6"/>
    <w:next w:val="Normal"/>
    <w:rsid w:val="00A817A4"/>
    <w:pPr>
      <w:numPr>
        <w:ilvl w:val="0"/>
        <w:numId w:val="0"/>
      </w:numPr>
      <w:ind w:left="936" w:hanging="936"/>
    </w:pPr>
  </w:style>
  <w:style w:type="paragraph" w:customStyle="1" w:styleId="AAMHeading7">
    <w:name w:val="AAM_Heading 7"/>
    <w:basedOn w:val="Heading7"/>
    <w:next w:val="Normal"/>
    <w:rsid w:val="00A817A4"/>
    <w:pPr>
      <w:numPr>
        <w:ilvl w:val="0"/>
        <w:numId w:val="0"/>
      </w:numPr>
      <w:tabs>
        <w:tab w:val="num" w:pos="643"/>
      </w:tabs>
      <w:ind w:left="1077" w:hanging="1077"/>
    </w:pPr>
  </w:style>
  <w:style w:type="paragraph" w:customStyle="1" w:styleId="AAMHeading8">
    <w:name w:val="AAM_Heading 8"/>
    <w:basedOn w:val="Heading8"/>
    <w:next w:val="Normal"/>
    <w:rsid w:val="00A817A4"/>
    <w:pPr>
      <w:numPr>
        <w:ilvl w:val="0"/>
        <w:numId w:val="0"/>
      </w:numPr>
      <w:tabs>
        <w:tab w:val="num" w:pos="643"/>
      </w:tabs>
      <w:ind w:left="1225" w:hanging="1225"/>
    </w:pPr>
  </w:style>
  <w:style w:type="paragraph" w:styleId="ListBullet">
    <w:name w:val="List Bullet"/>
    <w:basedOn w:val="Normal"/>
    <w:semiHidden/>
    <w:rsid w:val="00A817A4"/>
    <w:pPr>
      <w:numPr>
        <w:numId w:val="13"/>
      </w:numPr>
      <w:contextualSpacing/>
    </w:pPr>
  </w:style>
  <w:style w:type="paragraph" w:styleId="Revision">
    <w:name w:val="Revision"/>
    <w:hidden/>
    <w:uiPriority w:val="99"/>
    <w:semiHidden/>
    <w:rsid w:val="00E12315"/>
    <w:rPr>
      <w:rFonts w:ascii="Franklin Gothic Book" w:hAnsi="Franklin Gothic Book"/>
    </w:rPr>
  </w:style>
  <w:style w:type="paragraph" w:customStyle="1" w:styleId="TOCHeading1">
    <w:name w:val="TOC Heading1"/>
    <w:basedOn w:val="Heading1"/>
    <w:next w:val="Normal"/>
    <w:rsid w:val="00CB21E5"/>
    <w:pPr>
      <w:keepLines/>
      <w:tabs>
        <w:tab w:val="clear" w:pos="397"/>
      </w:tabs>
      <w:spacing w:before="480" w:after="0" w:line="276" w:lineRule="auto"/>
      <w:outlineLvl w:val="9"/>
    </w:pPr>
    <w:rPr>
      <w:rFonts w:ascii="Cambria" w:hAnsi="Cambria"/>
      <w:b/>
      <w:bCs/>
      <w:caps w:val="0"/>
      <w:color w:val="365F91"/>
      <w:sz w:val="28"/>
      <w:szCs w:val="28"/>
      <w:lang w:eastAsia="en-US"/>
    </w:rPr>
  </w:style>
  <w:style w:type="character" w:customStyle="1" w:styleId="PlaceholderText1">
    <w:name w:val="Placeholder Text1"/>
    <w:basedOn w:val="DefaultParagraphFont"/>
    <w:semiHidden/>
    <w:rsid w:val="00CB21E5"/>
    <w:rPr>
      <w:rFonts w:cs="Times New Roman"/>
      <w:color w:val="808080"/>
    </w:rPr>
  </w:style>
  <w:style w:type="paragraph" w:customStyle="1" w:styleId="ListParagraph1">
    <w:name w:val="List Paragraph1"/>
    <w:basedOn w:val="Normal"/>
    <w:rsid w:val="00CB21E5"/>
    <w:pPr>
      <w:ind w:left="720"/>
      <w:contextualSpacing/>
    </w:pPr>
  </w:style>
  <w:style w:type="table" w:customStyle="1" w:styleId="MediumShading2-Accent21">
    <w:name w:val="Medium Shading 2 - Accent 21"/>
    <w:rsid w:val="00CB21E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List-Accent21">
    <w:name w:val="Colorful List - Accent 21"/>
    <w:rsid w:val="00CB21E5"/>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MediumShading1-Accent21">
    <w:name w:val="Medium Shading 1 - Accent 21"/>
    <w:rsid w:val="00CB21E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Grid3-Accent21">
    <w:name w:val="Medium Grid 3 - Accent 21"/>
    <w:rsid w:val="00CB21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1-Accent21">
    <w:name w:val="Medium Grid 1 - Accent 21"/>
    <w:rsid w:val="00CB21E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LightGrid-Accent21">
    <w:name w:val="Light Grid - Accent 21"/>
    <w:rsid w:val="00CB21E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Default">
    <w:name w:val="Default"/>
    <w:rsid w:val="00CB21E5"/>
    <w:pPr>
      <w:autoSpaceDE w:val="0"/>
      <w:autoSpaceDN w:val="0"/>
      <w:adjustRightInd w:val="0"/>
    </w:pPr>
    <w:rPr>
      <w:rFonts w:ascii="Arial" w:eastAsia="Calibri" w:hAnsi="Arial" w:cs="Arial"/>
      <w:color w:val="000000"/>
      <w:sz w:val="24"/>
      <w:szCs w:val="24"/>
      <w:lang w:eastAsia="en-US"/>
    </w:rPr>
  </w:style>
  <w:style w:type="paragraph" w:customStyle="1" w:styleId="Stlushj">
    <w:name w:val="Stílus hj"/>
    <w:basedOn w:val="Normal"/>
    <w:link w:val="StlushjChar"/>
    <w:qFormat/>
    <w:rsid w:val="00CB21E5"/>
    <w:pPr>
      <w:spacing w:before="0" w:after="0" w:line="240" w:lineRule="auto"/>
      <w:ind w:firstLine="360"/>
      <w:jc w:val="both"/>
    </w:pPr>
    <w:rPr>
      <w:rFonts w:ascii="Arial" w:hAnsi="Arial" w:cs="Arial"/>
      <w:lang w:eastAsia="en-US" w:bidi="en-US"/>
    </w:rPr>
  </w:style>
  <w:style w:type="character" w:customStyle="1" w:styleId="StlushjChar">
    <w:name w:val="Stílus hj Char"/>
    <w:basedOn w:val="DefaultParagraphFont"/>
    <w:link w:val="Stlushj"/>
    <w:rsid w:val="00CB21E5"/>
    <w:rPr>
      <w:rFonts w:ascii="Arial" w:hAnsi="Arial" w:cs="Arial"/>
      <w:lang w:eastAsia="en-US" w:bidi="en-US"/>
    </w:rPr>
  </w:style>
  <w:style w:type="paragraph" w:customStyle="1" w:styleId="stylehunheading3justified0">
    <w:name w:val="stylehunheading3justified"/>
    <w:basedOn w:val="Normal"/>
    <w:rsid w:val="00020AFE"/>
    <w:pPr>
      <w:keepNext/>
      <w:spacing w:before="240" w:after="240"/>
      <w:ind w:left="504" w:hanging="504"/>
      <w:jc w:val="both"/>
    </w:pPr>
    <w:rPr>
      <w:rFonts w:ascii="Franklin Gothic Demi" w:hAnsi="Franklin Gothic Demi"/>
      <w:smallCaps/>
      <w:sz w:val="24"/>
      <w:szCs w:val="24"/>
    </w:rPr>
  </w:style>
</w:styles>
</file>

<file path=word/webSettings.xml><?xml version="1.0" encoding="utf-8"?>
<w:webSettings xmlns:r="http://schemas.openxmlformats.org/officeDocument/2006/relationships" xmlns:w="http://schemas.openxmlformats.org/wordprocessingml/2006/main">
  <w:divs>
    <w:div w:id="5200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8.png"/><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cid:image001.png@01CB92FD.B13C6EA0"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hart" Target="charts/chart6.xm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cid:image001.png@01CB92FF.25D6EFF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bud01dat01\munka\Ugyfel\FVM_Videkfejlesztesi_Miniszterium\FVMEVA01\munka\m06_Kotvalljelentes\UMVPMTE_penzugyi_statusz_I_sz_Melleklet_v14.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ud01dat01\munka\Ugyfel\FVM_Videkfejlesztesi_Miniszterium\FVMEVA01\munka\m06_Kotvalljelentes\UMVPMTE_penzugyi_statusz_I_sz_Melleklet_v14.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stamas\AppData\Local\Microsoft\Windows\Temporary%20Internet%20Files\Content.IE5\U2OSMSJY\TS%2520adatlapok%252020100910+t&#225;rgy_AAM_NG%5b1%5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stamas\AppData\Local\Microsoft\Windows\Temporary%20Internet%20Files\Content.IE5\U2OSMSJY\TS%2520adatlapok%252020100910+t&#225;rgy_AAM_NG%5b1%5d.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stamas\AppData\Local\Microsoft\Windows\Temporary%20Internet%20Files\Content.IE5\U2OSMSJY\TS%2520adatlapok%252020100910+t&#225;rgy_AAM_NG%5b1%5d.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stamas\AppData\Local\Microsoft\Windows\Temporary%20Internet%20Files\Content.IE5\U2OSMSJY\TS%2520adatlapok%252020100910+t&#225;rgy_AAM_NG%5b1%5d.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stamas\AppData\Local\Microsoft\Windows\Temporary%20Internet%20Files\Content.IE5\U2OSMSJY\TS%2520adatlapok%252020100910+t&#225;rgy_AAM_NG%5b1%5d.xls"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D:\Documents%20and%20Settings\Tulajdonos\Dokumentumok\Projektek\aam\zarojelentes\akg\kerdoiv_pivot_attila(1).xls" TargetMode="External"/><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oleObject" Target="Macintosh%20HD:Users:krallattila:Desktop:UMVPMT_KAT_NATURA:K&#233;rd&#337;&#237;v:Grafikonok.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roundedCorners val="1"/>
  <c:chart>
    <c:title>
      <c:tx>
        <c:rich>
          <a:bodyPr/>
          <a:lstStyle/>
          <a:p>
            <a:pPr>
              <a:defRPr sz="1200" i="1" cap="small" baseline="0"/>
            </a:pPr>
            <a:r>
              <a:rPr lang="en-US" sz="1200" i="1" cap="small" baseline="0"/>
              <a:t>Keret lekötöttség</a:t>
            </a:r>
          </a:p>
        </c:rich>
      </c:tx>
      <c:overlay val="1"/>
    </c:title>
    <c:view3D>
      <c:rotX val="20"/>
      <c:perspective val="30"/>
    </c:view3D>
    <c:plotArea>
      <c:layout>
        <c:manualLayout>
          <c:layoutTarget val="inner"/>
          <c:xMode val="edge"/>
          <c:yMode val="edge"/>
          <c:x val="0.10250560143396729"/>
          <c:y val="6.7940552016985137E-2"/>
          <c:w val="0.68710168264615279"/>
          <c:h val="0.74171255663105862"/>
        </c:manualLayout>
      </c:layout>
      <c:bar3DChart>
        <c:barDir val="col"/>
        <c:grouping val="standard"/>
        <c:ser>
          <c:idx val="0"/>
          <c:order val="0"/>
          <c:tx>
            <c:strRef>
              <c:f>Kimutatások!$B$2</c:f>
              <c:strCache>
                <c:ptCount val="1"/>
                <c:pt idx="0">
                  <c:v>263,09 Ft/EUR</c:v>
                </c:pt>
              </c:strCache>
            </c:strRef>
          </c:tx>
          <c:dLbls>
            <c:txPr>
              <a:bodyPr/>
              <a:lstStyle/>
              <a:p>
                <a:pPr>
                  <a:defRPr b="1"/>
                </a:pPr>
                <a:endParaRPr lang="hu-HU"/>
              </a:p>
            </c:txPr>
            <c:showVal val="1"/>
          </c:dLbls>
          <c:cat>
            <c:strRef>
              <c:f>Kimutatások!$A$3:$A$8</c:f>
              <c:strCache>
                <c:ptCount val="6"/>
                <c:pt idx="0">
                  <c:v>ÚMVP</c:v>
                </c:pt>
                <c:pt idx="1">
                  <c:v>I.tengely</c:v>
                </c:pt>
                <c:pt idx="2">
                  <c:v>II.tengely</c:v>
                </c:pt>
                <c:pt idx="3">
                  <c:v>III.tengely</c:v>
                </c:pt>
                <c:pt idx="4">
                  <c:v>IV.tengely</c:v>
                </c:pt>
                <c:pt idx="5">
                  <c:v>TS</c:v>
                </c:pt>
              </c:strCache>
            </c:strRef>
          </c:cat>
          <c:val>
            <c:numRef>
              <c:f>Kimutatások!$B$3:$B$8</c:f>
              <c:numCache>
                <c:formatCode>0.0%</c:formatCode>
                <c:ptCount val="6"/>
                <c:pt idx="0">
                  <c:v>0.74187658435409765</c:v>
                </c:pt>
                <c:pt idx="1">
                  <c:v>0.78278706804764575</c:v>
                </c:pt>
                <c:pt idx="2">
                  <c:v>0.84930624015222855</c:v>
                </c:pt>
                <c:pt idx="3">
                  <c:v>0.60502279943533854</c:v>
                </c:pt>
                <c:pt idx="4">
                  <c:v>0.14489663386572682</c:v>
                </c:pt>
                <c:pt idx="5">
                  <c:v>0.89121175828460053</c:v>
                </c:pt>
              </c:numCache>
            </c:numRef>
          </c:val>
        </c:ser>
        <c:ser>
          <c:idx val="1"/>
          <c:order val="1"/>
          <c:tx>
            <c:strRef>
              <c:f>Kimutatások!$C$2</c:f>
              <c:strCache>
                <c:ptCount val="1"/>
                <c:pt idx="0">
                  <c:v>280 Ft/EUR</c:v>
                </c:pt>
              </c:strCache>
            </c:strRef>
          </c:tx>
          <c:dLbls>
            <c:dLbl>
              <c:idx val="0"/>
              <c:layout>
                <c:manualLayout>
                  <c:x val="7.504690431519797E-3"/>
                  <c:y val="-3.3970276008492596E-2"/>
                </c:manualLayout>
              </c:layout>
              <c:showVal val="1"/>
            </c:dLbl>
            <c:dLbl>
              <c:idx val="1"/>
              <c:layout>
                <c:manualLayout>
                  <c:x val="0"/>
                  <c:y val="-3.8216560509554291E-2"/>
                </c:manualLayout>
              </c:layout>
              <c:showVal val="1"/>
            </c:dLbl>
            <c:dLbl>
              <c:idx val="2"/>
              <c:layout>
                <c:manualLayout>
                  <c:x val="3.2520325203252001E-2"/>
                  <c:y val="-8.4925690021233676E-3"/>
                </c:manualLayout>
              </c:layout>
              <c:showVal val="1"/>
            </c:dLbl>
            <c:dLbl>
              <c:idx val="3"/>
              <c:layout>
                <c:manualLayout>
                  <c:x val="2.7517198248905656E-2"/>
                  <c:y val="-3.8216560509554291E-2"/>
                </c:manualLayout>
              </c:layout>
              <c:showVal val="1"/>
            </c:dLbl>
            <c:dLbl>
              <c:idx val="4"/>
              <c:layout>
                <c:manualLayout>
                  <c:x val="0"/>
                  <c:y val="-3.8216560509554291E-2"/>
                </c:manualLayout>
              </c:layout>
              <c:showVal val="1"/>
            </c:dLbl>
            <c:dLbl>
              <c:idx val="5"/>
              <c:layout>
                <c:manualLayout>
                  <c:x val="4.0025015634771725E-2"/>
                  <c:y val="-4.2462845010615823E-3"/>
                </c:manualLayout>
              </c:layout>
              <c:showVal val="1"/>
            </c:dLbl>
            <c:txPr>
              <a:bodyPr/>
              <a:lstStyle/>
              <a:p>
                <a:pPr>
                  <a:defRPr b="1">
                    <a:solidFill>
                      <a:schemeClr val="bg1"/>
                    </a:solidFill>
                  </a:defRPr>
                </a:pPr>
                <a:endParaRPr lang="hu-HU"/>
              </a:p>
            </c:txPr>
            <c:showVal val="1"/>
          </c:dLbls>
          <c:cat>
            <c:strRef>
              <c:f>Kimutatások!$A$3:$A$8</c:f>
              <c:strCache>
                <c:ptCount val="6"/>
                <c:pt idx="0">
                  <c:v>ÚMVP</c:v>
                </c:pt>
                <c:pt idx="1">
                  <c:v>I.tengely</c:v>
                </c:pt>
                <c:pt idx="2">
                  <c:v>II.tengely</c:v>
                </c:pt>
                <c:pt idx="3">
                  <c:v>III.tengely</c:v>
                </c:pt>
                <c:pt idx="4">
                  <c:v>IV.tengely</c:v>
                </c:pt>
                <c:pt idx="5">
                  <c:v>TS</c:v>
                </c:pt>
              </c:strCache>
            </c:strRef>
          </c:cat>
          <c:val>
            <c:numRef>
              <c:f>Kimutatások!$C$3:$C$8</c:f>
              <c:numCache>
                <c:formatCode>0.0%</c:formatCode>
                <c:ptCount val="6"/>
                <c:pt idx="0">
                  <c:v>0.6970725377775695</c:v>
                </c:pt>
                <c:pt idx="1">
                  <c:v>0.73551232047377535</c:v>
                </c:pt>
                <c:pt idx="2">
                  <c:v>0.79801420972018422</c:v>
                </c:pt>
                <c:pt idx="3">
                  <c:v>0.56848374394086099</c:v>
                </c:pt>
                <c:pt idx="4">
                  <c:v>0.13614591215619282</c:v>
                </c:pt>
                <c:pt idx="5">
                  <c:v>0.8373889338824807</c:v>
                </c:pt>
              </c:numCache>
            </c:numRef>
          </c:val>
        </c:ser>
        <c:dLbls>
          <c:showVal val="1"/>
        </c:dLbls>
        <c:shape val="cylinder"/>
        <c:axId val="97267712"/>
        <c:axId val="97723136"/>
        <c:axId val="98590208"/>
      </c:bar3DChart>
      <c:catAx>
        <c:axId val="97267712"/>
        <c:scaling>
          <c:orientation val="minMax"/>
        </c:scaling>
        <c:axPos val="b"/>
        <c:tickLblPos val="nextTo"/>
        <c:txPr>
          <a:bodyPr/>
          <a:lstStyle/>
          <a:p>
            <a:pPr>
              <a:defRPr sz="800" b="1" i="1" cap="small" baseline="0"/>
            </a:pPr>
            <a:endParaRPr lang="hu-HU"/>
          </a:p>
        </c:txPr>
        <c:crossAx val="97723136"/>
        <c:crosses val="autoZero"/>
        <c:auto val="1"/>
        <c:lblAlgn val="ctr"/>
        <c:lblOffset val="100"/>
      </c:catAx>
      <c:valAx>
        <c:axId val="97723136"/>
        <c:scaling>
          <c:orientation val="minMax"/>
          <c:max val="1"/>
        </c:scaling>
        <c:axPos val="l"/>
        <c:majorGridlines/>
        <c:numFmt formatCode="0.0%" sourceLinked="1"/>
        <c:tickLblPos val="nextTo"/>
        <c:txPr>
          <a:bodyPr/>
          <a:lstStyle/>
          <a:p>
            <a:pPr>
              <a:defRPr sz="700" b="1"/>
            </a:pPr>
            <a:endParaRPr lang="hu-HU"/>
          </a:p>
        </c:txPr>
        <c:crossAx val="97267712"/>
        <c:crosses val="autoZero"/>
        <c:crossBetween val="between"/>
        <c:majorUnit val="0.2"/>
        <c:minorUnit val="2.0000000000000052E-2"/>
      </c:valAx>
      <c:serAx>
        <c:axId val="98590208"/>
        <c:scaling>
          <c:orientation val="minMax"/>
        </c:scaling>
        <c:delete val="1"/>
        <c:axPos val="b"/>
        <c:tickLblPos val="none"/>
        <c:crossAx val="97723136"/>
        <c:crosses val="autoZero"/>
      </c:serAx>
    </c:plotArea>
    <c:legend>
      <c:legendPos val="r"/>
      <c:txPr>
        <a:bodyPr/>
        <a:lstStyle/>
        <a:p>
          <a:pPr>
            <a:defRPr sz="800" b="1" i="1" cap="small" baseline="0"/>
          </a:pPr>
          <a:endParaRPr lang="hu-HU"/>
        </a:p>
      </c:txPr>
    </c:legend>
    <c:plotVisOnly val="1"/>
  </c:chart>
  <c:spPr>
    <a:solidFill>
      <a:schemeClr val="bg1">
        <a:lumMod val="65000"/>
      </a:schemeClr>
    </a:solidFill>
    <a:effectLst>
      <a:outerShdw blurRad="50800" dist="1524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roundedCorners val="1"/>
  <c:chart>
    <c:title>
      <c:tx>
        <c:rich>
          <a:bodyPr/>
          <a:lstStyle/>
          <a:p>
            <a:pPr>
              <a:defRPr sz="1200" i="1" cap="small" baseline="0"/>
            </a:pPr>
            <a:r>
              <a:rPr lang="en-US" sz="1200" i="1" cap="small" baseline="0"/>
              <a:t>Keret lekötöttség</a:t>
            </a:r>
            <a:r>
              <a:rPr lang="hu-HU" sz="1200" i="1" cap="small" baseline="0"/>
              <a:t> (kötváll + benyújtott kérelmek)</a:t>
            </a:r>
            <a:endParaRPr lang="en-US" sz="1200" i="1" cap="small" baseline="0"/>
          </a:p>
        </c:rich>
      </c:tx>
    </c:title>
    <c:view3D>
      <c:rotX val="20"/>
      <c:perspective val="30"/>
    </c:view3D>
    <c:plotArea>
      <c:layout/>
      <c:bar3DChart>
        <c:barDir val="col"/>
        <c:grouping val="standard"/>
        <c:ser>
          <c:idx val="0"/>
          <c:order val="0"/>
          <c:tx>
            <c:strRef>
              <c:f>Kimutatások!$B$29</c:f>
              <c:strCache>
                <c:ptCount val="1"/>
                <c:pt idx="0">
                  <c:v>263,09 Ft/EUR</c:v>
                </c:pt>
              </c:strCache>
            </c:strRef>
          </c:tx>
          <c:dLbls>
            <c:dLbl>
              <c:idx val="3"/>
              <c:layout>
                <c:manualLayout>
                  <c:x val="5.2566921416177838E-3"/>
                  <c:y val="8.5318595534993547E-2"/>
                </c:manualLayout>
              </c:layout>
              <c:showVal val="1"/>
            </c:dLbl>
            <c:txPr>
              <a:bodyPr/>
              <a:lstStyle/>
              <a:p>
                <a:pPr>
                  <a:defRPr b="1"/>
                </a:pPr>
                <a:endParaRPr lang="hu-HU"/>
              </a:p>
            </c:txPr>
            <c:showVal val="1"/>
          </c:dLbls>
          <c:cat>
            <c:strRef>
              <c:f>Kimutatások!$A$30:$A$35</c:f>
              <c:strCache>
                <c:ptCount val="6"/>
                <c:pt idx="0">
                  <c:v>ÚMVP</c:v>
                </c:pt>
                <c:pt idx="1">
                  <c:v>I.tengely</c:v>
                </c:pt>
                <c:pt idx="2">
                  <c:v>II.tengely</c:v>
                </c:pt>
                <c:pt idx="3">
                  <c:v>III.tengely</c:v>
                </c:pt>
                <c:pt idx="4">
                  <c:v>IV.tengely</c:v>
                </c:pt>
                <c:pt idx="5">
                  <c:v>TS</c:v>
                </c:pt>
              </c:strCache>
            </c:strRef>
          </c:cat>
          <c:val>
            <c:numRef>
              <c:f>Kimutatások!$B$30:$B$35</c:f>
              <c:numCache>
                <c:formatCode>0.0%</c:formatCode>
                <c:ptCount val="6"/>
                <c:pt idx="0">
                  <c:v>0.9592193239844049</c:v>
                </c:pt>
                <c:pt idx="1">
                  <c:v>1.0853349083790218</c:v>
                </c:pt>
                <c:pt idx="2">
                  <c:v>0.85368279983823858</c:v>
                </c:pt>
                <c:pt idx="3">
                  <c:v>0.98406652734495315</c:v>
                </c:pt>
                <c:pt idx="4">
                  <c:v>0.32502433005062464</c:v>
                </c:pt>
                <c:pt idx="5">
                  <c:v>0.89121175828459664</c:v>
                </c:pt>
              </c:numCache>
            </c:numRef>
          </c:val>
        </c:ser>
        <c:ser>
          <c:idx val="1"/>
          <c:order val="1"/>
          <c:tx>
            <c:strRef>
              <c:f>Kimutatások!$C$29</c:f>
              <c:strCache>
                <c:ptCount val="1"/>
                <c:pt idx="0">
                  <c:v>280 Ft/EUR</c:v>
                </c:pt>
              </c:strCache>
            </c:strRef>
          </c:tx>
          <c:dLbls>
            <c:dLbl>
              <c:idx val="0"/>
              <c:layout>
                <c:manualLayout>
                  <c:x val="7.5046904315197865E-3"/>
                  <c:y val="-3.3970276008492575E-2"/>
                </c:manualLayout>
              </c:layout>
              <c:showVal val="1"/>
            </c:dLbl>
            <c:dLbl>
              <c:idx val="1"/>
              <c:layout>
                <c:manualLayout>
                  <c:x val="0"/>
                  <c:y val="-3.8216560509554152E-2"/>
                </c:manualLayout>
              </c:layout>
              <c:showVal val="1"/>
            </c:dLbl>
            <c:dLbl>
              <c:idx val="2"/>
              <c:layout>
                <c:manualLayout>
                  <c:x val="3.2520325203251994E-2"/>
                  <c:y val="-8.4925690021231768E-3"/>
                </c:manualLayout>
              </c:layout>
              <c:showVal val="1"/>
            </c:dLbl>
            <c:dLbl>
              <c:idx val="3"/>
              <c:layout>
                <c:manualLayout>
                  <c:x val="2.7517198248905601E-2"/>
                  <c:y val="-3.8216560509554152E-2"/>
                </c:manualLayout>
              </c:layout>
              <c:showVal val="1"/>
            </c:dLbl>
            <c:dLbl>
              <c:idx val="4"/>
              <c:layout>
                <c:manualLayout>
                  <c:x val="0"/>
                  <c:y val="-3.8216560509554152E-2"/>
                </c:manualLayout>
              </c:layout>
              <c:showVal val="1"/>
            </c:dLbl>
            <c:dLbl>
              <c:idx val="5"/>
              <c:layout>
                <c:manualLayout>
                  <c:x val="4.0025015634771725E-2"/>
                  <c:y val="-4.2462845010615823E-3"/>
                </c:manualLayout>
              </c:layout>
              <c:showVal val="1"/>
            </c:dLbl>
            <c:txPr>
              <a:bodyPr/>
              <a:lstStyle/>
              <a:p>
                <a:pPr>
                  <a:defRPr b="1">
                    <a:solidFill>
                      <a:schemeClr val="bg1"/>
                    </a:solidFill>
                  </a:defRPr>
                </a:pPr>
                <a:endParaRPr lang="hu-HU"/>
              </a:p>
            </c:txPr>
            <c:showVal val="1"/>
          </c:dLbls>
          <c:cat>
            <c:strRef>
              <c:f>Kimutatások!$A$30:$A$35</c:f>
              <c:strCache>
                <c:ptCount val="6"/>
                <c:pt idx="0">
                  <c:v>ÚMVP</c:v>
                </c:pt>
                <c:pt idx="1">
                  <c:v>I.tengely</c:v>
                </c:pt>
                <c:pt idx="2">
                  <c:v>II.tengely</c:v>
                </c:pt>
                <c:pt idx="3">
                  <c:v>III.tengely</c:v>
                </c:pt>
                <c:pt idx="4">
                  <c:v>IV.tengely</c:v>
                </c:pt>
                <c:pt idx="5">
                  <c:v>TS</c:v>
                </c:pt>
              </c:strCache>
            </c:strRef>
          </c:cat>
          <c:val>
            <c:numRef>
              <c:f>Kimutatások!$C$30:$C$35</c:f>
              <c:numCache>
                <c:formatCode>0.0%</c:formatCode>
                <c:ptCount val="6"/>
                <c:pt idx="0">
                  <c:v>0.90128932838233977</c:v>
                </c:pt>
                <c:pt idx="1">
                  <c:v>1.0197884323051318</c:v>
                </c:pt>
                <c:pt idx="2">
                  <c:v>0.80212645646229463</c:v>
                </c:pt>
                <c:pt idx="3">
                  <c:v>0.9246359381399516</c:v>
                </c:pt>
                <c:pt idx="4">
                  <c:v>0.30539518211791988</c:v>
                </c:pt>
                <c:pt idx="5">
                  <c:v>0.8373889338824807</c:v>
                </c:pt>
              </c:numCache>
            </c:numRef>
          </c:val>
        </c:ser>
        <c:dLbls>
          <c:showVal val="1"/>
        </c:dLbls>
        <c:shape val="cylinder"/>
        <c:axId val="98607872"/>
        <c:axId val="98632448"/>
        <c:axId val="99353920"/>
      </c:bar3DChart>
      <c:catAx>
        <c:axId val="98607872"/>
        <c:scaling>
          <c:orientation val="minMax"/>
        </c:scaling>
        <c:axPos val="b"/>
        <c:tickLblPos val="nextTo"/>
        <c:txPr>
          <a:bodyPr/>
          <a:lstStyle/>
          <a:p>
            <a:pPr>
              <a:defRPr sz="800" b="1" i="1" cap="small" baseline="0"/>
            </a:pPr>
            <a:endParaRPr lang="hu-HU"/>
          </a:p>
        </c:txPr>
        <c:crossAx val="98632448"/>
        <c:crosses val="autoZero"/>
        <c:auto val="1"/>
        <c:lblAlgn val="ctr"/>
        <c:lblOffset val="100"/>
      </c:catAx>
      <c:valAx>
        <c:axId val="98632448"/>
        <c:scaling>
          <c:orientation val="minMax"/>
          <c:max val="1"/>
        </c:scaling>
        <c:axPos val="l"/>
        <c:majorGridlines/>
        <c:numFmt formatCode="0.0%" sourceLinked="1"/>
        <c:tickLblPos val="nextTo"/>
        <c:txPr>
          <a:bodyPr/>
          <a:lstStyle/>
          <a:p>
            <a:pPr>
              <a:defRPr sz="700" b="1"/>
            </a:pPr>
            <a:endParaRPr lang="hu-HU"/>
          </a:p>
        </c:txPr>
        <c:crossAx val="98607872"/>
        <c:crosses val="autoZero"/>
        <c:crossBetween val="between"/>
        <c:majorUnit val="0.2"/>
        <c:minorUnit val="2.0000000000000011E-2"/>
      </c:valAx>
      <c:serAx>
        <c:axId val="99353920"/>
        <c:scaling>
          <c:orientation val="minMax"/>
        </c:scaling>
        <c:delete val="1"/>
        <c:axPos val="b"/>
        <c:tickLblPos val="none"/>
        <c:crossAx val="98632448"/>
        <c:crosses val="autoZero"/>
      </c:serAx>
    </c:plotArea>
    <c:legend>
      <c:legendPos val="r"/>
      <c:txPr>
        <a:bodyPr/>
        <a:lstStyle/>
        <a:p>
          <a:pPr>
            <a:defRPr sz="800" b="1" i="1" cap="small" baseline="0"/>
          </a:pPr>
          <a:endParaRPr lang="hu-HU"/>
        </a:p>
      </c:txPr>
    </c:legend>
    <c:plotVisOnly val="1"/>
  </c:chart>
  <c:spPr>
    <a:solidFill>
      <a:schemeClr val="bg1">
        <a:lumMod val="65000"/>
      </a:schemeClr>
    </a:solidFill>
    <a:effectLst>
      <a:outerShdw blurRad="50800" dist="1524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roundedCorners val="1"/>
  <c:chart>
    <c:title>
      <c:tx>
        <c:rich>
          <a:bodyPr/>
          <a:lstStyle/>
          <a:p>
            <a:pPr algn="ctr" rtl="0">
              <a:defRPr lang="en-US" sz="1400" b="1" i="1" u="none" strike="noStrike" kern="1200" cap="small" baseline="0">
                <a:solidFill>
                  <a:sysClr val="windowText" lastClr="000000"/>
                </a:solidFill>
                <a:latin typeface="+mn-lt"/>
                <a:ea typeface="+mn-ea"/>
                <a:cs typeface="+mn-cs"/>
              </a:defRPr>
            </a:pPr>
            <a:r>
              <a:rPr sz="1400" b="1" i="1" u="none" strike="noStrike" kern="1200" cap="small" baseline="0">
                <a:solidFill>
                  <a:sysClr val="windowText" lastClr="000000"/>
                </a:solidFill>
                <a:latin typeface="+mn-lt"/>
                <a:ea typeface="+mn-ea"/>
                <a:cs typeface="+mn-cs"/>
              </a:rPr>
              <a:t>TS </a:t>
            </a:r>
            <a:r>
              <a:rPr lang="hu-HU" sz="1400" b="1" i="1" u="none" strike="noStrike" kern="1200" cap="small" baseline="0">
                <a:solidFill>
                  <a:sysClr val="windowText" lastClr="000000"/>
                </a:solidFill>
                <a:latin typeface="+mn-lt"/>
                <a:ea typeface="+mn-ea"/>
                <a:cs typeface="+mn-cs"/>
              </a:rPr>
              <a:t>kötelezettségvállalások</a:t>
            </a:r>
            <a:r>
              <a:rPr sz="1400" b="1" i="1" u="none" strike="noStrike" kern="1200" cap="small" baseline="0">
                <a:solidFill>
                  <a:sysClr val="windowText" lastClr="000000"/>
                </a:solidFill>
                <a:latin typeface="+mn-lt"/>
                <a:ea typeface="+mn-ea"/>
                <a:cs typeface="+mn-cs"/>
              </a:rPr>
              <a:t> megoszlása</a:t>
            </a:r>
            <a:r>
              <a:rPr lang="hu-HU" sz="1400" b="1" i="1" u="none" strike="noStrike" kern="1200" cap="small" baseline="0">
                <a:solidFill>
                  <a:sysClr val="windowText" lastClr="000000"/>
                </a:solidFill>
                <a:latin typeface="+mn-lt"/>
                <a:ea typeface="+mn-ea"/>
                <a:cs typeface="+mn-cs"/>
              </a:rPr>
              <a:t> az egyes funkciók között (%)</a:t>
            </a:r>
            <a:endParaRPr sz="1400" b="1" i="1" u="none" strike="noStrike" kern="1200" cap="small" baseline="0">
              <a:solidFill>
                <a:sysClr val="windowText" lastClr="000000"/>
              </a:solidFill>
              <a:latin typeface="+mn-lt"/>
              <a:ea typeface="+mn-ea"/>
              <a:cs typeface="+mn-cs"/>
            </a:endParaRPr>
          </a:p>
        </c:rich>
      </c:tx>
    </c:title>
    <c:view3D>
      <c:rotX val="30"/>
      <c:rotY val="170"/>
      <c:perspective val="30"/>
    </c:view3D>
    <c:plotArea>
      <c:layout/>
      <c:pie3DChart>
        <c:varyColors val="1"/>
        <c:ser>
          <c:idx val="0"/>
          <c:order val="0"/>
          <c:dLbls>
            <c:txPr>
              <a:bodyPr/>
              <a:lstStyle/>
              <a:p>
                <a:pPr>
                  <a:defRPr sz="1100" b="1"/>
                </a:pPr>
                <a:endParaRPr lang="hu-HU"/>
              </a:p>
            </c:txPr>
            <c:showCatName val="1"/>
            <c:showPercent val="1"/>
            <c:showLeaderLines val="1"/>
          </c:dLbls>
          <c:cat>
            <c:strRef>
              <c:f>Freeze!$B$72:$B$75</c:f>
              <c:strCache>
                <c:ptCount val="4"/>
                <c:pt idx="0">
                  <c:v>Döntéshozó</c:v>
                </c:pt>
                <c:pt idx="1">
                  <c:v>Végrehajtó</c:v>
                </c:pt>
                <c:pt idx="2">
                  <c:v>Támogató</c:v>
                </c:pt>
                <c:pt idx="3">
                  <c:v>Ellenőrző</c:v>
                </c:pt>
              </c:strCache>
            </c:strRef>
          </c:cat>
          <c:val>
            <c:numRef>
              <c:f>Freeze!$D$72:$D$75</c:f>
              <c:numCache>
                <c:formatCode>0.00%</c:formatCode>
                <c:ptCount val="4"/>
                <c:pt idx="0">
                  <c:v>5.970256725224906E-2</c:v>
                </c:pt>
                <c:pt idx="1">
                  <c:v>0.80178725233578818</c:v>
                </c:pt>
                <c:pt idx="2">
                  <c:v>0.1305869480683545</c:v>
                </c:pt>
                <c:pt idx="3">
                  <c:v>7.9232323436267023E-3</c:v>
                </c:pt>
              </c:numCache>
            </c:numRef>
          </c:val>
        </c:ser>
        <c:dLbls>
          <c:showCatName val="1"/>
          <c:showPercent val="1"/>
        </c:dLbls>
      </c:pie3DChart>
    </c:plotArea>
    <c:plotVisOnly val="1"/>
  </c:chart>
  <c:spPr>
    <a:solidFill>
      <a:sysClr val="window" lastClr="FFFFFF">
        <a:lumMod val="75000"/>
      </a:sysClr>
    </a:solidFill>
    <a:effectLst>
      <a:outerShdw blurRad="50800" dist="38100" dir="2700000" sx="103000" sy="103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u-HU"/>
  <c:roundedCorners val="1"/>
  <c:chart>
    <c:title>
      <c:tx>
        <c:rich>
          <a:bodyPr/>
          <a:lstStyle/>
          <a:p>
            <a:pPr algn="ctr" rtl="0">
              <a:defRPr lang="en-US" sz="1400" b="1" i="1" u="none" strike="noStrike" kern="1200" cap="small" baseline="0">
                <a:solidFill>
                  <a:sysClr val="windowText" lastClr="000000"/>
                </a:solidFill>
                <a:latin typeface="+mn-lt"/>
                <a:ea typeface="+mn-ea"/>
                <a:cs typeface="+mn-cs"/>
              </a:defRPr>
            </a:pPr>
            <a:r>
              <a:rPr sz="1400" b="1" i="1" u="none" strike="noStrike" kern="1200" cap="small" baseline="0">
                <a:solidFill>
                  <a:sysClr val="windowText" lastClr="000000"/>
                </a:solidFill>
                <a:latin typeface="+mn-lt"/>
                <a:ea typeface="+mn-ea"/>
                <a:cs typeface="+mn-cs"/>
              </a:rPr>
              <a:t>TS </a:t>
            </a:r>
            <a:r>
              <a:rPr lang="hu-HU" sz="1400" b="1" i="1" u="none" strike="noStrike" kern="1200" cap="small" baseline="0">
                <a:solidFill>
                  <a:sysClr val="windowText" lastClr="000000"/>
                </a:solidFill>
                <a:latin typeface="+mn-lt"/>
                <a:ea typeface="+mn-ea"/>
                <a:cs typeface="+mn-cs"/>
              </a:rPr>
              <a:t>kötelezettségvállalások</a:t>
            </a:r>
            <a:r>
              <a:rPr sz="1400" b="1" i="1" u="none" strike="noStrike" kern="1200" cap="small" baseline="0">
                <a:solidFill>
                  <a:sysClr val="windowText" lastClr="000000"/>
                </a:solidFill>
                <a:latin typeface="+mn-lt"/>
                <a:ea typeface="+mn-ea"/>
                <a:cs typeface="+mn-cs"/>
              </a:rPr>
              <a:t> megoszlása</a:t>
            </a:r>
            <a:r>
              <a:rPr lang="hu-HU" sz="1400" b="1" i="1" u="none" strike="noStrike" kern="1200" cap="small" baseline="0">
                <a:solidFill>
                  <a:sysClr val="windowText" lastClr="000000"/>
                </a:solidFill>
                <a:latin typeface="+mn-lt"/>
                <a:ea typeface="+mn-ea"/>
                <a:cs typeface="+mn-cs"/>
              </a:rPr>
              <a:t> az egyes szervezetek között (%)</a:t>
            </a:r>
            <a:endParaRPr sz="1400" b="1" i="1" u="none" strike="noStrike" kern="1200" cap="small" baseline="0">
              <a:solidFill>
                <a:sysClr val="windowText" lastClr="000000"/>
              </a:solidFill>
              <a:latin typeface="+mn-lt"/>
              <a:ea typeface="+mn-ea"/>
              <a:cs typeface="+mn-cs"/>
            </a:endParaRPr>
          </a:p>
        </c:rich>
      </c:tx>
    </c:title>
    <c:view3D>
      <c:rotX val="30"/>
      <c:perspective val="30"/>
    </c:view3D>
    <c:plotArea>
      <c:layout/>
      <c:pie3DChart>
        <c:varyColors val="1"/>
        <c:ser>
          <c:idx val="0"/>
          <c:order val="0"/>
          <c:tx>
            <c:strRef>
              <c:f>Freeze!$D$2</c:f>
              <c:strCache>
                <c:ptCount val="1"/>
                <c:pt idx="0">
                  <c:v>TS lekötések megoszlása</c:v>
                </c:pt>
              </c:strCache>
            </c:strRef>
          </c:tx>
          <c:dLbls>
            <c:txPr>
              <a:bodyPr/>
              <a:lstStyle/>
              <a:p>
                <a:pPr>
                  <a:defRPr b="1"/>
                </a:pPr>
                <a:endParaRPr lang="hu-HU"/>
              </a:p>
            </c:txPr>
            <c:showCatName val="1"/>
            <c:showPercent val="1"/>
            <c:showLeaderLines val="1"/>
          </c:dLbls>
          <c:cat>
            <c:strRef>
              <c:f>Freeze!$B$3:$B$10</c:f>
              <c:strCache>
                <c:ptCount val="8"/>
                <c:pt idx="0">
                  <c:v>Egyéb</c:v>
                </c:pt>
                <c:pt idx="1">
                  <c:v>FÖMI</c:v>
                </c:pt>
                <c:pt idx="2">
                  <c:v>AKI</c:v>
                </c:pt>
                <c:pt idx="3">
                  <c:v>IH</c:v>
                </c:pt>
                <c:pt idx="4">
                  <c:v>MNVH</c:v>
                </c:pt>
                <c:pt idx="5">
                  <c:v>MGSZH</c:v>
                </c:pt>
                <c:pt idx="6">
                  <c:v>VKSZI</c:v>
                </c:pt>
                <c:pt idx="7">
                  <c:v>MVH</c:v>
                </c:pt>
              </c:strCache>
            </c:strRef>
          </c:cat>
          <c:val>
            <c:numRef>
              <c:f>Freeze!$D$3:$D$10</c:f>
              <c:numCache>
                <c:formatCode>0%</c:formatCode>
                <c:ptCount val="8"/>
                <c:pt idx="0">
                  <c:v>2.2160064001636188E-2</c:v>
                </c:pt>
                <c:pt idx="1">
                  <c:v>2.6657275040557652E-2</c:v>
                </c:pt>
                <c:pt idx="2">
                  <c:v>3.5835795959410416E-2</c:v>
                </c:pt>
                <c:pt idx="3">
                  <c:v>6.1014613099685734E-2</c:v>
                </c:pt>
                <c:pt idx="4">
                  <c:v>0.12139676239077414</c:v>
                </c:pt>
                <c:pt idx="5">
                  <c:v>0.16474833976518938</c:v>
                </c:pt>
                <c:pt idx="6">
                  <c:v>0.23473596021676379</c:v>
                </c:pt>
                <c:pt idx="7">
                  <c:v>0.33345118952599367</c:v>
                </c:pt>
              </c:numCache>
            </c:numRef>
          </c:val>
        </c:ser>
        <c:dLbls>
          <c:showCatName val="1"/>
          <c:showPercent val="1"/>
        </c:dLbls>
      </c:pie3DChart>
    </c:plotArea>
    <c:plotVisOnly val="1"/>
  </c:chart>
  <c:spPr>
    <a:solidFill>
      <a:sysClr val="window" lastClr="FFFFFF">
        <a:lumMod val="75000"/>
      </a:sysClr>
    </a:solidFill>
    <a:effectLst>
      <a:outerShdw blurRad="50800" dist="38100" dir="2700000" sx="103000" sy="103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u-HU"/>
  <c:roundedCorners val="1"/>
  <c:chart>
    <c:title>
      <c:tx>
        <c:rich>
          <a:bodyPr/>
          <a:lstStyle/>
          <a:p>
            <a:pPr>
              <a:defRPr/>
            </a:pPr>
            <a:r>
              <a:rPr lang="hu-HU" sz="1400" i="1" cap="small" baseline="0"/>
              <a:t>TS kötelezettségvállalások megoszlása az egyes szervezetek között (m Ft)</a:t>
            </a:r>
          </a:p>
        </c:rich>
      </c:tx>
    </c:title>
    <c:view3D>
      <c:rAngAx val="1"/>
    </c:view3D>
    <c:plotArea>
      <c:layout/>
      <c:bar3DChart>
        <c:barDir val="bar"/>
        <c:grouping val="stacked"/>
        <c:ser>
          <c:idx val="0"/>
          <c:order val="0"/>
          <c:tx>
            <c:strRef>
              <c:f>Freeze!$C$2</c:f>
              <c:strCache>
                <c:ptCount val="1"/>
                <c:pt idx="0">
                  <c:v>Finanszírozási kérelem
 összege (nettó)</c:v>
                </c:pt>
              </c:strCache>
            </c:strRef>
          </c:tx>
          <c:spPr>
            <a:gradFill>
              <a:gsLst>
                <a:gs pos="0">
                  <a:srgbClr val="DDEBCF"/>
                </a:gs>
                <a:gs pos="50000">
                  <a:srgbClr val="9CB86E"/>
                </a:gs>
                <a:gs pos="100000">
                  <a:srgbClr val="156B13"/>
                </a:gs>
              </a:gsLst>
              <a:path path="rect">
                <a:fillToRect l="100000" t="100000"/>
              </a:path>
            </a:gradFill>
          </c:spPr>
          <c:dLbls>
            <c:dLbl>
              <c:idx val="0"/>
              <c:layout>
                <c:manualLayout>
                  <c:x val="7.8828814849114484E-2"/>
                  <c:y val="-3.6934441366574949E-3"/>
                </c:manualLayout>
              </c:layout>
              <c:showVal val="1"/>
            </c:dLbl>
            <c:dLbl>
              <c:idx val="1"/>
              <c:layout>
                <c:manualLayout>
                  <c:x val="8.3333318554777866E-2"/>
                  <c:y val="-6.7712360286428826E-17"/>
                </c:manualLayout>
              </c:layout>
              <c:showVal val="1"/>
            </c:dLbl>
            <c:dLbl>
              <c:idx val="2"/>
              <c:layout>
                <c:manualLayout>
                  <c:x val="7.4324311143450533E-2"/>
                  <c:y val="0"/>
                </c:manualLayout>
              </c:layout>
              <c:showVal val="1"/>
            </c:dLbl>
            <c:dLbl>
              <c:idx val="3"/>
              <c:layout>
                <c:manualLayout>
                  <c:x val="4.504503705663793E-3"/>
                  <c:y val="-7.3868882733149014E-3"/>
                </c:manualLayout>
              </c:layout>
              <c:showVal val="1"/>
            </c:dLbl>
            <c:txPr>
              <a:bodyPr/>
              <a:lstStyle/>
              <a:p>
                <a:pPr>
                  <a:defRPr b="1"/>
                </a:pPr>
                <a:endParaRPr lang="hu-HU"/>
              </a:p>
            </c:txPr>
            <c:showVal val="1"/>
          </c:dLbls>
          <c:cat>
            <c:strRef>
              <c:f>Freeze!$B$3:$B$10</c:f>
              <c:strCache>
                <c:ptCount val="8"/>
                <c:pt idx="0">
                  <c:v>Egyéb</c:v>
                </c:pt>
                <c:pt idx="1">
                  <c:v>FÖMI</c:v>
                </c:pt>
                <c:pt idx="2">
                  <c:v>AKI</c:v>
                </c:pt>
                <c:pt idx="3">
                  <c:v>IH</c:v>
                </c:pt>
                <c:pt idx="4">
                  <c:v>MNVH</c:v>
                </c:pt>
                <c:pt idx="5">
                  <c:v>MGSZH</c:v>
                </c:pt>
                <c:pt idx="6">
                  <c:v>VKSZI</c:v>
                </c:pt>
                <c:pt idx="7">
                  <c:v>MVH</c:v>
                </c:pt>
              </c:strCache>
            </c:strRef>
          </c:cat>
          <c:val>
            <c:numRef>
              <c:f>Freeze!$C$3:$C$10</c:f>
              <c:numCache>
                <c:formatCode>#,##0</c:formatCode>
                <c:ptCount val="8"/>
                <c:pt idx="0">
                  <c:v>1069.7937550000001</c:v>
                </c:pt>
                <c:pt idx="1">
                  <c:v>1286.9000000000001</c:v>
                </c:pt>
                <c:pt idx="2">
                  <c:v>1730</c:v>
                </c:pt>
                <c:pt idx="3">
                  <c:v>2945.5263330000002</c:v>
                </c:pt>
                <c:pt idx="4">
                  <c:v>5860.52</c:v>
                </c:pt>
                <c:pt idx="5">
                  <c:v>7953.35</c:v>
                </c:pt>
                <c:pt idx="6">
                  <c:v>11332.055010999833</c:v>
                </c:pt>
                <c:pt idx="7">
                  <c:v>16097.606943999985</c:v>
                </c:pt>
              </c:numCache>
            </c:numRef>
          </c:val>
        </c:ser>
        <c:gapWidth val="75"/>
        <c:shape val="cylinder"/>
        <c:axId val="112673152"/>
        <c:axId val="112675072"/>
        <c:axId val="0"/>
      </c:bar3DChart>
      <c:catAx>
        <c:axId val="112673152"/>
        <c:scaling>
          <c:orientation val="minMax"/>
        </c:scaling>
        <c:axPos val="l"/>
        <c:majorTickMark val="none"/>
        <c:tickLblPos val="nextTo"/>
        <c:txPr>
          <a:bodyPr/>
          <a:lstStyle/>
          <a:p>
            <a:pPr>
              <a:defRPr b="1"/>
            </a:pPr>
            <a:endParaRPr lang="hu-HU"/>
          </a:p>
        </c:txPr>
        <c:crossAx val="112675072"/>
        <c:crosses val="autoZero"/>
        <c:auto val="1"/>
        <c:lblAlgn val="ctr"/>
        <c:lblOffset val="100"/>
      </c:catAx>
      <c:valAx>
        <c:axId val="112675072"/>
        <c:scaling>
          <c:orientation val="minMax"/>
        </c:scaling>
        <c:axPos val="b"/>
        <c:majorGridlines/>
        <c:numFmt formatCode="#,##0" sourceLinked="1"/>
        <c:majorTickMark val="none"/>
        <c:tickLblPos val="nextTo"/>
        <c:spPr>
          <a:ln w="9525">
            <a:noFill/>
          </a:ln>
        </c:spPr>
        <c:txPr>
          <a:bodyPr/>
          <a:lstStyle/>
          <a:p>
            <a:pPr>
              <a:defRPr b="1"/>
            </a:pPr>
            <a:endParaRPr lang="hu-HU"/>
          </a:p>
        </c:txPr>
        <c:crossAx val="112673152"/>
        <c:crosses val="autoZero"/>
        <c:crossBetween val="between"/>
      </c:valAx>
    </c:plotArea>
    <c:legend>
      <c:legendPos val="b"/>
      <c:txPr>
        <a:bodyPr/>
        <a:lstStyle/>
        <a:p>
          <a:pPr>
            <a:defRPr b="1"/>
          </a:pPr>
          <a:endParaRPr lang="hu-HU"/>
        </a:p>
      </c:txPr>
    </c:legend>
    <c:plotVisOnly val="1"/>
  </c:chart>
  <c:spPr>
    <a:solidFill>
      <a:schemeClr val="bg1">
        <a:lumMod val="75000"/>
      </a:schemeClr>
    </a:solidFill>
    <a:effectLst>
      <a:outerShdw blurRad="50800" dist="38100" dir="2700000" sx="103000" sy="103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u-HU"/>
  <c:roundedCorners val="1"/>
  <c:chart>
    <c:title>
      <c:tx>
        <c:rich>
          <a:bodyPr/>
          <a:lstStyle/>
          <a:p>
            <a:pPr algn="ctr" rtl="0">
              <a:defRPr lang="hu-HU" sz="1400" b="1" i="1" u="none" strike="noStrike" kern="1200" cap="small" baseline="0">
                <a:solidFill>
                  <a:sysClr val="windowText" lastClr="000000"/>
                </a:solidFill>
                <a:latin typeface="+mn-lt"/>
                <a:ea typeface="+mn-ea"/>
                <a:cs typeface="+mn-cs"/>
              </a:defRPr>
            </a:pPr>
            <a:r>
              <a:rPr lang="hu-HU" sz="1400" b="1" i="1" u="none" strike="noStrike" kern="1200" cap="small" baseline="0">
                <a:solidFill>
                  <a:sysClr val="windowText" lastClr="000000"/>
                </a:solidFill>
                <a:latin typeface="+mn-lt"/>
                <a:ea typeface="+mn-ea"/>
                <a:cs typeface="+mn-cs"/>
              </a:rPr>
              <a:t>TS kötelezettségvállalások kihasználtsága (%)</a:t>
            </a:r>
          </a:p>
        </c:rich>
      </c:tx>
    </c:title>
    <c:view3D>
      <c:rAngAx val="1"/>
    </c:view3D>
    <c:plotArea>
      <c:layout/>
      <c:bar3DChart>
        <c:barDir val="bar"/>
        <c:grouping val="stacked"/>
        <c:ser>
          <c:idx val="0"/>
          <c:order val="0"/>
          <c:tx>
            <c:strRef>
              <c:f>Freeze!$F$2</c:f>
              <c:strCache>
                <c:ptCount val="1"/>
                <c:pt idx="0">
                  <c:v>Felhasználás aránya (%)</c:v>
                </c:pt>
              </c:strCache>
            </c:strRef>
          </c:tx>
          <c:spPr>
            <a:gradFill flip="none" rotWithShape="1">
              <a:gsLst>
                <a:gs pos="0">
                  <a:srgbClr val="DDEBCF"/>
                </a:gs>
                <a:gs pos="50000">
                  <a:srgbClr val="9CB86E"/>
                </a:gs>
                <a:gs pos="100000">
                  <a:srgbClr val="156B13"/>
                </a:gs>
              </a:gsLst>
              <a:path path="rect">
                <a:fillToRect l="100000" t="100000"/>
              </a:path>
              <a:tileRect r="-100000" b="-100000"/>
            </a:gradFill>
          </c:spPr>
          <c:dLbls>
            <c:dLbl>
              <c:idx val="4"/>
              <c:layout>
                <c:manualLayout>
                  <c:x val="6.3063051879291523E-2"/>
                  <c:y val="-3.6934441366574949E-3"/>
                </c:manualLayout>
              </c:layout>
              <c:showVal val="1"/>
            </c:dLbl>
            <c:txPr>
              <a:bodyPr/>
              <a:lstStyle/>
              <a:p>
                <a:pPr>
                  <a:defRPr b="1"/>
                </a:pPr>
                <a:endParaRPr lang="hu-HU"/>
              </a:p>
            </c:txPr>
            <c:showVal val="1"/>
          </c:dLbls>
          <c:cat>
            <c:strRef>
              <c:f>Freeze!$B$3:$B$10</c:f>
              <c:strCache>
                <c:ptCount val="8"/>
                <c:pt idx="0">
                  <c:v>Egyéb</c:v>
                </c:pt>
                <c:pt idx="1">
                  <c:v>FÖMI</c:v>
                </c:pt>
                <c:pt idx="2">
                  <c:v>AKI</c:v>
                </c:pt>
                <c:pt idx="3">
                  <c:v>IH</c:v>
                </c:pt>
                <c:pt idx="4">
                  <c:v>MNVH</c:v>
                </c:pt>
                <c:pt idx="5">
                  <c:v>MGSZH</c:v>
                </c:pt>
                <c:pt idx="6">
                  <c:v>VKSZI</c:v>
                </c:pt>
                <c:pt idx="7">
                  <c:v>MVH</c:v>
                </c:pt>
              </c:strCache>
            </c:strRef>
          </c:cat>
          <c:val>
            <c:numRef>
              <c:f>Freeze!$F$3:$F$10</c:f>
              <c:numCache>
                <c:formatCode>0.00%</c:formatCode>
                <c:ptCount val="8"/>
                <c:pt idx="0">
                  <c:v>0.84708968505803262</c:v>
                </c:pt>
                <c:pt idx="1">
                  <c:v>0.7242023467246872</c:v>
                </c:pt>
                <c:pt idx="2">
                  <c:v>0.8554913294797688</c:v>
                </c:pt>
                <c:pt idx="3">
                  <c:v>0.51274952563801568</c:v>
                </c:pt>
                <c:pt idx="4">
                  <c:v>0</c:v>
                </c:pt>
                <c:pt idx="5">
                  <c:v>0.87751804887248752</c:v>
                </c:pt>
                <c:pt idx="6">
                  <c:v>0.78884135792871424</c:v>
                </c:pt>
                <c:pt idx="7">
                  <c:v>0.51038015399315451</c:v>
                </c:pt>
              </c:numCache>
            </c:numRef>
          </c:val>
        </c:ser>
        <c:gapWidth val="75"/>
        <c:shape val="cylinder"/>
        <c:axId val="112034176"/>
        <c:axId val="97456128"/>
        <c:axId val="0"/>
      </c:bar3DChart>
      <c:catAx>
        <c:axId val="112034176"/>
        <c:scaling>
          <c:orientation val="minMax"/>
        </c:scaling>
        <c:axPos val="l"/>
        <c:majorTickMark val="none"/>
        <c:tickLblPos val="nextTo"/>
        <c:txPr>
          <a:bodyPr/>
          <a:lstStyle/>
          <a:p>
            <a:pPr>
              <a:defRPr b="1"/>
            </a:pPr>
            <a:endParaRPr lang="hu-HU"/>
          </a:p>
        </c:txPr>
        <c:crossAx val="97456128"/>
        <c:crosses val="autoZero"/>
        <c:auto val="1"/>
        <c:lblAlgn val="ctr"/>
        <c:lblOffset val="100"/>
      </c:catAx>
      <c:valAx>
        <c:axId val="97456128"/>
        <c:scaling>
          <c:orientation val="minMax"/>
        </c:scaling>
        <c:axPos val="b"/>
        <c:majorGridlines/>
        <c:numFmt formatCode="0.00%" sourceLinked="1"/>
        <c:majorTickMark val="none"/>
        <c:tickLblPos val="nextTo"/>
        <c:spPr>
          <a:ln w="9525">
            <a:noFill/>
          </a:ln>
        </c:spPr>
        <c:txPr>
          <a:bodyPr/>
          <a:lstStyle/>
          <a:p>
            <a:pPr>
              <a:defRPr b="1"/>
            </a:pPr>
            <a:endParaRPr lang="hu-HU"/>
          </a:p>
        </c:txPr>
        <c:crossAx val="112034176"/>
        <c:crosses val="autoZero"/>
        <c:crossBetween val="between"/>
      </c:valAx>
    </c:plotArea>
    <c:legend>
      <c:legendPos val="b"/>
      <c:txPr>
        <a:bodyPr/>
        <a:lstStyle/>
        <a:p>
          <a:pPr>
            <a:defRPr b="1"/>
          </a:pPr>
          <a:endParaRPr lang="hu-HU"/>
        </a:p>
      </c:txPr>
    </c:legend>
    <c:plotVisOnly val="1"/>
  </c:chart>
  <c:spPr>
    <a:solidFill>
      <a:schemeClr val="bg1">
        <a:lumMod val="75000"/>
      </a:schemeClr>
    </a:solidFill>
    <a:effectLst>
      <a:outerShdw blurRad="50800" dist="38100" dir="2700000" sx="103000" sy="103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u-HU"/>
  <c:roundedCorners val="1"/>
  <c:chart>
    <c:title>
      <c:tx>
        <c:rich>
          <a:bodyPr/>
          <a:lstStyle/>
          <a:p>
            <a:pPr algn="ctr" rtl="0">
              <a:defRPr lang="en-US" sz="1400" b="1" i="1" u="none" strike="noStrike" kern="1200" cap="small" baseline="0">
                <a:solidFill>
                  <a:sysClr val="windowText" lastClr="000000"/>
                </a:solidFill>
                <a:latin typeface="+mn-lt"/>
                <a:ea typeface="+mn-ea"/>
                <a:cs typeface="+mn-cs"/>
              </a:defRPr>
            </a:pPr>
            <a:r>
              <a:rPr sz="1400" b="1" i="1" u="none" strike="noStrike" kern="1200" cap="small" baseline="0">
                <a:solidFill>
                  <a:sysClr val="windowText" lastClr="000000"/>
                </a:solidFill>
                <a:latin typeface="+mn-lt"/>
                <a:ea typeface="+mn-ea"/>
                <a:cs typeface="+mn-cs"/>
              </a:rPr>
              <a:t>TS </a:t>
            </a:r>
            <a:r>
              <a:rPr lang="hu-HU" sz="1400" b="1" i="1" u="none" strike="noStrike" kern="1200" cap="small" baseline="0">
                <a:solidFill>
                  <a:sysClr val="windowText" lastClr="000000"/>
                </a:solidFill>
                <a:latin typeface="+mn-lt"/>
                <a:ea typeface="+mn-ea"/>
                <a:cs typeface="+mn-cs"/>
              </a:rPr>
              <a:t>kötelezettségvállalások</a:t>
            </a:r>
            <a:r>
              <a:rPr sz="1400" b="1" i="1" u="none" strike="noStrike" kern="1200" cap="small" baseline="0">
                <a:solidFill>
                  <a:sysClr val="windowText" lastClr="000000"/>
                </a:solidFill>
                <a:latin typeface="+mn-lt"/>
                <a:ea typeface="+mn-ea"/>
                <a:cs typeface="+mn-cs"/>
              </a:rPr>
              <a:t> megoszlása</a:t>
            </a:r>
            <a:r>
              <a:rPr lang="hu-HU" sz="1400" b="1" i="1" u="none" strike="noStrike" kern="1200" cap="small" baseline="0">
                <a:solidFill>
                  <a:sysClr val="windowText" lastClr="000000"/>
                </a:solidFill>
                <a:latin typeface="+mn-lt"/>
                <a:ea typeface="+mn-ea"/>
                <a:cs typeface="+mn-cs"/>
              </a:rPr>
              <a:t> az egyes tevékenységek között (%)</a:t>
            </a:r>
            <a:endParaRPr sz="1400" b="1" i="1" u="none" strike="noStrike" kern="1200" cap="small" baseline="0">
              <a:solidFill>
                <a:sysClr val="windowText" lastClr="000000"/>
              </a:solidFill>
              <a:latin typeface="+mn-lt"/>
              <a:ea typeface="+mn-ea"/>
              <a:cs typeface="+mn-cs"/>
            </a:endParaRPr>
          </a:p>
        </c:rich>
      </c:tx>
    </c:title>
    <c:view3D>
      <c:rotX val="30"/>
      <c:rotY val="170"/>
      <c:perspective val="30"/>
    </c:view3D>
    <c:plotArea>
      <c:layout/>
      <c:pie3DChart>
        <c:varyColors val="1"/>
        <c:ser>
          <c:idx val="0"/>
          <c:order val="0"/>
          <c:dLbls>
            <c:txPr>
              <a:bodyPr/>
              <a:lstStyle/>
              <a:p>
                <a:pPr>
                  <a:defRPr b="1"/>
                </a:pPr>
                <a:endParaRPr lang="hu-HU"/>
              </a:p>
            </c:txPr>
            <c:showCatName val="1"/>
            <c:showPercent val="1"/>
            <c:showLeaderLines val="1"/>
          </c:dLbls>
          <c:cat>
            <c:strRef>
              <c:f>Freeze!$I$41:$L$41</c:f>
              <c:strCache>
                <c:ptCount val="4"/>
                <c:pt idx="0">
                  <c:v>Egyéb</c:v>
                </c:pt>
                <c:pt idx="1">
                  <c:v>Kommunikáció</c:v>
                </c:pt>
                <c:pt idx="2">
                  <c:v>Delegált feladat</c:v>
                </c:pt>
                <c:pt idx="3">
                  <c:v>Müködtetés</c:v>
                </c:pt>
              </c:strCache>
            </c:strRef>
          </c:cat>
          <c:val>
            <c:numRef>
              <c:f>Freeze!$I$42:$L$42</c:f>
              <c:numCache>
                <c:formatCode>0.00%</c:formatCode>
                <c:ptCount val="4"/>
                <c:pt idx="0">
                  <c:v>8.1516468174228779E-2</c:v>
                </c:pt>
                <c:pt idx="1">
                  <c:v>0.18826136456465559</c:v>
                </c:pt>
                <c:pt idx="2">
                  <c:v>0.19336011568883515</c:v>
                </c:pt>
                <c:pt idx="3">
                  <c:v>0.5368620515722865</c:v>
                </c:pt>
              </c:numCache>
            </c:numRef>
          </c:val>
        </c:ser>
        <c:dLbls>
          <c:showCatName val="1"/>
          <c:showPercent val="1"/>
        </c:dLbls>
      </c:pie3DChart>
    </c:plotArea>
    <c:plotVisOnly val="1"/>
  </c:chart>
  <c:spPr>
    <a:solidFill>
      <a:sysClr val="window" lastClr="FFFFFF">
        <a:lumMod val="75000"/>
      </a:sysClr>
    </a:solidFill>
    <a:effectLst>
      <a:outerShdw blurRad="50800" dist="38100" dir="2700000" sx="103000" sy="103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u-HU"/>
  <c:roundedCorners val="1"/>
  <c:clrMapOvr bg1="lt1" tx1="dk1" bg2="lt2" tx2="dk2" accent1="accent1" accent2="accent2" accent3="accent3" accent4="accent4" accent5="accent5" accent6="accent6" hlink="hlink" folHlink="folHlink"/>
  <c:pivotSource>
    <c:name>[kerdoiv_pivot_attila(1).xls]akg_minden_csop!PivotTable91</c:name>
    <c:fmtId val="-1"/>
  </c:pivotSource>
  <c:chart>
    <c:title>
      <c:tx>
        <c:rich>
          <a:bodyPr/>
          <a:lstStyle/>
          <a:p>
            <a:pPr>
              <a:defRPr sz="1200"/>
            </a:pPr>
            <a:r>
              <a:rPr lang="hu-HU" sz="1200"/>
              <a:t>Igénybe vett tanácsadó</a:t>
            </a:r>
            <a:r>
              <a:rPr lang="hu-HU" sz="1200" baseline="0"/>
              <a:t> hálózatok aránya a AKG jogcím esetén</a:t>
            </a:r>
            <a:endParaRPr lang="en-US" sz="1200"/>
          </a:p>
        </c:rich>
      </c:tx>
    </c:title>
    <c:pivotFmts>
      <c:pivotFmt>
        <c:idx val="0"/>
        <c:marker>
          <c:symbol val="none"/>
        </c:marker>
        <c:dLbl>
          <c:idx val="0"/>
          <c:spPr/>
          <c:txPr>
            <a:bodyPr/>
            <a:lstStyle/>
            <a:p>
              <a:pPr>
                <a:defRPr/>
              </a:pPr>
              <a:endParaRPr lang="hu-HU"/>
            </a:p>
          </c:txPr>
          <c:showPercent val="1"/>
        </c:dLbl>
      </c:pivotFmt>
      <c:pivotFmt>
        <c:idx val="1"/>
        <c:marker>
          <c:symbol val="none"/>
        </c:marker>
        <c:dLbl>
          <c:idx val="0"/>
          <c:spPr/>
          <c:txPr>
            <a:bodyPr/>
            <a:lstStyle/>
            <a:p>
              <a:pPr>
                <a:defRPr/>
              </a:pPr>
              <a:endParaRPr lang="hu-HU"/>
            </a:p>
          </c:txPr>
          <c:showPercent val="1"/>
        </c:dLbl>
      </c:pivotFmt>
    </c:pivotFmts>
    <c:view3D>
      <c:rotX val="30"/>
      <c:perspective val="30"/>
    </c:view3D>
    <c:plotArea>
      <c:layout/>
      <c:pie3DChart>
        <c:varyColors val="1"/>
        <c:ser>
          <c:idx val="0"/>
          <c:order val="0"/>
          <c:tx>
            <c:strRef>
              <c:f>akg_minden_csop!$Y$73:$Y$74</c:f>
              <c:strCache>
                <c:ptCount val="1"/>
                <c:pt idx="0">
                  <c:v>Total</c:v>
                </c:pt>
              </c:strCache>
            </c:strRef>
          </c:tx>
          <c:explosion val="25"/>
          <c:cat>
            <c:strRef>
              <c:f>akg_minden_csop!$X$75:$X$79</c:f>
              <c:strCache>
                <c:ptCount val="4"/>
                <c:pt idx="0">
                  <c:v>Agrárkamarás tanácsadó segítségét kértem</c:v>
                </c:pt>
                <c:pt idx="1">
                  <c:v>Egyéb magáncég tanácsadóját</c:v>
                </c:pt>
                <c:pt idx="2">
                  <c:v>Falugazdászt</c:v>
                </c:pt>
                <c:pt idx="3">
                  <c:v>VKSZI által akkreditált akg tanácsadót</c:v>
                </c:pt>
              </c:strCache>
            </c:strRef>
          </c:cat>
          <c:val>
            <c:numRef>
              <c:f>akg_minden_csop!$Y$75:$Y$79</c:f>
              <c:numCache>
                <c:formatCode>General</c:formatCode>
                <c:ptCount val="4"/>
                <c:pt idx="0">
                  <c:v>775</c:v>
                </c:pt>
                <c:pt idx="1">
                  <c:v>306</c:v>
                </c:pt>
                <c:pt idx="2">
                  <c:v>1731</c:v>
                </c:pt>
                <c:pt idx="3">
                  <c:v>211</c:v>
                </c:pt>
              </c:numCache>
            </c:numRef>
          </c:val>
        </c:ser>
        <c:dLbls>
          <c:showPercent val="1"/>
        </c:dLbls>
      </c:pie3DChart>
    </c:plotArea>
    <c:legend>
      <c:legendPos val="r"/>
    </c:legend>
    <c:plotVisOnly val="1"/>
    <c:dispBlanksAs val="zero"/>
  </c:chart>
  <c:spPr>
    <a:effectLst>
      <a:outerShdw blurRad="50800" dist="152400" dir="2700000" algn="tl" rotWithShape="0">
        <a:prstClr val="black">
          <a:alpha val="40000"/>
        </a:prstClr>
      </a:outerShdw>
    </a:effectLst>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u-HU"/>
  <c:roundedCorners val="1"/>
  <c:style val="18"/>
  <c:clrMapOvr bg1="lt1" tx1="dk1" bg2="lt2" tx2="dk2" accent1="accent1" accent2="accent2" accent3="accent3" accent4="accent4" accent5="accent5" accent6="accent6" hlink="hlink" folHlink="folHlink"/>
  <c:chart>
    <c:title>
      <c:tx>
        <c:rich>
          <a:bodyPr/>
          <a:lstStyle/>
          <a:p>
            <a:pPr>
              <a:defRPr lang="hu-HU" sz="1400"/>
            </a:pPr>
            <a:r>
              <a:rPr lang="en-US" sz="1400"/>
              <a:t>Talajminta</a:t>
            </a:r>
            <a:r>
              <a:rPr lang="hu-HU" sz="1400"/>
              <a:t> </a:t>
            </a:r>
            <a:r>
              <a:rPr lang="en-US" sz="1400"/>
              <a:t>vétel módja</a:t>
            </a:r>
          </a:p>
        </c:rich>
      </c:tx>
    </c:title>
    <c:view3D>
      <c:rAngAx val="1"/>
    </c:view3D>
    <c:plotArea>
      <c:layout/>
      <c:bar3DChart>
        <c:barDir val="col"/>
        <c:grouping val="percentStacked"/>
        <c:ser>
          <c:idx val="0"/>
          <c:order val="0"/>
          <c:tx>
            <c:strRef>
              <c:f>Sheet1!$A$24</c:f>
              <c:strCache>
                <c:ptCount val="1"/>
                <c:pt idx="0">
                  <c:v>A labor vette a mintát és végezte el a vizsgálatokat.</c:v>
                </c:pt>
              </c:strCache>
            </c:strRef>
          </c:tx>
          <c:cat>
            <c:strRef>
              <c:f>Sheet1!$B$23:$D$23</c:f>
              <c:strCache>
                <c:ptCount val="3"/>
                <c:pt idx="0">
                  <c:v>Integrált szántó (1127)</c:v>
                </c:pt>
                <c:pt idx="1">
                  <c:v>Ökológiai szántó (116)</c:v>
                </c:pt>
                <c:pt idx="2">
                  <c:v>MTÉT (272)</c:v>
                </c:pt>
              </c:strCache>
            </c:strRef>
          </c:cat>
          <c:val>
            <c:numRef>
              <c:f>Sheet1!$B$24:$D$24</c:f>
              <c:numCache>
                <c:formatCode>0%</c:formatCode>
                <c:ptCount val="3"/>
                <c:pt idx="0">
                  <c:v>9.7604259094942525E-2</c:v>
                </c:pt>
                <c:pt idx="1">
                  <c:v>9.4827586206896963E-2</c:v>
                </c:pt>
                <c:pt idx="2">
                  <c:v>2.94117647058823E-2</c:v>
                </c:pt>
              </c:numCache>
            </c:numRef>
          </c:val>
        </c:ser>
        <c:ser>
          <c:idx val="1"/>
          <c:order val="1"/>
          <c:tx>
            <c:strRef>
              <c:f>Sheet1!$A$25</c:f>
              <c:strCache>
                <c:ptCount val="1"/>
                <c:pt idx="0">
                  <c:v>Saját magam vettem a mintát, és beküldtem egy talajlaborba</c:v>
                </c:pt>
              </c:strCache>
            </c:strRef>
          </c:tx>
          <c:cat>
            <c:strRef>
              <c:f>Sheet1!$B$23:$D$23</c:f>
              <c:strCache>
                <c:ptCount val="3"/>
                <c:pt idx="0">
                  <c:v>Integrált szántó (1127)</c:v>
                </c:pt>
                <c:pt idx="1">
                  <c:v>Ökológiai szántó (116)</c:v>
                </c:pt>
                <c:pt idx="2">
                  <c:v>MTÉT (272)</c:v>
                </c:pt>
              </c:strCache>
            </c:strRef>
          </c:cat>
          <c:val>
            <c:numRef>
              <c:f>Sheet1!$B$25:$D$25</c:f>
              <c:numCache>
                <c:formatCode>0%</c:formatCode>
                <c:ptCount val="3"/>
                <c:pt idx="0">
                  <c:v>0.67080745341615389</c:v>
                </c:pt>
                <c:pt idx="1">
                  <c:v>0.70689655172413801</c:v>
                </c:pt>
                <c:pt idx="2">
                  <c:v>0.83088235294117763</c:v>
                </c:pt>
              </c:numCache>
            </c:numRef>
          </c:val>
        </c:ser>
        <c:ser>
          <c:idx val="2"/>
          <c:order val="2"/>
          <c:tx>
            <c:strRef>
              <c:f>Sheet1!$A$26</c:f>
              <c:strCache>
                <c:ptCount val="1"/>
                <c:pt idx="0">
                  <c:v>Vállalkozót bíztam meg a mintavételezéssel, aki eljuttatta laborba a mintákat</c:v>
                </c:pt>
              </c:strCache>
            </c:strRef>
          </c:tx>
          <c:cat>
            <c:strRef>
              <c:f>Sheet1!$B$23:$D$23</c:f>
              <c:strCache>
                <c:ptCount val="3"/>
                <c:pt idx="0">
                  <c:v>Integrált szántó (1127)</c:v>
                </c:pt>
                <c:pt idx="1">
                  <c:v>Ökológiai szántó (116)</c:v>
                </c:pt>
                <c:pt idx="2">
                  <c:v>MTÉT (272)</c:v>
                </c:pt>
              </c:strCache>
            </c:strRef>
          </c:cat>
          <c:val>
            <c:numRef>
              <c:f>Sheet1!$B$26:$D$26</c:f>
              <c:numCache>
                <c:formatCode>0%</c:formatCode>
                <c:ptCount val="3"/>
                <c:pt idx="0">
                  <c:v>0.23158828748890939</c:v>
                </c:pt>
                <c:pt idx="1">
                  <c:v>0.198275862068965</c:v>
                </c:pt>
                <c:pt idx="2">
                  <c:v>0.13970588235294151</c:v>
                </c:pt>
              </c:numCache>
            </c:numRef>
          </c:val>
        </c:ser>
        <c:shape val="box"/>
        <c:axId val="97507968"/>
        <c:axId val="98390400"/>
        <c:axId val="0"/>
      </c:bar3DChart>
      <c:catAx>
        <c:axId val="97507968"/>
        <c:scaling>
          <c:orientation val="minMax"/>
        </c:scaling>
        <c:axPos val="b"/>
        <c:tickLblPos val="nextTo"/>
        <c:txPr>
          <a:bodyPr/>
          <a:lstStyle/>
          <a:p>
            <a:pPr>
              <a:defRPr lang="hu-HU"/>
            </a:pPr>
            <a:endParaRPr lang="hu-HU"/>
          </a:p>
        </c:txPr>
        <c:crossAx val="98390400"/>
        <c:crosses val="autoZero"/>
        <c:auto val="1"/>
        <c:lblAlgn val="ctr"/>
        <c:lblOffset val="100"/>
      </c:catAx>
      <c:valAx>
        <c:axId val="98390400"/>
        <c:scaling>
          <c:orientation val="minMax"/>
        </c:scaling>
        <c:axPos val="l"/>
        <c:majorGridlines/>
        <c:numFmt formatCode="0%" sourceLinked="1"/>
        <c:tickLblPos val="nextTo"/>
        <c:txPr>
          <a:bodyPr/>
          <a:lstStyle/>
          <a:p>
            <a:pPr>
              <a:defRPr lang="hu-HU"/>
            </a:pPr>
            <a:endParaRPr lang="hu-HU"/>
          </a:p>
        </c:txPr>
        <c:crossAx val="97507968"/>
        <c:crosses val="autoZero"/>
        <c:crossBetween val="between"/>
        <c:majorUnit val="0.2"/>
      </c:valAx>
    </c:plotArea>
    <c:legend>
      <c:legendPos val="r"/>
      <c:txPr>
        <a:bodyPr/>
        <a:lstStyle/>
        <a:p>
          <a:pPr>
            <a:defRPr lang="hu-HU"/>
          </a:pPr>
          <a:endParaRPr lang="hu-HU"/>
        </a:p>
      </c:txPr>
    </c:legend>
    <c:plotVisOnly val="1"/>
    <c:dispBlanksAs val="gap"/>
  </c:chart>
  <c:spPr>
    <a:effectLst>
      <a:outerShdw blurRad="50800" dist="152400" dir="2700000" algn="tl" rotWithShape="0">
        <a:prstClr val="black">
          <a:alpha val="40000"/>
        </a:prstClr>
      </a:outerShdw>
    </a:effectLst>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6701-2EF4-489B-99AD-CAF83571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50268</Words>
  <Characters>346854</Characters>
  <Application>Microsoft Office Word</Application>
  <DocSecurity>0</DocSecurity>
  <Lines>2890</Lines>
  <Paragraphs>792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396330</CharactersWithSpaces>
  <SharedDoc>false</SharedDoc>
  <HLinks>
    <vt:vector size="84" baseType="variant">
      <vt:variant>
        <vt:i4>1900593</vt:i4>
      </vt:variant>
      <vt:variant>
        <vt:i4>83</vt:i4>
      </vt:variant>
      <vt:variant>
        <vt:i4>0</vt:i4>
      </vt:variant>
      <vt:variant>
        <vt:i4>5</vt:i4>
      </vt:variant>
      <vt:variant>
        <vt:lpwstr/>
      </vt:variant>
      <vt:variant>
        <vt:lpwstr>_Toc273966626</vt:lpwstr>
      </vt:variant>
      <vt:variant>
        <vt:i4>1900593</vt:i4>
      </vt:variant>
      <vt:variant>
        <vt:i4>77</vt:i4>
      </vt:variant>
      <vt:variant>
        <vt:i4>0</vt:i4>
      </vt:variant>
      <vt:variant>
        <vt:i4>5</vt:i4>
      </vt:variant>
      <vt:variant>
        <vt:lpwstr/>
      </vt:variant>
      <vt:variant>
        <vt:lpwstr>_Toc273966625</vt:lpwstr>
      </vt:variant>
      <vt:variant>
        <vt:i4>1900593</vt:i4>
      </vt:variant>
      <vt:variant>
        <vt:i4>71</vt:i4>
      </vt:variant>
      <vt:variant>
        <vt:i4>0</vt:i4>
      </vt:variant>
      <vt:variant>
        <vt:i4>5</vt:i4>
      </vt:variant>
      <vt:variant>
        <vt:lpwstr/>
      </vt:variant>
      <vt:variant>
        <vt:lpwstr>_Toc273966624</vt:lpwstr>
      </vt:variant>
      <vt:variant>
        <vt:i4>1900593</vt:i4>
      </vt:variant>
      <vt:variant>
        <vt:i4>65</vt:i4>
      </vt:variant>
      <vt:variant>
        <vt:i4>0</vt:i4>
      </vt:variant>
      <vt:variant>
        <vt:i4>5</vt:i4>
      </vt:variant>
      <vt:variant>
        <vt:lpwstr/>
      </vt:variant>
      <vt:variant>
        <vt:lpwstr>_Toc273966623</vt:lpwstr>
      </vt:variant>
      <vt:variant>
        <vt:i4>1900593</vt:i4>
      </vt:variant>
      <vt:variant>
        <vt:i4>59</vt:i4>
      </vt:variant>
      <vt:variant>
        <vt:i4>0</vt:i4>
      </vt:variant>
      <vt:variant>
        <vt:i4>5</vt:i4>
      </vt:variant>
      <vt:variant>
        <vt:lpwstr/>
      </vt:variant>
      <vt:variant>
        <vt:lpwstr>_Toc273966622</vt:lpwstr>
      </vt:variant>
      <vt:variant>
        <vt:i4>1900593</vt:i4>
      </vt:variant>
      <vt:variant>
        <vt:i4>53</vt:i4>
      </vt:variant>
      <vt:variant>
        <vt:i4>0</vt:i4>
      </vt:variant>
      <vt:variant>
        <vt:i4>5</vt:i4>
      </vt:variant>
      <vt:variant>
        <vt:lpwstr/>
      </vt:variant>
      <vt:variant>
        <vt:lpwstr>_Toc273966621</vt:lpwstr>
      </vt:variant>
      <vt:variant>
        <vt:i4>1900593</vt:i4>
      </vt:variant>
      <vt:variant>
        <vt:i4>47</vt:i4>
      </vt:variant>
      <vt:variant>
        <vt:i4>0</vt:i4>
      </vt:variant>
      <vt:variant>
        <vt:i4>5</vt:i4>
      </vt:variant>
      <vt:variant>
        <vt:lpwstr/>
      </vt:variant>
      <vt:variant>
        <vt:lpwstr>_Toc273966620</vt:lpwstr>
      </vt:variant>
      <vt:variant>
        <vt:i4>1966129</vt:i4>
      </vt:variant>
      <vt:variant>
        <vt:i4>41</vt:i4>
      </vt:variant>
      <vt:variant>
        <vt:i4>0</vt:i4>
      </vt:variant>
      <vt:variant>
        <vt:i4>5</vt:i4>
      </vt:variant>
      <vt:variant>
        <vt:lpwstr/>
      </vt:variant>
      <vt:variant>
        <vt:lpwstr>_Toc273966619</vt:lpwstr>
      </vt:variant>
      <vt:variant>
        <vt:i4>1966129</vt:i4>
      </vt:variant>
      <vt:variant>
        <vt:i4>35</vt:i4>
      </vt:variant>
      <vt:variant>
        <vt:i4>0</vt:i4>
      </vt:variant>
      <vt:variant>
        <vt:i4>5</vt:i4>
      </vt:variant>
      <vt:variant>
        <vt:lpwstr/>
      </vt:variant>
      <vt:variant>
        <vt:lpwstr>_Toc273966618</vt:lpwstr>
      </vt:variant>
      <vt:variant>
        <vt:i4>1966129</vt:i4>
      </vt:variant>
      <vt:variant>
        <vt:i4>29</vt:i4>
      </vt:variant>
      <vt:variant>
        <vt:i4>0</vt:i4>
      </vt:variant>
      <vt:variant>
        <vt:i4>5</vt:i4>
      </vt:variant>
      <vt:variant>
        <vt:lpwstr/>
      </vt:variant>
      <vt:variant>
        <vt:lpwstr>_Toc273966617</vt:lpwstr>
      </vt:variant>
      <vt:variant>
        <vt:i4>1966129</vt:i4>
      </vt:variant>
      <vt:variant>
        <vt:i4>23</vt:i4>
      </vt:variant>
      <vt:variant>
        <vt:i4>0</vt:i4>
      </vt:variant>
      <vt:variant>
        <vt:i4>5</vt:i4>
      </vt:variant>
      <vt:variant>
        <vt:lpwstr/>
      </vt:variant>
      <vt:variant>
        <vt:lpwstr>_Toc273966616</vt:lpwstr>
      </vt:variant>
      <vt:variant>
        <vt:i4>1966129</vt:i4>
      </vt:variant>
      <vt:variant>
        <vt:i4>17</vt:i4>
      </vt:variant>
      <vt:variant>
        <vt:i4>0</vt:i4>
      </vt:variant>
      <vt:variant>
        <vt:i4>5</vt:i4>
      </vt:variant>
      <vt:variant>
        <vt:lpwstr/>
      </vt:variant>
      <vt:variant>
        <vt:lpwstr>_Toc273966615</vt:lpwstr>
      </vt:variant>
      <vt:variant>
        <vt:i4>1966129</vt:i4>
      </vt:variant>
      <vt:variant>
        <vt:i4>11</vt:i4>
      </vt:variant>
      <vt:variant>
        <vt:i4>0</vt:i4>
      </vt:variant>
      <vt:variant>
        <vt:i4>5</vt:i4>
      </vt:variant>
      <vt:variant>
        <vt:lpwstr/>
      </vt:variant>
      <vt:variant>
        <vt:lpwstr>_Toc273966614</vt:lpwstr>
      </vt:variant>
      <vt:variant>
        <vt:i4>1966129</vt:i4>
      </vt:variant>
      <vt:variant>
        <vt:i4>5</vt:i4>
      </vt:variant>
      <vt:variant>
        <vt:i4>0</vt:i4>
      </vt:variant>
      <vt:variant>
        <vt:i4>5</vt:i4>
      </vt:variant>
      <vt:variant>
        <vt:lpwstr/>
      </vt:variant>
      <vt:variant>
        <vt:lpwstr>_Toc273966613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2010-12-22T12:17:00Z</dcterms:created>
  <dcterms:modified xsi:type="dcterms:W3CDTF">2010-12-22T12:37:00Z</dcterms:modified>
</cp:coreProperties>
</file>