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AF" w:rsidRDefault="001E1AC5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EMLÉKEZTETŐ</w:t>
      </w:r>
    </w:p>
    <w:p w:rsidR="00CA67AF" w:rsidRDefault="001E1AC5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Darányi Ignác Terv</w:t>
      </w:r>
    </w:p>
    <w:p w:rsidR="00CA67AF" w:rsidRDefault="001E1AC5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Új Magyarország Vidékfejlesztési Program</w:t>
      </w:r>
    </w:p>
    <w:p w:rsidR="00CA67AF" w:rsidRDefault="001E1AC5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Monitoring Bizottság</w:t>
      </w:r>
    </w:p>
    <w:p w:rsidR="00CA67AF" w:rsidRDefault="001E1AC5">
      <w:pPr>
        <w:pStyle w:val="Standar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2013. december 11.</w:t>
      </w: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Helyszín: Vidékfejlesztési Minisztérium, 101/A terem</w:t>
      </w: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Jelenlévők: a mellékelt jelenléti ív szerint</w:t>
      </w:r>
    </w:p>
    <w:p w:rsidR="00CA67AF" w:rsidRDefault="006F7FC3">
      <w:pPr>
        <w:pStyle w:val="Standard"/>
        <w:jc w:val="both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49.55pt" o:ole="">
            <v:imagedata r:id="rId8" o:title=""/>
          </v:shape>
          <o:OLEObject Type="Embed" ProgID="AcroExch.Document.11" ShapeID="_x0000_i1025" DrawAspect="Icon" ObjectID="_1452929005" r:id="rId9"/>
        </w:object>
      </w: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Napirend: a mellékelt napirend szerint</w:t>
      </w:r>
    </w:p>
    <w:bookmarkStart w:id="0" w:name="_MON_1450591194"/>
    <w:bookmarkEnd w:id="0"/>
    <w:bookmarkStart w:id="1" w:name="_MON_1448775382"/>
    <w:bookmarkEnd w:id="1"/>
    <w:p w:rsidR="00CA67AF" w:rsidRDefault="0056475A">
      <w:pPr>
        <w:pStyle w:val="Standard"/>
        <w:jc w:val="both"/>
      </w:pPr>
      <w:r>
        <w:object w:dxaOrig="1550" w:dyaOrig="991">
          <v:shape id="_x0000_i1026" type="#_x0000_t75" style="width:77.75pt;height:49.55pt" o:ole="">
            <v:imagedata r:id="rId10" o:title=""/>
          </v:shape>
          <o:OLEObject Type="Embed" ProgID="Word.Document.12" ShapeID="_x0000_i1026" DrawAspect="Icon" ObjectID="_1452929006" r:id="rId11">
            <o:FieldCodes>\s</o:FieldCodes>
          </o:OLEObject>
        </w:objec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Búsi Lajos helyettes államtitkár, az MB elnöke </w:t>
      </w:r>
      <w:r>
        <w:rPr>
          <w:rFonts w:ascii="Times New Roman" w:hAnsi="Times New Roman"/>
          <w:sz w:val="24"/>
          <w:szCs w:val="24"/>
        </w:rPr>
        <w:t>köszöntötte a tagokat. Megjelent 37 szavazati joggal rendelkező tag, ezzel a Monitoring Bizottság határozatképes. Megállapította, hogy az MB ügyrendjének rendelkezései alapján a Kistérségi Fejlesztő Szervezetek Országos Szövetsége tagot szükséges kizárni az MB-ből, mivel két egymást követő ülésen, illetve két egymást követő írásbeli szavazáson nem vett részt. A Dél-Alföldi Regionális Területfejlesztési Konzultációs Fórum MB-tag is érintett két hiányzással, de a mai ülésen megjelent és kérte ismételt felvételét. A Titkárság átvezeti az Ügyrendben a tagi változásokat.</w:t>
      </w:r>
    </w:p>
    <w:p w:rsidR="00CA67AF" w:rsidRDefault="001E1AC5">
      <w:pPr>
        <w:pStyle w:val="Standard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javasolt tagkizárást a Monitoring Bizottság ellenszavazat nélkül, egy tartózkodás mellett elfogadta. Fentiek alapján a szavazati joggal rendelkező tagok száma 54 tagra változott.</w:t>
      </w: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MB elnöke elmondta, hogy az ülésről hangfelvétel készül, illetve emlékeztető, melyet az Ügyrendben meghatározottak szerint a tagoknak megküldenek.</w:t>
      </w:r>
    </w:p>
    <w:p w:rsidR="00CA67AF" w:rsidRDefault="001E1AC5">
      <w:pPr>
        <w:pStyle w:val="Listaszerbekezds"/>
        <w:numPr>
          <w:ilvl w:val="0"/>
          <w:numId w:val="4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Az ülés napirendjének ismertetése, jóváhagyása</w:t>
      </w:r>
    </w:p>
    <w:p w:rsidR="00CA67AF" w:rsidRDefault="00CA67AF">
      <w:pPr>
        <w:pStyle w:val="Listaszerbekezds"/>
        <w:ind w:left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 w:rsidP="00047067">
      <w:pPr>
        <w:pStyle w:val="Listaszerbekezds"/>
        <w:spacing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Módosító javaslat a kiküldött napirenddel kapcsolatban nem érkezett.</w:t>
      </w:r>
    </w:p>
    <w:p w:rsidR="00CA67AF" w:rsidRDefault="001E1AC5">
      <w:pPr>
        <w:pStyle w:val="Listaszerbekezds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Az MB egyhangúlag elfogadta az ülés napirendjét.</w:t>
      </w:r>
    </w:p>
    <w:p w:rsidR="00CA67AF" w:rsidRDefault="00CA67AF">
      <w:pPr>
        <w:pStyle w:val="Listaszerbekezds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A 2013. június 27. napi MB ülés emlékeztetőjének jóváhagyása</w:t>
      </w:r>
    </w:p>
    <w:p w:rsidR="00CA67AF" w:rsidRDefault="00CA67AF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megküldött emlékeztetőhöz egy pontosító észrevétel érkezett, melyet az MB Titkárság átvezetett.</w:t>
      </w:r>
    </w:p>
    <w:p w:rsidR="00CA67AF" w:rsidRDefault="001E1AC5">
      <w:pPr>
        <w:pStyle w:val="Listaszerbekezds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Szavazás: Az MB egyhangúlag elfogadta a 2013. június 27. napi ülés emlékeztetőjét.</w:t>
      </w:r>
    </w:p>
    <w:p w:rsidR="00CA67AF" w:rsidRDefault="00CA67AF">
      <w:pPr>
        <w:pStyle w:val="Listaszerbekezds"/>
        <w:ind w:left="0"/>
        <w:jc w:val="both"/>
        <w:rPr>
          <w:sz w:val="24"/>
          <w:szCs w:val="24"/>
        </w:rPr>
      </w:pPr>
    </w:p>
    <w:p w:rsidR="00CA67AF" w:rsidRDefault="001E1AC5" w:rsidP="00047067">
      <w:pPr>
        <w:pStyle w:val="Listaszerbekezds"/>
        <w:numPr>
          <w:ilvl w:val="0"/>
          <w:numId w:val="1"/>
        </w:num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Tájékoztatás a program végrehajtásának előrehaladásáról (MVH-VTI, MVH-KTI)</w:t>
      </w:r>
    </w:p>
    <w:p w:rsidR="00047067" w:rsidRDefault="00047067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3/a. napirendi pont: Tájékoztatás a program végrehajtásának előrehaladásáról: MVH-Vidékfejlesztési Támogatások Igazgatósága</w:t>
      </w: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Vulcz László igazgató, MVH:</w:t>
      </w:r>
      <w:r>
        <w:rPr>
          <w:rFonts w:ascii="Times New Roman" w:hAnsi="Times New Roman"/>
          <w:sz w:val="24"/>
          <w:szCs w:val="24"/>
        </w:rPr>
        <w:t xml:space="preserve"> előadásában az ÚMVP beruházási jogcímek végrehajtásának előrehaladásáról számolt be (teljes előadás mellékelve).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Jelenleg nyitott jogcímek: I. tengelynél a Bemutató üzem, II</w:t>
      </w:r>
      <w:r w:rsidR="008C33B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 tengelynél A vidéki gazdaság és a lakosság számára nyújtott alapszolgáltatások fejlesztése és Turisztika jogcímek.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lezárt jogcímek esetén kiemelve: a Kertészeti gépbeszerzés 2013. október 18-án lezárult támogatási kérelembenyújtási időszakát 22,9 Mrd Ft támogatási igény érkezett, ebből kötelezettségvállalás történt 21 Mrd Ft értékben; a szintén lezárt LEADER TK3 pályázati körben a támogatási igény 54,4 Mrd Ft, a feldolgozás folyamatos.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Összesített adatok szerint a 2007-2013-as időszakból beruházására fordítható forrás 936,5 </w:t>
      </w:r>
      <w:r w:rsidR="0004706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rd Ft, ebből kötelezettségvállalással lekötött 833,7 </w:t>
      </w:r>
      <w:r w:rsidR="0004706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rd Ft, kifizetett összeg 543,7 </w:t>
      </w:r>
      <w:r w:rsidR="0004706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rd Ft.</w:t>
      </w:r>
    </w:p>
    <w:p w:rsidR="00CA67AF" w:rsidRDefault="00CA67AF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</w:rPr>
        <w:t>3/b. napirendi pont: Tájékoztatás a program végrehajtásának előrehaladásáról: MVH-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Közvetlen Támogatások Igazgatósága</w:t>
      </w: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Oláhné Kovács Vera főosztályvezető-helyettes, MVH:</w:t>
      </w:r>
      <w:r>
        <w:rPr>
          <w:rFonts w:ascii="Times New Roman" w:hAnsi="Times New Roman"/>
          <w:sz w:val="24"/>
          <w:szCs w:val="24"/>
        </w:rPr>
        <w:t xml:space="preserve"> az Agrár-környezetgazdálkodás támogatása jogcím esetében a 2012. évben benyújtott kifizetési kérelmekre kifizetett összeg 53,5 Mrd Ft. Mezőgazdasági területek erdősítése jogcímen a 2013. április-május havi kifizetési kérelem benyújtási időszakban benyújtott kérelmekre kifizetett összeg 259,9 M Ft.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Termelői csoportok támogatás jogcímen 2013. június 1-30. között lehetett kifizetési kérelmet benyújtani,</w:t>
      </w:r>
      <w:r w:rsidR="00047067">
        <w:rPr>
          <w:rFonts w:ascii="Times New Roman" w:hAnsi="Times New Roman"/>
          <w:sz w:val="24"/>
          <w:szCs w:val="24"/>
        </w:rPr>
        <w:t xml:space="preserve"> a kifizetett összeg 2,2 Mrd Ft,</w:t>
      </w:r>
      <w:r>
        <w:rPr>
          <w:rFonts w:ascii="Times New Roman" w:hAnsi="Times New Roman"/>
          <w:sz w:val="24"/>
          <w:szCs w:val="24"/>
        </w:rPr>
        <w:t xml:space="preserve"> a szeptember hónapban beérkezett támogatási igény 3,3 Mrd Ft.</w:t>
      </w:r>
    </w:p>
    <w:p w:rsidR="00CA67AF" w:rsidRDefault="001E1AC5"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2013. évben nyílt jogcímek: Gazdaságátadáshoz nyújtandó támogatás és Nem termelő beruházások erdészeti területen közjóléti intézkedés, ez utóbbi jogcímre 2013. december 30-ig lehet támogatási kérelmet benyújtani (teljes előadás mellékelve).</w:t>
      </w:r>
    </w:p>
    <w:p w:rsidR="00CA67AF" w:rsidRDefault="001E1AC5">
      <w:pPr>
        <w:pStyle w:val="Standard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3/c. napirendi pont: MVH tájékoztatásával kapcsolatos kérdések és válaszok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Frizon- Somogyi Orsolya, Európai Bizottság</w:t>
      </w:r>
      <w:r>
        <w:rPr>
          <w:rFonts w:ascii="Times New Roman" w:hAnsi="Times New Roman"/>
          <w:sz w:val="24"/>
          <w:szCs w:val="24"/>
        </w:rPr>
        <w:t xml:space="preserve"> kérdezte a Gazdaságátadáshoz nyújtandó támogatás jogcím magas elutasítási arányának okát, továbbá a Nem termelő beruházások erdészeti területen közjóléti intézkedés jogcímen a támogatási kérelem beadási időszak meghosszabbításának okát.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Fidrich Róbert, Magyar Természetvédők Szövetsége</w:t>
      </w:r>
      <w:r>
        <w:rPr>
          <w:rFonts w:ascii="Times New Roman" w:hAnsi="Times New Roman"/>
          <w:sz w:val="24"/>
          <w:szCs w:val="24"/>
        </w:rPr>
        <w:t xml:space="preserve"> kérdezte a Natura 2000 erdőterületekkel kapcsolatban a kifizetéseknél az elutasítottság magas arányának indokát, hogyan lehetne ezen javítani a jövőben.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lastRenderedPageBreak/>
        <w:t>Oláhné Kovács Vera főosztályvezető-helyettes, MVH</w:t>
      </w:r>
      <w:r>
        <w:rPr>
          <w:rFonts w:ascii="Times New Roman" w:hAnsi="Times New Roman"/>
          <w:sz w:val="24"/>
          <w:szCs w:val="24"/>
        </w:rPr>
        <w:t xml:space="preserve"> elmondta, hogy Gazdaságátadás jogcímmel kapcsolatban az elutasítás leggyakoribb indoka, hogy az ügyfél nem a teljes gazdaságát adta át. Natura 2000 erdőterületek: a kifizetések folyamatban vannak, elmúlt hónapban kezdték, nem lesz ilyen magas az elutasított kérelemszám.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több olyan jelzés érkezett, hogy a környezetvédelmi hatóságoktól hosszadalmas a hozzájáruló határozatok beszerzése, ezért meghosszabbították a Nem termelő beruházások erdészeti területen közjóléti intézkedésnél a beadást.</w:t>
      </w:r>
    </w:p>
    <w:p w:rsidR="00CA67AF" w:rsidRDefault="001E1AC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Programmódosítási javaslatok előterjesztése, megvitatása, döntés az előterjesztett javaslatokról</w:t>
      </w:r>
    </w:p>
    <w:p w:rsidR="00CA67AF" w:rsidRDefault="00CA67AF">
      <w:pPr>
        <w:pStyle w:val="Standard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Búsi Lajos, </w:t>
      </w:r>
      <w:r w:rsidR="00047067">
        <w:rPr>
          <w:rFonts w:ascii="Times New Roman" w:hAnsi="Times New Roman"/>
          <w:sz w:val="24"/>
          <w:szCs w:val="24"/>
          <w:u w:val="single"/>
        </w:rPr>
        <w:t xml:space="preserve">MB </w:t>
      </w:r>
      <w:r>
        <w:rPr>
          <w:rFonts w:ascii="Times New Roman" w:hAnsi="Times New Roman"/>
          <w:sz w:val="24"/>
          <w:szCs w:val="24"/>
          <w:u w:val="single"/>
        </w:rPr>
        <w:t>elnök</w:t>
      </w:r>
      <w:r>
        <w:rPr>
          <w:rFonts w:ascii="Times New Roman" w:hAnsi="Times New Roman"/>
          <w:sz w:val="24"/>
          <w:szCs w:val="24"/>
        </w:rPr>
        <w:t xml:space="preserve"> a módosítások ismertetésére és szavazásra tengelyenként megbontva, lépésenké</w:t>
      </w:r>
      <w:r w:rsidR="006C4925">
        <w:rPr>
          <w:rFonts w:ascii="Times New Roman" w:hAnsi="Times New Roman"/>
          <w:sz w:val="24"/>
          <w:szCs w:val="24"/>
        </w:rPr>
        <w:t>nt fog sor kerülni.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Szabó Mária főosztályvezető-helyettes, VM VFF</w:t>
      </w:r>
      <w:r>
        <w:rPr>
          <w:rFonts w:ascii="Times New Roman" w:hAnsi="Times New Roman"/>
          <w:sz w:val="24"/>
          <w:szCs w:val="24"/>
        </w:rPr>
        <w:t xml:space="preserve"> elmondta, hogy a Program évenként és tengelyenként rögzíti a konvergencia-nem konvergencia régió</w:t>
      </w:r>
      <w:r w:rsidR="00047067">
        <w:rPr>
          <w:rFonts w:ascii="Times New Roman" w:hAnsi="Times New Roman"/>
          <w:sz w:val="24"/>
          <w:szCs w:val="24"/>
        </w:rPr>
        <w:t>ra allokált forrásokat, melyek felhasználását a program végéig szükséges biztosítani</w:t>
      </w:r>
      <w:r>
        <w:rPr>
          <w:rFonts w:ascii="Times New Roman" w:hAnsi="Times New Roman"/>
          <w:sz w:val="24"/>
          <w:szCs w:val="24"/>
        </w:rPr>
        <w:t xml:space="preserve">. </w:t>
      </w:r>
      <w:r w:rsidR="00047067">
        <w:rPr>
          <w:rFonts w:ascii="Times New Roman" w:hAnsi="Times New Roman"/>
          <w:sz w:val="24"/>
          <w:szCs w:val="24"/>
        </w:rPr>
        <w:t>A program lezárásához közeledve a források felhasználásának maximalizálása érdekében áttekintésre került</w:t>
      </w:r>
      <w:r w:rsidR="00DB4883">
        <w:rPr>
          <w:rFonts w:ascii="Times New Roman" w:hAnsi="Times New Roman"/>
          <w:sz w:val="24"/>
          <w:szCs w:val="24"/>
        </w:rPr>
        <w:t>ek a teljesítési adatok és a Pénzügyi, Felügyeleti és Akkreditációs Főosztály javaslata alapján p</w:t>
      </w:r>
      <w:r>
        <w:rPr>
          <w:rFonts w:ascii="Times New Roman" w:hAnsi="Times New Roman"/>
          <w:sz w:val="24"/>
          <w:szCs w:val="24"/>
        </w:rPr>
        <w:t xml:space="preserve">énzügytechnikai </w:t>
      </w:r>
      <w:r w:rsidR="00047067">
        <w:rPr>
          <w:rFonts w:ascii="Times New Roman" w:hAnsi="Times New Roman"/>
          <w:sz w:val="24"/>
          <w:szCs w:val="24"/>
        </w:rPr>
        <w:t xml:space="preserve">módosítási </w:t>
      </w:r>
      <w:r>
        <w:rPr>
          <w:rFonts w:ascii="Times New Roman" w:hAnsi="Times New Roman"/>
          <w:sz w:val="24"/>
          <w:szCs w:val="24"/>
        </w:rPr>
        <w:t xml:space="preserve">javaslatként </w:t>
      </w:r>
      <w:r w:rsidR="00DB4883">
        <w:rPr>
          <w:rFonts w:ascii="Times New Roman" w:hAnsi="Times New Roman"/>
          <w:sz w:val="24"/>
          <w:szCs w:val="24"/>
        </w:rPr>
        <w:t>22 218 539 euró EMVA forrás átcsoportosítási javaslat került előterjesztésre az előzetesen MB-nek kiküldött anyagban, nem konvergencia régióról konvergencia régióra a 2013. év forrásai tekintetében</w:t>
      </w:r>
      <w:r>
        <w:rPr>
          <w:rFonts w:ascii="Times New Roman" w:hAnsi="Times New Roman"/>
          <w:sz w:val="24"/>
          <w:szCs w:val="24"/>
        </w:rPr>
        <w:t>. Ezt az összeget a</w:t>
      </w:r>
      <w:r w:rsidR="00DB4883">
        <w:rPr>
          <w:rFonts w:ascii="Times New Roman" w:hAnsi="Times New Roman"/>
          <w:sz w:val="24"/>
          <w:szCs w:val="24"/>
        </w:rPr>
        <w:t>z Európai</w:t>
      </w:r>
      <w:r>
        <w:rPr>
          <w:rFonts w:ascii="Times New Roman" w:hAnsi="Times New Roman"/>
          <w:sz w:val="24"/>
          <w:szCs w:val="24"/>
        </w:rPr>
        <w:t xml:space="preserve"> Bizottság képviselőivel folytat</w:t>
      </w:r>
      <w:r w:rsidR="00DB4883">
        <w:rPr>
          <w:rFonts w:ascii="Times New Roman" w:hAnsi="Times New Roman"/>
          <w:sz w:val="24"/>
          <w:szCs w:val="24"/>
        </w:rPr>
        <w:t>ott egyeztetések alapján az IH felülvizsgálta</w:t>
      </w:r>
      <w:r>
        <w:rPr>
          <w:rFonts w:ascii="Times New Roman" w:hAnsi="Times New Roman"/>
          <w:sz w:val="24"/>
          <w:szCs w:val="24"/>
        </w:rPr>
        <w:t>, és a maximálisan lehetséges 50 000 523 euró EMVA forrás átcsoportosítását javasolj</w:t>
      </w:r>
      <w:r w:rsidR="00DB488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az MB-nek</w:t>
      </w:r>
      <w:r w:rsidR="00DB4883">
        <w:rPr>
          <w:rFonts w:ascii="Times New Roman" w:hAnsi="Times New Roman"/>
          <w:sz w:val="24"/>
          <w:szCs w:val="24"/>
        </w:rPr>
        <w:t xml:space="preserve"> elfogadásra,</w:t>
      </w:r>
      <w:r w:rsidR="00DB4883" w:rsidRPr="00DB4883">
        <w:rPr>
          <w:rFonts w:ascii="Times New Roman" w:hAnsi="Times New Roman"/>
          <w:sz w:val="24"/>
          <w:szCs w:val="24"/>
        </w:rPr>
        <w:t xml:space="preserve"> </w:t>
      </w:r>
      <w:r w:rsidR="00DB4883">
        <w:rPr>
          <w:rFonts w:ascii="Times New Roman" w:hAnsi="Times New Roman"/>
          <w:sz w:val="24"/>
          <w:szCs w:val="24"/>
        </w:rPr>
        <w:t>nem konvergencia régióról konvergencia régióra, a 2013. év és az I. tengely forrásai tekintetében</w:t>
      </w:r>
      <w:r>
        <w:rPr>
          <w:rFonts w:ascii="Times New Roman" w:hAnsi="Times New Roman"/>
          <w:sz w:val="24"/>
          <w:szCs w:val="24"/>
        </w:rPr>
        <w:t>.</w:t>
      </w:r>
      <w:r w:rsidR="00DB4883">
        <w:rPr>
          <w:rFonts w:ascii="Times New Roman" w:hAnsi="Times New Roman"/>
          <w:sz w:val="24"/>
          <w:szCs w:val="24"/>
        </w:rPr>
        <w:t xml:space="preserve"> Az átcsoportosítási javaslat a kedvezményezetteket közvetlenül nem érinti, de lehetőséget biztosít az IH-nak az uniós források lehívásának maximalizálására.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Rajnai Gábor, ECOVAST</w:t>
      </w:r>
      <w:r>
        <w:rPr>
          <w:rFonts w:ascii="Times New Roman" w:hAnsi="Times New Roman"/>
          <w:sz w:val="24"/>
          <w:szCs w:val="24"/>
        </w:rPr>
        <w:t xml:space="preserve"> kérdezte, hogy praktikus okból érinti csak az I. tengelyt a javaslat?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Búsi Lajos, </w:t>
      </w:r>
      <w:r w:rsidR="00133953">
        <w:rPr>
          <w:rFonts w:ascii="Times New Roman" w:hAnsi="Times New Roman"/>
          <w:sz w:val="24"/>
          <w:szCs w:val="24"/>
          <w:u w:val="single"/>
        </w:rPr>
        <w:t xml:space="preserve">MB </w:t>
      </w:r>
      <w:r>
        <w:rPr>
          <w:rFonts w:ascii="Times New Roman" w:hAnsi="Times New Roman"/>
          <w:sz w:val="24"/>
          <w:szCs w:val="24"/>
          <w:u w:val="single"/>
        </w:rPr>
        <w:t>elnök</w:t>
      </w:r>
      <w:r>
        <w:rPr>
          <w:rFonts w:ascii="Times New Roman" w:hAnsi="Times New Roman"/>
          <w:sz w:val="24"/>
          <w:szCs w:val="24"/>
        </w:rPr>
        <w:t xml:space="preserve"> úgy válaszolt, hogy praktikus oka van,</w:t>
      </w:r>
      <w:r w:rsidR="00133953">
        <w:rPr>
          <w:rFonts w:ascii="Times New Roman" w:hAnsi="Times New Roman"/>
          <w:sz w:val="24"/>
          <w:szCs w:val="24"/>
        </w:rPr>
        <w:t xml:space="preserve"> hiszen az I. tengelyre koncentrálódnak a kifizetések. A módosított javaslattal</w:t>
      </w:r>
      <w:r>
        <w:rPr>
          <w:rFonts w:ascii="Times New Roman" w:hAnsi="Times New Roman"/>
          <w:sz w:val="24"/>
          <w:szCs w:val="24"/>
        </w:rPr>
        <w:t xml:space="preserve"> az </w:t>
      </w:r>
      <w:r w:rsidR="00133953">
        <w:rPr>
          <w:rFonts w:ascii="Times New Roman" w:hAnsi="Times New Roman"/>
          <w:sz w:val="24"/>
          <w:szCs w:val="24"/>
        </w:rPr>
        <w:t xml:space="preserve">átcsoportosított </w:t>
      </w:r>
      <w:r>
        <w:rPr>
          <w:rFonts w:ascii="Times New Roman" w:hAnsi="Times New Roman"/>
          <w:sz w:val="24"/>
          <w:szCs w:val="24"/>
        </w:rPr>
        <w:t xml:space="preserve">összeg eléri a 2013. évi </w:t>
      </w:r>
      <w:r w:rsidR="00133953">
        <w:rPr>
          <w:rFonts w:ascii="Times New Roman" w:hAnsi="Times New Roman"/>
          <w:sz w:val="24"/>
          <w:szCs w:val="24"/>
        </w:rPr>
        <w:t xml:space="preserve">nem konvergencia keretet, azaz a jelenleg átcsoportosítható </w:t>
      </w:r>
      <w:r>
        <w:rPr>
          <w:rFonts w:ascii="Times New Roman" w:hAnsi="Times New Roman"/>
          <w:sz w:val="24"/>
          <w:szCs w:val="24"/>
        </w:rPr>
        <w:t>maxim</w:t>
      </w:r>
      <w:r w:rsidR="00133953">
        <w:rPr>
          <w:rFonts w:ascii="Times New Roman" w:hAnsi="Times New Roman"/>
          <w:sz w:val="24"/>
          <w:szCs w:val="24"/>
        </w:rPr>
        <w:t>ális összeget</w:t>
      </w:r>
      <w:r>
        <w:rPr>
          <w:rFonts w:ascii="Times New Roman" w:hAnsi="Times New Roman"/>
          <w:sz w:val="24"/>
          <w:szCs w:val="24"/>
        </w:rPr>
        <w:t>.</w:t>
      </w:r>
    </w:p>
    <w:p w:rsidR="00CA67AF" w:rsidRDefault="001E1AC5">
      <w:pPr>
        <w:pStyle w:val="Standard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40 igen szavazattal 1 tartózkodás mellett jóváhagyta a Darányi Ignác Terv - Új Magyarország Vidékfejlesztési Program I. tengelyén 50 000 523 euró EMVA forrás átcsoportosítását nem konvergencia régióról konvergencia régióra a 2013. év</w:t>
      </w:r>
      <w:r w:rsidR="00124306">
        <w:rPr>
          <w:rFonts w:ascii="Times New Roman" w:hAnsi="Times New Roman"/>
          <w:b/>
          <w:i/>
          <w:sz w:val="24"/>
          <w:szCs w:val="24"/>
        </w:rPr>
        <w:t xml:space="preserve"> tekintetében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javaslat szerint a 111. intézkedési kódszámú Szakképzési és tájékoztatási tevékenységek intézkedés kedvezményezetti köre kerüljön visszaállításra a 8. verziószámú programmódosítás jóváhagyását megelőző állapotba, tekintettel a programzárásig még várhatóan jelentkező kevés képzési igényre és az intézkedés </w:t>
      </w:r>
      <w:r>
        <w:rPr>
          <w:rFonts w:ascii="Times New Roman" w:hAnsi="Times New Roman"/>
          <w:sz w:val="24"/>
          <w:szCs w:val="24"/>
        </w:rPr>
        <w:lastRenderedPageBreak/>
        <w:t>működéséből hátralevő rövid időre</w:t>
      </w:r>
      <w:r w:rsidR="006C4925">
        <w:rPr>
          <w:rFonts w:ascii="Times New Roman" w:hAnsi="Times New Roman"/>
          <w:sz w:val="24"/>
          <w:szCs w:val="24"/>
        </w:rPr>
        <w:t>. (A programmódosításokról szóló prezentáció az emlékeztetőhöz mellékelve)</w:t>
      </w:r>
      <w:r>
        <w:rPr>
          <w:rFonts w:ascii="Times New Roman" w:hAnsi="Times New Roman"/>
          <w:sz w:val="24"/>
          <w:szCs w:val="24"/>
        </w:rPr>
        <w:t>.</w:t>
      </w:r>
    </w:p>
    <w:p w:rsidR="00CA67AF" w:rsidRDefault="001E1AC5">
      <w:pPr>
        <w:pStyle w:val="Standard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39 igen szavazattal 2 tartózkodás mellett jóváhagyta a Darányi Ignác Terv - Új Magyarország Vidékfejlesztési Program I. tengelyén 111. intézkedési kódszámú Szakképzési és tájékoztatási tevékenységek intézkedés kedvezményezetti köre kerüljön visszaállításra a 8. verziószámú programmódosítás jóváhagyását megelőző állapotba.</w:t>
      </w: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Fiatal gazdák induló támogatása (112.) intézkedésre 5 815 943 euró közkiadást csoportosítanak át a Mezőgazdasági termelők gazdaságátadási támogatása (113.) intézkedés terhére, a beérkezett támogatási igények forrásfedezetének biztosítására, illetve a Program keretében rendelkezésre álló források kihasználásának maximalizálása érdekében.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egyhangúlag jóváhagyta a Darányi Ignác Terv - Új Magyarország Vidékfejlesztési Programban 5 815 943 euró közkiadás átcsoportosítását a Fiatal gazdák induló támogatása (112.) intézkedésre a Mezőgazdasági termelők gazdaságátadási támogatása (113.) intézkedés terhére.</w:t>
      </w: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Mezőgazdasági üzemek korszerűsítése - Beruházás az állattenyésztésben (121.2.) </w:t>
      </w:r>
      <w:r w:rsidR="00124306"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z w:val="24"/>
          <w:szCs w:val="24"/>
        </w:rPr>
        <w:t>intézkedésre 34 211 427 euró közkiadást csoportosítanak át a Mezőgazdasági üzemek korszerűsítése - Beruházások a szántóföldi növénytermesztésben és a kertészetben (121.1.)</w:t>
      </w:r>
    </w:p>
    <w:p w:rsidR="00CA67AF" w:rsidRDefault="0012430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</w:t>
      </w:r>
      <w:r w:rsidR="001E1AC5">
        <w:rPr>
          <w:rFonts w:ascii="Times New Roman" w:hAnsi="Times New Roman"/>
          <w:sz w:val="24"/>
          <w:szCs w:val="24"/>
        </w:rPr>
        <w:t>intézkedés terhére a támogatási igények forrásfedezetének biztosítására, illetve a Program keretében rendelkezésre álló források kihasználásának maximalizálása érdekében.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Tóth István, Mezőgazdasági Szövetkezők és Termelők Országos Szövetsége:</w:t>
      </w:r>
      <w:r>
        <w:rPr>
          <w:rFonts w:ascii="Times New Roman" w:hAnsi="Times New Roman"/>
          <w:sz w:val="24"/>
          <w:szCs w:val="24"/>
        </w:rPr>
        <w:t xml:space="preserve"> az átcsoportosítással egyetértenek, fontos a gazdaságfejlesztés szempontjából a forrásfelhasználás maximalizálása. Megfelelő harmonizálás hiányában a konkrét intézkedéseknél aggályos lehet. Ennél a csoportnál a lekötés 91%-os, a felhasználás 61%-os. A konkrét pályázatok és jogszabályok meghirdetésénél olyan feltételeket kell alkalmazni, melyek nem zárják ki egymást, illetve az olyan termelőket, akik a meghirdetett területeken szeretnék a pályázatokat benyújtani. Öntözés esetében tulajdonosi hozzájárulás kell a beruházáshoz, az NFÁ-nál ez hosszú ideig tart.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Búsi Lajos, </w:t>
      </w:r>
      <w:r w:rsidR="00124306">
        <w:rPr>
          <w:rFonts w:ascii="Times New Roman" w:hAnsi="Times New Roman"/>
          <w:sz w:val="24"/>
          <w:szCs w:val="24"/>
          <w:u w:val="single"/>
        </w:rPr>
        <w:t xml:space="preserve">MB </w:t>
      </w:r>
      <w:r>
        <w:rPr>
          <w:rFonts w:ascii="Times New Roman" w:hAnsi="Times New Roman"/>
          <w:sz w:val="24"/>
          <w:szCs w:val="24"/>
          <w:u w:val="single"/>
        </w:rPr>
        <w:t>elnök</w:t>
      </w:r>
      <w:r>
        <w:rPr>
          <w:rFonts w:ascii="Times New Roman" w:hAnsi="Times New Roman"/>
          <w:sz w:val="24"/>
          <w:szCs w:val="24"/>
        </w:rPr>
        <w:t xml:space="preserve"> elmondta, hogy az intézkedések csoportokat, ágazatokat céloznak. A pályázóknak ki kell elégíteniük a szükséges és elégséges feltételeket, amelyet az EU és a hazai szabályozás előír. Az elmúlt két és fél évben az egyszer már kiosztott forrásokból több mint 200 </w:t>
      </w:r>
      <w:r w:rsidR="00124306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rd Ft jött vissza a rendszerbe a bevezetett szabályozásnak köszönhetően.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38 igen szavazattal 3 tartózkodás mellett jóváhagyta a Darányi Ignác Terv - Új Magyarország Vidékfejlesztési Programban 34 211 427 euró közkiadás átcsoportosítását a Mezőgazdasági üzemek korszerűsítése - Beruházás az állattenyésztésben (121.2.) </w:t>
      </w:r>
      <w:r w:rsidR="00124306">
        <w:rPr>
          <w:rFonts w:ascii="Times New Roman" w:hAnsi="Times New Roman"/>
          <w:b/>
          <w:i/>
          <w:sz w:val="24"/>
          <w:szCs w:val="24"/>
        </w:rPr>
        <w:t>al</w:t>
      </w:r>
      <w:r>
        <w:rPr>
          <w:rFonts w:ascii="Times New Roman" w:hAnsi="Times New Roman"/>
          <w:b/>
          <w:i/>
          <w:sz w:val="24"/>
          <w:szCs w:val="24"/>
        </w:rPr>
        <w:t xml:space="preserve">intézkedésre a Mezőgazdasági üzemek korszerűsítése - </w:t>
      </w: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Beruházások a szántóföldi növénytermesztésben és a kertészetben (121.1.) </w:t>
      </w:r>
      <w:r w:rsidR="00124306">
        <w:rPr>
          <w:rFonts w:ascii="Times New Roman" w:hAnsi="Times New Roman"/>
          <w:b/>
          <w:i/>
          <w:sz w:val="24"/>
          <w:szCs w:val="24"/>
        </w:rPr>
        <w:t>al</w:t>
      </w:r>
      <w:r>
        <w:rPr>
          <w:rFonts w:ascii="Times New Roman" w:hAnsi="Times New Roman"/>
          <w:b/>
          <w:i/>
          <w:sz w:val="24"/>
          <w:szCs w:val="24"/>
        </w:rPr>
        <w:t>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</w:t>
      </w:r>
      <w:r>
        <w:rPr>
          <w:rFonts w:ascii="Times New Roman" w:hAnsi="Times New Roman"/>
          <w:sz w:val="24"/>
          <w:szCs w:val="24"/>
          <w:lang w:bidi="bn-IN"/>
        </w:rPr>
        <w:t>a Mezőgazdasági üzemek korszerűsítése - Üzemi diverzifikáció (121.5.) alintézkedésre összesen 51 317 139 euró közkiadást csoportosítanak át az alábbiak szerint:</w:t>
      </w:r>
    </w:p>
    <w:p w:rsidR="00CA67AF" w:rsidRDefault="001E1AC5">
      <w:pPr>
        <w:pStyle w:val="Listaszerbekezds"/>
        <w:numPr>
          <w:ilvl w:val="0"/>
          <w:numId w:val="49"/>
        </w:numPr>
        <w:spacing w:line="240" w:lineRule="auto"/>
        <w:jc w:val="both"/>
        <w:rPr>
          <w:rFonts w:ascii="Times New Roman" w:hAnsi="Times New Roman"/>
          <w:sz w:val="24"/>
          <w:szCs w:val="24"/>
          <w:lang w:bidi="bn-IN"/>
        </w:rPr>
      </w:pPr>
      <w:r>
        <w:rPr>
          <w:rFonts w:ascii="Times New Roman" w:hAnsi="Times New Roman"/>
          <w:sz w:val="24"/>
          <w:szCs w:val="24"/>
          <w:lang w:bidi="bn-IN"/>
        </w:rPr>
        <w:t>23 947 998 euró (közkiadás) a Mezőgazdasági üzemek korszerűsítése - Beruházások a szántóföldi növénytermesztés és kertészetben (121.1.) alintézkedés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bidi="bn-IN"/>
        </w:rPr>
        <w:t>2 942 183 euró (közkiadás)</w:t>
      </w:r>
      <w:r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  <w:lang w:bidi="bn-IN"/>
        </w:rPr>
        <w:t>Mezőgazdasági üzemek korszerűsítése - Évelő ültetvények telepítése (121.4.) alintézkedés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4"/>
          <w:szCs w:val="24"/>
          <w:lang w:bidi="bn-IN"/>
        </w:rPr>
      </w:pPr>
      <w:r>
        <w:rPr>
          <w:rFonts w:ascii="Times New Roman" w:hAnsi="Times New Roman"/>
          <w:sz w:val="24"/>
          <w:szCs w:val="24"/>
          <w:lang w:bidi="bn-IN"/>
        </w:rPr>
        <w:t>18 953 130 euró (közkiadás) a Mezőgazdasági termékek értéknövelése (123.) 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bidi="bn-IN"/>
        </w:rPr>
        <w:t>4 447 485 euró (közkiadás)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bidi="bn-IN"/>
        </w:rPr>
        <w:t>A mezőgazdaság és az erdészet fejlesztéséhez és korszerűsítéséhez kapcsolódó infrastruktúra (125.) 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bidi="bn-IN"/>
        </w:rPr>
        <w:t>1 026 343 euró (közkiadás)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bidi="bn-IN"/>
        </w:rPr>
        <w:t>A közösségi jogszabályokon alapuló előírások betartásának támogatása (131.) intézkedés terhére</w:t>
      </w:r>
    </w:p>
    <w:p w:rsidR="00CA67AF" w:rsidRDefault="001E1AC5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támogatási igények forrásfedezetének biztosítására, illetve a Program keretében rendelkezésre álló források kihasználásának maximalizálása érdekében.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Fórián Zoltán, ÉFOSZ</w:t>
      </w:r>
      <w:r>
        <w:rPr>
          <w:rFonts w:ascii="Times New Roman" w:hAnsi="Times New Roman"/>
          <w:sz w:val="24"/>
          <w:szCs w:val="24"/>
        </w:rPr>
        <w:t xml:space="preserve"> nem ért egyet a 123. intézkedésről történő átcsoportosítással.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Búsi Lajos, </w:t>
      </w:r>
      <w:r w:rsidR="00782546">
        <w:rPr>
          <w:rFonts w:ascii="Times New Roman" w:hAnsi="Times New Roman"/>
          <w:sz w:val="24"/>
          <w:szCs w:val="24"/>
          <w:u w:val="single"/>
        </w:rPr>
        <w:t xml:space="preserve">MB </w:t>
      </w:r>
      <w:r>
        <w:rPr>
          <w:rFonts w:ascii="Times New Roman" w:hAnsi="Times New Roman"/>
          <w:sz w:val="24"/>
          <w:szCs w:val="24"/>
          <w:u w:val="single"/>
        </w:rPr>
        <w:t>elnök:</w:t>
      </w:r>
      <w:r>
        <w:rPr>
          <w:rFonts w:ascii="Times New Roman" w:hAnsi="Times New Roman"/>
          <w:sz w:val="24"/>
          <w:szCs w:val="24"/>
        </w:rPr>
        <w:t xml:space="preserve"> a módosítással javítanának egy méltánytalanul bekalibrált intézkedésen. A Kormány szándéka, hogy a termelőknél növelje a hozzáadott értéket. A 123. intézkedésen is marad forrás.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35 igen szavazattal, 1 nem szavazat és 4 tartózkodás mellett jóváhagyta a Darányi Ignác Terv - Új Magyarország Vidékfejlesztési Programban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 xml:space="preserve">51 317 139 </w:t>
      </w:r>
      <w:r>
        <w:rPr>
          <w:rFonts w:ascii="Times New Roman" w:hAnsi="Times New Roman"/>
          <w:b/>
          <w:i/>
          <w:sz w:val="24"/>
          <w:szCs w:val="24"/>
        </w:rPr>
        <w:t xml:space="preserve">euró közkiadás átcsoportosítását a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>Mezőgazdasági üzemek korszerűsítése - Üzemi diverzifikáció (121.5.) alintézkedésre az alábbiak szerint: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bidi="bn-IN"/>
        </w:rPr>
      </w:pPr>
      <w:r>
        <w:rPr>
          <w:rFonts w:ascii="Times New Roman" w:hAnsi="Times New Roman"/>
          <w:b/>
          <w:i/>
          <w:sz w:val="24"/>
          <w:szCs w:val="24"/>
          <w:lang w:bidi="bn-IN"/>
        </w:rPr>
        <w:t>23 947 998 euró (közkiadás) a Mezőgazdasági üzemek korszerűsítése - Beruházások a szántóföldi növénytermesztés és kertészetben (121.1.) alintézkedés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  <w:lang w:bidi="bn-IN"/>
        </w:rPr>
        <w:t>2 942 183 euró (közkiadás)</w:t>
      </w:r>
      <w:r>
        <w:rPr>
          <w:rFonts w:ascii="Times New Roman" w:hAnsi="Times New Roman"/>
          <w:b/>
          <w:i/>
          <w:sz w:val="24"/>
          <w:szCs w:val="24"/>
        </w:rPr>
        <w:t xml:space="preserve"> a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>Mezőgazdasági üzemek korszerűsítése - Évelő ültetvények telepítése (121.4.) alintézkedés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bidi="bn-IN"/>
        </w:rPr>
      </w:pPr>
      <w:r>
        <w:rPr>
          <w:rFonts w:ascii="Times New Roman" w:hAnsi="Times New Roman"/>
          <w:b/>
          <w:i/>
          <w:sz w:val="24"/>
          <w:szCs w:val="24"/>
          <w:lang w:bidi="bn-IN"/>
        </w:rPr>
        <w:t>18 953 130 euró (közkiadás) a Mezőgazdasági termékek értéknövelése (123.) intézkedés terhére,</w:t>
      </w:r>
    </w:p>
    <w:p w:rsidR="00CA67AF" w:rsidRPr="005373A5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  <w:lang w:bidi="bn-IN"/>
        </w:rPr>
        <w:t>4 447 485 euró (közkiadás)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>A mezőgazdaság és az erdészet fejlesztéséhez és korszerűsítéséhez kapcsolódó infrastruktúra (125.) intézkedés terhére.</w:t>
      </w:r>
    </w:p>
    <w:p w:rsidR="00CB252C" w:rsidRDefault="00CB252C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  <w:lang w:bidi="bn-IN"/>
        </w:rPr>
        <w:t xml:space="preserve">1 026 343 </w:t>
      </w:r>
      <w:r>
        <w:rPr>
          <w:rFonts w:ascii="Times New Roman" w:hAnsi="Times New Roman"/>
          <w:sz w:val="24"/>
          <w:szCs w:val="24"/>
          <w:lang w:bidi="bn-IN"/>
        </w:rPr>
        <w:t>euró (közkiadás)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bidi="bn-IN"/>
        </w:rPr>
        <w:t>A közösségi jogszabályokon alapuló előírások betartásának támogatása (131.)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Termelői csoportok létrehozásának támogatása (142.) intézkedésre </w:t>
      </w:r>
      <w:r>
        <w:rPr>
          <w:rFonts w:ascii="Times New Roman" w:hAnsi="Times New Roman"/>
          <w:sz w:val="24"/>
          <w:szCs w:val="24"/>
          <w:lang w:bidi="bn-IN"/>
        </w:rPr>
        <w:t xml:space="preserve">összesen 10 263 428 euró (közkiadás) átcsoportosítására kerül sor az alábbiak szerint a Mezőgazdasági termelők gazdaságátadási támogatása (113.), </w:t>
      </w:r>
      <w:r w:rsidR="00782546">
        <w:rPr>
          <w:rFonts w:ascii="Times New Roman" w:hAnsi="Times New Roman"/>
          <w:sz w:val="24"/>
          <w:szCs w:val="24"/>
          <w:lang w:bidi="bn-IN"/>
        </w:rPr>
        <w:t>A</w:t>
      </w:r>
      <w:r>
        <w:rPr>
          <w:rFonts w:ascii="Times New Roman" w:hAnsi="Times New Roman"/>
          <w:sz w:val="24"/>
          <w:szCs w:val="24"/>
          <w:lang w:bidi="bn-IN"/>
        </w:rPr>
        <w:t xml:space="preserve"> </w:t>
      </w:r>
      <w:r w:rsidR="00782546">
        <w:rPr>
          <w:rFonts w:ascii="Times New Roman" w:hAnsi="Times New Roman"/>
          <w:sz w:val="24"/>
          <w:szCs w:val="24"/>
          <w:lang w:bidi="bn-IN"/>
        </w:rPr>
        <w:t>m</w:t>
      </w:r>
      <w:r>
        <w:rPr>
          <w:rFonts w:ascii="Times New Roman" w:hAnsi="Times New Roman"/>
          <w:sz w:val="24"/>
          <w:szCs w:val="24"/>
          <w:lang w:bidi="bn-IN"/>
        </w:rPr>
        <w:t xml:space="preserve">ezőgazdaság és az erdészet fejlesztéséhez és korszerűsítéséhez kapcsolódó infrastruktúra (125.) intézkedés, valamint </w:t>
      </w:r>
      <w:r w:rsidR="00782546">
        <w:rPr>
          <w:rFonts w:ascii="Times New Roman" w:hAnsi="Times New Roman"/>
          <w:sz w:val="24"/>
          <w:szCs w:val="24"/>
          <w:lang w:bidi="bn-IN"/>
        </w:rPr>
        <w:t>A s</w:t>
      </w:r>
      <w:r>
        <w:rPr>
          <w:rFonts w:ascii="Times New Roman" w:hAnsi="Times New Roman"/>
          <w:sz w:val="24"/>
          <w:szCs w:val="24"/>
          <w:lang w:bidi="bn-IN"/>
        </w:rPr>
        <w:t>zerkezetátalakítás alatt álló, félig önellátó gazdaságok támogatása (141.) intézkedés terhére</w:t>
      </w:r>
      <w:r>
        <w:rPr>
          <w:rFonts w:ascii="Times New Roman" w:hAnsi="Times New Roman"/>
          <w:sz w:val="24"/>
          <w:szCs w:val="24"/>
        </w:rPr>
        <w:t xml:space="preserve"> a beérkezett </w:t>
      </w:r>
      <w:r>
        <w:rPr>
          <w:rFonts w:ascii="Times New Roman" w:hAnsi="Times New Roman"/>
          <w:sz w:val="24"/>
          <w:szCs w:val="24"/>
        </w:rPr>
        <w:lastRenderedPageBreak/>
        <w:t>támogatási igények forrásfedezetének biztosítására, illetve a Program keretében rendelkezésre álló források kihasználásának maximalizálása érdekében.</w:t>
      </w:r>
    </w:p>
    <w:p w:rsidR="00CA67AF" w:rsidRDefault="00CA67AF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38 igen szavazattal 2 tartózkodás mellett jóváhagyta a Darányi Ignác Terv - Új Magyarország Vidékfejlesztési Programban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 xml:space="preserve">10 263 428 euró (közkiadás) átcsoportosítását </w:t>
      </w:r>
      <w:r>
        <w:rPr>
          <w:rFonts w:ascii="Times New Roman" w:hAnsi="Times New Roman"/>
          <w:b/>
          <w:i/>
          <w:sz w:val="24"/>
          <w:szCs w:val="24"/>
        </w:rPr>
        <w:t>a Termelői csoportok létrehozásának támogatása (142.) intézkedésre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 xml:space="preserve"> az alábbiak szerint: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bidi="bn-IN"/>
        </w:rPr>
      </w:pPr>
      <w:r>
        <w:rPr>
          <w:rFonts w:ascii="Times New Roman" w:hAnsi="Times New Roman"/>
          <w:b/>
          <w:i/>
          <w:sz w:val="24"/>
          <w:szCs w:val="24"/>
          <w:lang w:bidi="bn-IN"/>
        </w:rPr>
        <w:t>1 710 571 euró (közkiadás) a Mezőgazdasági termelők gazdaságátadási támogatása (113.) 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bidi="bn-IN"/>
        </w:rPr>
      </w:pPr>
      <w:r>
        <w:rPr>
          <w:rFonts w:ascii="Times New Roman" w:hAnsi="Times New Roman"/>
          <w:b/>
          <w:i/>
          <w:sz w:val="24"/>
          <w:szCs w:val="24"/>
          <w:lang w:bidi="bn-IN"/>
        </w:rPr>
        <w:t>5 473 829 euró (közkiadás) A mezőgazdaság és az erdészet fejlesztéséhez és korszerűsítéséhez kapcsolódó infrastruktúra (125.) intézkedés terhére, valamint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  <w:lang w:bidi="bn-IN"/>
        </w:rPr>
      </w:pPr>
      <w:r>
        <w:rPr>
          <w:rFonts w:ascii="Times New Roman" w:hAnsi="Times New Roman"/>
          <w:b/>
          <w:i/>
          <w:sz w:val="24"/>
          <w:szCs w:val="24"/>
          <w:lang w:bidi="bn-IN"/>
        </w:rPr>
        <w:t>3 079 028 euró (közkiadás) A szerkezetátalakítás alatt álló, félig önellátó gazdaságok támogatása (141.) intézkedés terhére.</w:t>
      </w:r>
    </w:p>
    <w:p w:rsidR="00CA67AF" w:rsidRDefault="00CA67AF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Kifizetés kedvezőtlen adottságú területen gazdálkodók részére (kivéve hegyvidéki területek) (212.) intézkedésre </w:t>
      </w:r>
      <w:r>
        <w:rPr>
          <w:rFonts w:ascii="Times New Roman" w:hAnsi="Times New Roman"/>
          <w:sz w:val="24"/>
          <w:szCs w:val="24"/>
          <w:lang w:bidi="bn-IN"/>
        </w:rPr>
        <w:t>összesen 12 316 115 euró (közkiadás) átcsoportosítására kerül sor az alábbiak szerint: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</w:rPr>
        <w:t>6 842 286 euró (közkiadás) a Mezőgazdasági területek első erdősítése (221) terhére</w:t>
      </w:r>
      <w:r>
        <w:rPr>
          <w:rFonts w:ascii="Times New Roman" w:hAnsi="Times New Roman"/>
          <w:sz w:val="24"/>
          <w:szCs w:val="24"/>
          <w:lang w:bidi="bn-IN"/>
        </w:rPr>
        <w:t>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1 952 495 euró (közkiadás) a Nem mezőgazdasági földterület első erdősítése (223) 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3 521 334 euró (közkiadás) az Erdő-környezetvédelmi kifizetések (225)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Dr. Sárvári János, Magán Erdőtulajdonosok és Gazdálkodók Országos Szövetsége</w:t>
      </w:r>
      <w:r>
        <w:rPr>
          <w:rFonts w:ascii="Times New Roman" w:hAnsi="Times New Roman"/>
          <w:sz w:val="24"/>
          <w:szCs w:val="24"/>
        </w:rPr>
        <w:t>: az erdőtelepítések az NVT-s időszak végén még 19 500 ha-nál tartottak, mára ez évi 2-3</w:t>
      </w:r>
      <w:r w:rsidR="005D1C0A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ezer</w:t>
      </w:r>
      <w:r w:rsidR="0083097E">
        <w:t> </w:t>
      </w:r>
      <w:r>
        <w:rPr>
          <w:rFonts w:ascii="Times New Roman" w:hAnsi="Times New Roman"/>
          <w:sz w:val="24"/>
          <w:szCs w:val="24"/>
        </w:rPr>
        <w:t xml:space="preserve">ha-ra csökkent. Jövedelempótló támogatásokat, földalapú támogatásokat is meg kell jeleníteni a 2014-2020-as időszakban, be kell vonni az ún. ipari faültetvényeket is. Üdvözli, hogy a </w:t>
      </w:r>
      <w:r w:rsidR="005D1C0A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em mezőgazdasági területek első erdősítése intézkedés elindul 2014. évben.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Dr. Jaczkó József, KIM:</w:t>
      </w:r>
      <w:r>
        <w:rPr>
          <w:rFonts w:ascii="Times New Roman" w:hAnsi="Times New Roman"/>
          <w:sz w:val="24"/>
          <w:szCs w:val="24"/>
        </w:rPr>
        <w:t xml:space="preserve"> az erdőtelepítési és erdő-környezetvédelmi támogatások 2014-2020</w:t>
      </w:r>
      <w:r w:rsidR="005D1C0A">
        <w:rPr>
          <w:rFonts w:ascii="Times New Roman" w:hAnsi="Times New Roman"/>
          <w:sz w:val="24"/>
          <w:szCs w:val="24"/>
        </w:rPr>
        <w:t xml:space="preserve">–as </w:t>
      </w:r>
      <w:r>
        <w:rPr>
          <w:rFonts w:ascii="Times New Roman" w:hAnsi="Times New Roman"/>
          <w:sz w:val="24"/>
          <w:szCs w:val="24"/>
        </w:rPr>
        <w:t>tervezéskor a jövedelempótló támogatásokra is figyelmet kell fordítani. Klímaváltozási jelentősége van, továbbá közjóléti feladatok ellátás</w:t>
      </w:r>
      <w:r w:rsidR="005D1C0A">
        <w:rPr>
          <w:rFonts w:ascii="Times New Roman" w:hAnsi="Times New Roman"/>
          <w:sz w:val="24"/>
          <w:szCs w:val="24"/>
        </w:rPr>
        <w:t>a szempontj</w:t>
      </w:r>
      <w:r>
        <w:rPr>
          <w:rFonts w:ascii="Times New Roman" w:hAnsi="Times New Roman"/>
          <w:sz w:val="24"/>
          <w:szCs w:val="24"/>
        </w:rPr>
        <w:t>ából fontos. Normatív támogatást be kellene vezetni a hazai és uniós jogban.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Papp Gergely, Nemzeti Agrárgazdasági Kamara</w:t>
      </w:r>
      <w:r>
        <w:rPr>
          <w:rFonts w:ascii="Times New Roman" w:hAnsi="Times New Roman"/>
          <w:sz w:val="24"/>
          <w:szCs w:val="24"/>
        </w:rPr>
        <w:t xml:space="preserve"> javasolja figyelembe venni, hogy az erdőterületek területalapú támogatásba való bevonása esetén az erdősült skandináv országok kapnák a támogatás nagy részét.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Fidrich Róbert, Magyar Természetvédők Szövetsége</w:t>
      </w:r>
      <w:r>
        <w:rPr>
          <w:rFonts w:ascii="Times New Roman" w:hAnsi="Times New Roman"/>
          <w:sz w:val="24"/>
          <w:szCs w:val="24"/>
        </w:rPr>
        <w:t xml:space="preserve"> szerint az első erdősítés és a környezetvédelem alapvető fontosságú szempontok. Ha ezekre kicsi az igény, akkor szemléletformálásra van szükség.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Búsi Lajos</w:t>
      </w:r>
      <w:r w:rsidR="005D1C0A">
        <w:rPr>
          <w:rFonts w:ascii="Times New Roman" w:hAnsi="Times New Roman"/>
          <w:sz w:val="24"/>
          <w:szCs w:val="24"/>
          <w:u w:val="single"/>
        </w:rPr>
        <w:t>, MB</w:t>
      </w:r>
      <w:r>
        <w:rPr>
          <w:rFonts w:ascii="Times New Roman" w:hAnsi="Times New Roman"/>
          <w:sz w:val="24"/>
          <w:szCs w:val="24"/>
          <w:u w:val="single"/>
        </w:rPr>
        <w:t xml:space="preserve"> elnök</w:t>
      </w:r>
      <w:r>
        <w:rPr>
          <w:rFonts w:ascii="Times New Roman" w:hAnsi="Times New Roman"/>
          <w:sz w:val="24"/>
          <w:szCs w:val="24"/>
        </w:rPr>
        <w:t xml:space="preserve"> szerint az erdőknek nemcsak nonprofit, hanem gazdasági szempontból is nagy jelentőségük van. Nem tájidegen fafajokra van szükség. A 2014-2020. </w:t>
      </w:r>
      <w:r w:rsidR="005D1C0A">
        <w:rPr>
          <w:rFonts w:ascii="Times New Roman" w:hAnsi="Times New Roman"/>
          <w:sz w:val="24"/>
          <w:szCs w:val="24"/>
        </w:rPr>
        <w:t xml:space="preserve">közötti </w:t>
      </w:r>
      <w:r>
        <w:rPr>
          <w:rFonts w:ascii="Times New Roman" w:hAnsi="Times New Roman"/>
          <w:sz w:val="24"/>
          <w:szCs w:val="24"/>
        </w:rPr>
        <w:t>időszak tervezésekor elemezni kell az elmúlt időszakot.</w:t>
      </w:r>
    </w:p>
    <w:p w:rsidR="00CA67AF" w:rsidRDefault="00CA67AF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37 igen szavazattal, 1 nem szavazat és 1 tartózkodás mellett jóváhagyta a Darányi Ignác Terv - Új Magyarország Vidékfejlesztési Programban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 xml:space="preserve">12 316 115 euró (közkiadás) átcsoportosítását a </w:t>
      </w:r>
      <w:r>
        <w:rPr>
          <w:rFonts w:ascii="Times New Roman" w:hAnsi="Times New Roman"/>
          <w:b/>
          <w:i/>
          <w:sz w:val="24"/>
          <w:szCs w:val="24"/>
        </w:rPr>
        <w:t>Kifizetés kedvezőtlen adottságú területen gazdálkodók részére (kivéve hegyvidéki területek) (212.) intézkedésre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>az alábbiak szerint: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rPr>
          <w:rFonts w:ascii="Times New Roman" w:hAnsi="Times New Roman"/>
          <w:b/>
          <w:i/>
          <w:sz w:val="24"/>
          <w:szCs w:val="24"/>
        </w:rPr>
        <w:t>6 842 286 euró (közkiadás) a Mezőgazdasági területek első erdősítése (221) terhére</w:t>
      </w:r>
      <w:r>
        <w:rPr>
          <w:rFonts w:ascii="Times New Roman" w:hAnsi="Times New Roman"/>
          <w:b/>
          <w:i/>
          <w:sz w:val="24"/>
          <w:szCs w:val="24"/>
          <w:lang w:bidi="bn-IN"/>
        </w:rPr>
        <w:t>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1 952 495 euró (közkiadás) a Nem mezőgazdasági földterület első erdősítése (223) intézkedés terhére,</w:t>
      </w:r>
    </w:p>
    <w:p w:rsidR="00CA67AF" w:rsidRDefault="001E1AC5">
      <w:pPr>
        <w:pStyle w:val="Listaszerbekezds"/>
        <w:numPr>
          <w:ilvl w:val="0"/>
          <w:numId w:val="47"/>
        </w:num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3 521 334 euró (közkiadás) az Erdő-környezetvédelmi kifizetések (225) intézkedés terhére.</w:t>
      </w:r>
    </w:p>
    <w:p w:rsidR="00CA67AF" w:rsidRDefault="00CA67AF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Mezőgazdasági területek első erdősítése intézkedés (221.) terhére csoportosítanak át 17 105 713 eurót (közkiadás) a Natura 2000 kifizetések mezőgazdasági területeken (213.) intézkedésre, amely a 2014. évben várhatóan ismét megnyílik.</w:t>
      </w:r>
    </w:p>
    <w:p w:rsidR="00CA67AF" w:rsidRDefault="00CA67AF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37 igen szavazattal 2 tartózkodás mellett jóváhagyta a Darányi Ignác Terv - Új Magyarország Vidékfejlesztési Programban 17 105 713 euró közkiadás átcsoportosítását a Natura 2000 kifizetések mezőgazdasági területeken (213.) intézkedésre a Mezőgazdasági területek első erdősítése (221.)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 következő javaslat szerint a Mezőgazdasági területek első erdősítése intézkedés (221.) terhére csoportosítanak át 17 105 713 eurót (közkiadás) az Állatjóléti kifizetések (215.) intézkedésre, a támogatási időszak 3. évi forrásigényének fedezésére.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37 igen szavazattal 2 tartózkodás mellett jóváhagyta a Darányi Ignác Terv - Új Magyarország Vidékfejlesztési Programban 17 105 713 euró közkiadás átcsoportosítását az Állatjóléti kifizetések intézkedés (215.) intézkedésre a Mezőgazdasági területek első erdősítése (221.) intézkedés terhére.</w:t>
      </w:r>
    </w:p>
    <w:p w:rsidR="00CA67AF" w:rsidRDefault="00CA67AF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az Erdő-környezetvédelmi kifizetések (225.) intézkedés terhére csoportosítanak át </w:t>
      </w:r>
      <w:r w:rsidR="00CB252C">
        <w:rPr>
          <w:rFonts w:ascii="Times New Roman" w:hAnsi="Times New Roman"/>
          <w:sz w:val="24"/>
          <w:szCs w:val="24"/>
        </w:rPr>
        <w:t>3 421 143 euró</w:t>
      </w:r>
      <w:r>
        <w:rPr>
          <w:rFonts w:ascii="Times New Roman" w:hAnsi="Times New Roman"/>
          <w:sz w:val="24"/>
          <w:szCs w:val="24"/>
        </w:rPr>
        <w:t xml:space="preserve"> közkiadást a Natura 2000 kifizetések erdőterületeken (224.) intézkedésre.</w:t>
      </w:r>
    </w:p>
    <w:p w:rsidR="00CA67AF" w:rsidRPr="0030043E" w:rsidRDefault="00CA67AF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38 igen szavazattal 1 tartózkodás mellett jóváhagyta a Darányi Ignác Terv - Új Magyarország Vidékfejlesztési Programban </w:t>
      </w:r>
      <w:r w:rsidR="00CB252C">
        <w:rPr>
          <w:rFonts w:ascii="Times New Roman" w:hAnsi="Times New Roman"/>
          <w:sz w:val="24"/>
          <w:szCs w:val="24"/>
        </w:rPr>
        <w:t xml:space="preserve">3 421 143 </w:t>
      </w:r>
      <w:r>
        <w:rPr>
          <w:rFonts w:ascii="Times New Roman" w:hAnsi="Times New Roman"/>
          <w:b/>
          <w:i/>
          <w:sz w:val="24"/>
          <w:szCs w:val="24"/>
        </w:rPr>
        <w:t>euró közkiadás átcsoportosítását a Natura 2000 kifizetések erdőterületeken (224.) intézkedésre az Erdő-környezetvédelmi kifizetések (225.)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>Galambos Annamária mb. főosztályvezető, VM AFF:</w:t>
      </w:r>
      <w:r>
        <w:rPr>
          <w:rFonts w:ascii="Times New Roman" w:hAnsi="Times New Roman"/>
          <w:sz w:val="24"/>
          <w:szCs w:val="24"/>
        </w:rPr>
        <w:t xml:space="preserve"> az Erdő-környezetvédelmi kifizetések (225.) intézkedés terhére csoportosítanak át </w:t>
      </w:r>
      <w:r w:rsidR="00CB252C">
        <w:rPr>
          <w:rFonts w:ascii="Times New Roman" w:hAnsi="Times New Roman"/>
          <w:sz w:val="24"/>
          <w:szCs w:val="24"/>
        </w:rPr>
        <w:t>3 421 143</w:t>
      </w:r>
      <w:r>
        <w:rPr>
          <w:rFonts w:ascii="Times New Roman" w:hAnsi="Times New Roman"/>
          <w:sz w:val="24"/>
          <w:szCs w:val="24"/>
        </w:rPr>
        <w:t xml:space="preserve"> euró közkiadást az Erdészeti potenciál helyreállítása és megelőző intézkedések bevezetés (226.) intézkedésre.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Szavazás: A Monitoring Bizottság 39 igen szavazattal 1 tartózkodás mellett jóváhagyta a Darányi Ignác Terv - Új Magyarország Vidékfejlesztési Programban </w:t>
      </w:r>
      <w:r w:rsidR="00CB252C">
        <w:rPr>
          <w:rFonts w:ascii="Times New Roman" w:hAnsi="Times New Roman"/>
          <w:sz w:val="24"/>
          <w:szCs w:val="24"/>
        </w:rPr>
        <w:t xml:space="preserve">3 421 143 </w:t>
      </w:r>
      <w:r>
        <w:rPr>
          <w:rFonts w:ascii="Times New Roman" w:hAnsi="Times New Roman"/>
          <w:b/>
          <w:i/>
          <w:sz w:val="24"/>
          <w:szCs w:val="24"/>
        </w:rPr>
        <w:t xml:space="preserve">euró </w:t>
      </w:r>
      <w:r>
        <w:rPr>
          <w:rFonts w:ascii="Times New Roman" w:hAnsi="Times New Roman"/>
          <w:b/>
          <w:i/>
          <w:sz w:val="24"/>
          <w:szCs w:val="24"/>
        </w:rPr>
        <w:lastRenderedPageBreak/>
        <w:t>közkiadás átcsoportosítását az Erdészeti potenciál helyreállítása és megelőző intézkedések bevezetése (226.) intézkedésre az Erdő-környezetvédelmi kifizetések (225.)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Dr. Maácz Miklós főosztályvezető, VM VFF:</w:t>
      </w:r>
      <w:r>
        <w:rPr>
          <w:rFonts w:ascii="Times New Roman" w:hAnsi="Times New Roman"/>
          <w:sz w:val="24"/>
          <w:szCs w:val="24"/>
        </w:rPr>
        <w:t xml:space="preserve"> a Nem mezőgazdasági tevékenységgé történő diverzifikálás (311.) intézkedés terhére csoportosítanak át 5 473 828 euró közkiadást a jelenleg nyitott Vidéki gazdaság és lakosság számára nyújtott alapszolgáltatások (321.) intézkedésre, a beérkezett támogatási igények forrásfedezetének biztosítására.</w:t>
      </w:r>
      <w:r w:rsidR="006C4925">
        <w:rPr>
          <w:rFonts w:ascii="Times New Roman" w:hAnsi="Times New Roman"/>
          <w:sz w:val="24"/>
          <w:szCs w:val="24"/>
        </w:rPr>
        <w:t xml:space="preserve"> (A programmódosításokról szóló prezentáció az emlékeztetőhöz mellékelve.)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37 igen szavazattal 1 nem szavazat mellett jóváhagyta a Darányi Ignác Terv - Új Magyarország Vidékfejlesztési Programban 5 473 828 euró közkiadás átcsoportosítását a vidéki gazdaság és lakosság számára nyújtott alapszolgáltatások (321.) intézkedésre a Nem mezőgazdasági tevékenységgé történő diverzifikálás (311.)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Dr. Maácz Miklós főosztályvezető, VM VFF:</w:t>
      </w:r>
      <w:r>
        <w:rPr>
          <w:rFonts w:ascii="Times New Roman" w:hAnsi="Times New Roman"/>
          <w:sz w:val="24"/>
          <w:szCs w:val="24"/>
        </w:rPr>
        <w:t xml:space="preserve"> a Mikrovállalkozások létrehozásának és fejlesztésének támogatása (312.) intézkedés terhére csoportosítanak át 19 158 399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euró közkiadást Turisztikai tevékenységek ösztönzése (313.) intézkedésre a rendelkezésre álló források kihasználásának maximalizálása érdekében.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Gelencsér Géza, Magyar Vidék Szövetség:</w:t>
      </w:r>
      <w:r>
        <w:rPr>
          <w:rFonts w:ascii="Times New Roman" w:hAnsi="Times New Roman"/>
          <w:sz w:val="24"/>
          <w:szCs w:val="24"/>
        </w:rPr>
        <w:t xml:space="preserve"> fajsúlyosabb gazdaságfejlesztési irányból fajsúlytalanabb felé történik átcsoportosítás.</w:t>
      </w:r>
    </w:p>
    <w:p w:rsidR="00CA67AF" w:rsidRPr="0030043E" w:rsidRDefault="00CA67AF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Szilvássy István, Magyar Település- és Területfejlesztők Szövetsége:</w:t>
      </w:r>
      <w:r>
        <w:rPr>
          <w:rFonts w:ascii="Times New Roman" w:hAnsi="Times New Roman"/>
          <w:sz w:val="24"/>
          <w:szCs w:val="24"/>
        </w:rPr>
        <w:t xml:space="preserve"> a turizmusnak 2,6-</w:t>
      </w:r>
      <w:r w:rsidR="0030043E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értékű multiplikációs mutatója van. Nem a szálláshelyek számát, hanem a kapcsolódó szolgáltatásokat kell fejleszteni.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37 igen szavazattal 1 nem szavazat és 2 tartózkodás mellett jóváhagyta a Darányi Ignác Terv - Új Magyarország Vidékfejlesztési Programban 19 158 399 euró közkiadás átcsoportosítását a Turisztikai tevékenységek ösztönzése (313 intézkedésre a Mikrovállalkozások létrehozásának és fejlesztésének támogatása (312.) intézkedés terhére.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Dr. Maácz Miklós főosztályvezető, VM VFF:</w:t>
      </w:r>
      <w:r>
        <w:rPr>
          <w:rFonts w:ascii="Times New Roman" w:hAnsi="Times New Roman"/>
          <w:sz w:val="24"/>
          <w:szCs w:val="24"/>
        </w:rPr>
        <w:t xml:space="preserve"> a </w:t>
      </w:r>
      <w:r w:rsidR="0030043E">
        <w:rPr>
          <w:rFonts w:ascii="Times New Roman" w:hAnsi="Times New Roman"/>
          <w:sz w:val="24"/>
          <w:szCs w:val="24"/>
        </w:rPr>
        <w:t xml:space="preserve">LEADER </w:t>
      </w:r>
      <w:r>
        <w:rPr>
          <w:rFonts w:ascii="Times New Roman" w:hAnsi="Times New Roman"/>
          <w:sz w:val="24"/>
          <w:szCs w:val="24"/>
        </w:rPr>
        <w:t>Környezet/ földgazdálkodás (412.) intézkedés terhére 13</w:t>
      </w:r>
      <w:r w:rsidR="0030043E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154 131 euró közkiadást, az Életminőség/ diverzifikáció (413.) intézkedés terhére pedig 26</w:t>
      </w:r>
      <w:r w:rsidR="0030043E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600 562 euró közkiadást csoportosítanak át a Versenyképesség (411.) intézkedésre a rendelkezésre álló források kihasználásának maximalizálása érdekében.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Rajnai Gábor, ECOVAST</w:t>
      </w:r>
      <w:r>
        <w:rPr>
          <w:rFonts w:ascii="Times New Roman" w:hAnsi="Times New Roman"/>
          <w:sz w:val="24"/>
          <w:szCs w:val="24"/>
        </w:rPr>
        <w:t xml:space="preserve"> javasolta a következő tervezési folyamatban a szinergiát generáló intézkedések mielőbbi felismerését, proaktív menedzselését.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Frizon- Somogyi Orsolya, Európai Bizottság</w:t>
      </w:r>
      <w:r>
        <w:rPr>
          <w:rFonts w:ascii="Times New Roman" w:hAnsi="Times New Roman"/>
          <w:sz w:val="24"/>
          <w:szCs w:val="24"/>
        </w:rPr>
        <w:t xml:space="preserve"> szerint a maximális forráskihasználás érthető szempont, de </w:t>
      </w:r>
      <w:r w:rsidR="0030043E">
        <w:rPr>
          <w:rFonts w:ascii="Times New Roman" w:hAnsi="Times New Roman"/>
          <w:sz w:val="24"/>
          <w:szCs w:val="24"/>
        </w:rPr>
        <w:t xml:space="preserve">Bizottság szemszögéből nem ez a legfontosabb, ugyanis </w:t>
      </w:r>
      <w:r>
        <w:rPr>
          <w:rFonts w:ascii="Times New Roman" w:hAnsi="Times New Roman"/>
          <w:sz w:val="24"/>
          <w:szCs w:val="24"/>
        </w:rPr>
        <w:t xml:space="preserve">a programcélok </w:t>
      </w:r>
      <w:r w:rsidR="0030043E">
        <w:rPr>
          <w:rFonts w:ascii="Times New Roman" w:hAnsi="Times New Roman"/>
          <w:sz w:val="24"/>
          <w:szCs w:val="24"/>
        </w:rPr>
        <w:t xml:space="preserve">elérése </w:t>
      </w:r>
      <w:r w:rsidR="0030043E">
        <w:rPr>
          <w:rFonts w:ascii="Times New Roman" w:hAnsi="Times New Roman"/>
          <w:sz w:val="24"/>
          <w:szCs w:val="24"/>
        </w:rPr>
        <w:lastRenderedPageBreak/>
        <w:t>a legfontosabb cél a Bizottság részére</w:t>
      </w:r>
      <w:r>
        <w:rPr>
          <w:rFonts w:ascii="Times New Roman" w:hAnsi="Times New Roman"/>
          <w:sz w:val="24"/>
          <w:szCs w:val="24"/>
        </w:rPr>
        <w:t>, a következő másfél évben is lehet még kötelezettséget vállalni. Lehet tengelyek között is átcsoportosítani.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Búsi Lajos</w:t>
      </w:r>
      <w:r w:rsidR="0030043E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30043E">
        <w:rPr>
          <w:rFonts w:ascii="Times New Roman" w:hAnsi="Times New Roman"/>
          <w:sz w:val="24"/>
          <w:szCs w:val="24"/>
          <w:u w:val="single"/>
        </w:rPr>
        <w:t xml:space="preserve">MB </w:t>
      </w:r>
      <w:r>
        <w:rPr>
          <w:rFonts w:ascii="Times New Roman" w:hAnsi="Times New Roman"/>
          <w:sz w:val="24"/>
          <w:szCs w:val="24"/>
          <w:u w:val="single"/>
        </w:rPr>
        <w:t>elnök</w:t>
      </w:r>
      <w:r>
        <w:rPr>
          <w:rFonts w:ascii="Times New Roman" w:hAnsi="Times New Roman"/>
          <w:sz w:val="24"/>
          <w:szCs w:val="24"/>
        </w:rPr>
        <w:t xml:space="preserve"> elmondta, hogy a LEADER-nél programcélként betervezett számokat az élet felülírta, 3-5 évre középtávon lehet előre tervezni, 7 évre már nehezebb.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39 igen szavazattal 1 nem szavazat mellett jóváhagyta a Darányi Ignác Terv - Új Magyarország Vidékfejlesztési Programban 13</w:t>
      </w:r>
      <w:r w:rsidR="0030043E">
        <w:rPr>
          <w:rFonts w:ascii="Times New Roman" w:hAnsi="Times New Roman"/>
          <w:b/>
          <w:i/>
          <w:sz w:val="24"/>
          <w:szCs w:val="24"/>
        </w:rPr>
        <w:t> </w:t>
      </w:r>
      <w:r>
        <w:rPr>
          <w:rFonts w:ascii="Times New Roman" w:hAnsi="Times New Roman"/>
          <w:b/>
          <w:i/>
          <w:sz w:val="24"/>
          <w:szCs w:val="24"/>
        </w:rPr>
        <w:t xml:space="preserve">154 131 euró közkiadás átcsoportosítását a </w:t>
      </w:r>
      <w:r w:rsidR="0030043E" w:rsidRPr="0030043E">
        <w:rPr>
          <w:rFonts w:ascii="Times New Roman" w:hAnsi="Times New Roman"/>
          <w:b/>
          <w:i/>
          <w:sz w:val="24"/>
          <w:szCs w:val="24"/>
        </w:rPr>
        <w:t xml:space="preserve">Környezet/ földgazdálkodás </w:t>
      </w:r>
      <w:r>
        <w:rPr>
          <w:rFonts w:ascii="Times New Roman" w:hAnsi="Times New Roman"/>
          <w:b/>
          <w:i/>
          <w:sz w:val="24"/>
          <w:szCs w:val="24"/>
        </w:rPr>
        <w:t>(41</w:t>
      </w:r>
      <w:r w:rsidR="0030043E"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b/>
          <w:i/>
          <w:sz w:val="24"/>
          <w:szCs w:val="24"/>
        </w:rPr>
        <w:t>.) intézkedés terhére és 26</w:t>
      </w:r>
      <w:r w:rsidR="0030043E">
        <w:rPr>
          <w:rFonts w:ascii="Times New Roman" w:hAnsi="Times New Roman"/>
          <w:b/>
          <w:i/>
          <w:sz w:val="24"/>
          <w:szCs w:val="24"/>
        </w:rPr>
        <w:t> </w:t>
      </w:r>
      <w:r>
        <w:rPr>
          <w:rFonts w:ascii="Times New Roman" w:hAnsi="Times New Roman"/>
          <w:b/>
          <w:i/>
          <w:sz w:val="24"/>
          <w:szCs w:val="24"/>
        </w:rPr>
        <w:t>600 562 euró közkiadás átcsoportosítását Életminőség/ diverzifikáció (41</w:t>
      </w:r>
      <w:r w:rsidR="0030043E">
        <w:rPr>
          <w:rFonts w:ascii="Times New Roman" w:hAnsi="Times New Roman"/>
          <w:b/>
          <w:i/>
          <w:sz w:val="24"/>
          <w:szCs w:val="24"/>
        </w:rPr>
        <w:t>3</w:t>
      </w:r>
      <w:r>
        <w:rPr>
          <w:rFonts w:ascii="Times New Roman" w:hAnsi="Times New Roman"/>
          <w:b/>
          <w:i/>
          <w:sz w:val="24"/>
          <w:szCs w:val="24"/>
        </w:rPr>
        <w:t>.) intézkedés terhére a Versenyképesség (411.) intézkedésre.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Búsi Lajos elnök</w:t>
      </w:r>
      <w:r>
        <w:rPr>
          <w:rFonts w:ascii="Times New Roman" w:hAnsi="Times New Roman"/>
          <w:sz w:val="24"/>
          <w:szCs w:val="24"/>
        </w:rPr>
        <w:t xml:space="preserve"> elmondta, hogy </w:t>
      </w:r>
      <w:r w:rsidR="0030043E">
        <w:rPr>
          <w:rFonts w:ascii="Times New Roman" w:hAnsi="Times New Roman"/>
          <w:sz w:val="24"/>
          <w:szCs w:val="24"/>
        </w:rPr>
        <w:t xml:space="preserve">az MB ülésen </w:t>
      </w:r>
      <w:r w:rsidR="0030043E" w:rsidRPr="0030043E">
        <w:rPr>
          <w:rFonts w:ascii="Times New Roman" w:hAnsi="Times New Roman"/>
          <w:sz w:val="24"/>
          <w:szCs w:val="24"/>
        </w:rPr>
        <w:t>elfogad</w:t>
      </w:r>
      <w:r w:rsidR="0030043E">
        <w:rPr>
          <w:rFonts w:ascii="Times New Roman" w:hAnsi="Times New Roman"/>
          <w:sz w:val="24"/>
          <w:szCs w:val="24"/>
        </w:rPr>
        <w:t>ott átcsoportosítások kis mértékben módosulhatnak mivel</w:t>
      </w:r>
      <w:r w:rsidR="0030043E" w:rsidRPr="0030043E">
        <w:rPr>
          <w:rFonts w:ascii="Times New Roman" w:hAnsi="Times New Roman"/>
          <w:sz w:val="24"/>
          <w:szCs w:val="24"/>
        </w:rPr>
        <w:t xml:space="preserve"> a konvergencia nem konvergencia régió közötti átcsoportosítás módosítja az EU-hazai társfinanszírozási arányokat, így az átcsoportosítások összegei módosulhatnak az SFC rendszerbe történő feltöltés során, így kér</w:t>
      </w:r>
      <w:r w:rsidR="002F7E7B">
        <w:rPr>
          <w:rFonts w:ascii="Times New Roman" w:hAnsi="Times New Roman"/>
          <w:sz w:val="24"/>
          <w:szCs w:val="24"/>
        </w:rPr>
        <w:t>i</w:t>
      </w:r>
      <w:r w:rsidR="0030043E" w:rsidRPr="0030043E">
        <w:rPr>
          <w:rFonts w:ascii="Times New Roman" w:hAnsi="Times New Roman"/>
          <w:sz w:val="24"/>
          <w:szCs w:val="24"/>
        </w:rPr>
        <w:t xml:space="preserve"> az MB felhatalmazását arra vonatkozóan, hogy az IH ezeket a pontosításokat a feltöltés során elvégezze.</w:t>
      </w:r>
      <w:r w:rsidR="002F7E7B">
        <w:rPr>
          <w:rFonts w:ascii="Times New Roman" w:hAnsi="Times New Roman"/>
          <w:sz w:val="24"/>
          <w:szCs w:val="24"/>
        </w:rPr>
        <w:t xml:space="preserve"> 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Szavazás: a Monitoring Bizottság egyhangúlag jóváhagyta, hogy az SFC elektronikus rendszerbe történő feltöltéshez szükséges p</w:t>
      </w:r>
      <w:r w:rsidR="002F7E7B">
        <w:rPr>
          <w:rFonts w:ascii="Times New Roman" w:hAnsi="Times New Roman"/>
          <w:b/>
          <w:i/>
          <w:sz w:val="24"/>
          <w:szCs w:val="24"/>
        </w:rPr>
        <w:t xml:space="preserve">énzügyi </w:t>
      </w:r>
      <w:r>
        <w:rPr>
          <w:rFonts w:ascii="Times New Roman" w:hAnsi="Times New Roman"/>
          <w:b/>
          <w:i/>
          <w:sz w:val="24"/>
          <w:szCs w:val="24"/>
        </w:rPr>
        <w:t>módosításokat az Irányító Hatóság megtehesse.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 w:rsidP="002F7E7B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Albizottságok tájékoztatója</w:t>
      </w:r>
    </w:p>
    <w:p w:rsidR="00CA67AF" w:rsidRDefault="00CA67AF">
      <w:pPr>
        <w:pStyle w:val="Standard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tabs>
          <w:tab w:val="left" w:pos="7615"/>
        </w:tabs>
        <w:jc w:val="both"/>
      </w:pPr>
      <w:r>
        <w:rPr>
          <w:rFonts w:ascii="Times New Roman" w:hAnsi="Times New Roman"/>
          <w:sz w:val="24"/>
          <w:szCs w:val="24"/>
          <w:u w:val="single"/>
        </w:rPr>
        <w:t>Dr. Finta István, Vidékfejlesztési Albizottság elnök:</w:t>
      </w:r>
      <w:r>
        <w:rPr>
          <w:rFonts w:ascii="Times New Roman" w:hAnsi="Times New Roman"/>
          <w:sz w:val="24"/>
          <w:szCs w:val="24"/>
        </w:rPr>
        <w:t xml:space="preserve"> a VIAB 2013. november 27-én tartott ülést. Az ülésen megvitatták, hogy az EU hozzáállása megváltozott a CLLD-vel kapcsolatban, amint az uniós jogszabályi javaslat változásaiból látható. A multi</w:t>
      </w:r>
      <w:r w:rsidR="002F7E7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fund megközelítés háttérbe szorulni látszik. Kérdés, hogyan fog megvalósulni a város-vidék közelítés? A Partnerségi Megállapodás első változatában szereplő </w:t>
      </w:r>
      <w:r w:rsidRPr="006D10BF">
        <w:rPr>
          <w:rFonts w:ascii="Times New Roman" w:hAnsi="Times New Roman"/>
          <w:sz w:val="24"/>
          <w:szCs w:val="24"/>
        </w:rPr>
        <w:t>hatféle ITI</w:t>
      </w:r>
      <w:r>
        <w:rPr>
          <w:rFonts w:ascii="Times New Roman" w:hAnsi="Times New Roman"/>
          <w:sz w:val="24"/>
          <w:szCs w:val="24"/>
        </w:rPr>
        <w:t xml:space="preserve"> és háromféle CLLD kezelhetetlen, ezt racionalizálni fogják. A vidék számára hátrányos lenne, ha az urbánus területek strukturális alapokból kapnának forrásokat, a vidéki térségek pedig csak az EMVÁ-ból. Az EMVA</w:t>
      </w:r>
      <w:r w:rsidR="006B04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források nem elegendőek a vidéki térségek gazdaságfejlesztéséhez. Az ülésen előadás hangzott el a Nemzeti Tervezési Hivatal munkatársától. Részletes előadás hangzott el továbbá a Vidékfejlesztési Program társadalmasításáról, a III-IV. tengely végrehajtásának állásáról</w:t>
      </w:r>
      <w:r w:rsidR="006C4925">
        <w:rPr>
          <w:rFonts w:ascii="Times New Roman" w:hAnsi="Times New Roman"/>
          <w:sz w:val="24"/>
          <w:szCs w:val="24"/>
        </w:rPr>
        <w:t>. (Prezentáció emlékeztetőhöz mellékelve)</w:t>
      </w:r>
      <w:r>
        <w:rPr>
          <w:rFonts w:ascii="Times New Roman" w:hAnsi="Times New Roman"/>
          <w:sz w:val="24"/>
          <w:szCs w:val="24"/>
        </w:rPr>
        <w:t>.</w:t>
      </w: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Frizon- Somogyi Orsolya, Európai Bizottság:</w:t>
      </w:r>
      <w:r>
        <w:rPr>
          <w:rFonts w:ascii="Times New Roman" w:hAnsi="Times New Roman"/>
          <w:sz w:val="24"/>
          <w:szCs w:val="24"/>
        </w:rPr>
        <w:t xml:space="preserve"> az ernyőrendelet (CPR) szövegében vannak változások, de a célok nem változtak. Megvan a lehetőség többalapú tervezésre. A LEADER-ből kiindulva elindult egy többalapú CLLD-s hozzáállás, ezt a többi ágazat eddig nem ismerte, a Monitoring Bizottság ebben segíthetné őket. Ha a magyar hatóságok minden urbánus területre szeretnének ITI-eszközt, akkor a CLLD-eszközzel lesz átfedés. A magyar</w:t>
      </w:r>
      <w:r w:rsidR="006B0423">
        <w:rPr>
          <w:rFonts w:ascii="Times New Roman" w:hAnsi="Times New Roman"/>
          <w:sz w:val="24"/>
          <w:szCs w:val="24"/>
        </w:rPr>
        <w:t xml:space="preserve"> hatóságok</w:t>
      </w:r>
      <w:r>
        <w:rPr>
          <w:rFonts w:ascii="Times New Roman" w:hAnsi="Times New Roman"/>
          <w:sz w:val="24"/>
          <w:szCs w:val="24"/>
        </w:rPr>
        <w:t xml:space="preserve"> által javasolt eszközrendszer már a CLLD nélkül is meglehetősen komplex. A kérdés még nyitott.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Rajnai Gábor, ECOVAST</w:t>
      </w:r>
      <w:r>
        <w:rPr>
          <w:rFonts w:ascii="Times New Roman" w:hAnsi="Times New Roman"/>
          <w:sz w:val="24"/>
          <w:szCs w:val="24"/>
        </w:rPr>
        <w:t xml:space="preserve"> elmondta, hogy részt vett egy VEKOP-ról tartott tájékoztatón, melyen a többi alapot kezelő tárcák részéről a CLLD-vel szemben ellenállást érzékelt. A térségi alapon történő programozás hatékonyabbá teszi a programok megvalósítását.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Dr. Sárvári János, Erdészeti Albizottság elnök</w:t>
      </w:r>
      <w:r>
        <w:rPr>
          <w:rFonts w:ascii="Times New Roman" w:hAnsi="Times New Roman"/>
          <w:sz w:val="24"/>
          <w:szCs w:val="24"/>
        </w:rPr>
        <w:t xml:space="preserve">: az Albizottság írásbeli eljárással tárgyalt három kérdést, maga az eljárás nem volt sikeres, de a többség támogatta a </w:t>
      </w:r>
      <w:r w:rsidRPr="006D10BF">
        <w:rPr>
          <w:rFonts w:ascii="Times New Roman" w:hAnsi="Times New Roman"/>
          <w:sz w:val="24"/>
          <w:szCs w:val="24"/>
        </w:rPr>
        <w:t xml:space="preserve">vezérlő elvet. A 2007-2013. </w:t>
      </w:r>
      <w:r w:rsidR="00F95D8A" w:rsidRPr="006D10BF">
        <w:rPr>
          <w:rFonts w:ascii="Times New Roman" w:hAnsi="Times New Roman"/>
          <w:sz w:val="24"/>
          <w:szCs w:val="24"/>
        </w:rPr>
        <w:t>közötti</w:t>
      </w:r>
      <w:r w:rsidRPr="006D10BF">
        <w:rPr>
          <w:rFonts w:ascii="Times New Roman" w:hAnsi="Times New Roman"/>
          <w:sz w:val="24"/>
          <w:szCs w:val="24"/>
        </w:rPr>
        <w:t xml:space="preserve"> időszak első 4 évében az erdősítési jogcímek nem tudtak megindulni. Az erdőtelepítési ütem csökkent. Erdő környezetvédelemnél, szerkezetátalakításnál bonyolult volt a kiírás, lassú az adminisztráció. A 2014-2020-as időszakban az erdészeti jogcímek nagyobb figyelmet kapnak.</w:t>
      </w:r>
      <w:r>
        <w:rPr>
          <w:rFonts w:ascii="Times New Roman" w:hAnsi="Times New Roman"/>
          <w:sz w:val="24"/>
          <w:szCs w:val="24"/>
        </w:rPr>
        <w:t xml:space="preserve">  </w:t>
      </w:r>
      <w:r w:rsidR="005373A5">
        <w:rPr>
          <w:rFonts w:ascii="Times New Roman" w:hAnsi="Times New Roman"/>
          <w:sz w:val="24"/>
          <w:szCs w:val="24"/>
        </w:rPr>
        <w:t xml:space="preserve">(Az ülésen elmondott </w:t>
      </w:r>
      <w:r w:rsidR="005373A5" w:rsidRPr="005373A5">
        <w:rPr>
          <w:rFonts w:ascii="Times New Roman" w:hAnsi="Times New Roman"/>
          <w:sz w:val="24"/>
          <w:szCs w:val="24"/>
        </w:rPr>
        <w:t>előadás</w:t>
      </w:r>
      <w:r w:rsidR="005373A5">
        <w:rPr>
          <w:rFonts w:ascii="Times New Roman" w:hAnsi="Times New Roman"/>
          <w:sz w:val="24"/>
          <w:szCs w:val="24"/>
        </w:rPr>
        <w:t xml:space="preserve"> teljes szövege alább nyitható meg).</w:t>
      </w:r>
    </w:p>
    <w:bookmarkStart w:id="2" w:name="_GoBack"/>
    <w:bookmarkStart w:id="3" w:name="_MON_1452928869"/>
    <w:bookmarkEnd w:id="3"/>
    <w:p w:rsidR="005373A5" w:rsidRDefault="005373A5">
      <w:pPr>
        <w:pStyle w:val="Standard"/>
        <w:spacing w:after="0"/>
        <w:jc w:val="both"/>
      </w:pPr>
      <w:r>
        <w:object w:dxaOrig="1550" w:dyaOrig="991">
          <v:shape id="_x0000_i1027" type="#_x0000_t75" style="width:77.75pt;height:49.55pt" o:ole="">
            <v:imagedata r:id="rId12" o:title=""/>
          </v:shape>
          <o:OLEObject Type="Embed" ProgID="Word.Document.8" ShapeID="_x0000_i1027" DrawAspect="Icon" ObjectID="_1452929007" r:id="rId13">
            <o:FieldCodes>\s</o:FieldCodes>
          </o:OLEObject>
        </w:object>
      </w:r>
      <w:bookmarkEnd w:id="2"/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Szilvássy István, KAP-Albizottság elnök:</w:t>
      </w:r>
      <w:r>
        <w:rPr>
          <w:rFonts w:ascii="Times New Roman" w:hAnsi="Times New Roman"/>
          <w:sz w:val="24"/>
          <w:szCs w:val="24"/>
        </w:rPr>
        <w:t xml:space="preserve"> az Albizottság a legutóbbi MB-ülés óta nem tartott ülést. A tagok az MNVH, NAKVI, kormányzat tájékoztatásából informálódtak.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A67AF" w:rsidRDefault="001E1AC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Tájékoztató az Magyar Nemzeti Vidékfejlesztési Hálózat tevékenységéről</w:t>
      </w:r>
    </w:p>
    <w:p w:rsidR="00CA67AF" w:rsidRDefault="00CA67AF">
      <w:pPr>
        <w:pStyle w:val="Standard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Dr. Mezőszentgyörgyi Dávid, MNVH főtitkár:</w:t>
      </w:r>
      <w:r>
        <w:rPr>
          <w:rFonts w:ascii="Times New Roman" w:hAnsi="Times New Roman"/>
          <w:sz w:val="24"/>
          <w:szCs w:val="24"/>
        </w:rPr>
        <w:t xml:space="preserve"> az MNVH tevékenységei közé tartozik egyebek mellett a formálódó új magyar nemzeti vidékstratégia feladataihoz kapcsolódó szakmai eszmecserék, képzések, lokális tervezései és fejlesztési viták lebonyolítása; MNVH regisztráció gondozása; vidékfejlesztési projektötletek tárházának létrehozása; a Falu című folyóirat, a Magyar Vidéki Mozaik rendszeres megjelentetése; tanulmányutak, képzések szervezése; együttműködés az Európai Vidékfejlesztési Hálózattal, referensi hálózat működtetése. Tevékenységét cselekvési terv rögzíti.</w:t>
      </w:r>
      <w:r>
        <w:rPr>
          <w:rFonts w:eastAsia="+mn-ea" w:cs="+mn-cs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Az MNVH összes regisztráltjának száma 2013. december 9-ig 11 022 fő.</w:t>
      </w:r>
      <w:r w:rsidR="006C4925">
        <w:rPr>
          <w:rFonts w:ascii="Times New Roman" w:hAnsi="Times New Roman"/>
          <w:sz w:val="24"/>
          <w:szCs w:val="24"/>
        </w:rPr>
        <w:t xml:space="preserve"> </w:t>
      </w:r>
      <w:r w:rsidR="00646CC0">
        <w:rPr>
          <w:rFonts w:ascii="Times New Roman" w:hAnsi="Times New Roman"/>
          <w:sz w:val="24"/>
          <w:szCs w:val="24"/>
        </w:rPr>
        <w:t xml:space="preserve">Projektötlet felhívásokat tesznek közzé, havonkénti döntéssel. Kiemelt projektekből mintaprogramok – „Adj helyet a helyinek” hálózati mozgalom, „Üveg-ház” hulladékhő felhasználását segítő mintaprogram, közétkeztetési mintaprogram, népfőiskolai mintaprogram, gyógynövénytermékek előállítását megalapozó mintaprogram. </w:t>
      </w:r>
      <w:r w:rsidR="006C4925">
        <w:rPr>
          <w:rFonts w:ascii="Times New Roman" w:hAnsi="Times New Roman"/>
          <w:sz w:val="24"/>
          <w:szCs w:val="24"/>
        </w:rPr>
        <w:t>(Prezentáció az emlékeztetőhöz mellékelve)</w:t>
      </w: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Frizon- Somogyi Orsolya, Európai Bizottság</w:t>
      </w:r>
      <w:r>
        <w:rPr>
          <w:rFonts w:ascii="Times New Roman" w:hAnsi="Times New Roman"/>
          <w:sz w:val="24"/>
          <w:szCs w:val="24"/>
        </w:rPr>
        <w:t xml:space="preserve"> kéri, hogy tengelyenként 1-1 bemutatásra érdemes projektet, jó gyakorlatot küldjenek meg neki.</w:t>
      </w:r>
    </w:p>
    <w:p w:rsidR="00CA67AF" w:rsidRDefault="001E1AC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2014-2020. közötti programozási időszak tervezésével kapcsolatos tájékoztatás és vita</w:t>
      </w:r>
    </w:p>
    <w:p w:rsidR="00CA67AF" w:rsidRDefault="00CA67AF">
      <w:pPr>
        <w:pStyle w:val="Listaszerbekezds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tabs>
          <w:tab w:val="left" w:pos="720"/>
        </w:tabs>
        <w:jc w:val="both"/>
      </w:pPr>
      <w:r>
        <w:rPr>
          <w:rFonts w:ascii="Times New Roman" w:hAnsi="Times New Roman"/>
          <w:sz w:val="24"/>
          <w:szCs w:val="24"/>
          <w:u w:val="single"/>
        </w:rPr>
        <w:t>Dr. Czene Zsolt főtervező</w:t>
      </w:r>
      <w:r>
        <w:rPr>
          <w:rFonts w:ascii="Times New Roman" w:hAnsi="Times New Roman"/>
          <w:sz w:val="24"/>
          <w:szCs w:val="24"/>
        </w:rPr>
        <w:t xml:space="preserve"> előadásában a Vidékfejlesztési Programtervezetet mutatta be</w:t>
      </w:r>
      <w:r w:rsidR="006C4925">
        <w:rPr>
          <w:rFonts w:ascii="Times New Roman" w:hAnsi="Times New Roman"/>
          <w:sz w:val="24"/>
          <w:szCs w:val="24"/>
        </w:rPr>
        <w:t xml:space="preserve"> (prezentáció az emlékeztetőhöz mellékelve)</w:t>
      </w:r>
      <w:r>
        <w:rPr>
          <w:rFonts w:ascii="Times New Roman" w:hAnsi="Times New Roman"/>
          <w:sz w:val="24"/>
          <w:szCs w:val="24"/>
        </w:rPr>
        <w:t xml:space="preserve">. A tervezési projekten belül külső tagok bevonásával prioritásonként munkacsoportok jöttek létre, elkészült a SWOT elemzés. Elindult az ex-ante értékelés (SWOT, intézkedések). Kiválasztásra került </w:t>
      </w:r>
      <w:r w:rsidRPr="006D10BF">
        <w:rPr>
          <w:rFonts w:ascii="Times New Roman" w:hAnsi="Times New Roman"/>
          <w:sz w:val="24"/>
          <w:szCs w:val="24"/>
        </w:rPr>
        <w:t>az SKV-t</w:t>
      </w:r>
      <w:r>
        <w:rPr>
          <w:rFonts w:ascii="Times New Roman" w:hAnsi="Times New Roman"/>
          <w:sz w:val="24"/>
          <w:szCs w:val="24"/>
        </w:rPr>
        <w:t xml:space="preserve"> végző szervezet. A VP prioritástengelyei a tudásátadást és innovációt; a versenyképesség javítását; az </w:t>
      </w:r>
      <w:r>
        <w:rPr>
          <w:rFonts w:ascii="Times New Roman" w:hAnsi="Times New Roman"/>
          <w:sz w:val="24"/>
          <w:szCs w:val="24"/>
        </w:rPr>
        <w:lastRenderedPageBreak/>
        <w:t>élelmiszerlánc szervezését; a mezőgazdasági és az erdészeti ökoszisztémák állapotának javítását; az erőforrás-hatékonyság előmozdítását és az alacsony széndioxid kibocsátás elérését, valamint a vidéki területeken a társadalmi befogadást, szegénység csökkentését célozzák. Tematikus alprogramból kettő indítása várható: fiatal gazdák, valamint rövid ellátási láncok tematikus alprogram. A VP forrásaiból várhatóan legnagyobb arányban a versenyképességet javító prioritás fog részesedni. A program 3.0 verz</w:t>
      </w:r>
      <w:r w:rsidR="006C4925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ója december 15-ig társadalmi egyeztetésen van. A 4.0 verziót 2014. január 15-ig kell elkészíteni, a többi operatív programmal együtt, az intézkedések első tervezetével. A teljes változat elkészítési határideje 2014.</w:t>
      </w:r>
      <w:r w:rsidR="00F95D8A">
        <w:rPr>
          <w:rFonts w:ascii="Times New Roman" w:hAnsi="Times New Roman"/>
          <w:sz w:val="24"/>
          <w:szCs w:val="24"/>
        </w:rPr>
        <w:t xml:space="preserve"> február </w:t>
      </w:r>
      <w:r>
        <w:rPr>
          <w:rFonts w:ascii="Times New Roman" w:hAnsi="Times New Roman"/>
          <w:sz w:val="24"/>
          <w:szCs w:val="24"/>
        </w:rPr>
        <w:t xml:space="preserve">28.  </w:t>
      </w:r>
    </w:p>
    <w:p w:rsidR="00CA67AF" w:rsidRDefault="001E1AC5" w:rsidP="00F95D8A">
      <w:pPr>
        <w:pStyle w:val="Standard"/>
        <w:spacing w:after="0"/>
        <w:jc w:val="both"/>
        <w:rPr>
          <w:rFonts w:ascii="Times New Roman" w:eastAsia="Arial" w:hAnsi="Times New Roman" w:cs="Arial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Polomi Heléna, Nemzetgazdasági Minisztérium</w:t>
      </w:r>
      <w:r>
        <w:rPr>
          <w:rFonts w:ascii="Times New Roman" w:hAnsi="Times New Roman"/>
          <w:sz w:val="24"/>
          <w:szCs w:val="24"/>
        </w:rPr>
        <w:t xml:space="preserve"> előadása a Területfejlesztési Operatív Programra (TOP) vonatkozott</w:t>
      </w:r>
      <w:r w:rsidR="006C4925">
        <w:rPr>
          <w:rFonts w:ascii="Times New Roman" w:hAnsi="Times New Roman"/>
          <w:sz w:val="24"/>
          <w:szCs w:val="24"/>
        </w:rPr>
        <w:t xml:space="preserve"> (prezentáció az emlékeztetőhöz mellékelve)</w:t>
      </w:r>
      <w:r>
        <w:rPr>
          <w:rFonts w:ascii="Times New Roman" w:hAnsi="Times New Roman"/>
          <w:sz w:val="24"/>
          <w:szCs w:val="24"/>
        </w:rPr>
        <w:t xml:space="preserve">. A TOP prioritásai: </w:t>
      </w:r>
      <w:r>
        <w:rPr>
          <w:rFonts w:ascii="Times New Roman" w:eastAsia="Arial" w:hAnsi="Times New Roman" w:cs="Arial"/>
          <w:color w:val="000000"/>
          <w:sz w:val="24"/>
          <w:szCs w:val="24"/>
        </w:rPr>
        <w:t>térségi gazdaságfejlesztés;</w:t>
      </w:r>
      <w:r>
        <w:rPr>
          <w:rFonts w:ascii="Times New Roman" w:hAnsi="Times New Roman"/>
          <w:sz w:val="24"/>
          <w:szCs w:val="24"/>
        </w:rPr>
        <w:t xml:space="preserve"> b</w:t>
      </w:r>
      <w:r>
        <w:rPr>
          <w:rFonts w:ascii="Times New Roman" w:eastAsia="Arial" w:hAnsi="Times New Roman" w:cs="Arial"/>
          <w:color w:val="000000"/>
          <w:sz w:val="24"/>
          <w:szCs w:val="24"/>
        </w:rPr>
        <w:t>efektetők és lakosság számára vonzó városi és várostérségi környezet fejlesztése; alacsony széndioxid kibocsátású gazdaságra való áttérés; társadalmi befogadás erősítése; CLLD; megyei és helyi emberi erőforrás fejlesztése. Megyei önkormányzatoknak kulcsszerepe van a tervezés megyei szintű összehangolásában, tervezésben együttműködnek a megyei jogú városokkal, szerepük kiterjed a nyomon követésre is.</w:t>
      </w:r>
    </w:p>
    <w:p w:rsidR="00F95D8A" w:rsidRDefault="00F95D8A" w:rsidP="00F95D8A">
      <w:pPr>
        <w:pStyle w:val="Standard"/>
        <w:spacing w:after="0"/>
        <w:jc w:val="both"/>
      </w:pPr>
    </w:p>
    <w:p w:rsidR="00F95D8A" w:rsidRDefault="001E1AC5">
      <w:pPr>
        <w:pStyle w:val="Standard"/>
        <w:spacing w:after="0"/>
        <w:jc w:val="both"/>
        <w:rPr>
          <w:rFonts w:ascii="Times New Roman" w:eastAsia="Arial" w:hAnsi="Times New Roman" w:cs="Arial"/>
          <w:color w:val="000000"/>
          <w:sz w:val="24"/>
          <w:szCs w:val="24"/>
        </w:rPr>
      </w:pP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Szilvássy István, Magyar Település- és Területfejlesztők Szövetsége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érdeklődik az egyablakos rendszerről, lesz-e NGM-VM együttműködés a vidékfejlesztési projektjavaslatok fogadásában, programozásban?</w:t>
      </w:r>
    </w:p>
    <w:p w:rsidR="00F95D8A" w:rsidRDefault="00F95D8A">
      <w:pPr>
        <w:pStyle w:val="Standard"/>
        <w:spacing w:after="0"/>
        <w:jc w:val="both"/>
        <w:rPr>
          <w:rFonts w:ascii="Times New Roman" w:eastAsia="Arial" w:hAnsi="Times New Roman" w:cs="Arial"/>
          <w:color w:val="000000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Polomi Heléna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és </w:t>
      </w: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Dr. Czene Zsolt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válasza szerint az intézményrendszerrel kapcsolatos kérdések még nem dőltek el.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Tóth István, Mezőgazdasági Szövetkezők és Termelők Országos Szövetsége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érdeklődik arról, hogy a 2000 fő alatti települések szennyvízkezelésével kapcsolatos kérdéseket a TOP-ban kezelik-e, mivel nem kezeli a KEHOP. Esetleg arra számítanak, hogy a VP-ből lesz rendezve?</w:t>
      </w:r>
    </w:p>
    <w:p w:rsidR="00F95D8A" w:rsidRDefault="00F95D8A">
      <w:pPr>
        <w:pStyle w:val="Standard"/>
        <w:spacing w:after="0"/>
        <w:jc w:val="both"/>
        <w:rPr>
          <w:rFonts w:ascii="Times New Roman" w:eastAsia="Arial" w:hAnsi="Times New Roman" w:cs="Arial"/>
          <w:color w:val="000000"/>
          <w:sz w:val="24"/>
          <w:szCs w:val="24"/>
          <w:u w:val="single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Polomi Heléna, Nemzetgazdasági Minisztérium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elmond</w:t>
      </w:r>
      <w:r w:rsidR="00F95D8A">
        <w:rPr>
          <w:rFonts w:ascii="Times New Roman" w:eastAsia="Arial" w:hAnsi="Times New Roman" w:cs="Arial"/>
          <w:color w:val="000000"/>
          <w:sz w:val="24"/>
          <w:szCs w:val="24"/>
        </w:rPr>
        <w:t>t</w:t>
      </w:r>
      <w:r>
        <w:rPr>
          <w:rFonts w:ascii="Times New Roman" w:eastAsia="Arial" w:hAnsi="Times New Roman" w:cs="Arial"/>
          <w:color w:val="000000"/>
          <w:sz w:val="24"/>
          <w:szCs w:val="24"/>
        </w:rPr>
        <w:t>a, hogy a kérdés érinti a TOP-ot, de konkrét lehatárolásról még nem tud további információt mondani.</w:t>
      </w:r>
    </w:p>
    <w:p w:rsidR="00CA67AF" w:rsidRDefault="00CA67AF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 w:cs="Arial"/>
          <w:color w:val="000000"/>
          <w:sz w:val="24"/>
          <w:szCs w:val="24"/>
          <w:u w:val="single"/>
        </w:rPr>
        <w:t>Frizon- Somogyi Orsolya, Európai Bizottság</w:t>
      </w:r>
      <w:r>
        <w:rPr>
          <w:rFonts w:ascii="Times New Roman" w:eastAsia="Arial" w:hAnsi="Times New Roman" w:cs="Arial"/>
          <w:color w:val="000000"/>
          <w:sz w:val="24"/>
          <w:szCs w:val="24"/>
        </w:rPr>
        <w:t xml:space="preserve"> szerint ezeket a kérdéseket a Partnerségi Megállapodásban kellene rendezni, hogy ne kelljen később a programok szintjén harcolni. Fennáll ugyanis a lehetőség, hogy az a szakterület, amelyik előbb elkészül, esetleg nem tervezi be a szükséges intézkedéseket, tehát a tervezést később lezáró szereplőre marad az összes probléma kezelése.  </w:t>
      </w:r>
    </w:p>
    <w:p w:rsidR="00CA67AF" w:rsidRPr="00F95D8A" w:rsidRDefault="00CA67AF">
      <w:pPr>
        <w:pStyle w:val="Standard"/>
        <w:spacing w:after="0"/>
        <w:jc w:val="both"/>
        <w:rPr>
          <w:rFonts w:ascii="Times New Roman" w:hAnsi="Times New Roman"/>
          <w:sz w:val="16"/>
          <w:szCs w:val="16"/>
        </w:rPr>
      </w:pPr>
    </w:p>
    <w:p w:rsidR="00CA67AF" w:rsidRDefault="001E1AC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Egyebek</w:t>
      </w:r>
    </w:p>
    <w:p w:rsidR="00CA67AF" w:rsidRDefault="00CA67AF">
      <w:pPr>
        <w:pStyle w:val="Listaszerbekezds"/>
        <w:jc w:val="both"/>
        <w:rPr>
          <w:rFonts w:ascii="Times New Roman" w:hAnsi="Times New Roman"/>
          <w:b/>
          <w:sz w:val="24"/>
          <w:szCs w:val="24"/>
        </w:rPr>
      </w:pPr>
    </w:p>
    <w:p w:rsidR="00CA67AF" w:rsidRDefault="001E1AC5">
      <w:pPr>
        <w:pStyle w:val="Standard"/>
        <w:jc w:val="both"/>
      </w:pPr>
      <w:r>
        <w:rPr>
          <w:rFonts w:ascii="Times New Roman" w:hAnsi="Times New Roman"/>
          <w:sz w:val="24"/>
          <w:szCs w:val="24"/>
          <w:u w:val="single"/>
        </w:rPr>
        <w:t>Völgyi Tamás, LEADER HACS Dél-Dunántúli Régió</w:t>
      </w:r>
      <w:r>
        <w:rPr>
          <w:rFonts w:ascii="Times New Roman" w:hAnsi="Times New Roman"/>
          <w:sz w:val="24"/>
          <w:szCs w:val="24"/>
        </w:rPr>
        <w:t xml:space="preserve"> javasolja a turisztika jogcím határidejének hosszabbítását. A 6-9-24 hónapos szabályokkal kapcsolatban elmond</w:t>
      </w:r>
      <w:r w:rsidR="00F95D8A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a, hogy adminisztratív okok miatt több elkészült beruházás esetén a kedvezményezettek nem tudták </w:t>
      </w:r>
      <w:r>
        <w:rPr>
          <w:rFonts w:ascii="Times New Roman" w:hAnsi="Times New Roman"/>
          <w:sz w:val="24"/>
          <w:szCs w:val="24"/>
        </w:rPr>
        <w:lastRenderedPageBreak/>
        <w:t>határidőben benyújtani a kifizetési kérelmet. Az ilyen jellegű fellebbezéseket pozitívan kellene elbírálni.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Búsi Lajos</w:t>
      </w:r>
      <w:r w:rsidR="00F95D8A">
        <w:rPr>
          <w:rFonts w:ascii="Times New Roman" w:hAnsi="Times New Roman"/>
          <w:sz w:val="24"/>
          <w:szCs w:val="24"/>
          <w:u w:val="single"/>
        </w:rPr>
        <w:t>, MB</w:t>
      </w:r>
      <w:r>
        <w:rPr>
          <w:rFonts w:ascii="Times New Roman" w:hAnsi="Times New Roman"/>
          <w:sz w:val="24"/>
          <w:szCs w:val="24"/>
          <w:u w:val="single"/>
        </w:rPr>
        <w:t xml:space="preserve"> elnök</w:t>
      </w:r>
      <w:r>
        <w:rPr>
          <w:rFonts w:ascii="Times New Roman" w:hAnsi="Times New Roman"/>
          <w:sz w:val="24"/>
          <w:szCs w:val="24"/>
        </w:rPr>
        <w:t xml:space="preserve"> elmondta, hogy az MVH-nak csak akkor lenne erre lehetősége, ha visszamenőleges rendeletmódosítás történne. Volt erre példa, de ez sérti pl. a jogbiztonság alapelvét. Az említett szabályok teremtettek pl. alapot arra, hogy több </w:t>
      </w:r>
      <w:r w:rsidR="00FF29E7">
        <w:rPr>
          <w:rFonts w:ascii="Times New Roman" w:hAnsi="Times New Roman"/>
          <w:sz w:val="24"/>
          <w:szCs w:val="24"/>
        </w:rPr>
        <w:t>százmilliárd</w:t>
      </w:r>
      <w:r>
        <w:rPr>
          <w:rFonts w:ascii="Times New Roman" w:hAnsi="Times New Roman"/>
          <w:sz w:val="24"/>
          <w:szCs w:val="24"/>
        </w:rPr>
        <w:t xml:space="preserve"> Ft visszakerüljön a rendszerbe, ami megteremti a többlet kötelezettségvállalás egyik alapját.</w:t>
      </w:r>
    </w:p>
    <w:p w:rsidR="00CA67AF" w:rsidRDefault="001E1AC5">
      <w:pPr>
        <w:pStyle w:val="Standard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A határidő meghosszabbítása ellen szól, hogy a támogatási határozatok nagyon lassan születnek meg, amint a most zárult LEADER pályázat példája is mutatja. Turisztika nyitva van </w:t>
      </w:r>
      <w:r w:rsidR="00F95D8A">
        <w:rPr>
          <w:rFonts w:ascii="Times New Roman" w:hAnsi="Times New Roman"/>
          <w:sz w:val="24"/>
          <w:szCs w:val="24"/>
        </w:rPr>
        <w:t xml:space="preserve">november </w:t>
      </w:r>
      <w:r>
        <w:rPr>
          <w:rFonts w:ascii="Times New Roman" w:hAnsi="Times New Roman"/>
          <w:sz w:val="24"/>
          <w:szCs w:val="24"/>
        </w:rPr>
        <w:t>25-e óta, és mindössze 7 pályázatot adtak be eddig.</w:t>
      </w:r>
    </w:p>
    <w:p w:rsidR="00CA67AF" w:rsidRPr="00F95D8A" w:rsidRDefault="00CA67AF">
      <w:pPr>
        <w:pStyle w:val="Standard"/>
        <w:spacing w:after="0"/>
        <w:jc w:val="both"/>
        <w:rPr>
          <w:sz w:val="16"/>
          <w:szCs w:val="16"/>
        </w:rPr>
      </w:pPr>
    </w:p>
    <w:p w:rsidR="00CA67AF" w:rsidRDefault="001E1AC5">
      <w:pPr>
        <w:pStyle w:val="Standard"/>
        <w:spacing w:after="0"/>
        <w:jc w:val="both"/>
      </w:pPr>
      <w:r>
        <w:rPr>
          <w:rFonts w:ascii="Times New Roman" w:hAnsi="Times New Roman"/>
          <w:sz w:val="24"/>
          <w:szCs w:val="24"/>
        </w:rPr>
        <w:t>Ezt követően az MB elnöke az ülés</w:t>
      </w:r>
      <w:r w:rsidR="00FF29E7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bezárta.</w:t>
      </w:r>
    </w:p>
    <w:sectPr w:rsidR="00CA67AF">
      <w:footerReference w:type="default" r:id="rId14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24B" w:rsidRDefault="0040624B">
      <w:r>
        <w:separator/>
      </w:r>
    </w:p>
  </w:endnote>
  <w:endnote w:type="continuationSeparator" w:id="0">
    <w:p w:rsidR="0040624B" w:rsidRDefault="0040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charset w:val="00"/>
    <w:family w:val="swiss"/>
    <w:pitch w:val="variable"/>
  </w:font>
  <w:font w:name="WenQuanYi Micro Hei">
    <w:charset w:val="00"/>
    <w:family w:val="auto"/>
    <w:pitch w:val="variable"/>
  </w:font>
  <w:font w:name="Lohit Hindi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charset w:val="00"/>
    <w:family w:val="auto"/>
    <w:pitch w:val="variable"/>
  </w:font>
  <w:font w:name="+mn-cs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ED7" w:rsidRDefault="001E1AC5" w:rsidP="000607BC">
    <w:pPr>
      <w:pStyle w:val="llb"/>
      <w:pBdr>
        <w:top w:val="double" w:sz="12" w:space="1" w:color="622423"/>
      </w:pBdr>
      <w:tabs>
        <w:tab w:val="clear" w:pos="4536"/>
      </w:tabs>
    </w:pPr>
    <w:r>
      <w:rPr>
        <w:rFonts w:ascii="Times New Roman" w:hAnsi="Times New Roman"/>
      </w:rPr>
      <w:t>DIT-ÚMVP Monitoring Bizottság 2013. december 11. - emlékeztető</w:t>
    </w:r>
    <w:r>
      <w:rPr>
        <w:rFonts w:ascii="Times New Roman" w:hAnsi="Times New Roman"/>
      </w:rPr>
      <w:tab/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5373A5">
      <w:rPr>
        <w:rFonts w:ascii="Times New Roman" w:hAnsi="Times New Roman"/>
        <w:noProof/>
      </w:rPr>
      <w:t>9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/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5373A5">
      <w:rPr>
        <w:rFonts w:ascii="Times New Roman" w:hAnsi="Times New Roman"/>
        <w:noProof/>
      </w:rPr>
      <w:t>12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. oldal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24B" w:rsidRDefault="0040624B">
      <w:r>
        <w:rPr>
          <w:color w:val="000000"/>
        </w:rPr>
        <w:separator/>
      </w:r>
    </w:p>
  </w:footnote>
  <w:footnote w:type="continuationSeparator" w:id="0">
    <w:p w:rsidR="0040624B" w:rsidRDefault="00406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B1B"/>
    <w:multiLevelType w:val="multilevel"/>
    <w:tmpl w:val="A52AE62A"/>
    <w:styleLink w:val="WWNum41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">
    <w:nsid w:val="09345285"/>
    <w:multiLevelType w:val="multilevel"/>
    <w:tmpl w:val="0D00046A"/>
    <w:styleLink w:val="WWNum16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">
    <w:nsid w:val="0FBC46B8"/>
    <w:multiLevelType w:val="multilevel"/>
    <w:tmpl w:val="A7223372"/>
    <w:styleLink w:val="WWNum1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3">
    <w:nsid w:val="132C275F"/>
    <w:multiLevelType w:val="multilevel"/>
    <w:tmpl w:val="45B0C2D6"/>
    <w:styleLink w:val="WWNum46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15E82D3B"/>
    <w:multiLevelType w:val="multilevel"/>
    <w:tmpl w:val="BA3AB122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">
    <w:nsid w:val="17DF6CB1"/>
    <w:multiLevelType w:val="multilevel"/>
    <w:tmpl w:val="3F5C2302"/>
    <w:styleLink w:val="WWNum30"/>
    <w:lvl w:ilvl="0">
      <w:numFmt w:val="bullet"/>
      <w:lvlText w:val="•"/>
      <w:lvlJc w:val="left"/>
      <w:rPr>
        <w:rFonts w:ascii="Arial" w:hAnsi="Arial"/>
      </w:rPr>
    </w:lvl>
    <w:lvl w:ilvl="1">
      <w:numFmt w:val="bullet"/>
      <w:lvlText w:val="•"/>
      <w:lvlJc w:val="left"/>
      <w:rPr>
        <w:rFonts w:ascii="Arial" w:hAnsi="Arial"/>
      </w:rPr>
    </w:lvl>
    <w:lvl w:ilvl="2">
      <w:numFmt w:val="bullet"/>
      <w:lvlText w:val="•"/>
      <w:lvlJc w:val="left"/>
      <w:rPr>
        <w:rFonts w:ascii="Arial" w:hAnsi="Arial"/>
      </w:rPr>
    </w:lvl>
    <w:lvl w:ilvl="3">
      <w:numFmt w:val="bullet"/>
      <w:lvlText w:val="•"/>
      <w:lvlJc w:val="left"/>
      <w:rPr>
        <w:rFonts w:ascii="Arial" w:hAnsi="Arial"/>
      </w:rPr>
    </w:lvl>
    <w:lvl w:ilvl="4">
      <w:numFmt w:val="bullet"/>
      <w:lvlText w:val="•"/>
      <w:lvlJc w:val="left"/>
      <w:rPr>
        <w:rFonts w:ascii="Arial" w:hAnsi="Arial"/>
      </w:rPr>
    </w:lvl>
    <w:lvl w:ilvl="5">
      <w:numFmt w:val="bullet"/>
      <w:lvlText w:val="•"/>
      <w:lvlJc w:val="left"/>
      <w:rPr>
        <w:rFonts w:ascii="Arial" w:hAnsi="Arial"/>
      </w:rPr>
    </w:lvl>
    <w:lvl w:ilvl="6">
      <w:numFmt w:val="bullet"/>
      <w:lvlText w:val="•"/>
      <w:lvlJc w:val="left"/>
      <w:rPr>
        <w:rFonts w:ascii="Arial" w:hAnsi="Arial"/>
      </w:rPr>
    </w:lvl>
    <w:lvl w:ilvl="7">
      <w:numFmt w:val="bullet"/>
      <w:lvlText w:val="•"/>
      <w:lvlJc w:val="left"/>
      <w:rPr>
        <w:rFonts w:ascii="Arial" w:hAnsi="Arial"/>
      </w:rPr>
    </w:lvl>
    <w:lvl w:ilvl="8">
      <w:numFmt w:val="bullet"/>
      <w:lvlText w:val="•"/>
      <w:lvlJc w:val="left"/>
      <w:rPr>
        <w:rFonts w:ascii="Arial" w:hAnsi="Arial"/>
      </w:rPr>
    </w:lvl>
  </w:abstractNum>
  <w:abstractNum w:abstractNumId="6">
    <w:nsid w:val="1F4B49F9"/>
    <w:multiLevelType w:val="multilevel"/>
    <w:tmpl w:val="47C6FDD0"/>
    <w:styleLink w:val="WWNum7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20656C2B"/>
    <w:multiLevelType w:val="multilevel"/>
    <w:tmpl w:val="10587B82"/>
    <w:styleLink w:val="WWNum2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8">
    <w:nsid w:val="238E40E6"/>
    <w:multiLevelType w:val="multilevel"/>
    <w:tmpl w:val="ED929080"/>
    <w:styleLink w:val="WWNum47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25AD1A5D"/>
    <w:multiLevelType w:val="multilevel"/>
    <w:tmpl w:val="3D52C4D2"/>
    <w:styleLink w:val="WWNum4"/>
    <w:lvl w:ilvl="0">
      <w:start w:val="1"/>
      <w:numFmt w:val="lowerLetter"/>
      <w:lvlText w:val="%1.)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0">
    <w:nsid w:val="29665CCA"/>
    <w:multiLevelType w:val="multilevel"/>
    <w:tmpl w:val="DB3AEF58"/>
    <w:styleLink w:val="WWNum33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2D890CF7"/>
    <w:multiLevelType w:val="multilevel"/>
    <w:tmpl w:val="4500A1CE"/>
    <w:styleLink w:val="WWNum10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2">
    <w:nsid w:val="2E390460"/>
    <w:multiLevelType w:val="multilevel"/>
    <w:tmpl w:val="FBACA2B2"/>
    <w:styleLink w:val="WWNum5"/>
    <w:lvl w:ilvl="0">
      <w:numFmt w:val="bullet"/>
      <w:lvlText w:val=""/>
      <w:lvlJc w:val="left"/>
    </w:lvl>
    <w:lvl w:ilvl="1">
      <w:numFmt w:val="bullet"/>
      <w:lvlText w:val="◦"/>
      <w:lvlJc w:val="left"/>
    </w:lvl>
    <w:lvl w:ilvl="2">
      <w:numFmt w:val="bullet"/>
      <w:lvlText w:val=""/>
      <w:lvlJc w:val="left"/>
    </w:lvl>
    <w:lvl w:ilvl="3">
      <w:numFmt w:val="bullet"/>
      <w:lvlText w:val=""/>
      <w:lvlJc w:val="left"/>
    </w:lvl>
    <w:lvl w:ilvl="4">
      <w:numFmt w:val="bullet"/>
      <w:lvlText w:val=""/>
      <w:lvlJc w:val="left"/>
    </w:lvl>
    <w:lvl w:ilvl="5">
      <w:numFmt w:val="bullet"/>
      <w:lvlText w:val=""/>
      <w:lvlJc w:val="left"/>
    </w:lvl>
    <w:lvl w:ilvl="6">
      <w:numFmt w:val="bullet"/>
      <w:lvlText w:val=""/>
      <w:lvlJc w:val="left"/>
    </w:lvl>
    <w:lvl w:ilvl="7">
      <w:numFmt w:val="bullet"/>
      <w:lvlText w:val=""/>
      <w:lvlJc w:val="left"/>
    </w:lvl>
    <w:lvl w:ilvl="8">
      <w:numFmt w:val="bullet"/>
      <w:lvlText w:val=""/>
      <w:lvlJc w:val="left"/>
    </w:lvl>
  </w:abstractNum>
  <w:abstractNum w:abstractNumId="13">
    <w:nsid w:val="3E2D067E"/>
    <w:multiLevelType w:val="multilevel"/>
    <w:tmpl w:val="7294F074"/>
    <w:styleLink w:val="WWNum29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4">
    <w:nsid w:val="3EF326CD"/>
    <w:multiLevelType w:val="multilevel"/>
    <w:tmpl w:val="621654D4"/>
    <w:styleLink w:val="WWNum31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5">
    <w:nsid w:val="40262251"/>
    <w:multiLevelType w:val="multilevel"/>
    <w:tmpl w:val="693C7D9A"/>
    <w:styleLink w:val="WWNum40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6">
    <w:nsid w:val="42796C57"/>
    <w:multiLevelType w:val="multilevel"/>
    <w:tmpl w:val="2DF09BC8"/>
    <w:styleLink w:val="WWNum2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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17">
    <w:nsid w:val="468D5E45"/>
    <w:multiLevelType w:val="multilevel"/>
    <w:tmpl w:val="7D4AE84A"/>
    <w:styleLink w:val="WWNum42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18">
    <w:nsid w:val="4A1B3726"/>
    <w:multiLevelType w:val="multilevel"/>
    <w:tmpl w:val="BBBA7DBC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4C4C4EE4"/>
    <w:multiLevelType w:val="multilevel"/>
    <w:tmpl w:val="7E1EC774"/>
    <w:styleLink w:val="WWNum32"/>
    <w:lvl w:ilvl="0">
      <w:numFmt w:val="bullet"/>
      <w:lvlText w:val="–"/>
      <w:lvlJc w:val="left"/>
      <w:rPr>
        <w:rFonts w:ascii="Arial" w:hAnsi="Arial"/>
      </w:rPr>
    </w:lvl>
    <w:lvl w:ilvl="1">
      <w:numFmt w:val="bullet"/>
      <w:lvlText w:val="–"/>
      <w:lvlJc w:val="left"/>
      <w:rPr>
        <w:rFonts w:ascii="Arial" w:hAnsi="Arial"/>
      </w:rPr>
    </w:lvl>
    <w:lvl w:ilvl="2">
      <w:numFmt w:val="bullet"/>
      <w:lvlText w:val="–"/>
      <w:lvlJc w:val="left"/>
      <w:rPr>
        <w:rFonts w:ascii="Arial" w:hAnsi="Arial"/>
      </w:rPr>
    </w:lvl>
    <w:lvl w:ilvl="3">
      <w:numFmt w:val="bullet"/>
      <w:lvlText w:val="–"/>
      <w:lvlJc w:val="left"/>
      <w:rPr>
        <w:rFonts w:ascii="Arial" w:hAnsi="Arial"/>
      </w:rPr>
    </w:lvl>
    <w:lvl w:ilvl="4">
      <w:numFmt w:val="bullet"/>
      <w:lvlText w:val="–"/>
      <w:lvlJc w:val="left"/>
      <w:rPr>
        <w:rFonts w:ascii="Arial" w:hAnsi="Arial"/>
      </w:rPr>
    </w:lvl>
    <w:lvl w:ilvl="5">
      <w:numFmt w:val="bullet"/>
      <w:lvlText w:val="–"/>
      <w:lvlJc w:val="left"/>
      <w:rPr>
        <w:rFonts w:ascii="Arial" w:hAnsi="Arial"/>
      </w:rPr>
    </w:lvl>
    <w:lvl w:ilvl="6">
      <w:numFmt w:val="bullet"/>
      <w:lvlText w:val="–"/>
      <w:lvlJc w:val="left"/>
      <w:rPr>
        <w:rFonts w:ascii="Arial" w:hAnsi="Arial"/>
      </w:rPr>
    </w:lvl>
    <w:lvl w:ilvl="7">
      <w:numFmt w:val="bullet"/>
      <w:lvlText w:val="–"/>
      <w:lvlJc w:val="left"/>
      <w:rPr>
        <w:rFonts w:ascii="Arial" w:hAnsi="Arial"/>
      </w:rPr>
    </w:lvl>
    <w:lvl w:ilvl="8">
      <w:numFmt w:val="bullet"/>
      <w:lvlText w:val="–"/>
      <w:lvlJc w:val="left"/>
      <w:rPr>
        <w:rFonts w:ascii="Arial" w:hAnsi="Arial"/>
      </w:rPr>
    </w:lvl>
  </w:abstractNum>
  <w:abstractNum w:abstractNumId="20">
    <w:nsid w:val="4CC3079F"/>
    <w:multiLevelType w:val="multilevel"/>
    <w:tmpl w:val="159C6BB0"/>
    <w:styleLink w:val="WWNum21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1">
    <w:nsid w:val="4F1D54A9"/>
    <w:multiLevelType w:val="multilevel"/>
    <w:tmpl w:val="5B72B458"/>
    <w:styleLink w:val="WWNum1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2">
    <w:nsid w:val="565D7BEC"/>
    <w:multiLevelType w:val="multilevel"/>
    <w:tmpl w:val="A0EE5DD6"/>
    <w:styleLink w:val="WWNum26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3">
    <w:nsid w:val="5C1E2BE2"/>
    <w:multiLevelType w:val="multilevel"/>
    <w:tmpl w:val="60C618DE"/>
    <w:styleLink w:val="WWNum28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>
    <w:nsid w:val="5C1F5529"/>
    <w:multiLevelType w:val="multilevel"/>
    <w:tmpl w:val="906A97AA"/>
    <w:styleLink w:val="WWNum34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5">
    <w:nsid w:val="604B5E0E"/>
    <w:multiLevelType w:val="multilevel"/>
    <w:tmpl w:val="0A244D54"/>
    <w:styleLink w:val="WWNum35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6">
    <w:nsid w:val="62867B3D"/>
    <w:multiLevelType w:val="multilevel"/>
    <w:tmpl w:val="4E3A6674"/>
    <w:styleLink w:val="WWNum3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27">
    <w:nsid w:val="65BD4984"/>
    <w:multiLevelType w:val="multilevel"/>
    <w:tmpl w:val="071E4CC4"/>
    <w:styleLink w:val="WWNum3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681123A2"/>
    <w:multiLevelType w:val="multilevel"/>
    <w:tmpl w:val="7534A9C4"/>
    <w:styleLink w:val="WWNum3"/>
    <w:lvl w:ilvl="0">
      <w:start w:val="5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9">
    <w:nsid w:val="6A186515"/>
    <w:multiLevelType w:val="multilevel"/>
    <w:tmpl w:val="405A40B6"/>
    <w:styleLink w:val="WWNum22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30">
    <w:nsid w:val="6AA21135"/>
    <w:multiLevelType w:val="multilevel"/>
    <w:tmpl w:val="C526D212"/>
    <w:styleLink w:val="WWNum25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31">
    <w:nsid w:val="6BFA2B18"/>
    <w:multiLevelType w:val="multilevel"/>
    <w:tmpl w:val="C1CA0CE4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2">
    <w:nsid w:val="6E1C7054"/>
    <w:multiLevelType w:val="multilevel"/>
    <w:tmpl w:val="525878DC"/>
    <w:styleLink w:val="WWNum45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33">
    <w:nsid w:val="6F445AAF"/>
    <w:multiLevelType w:val="multilevel"/>
    <w:tmpl w:val="4EB6FC14"/>
    <w:styleLink w:val="WWNum15"/>
    <w:lvl w:ilvl="0">
      <w:numFmt w:val="bullet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>
    <w:nsid w:val="6F9A2533"/>
    <w:multiLevelType w:val="multilevel"/>
    <w:tmpl w:val="BC44EDC0"/>
    <w:styleLink w:val="WWNum20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35">
    <w:nsid w:val="70123594"/>
    <w:multiLevelType w:val="multilevel"/>
    <w:tmpl w:val="5D145630"/>
    <w:styleLink w:val="WWNum2"/>
    <w:lvl w:ilvl="0">
      <w:numFmt w:val="bullet"/>
      <w:lvlText w:val="-"/>
      <w:lvlJc w:val="left"/>
      <w:rPr>
        <w:rFonts w:eastAsia="SimSu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>
    <w:nsid w:val="705C4F59"/>
    <w:multiLevelType w:val="multilevel"/>
    <w:tmpl w:val="A128E54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7">
    <w:nsid w:val="7123091B"/>
    <w:multiLevelType w:val="multilevel"/>
    <w:tmpl w:val="FEB27FF8"/>
    <w:styleLink w:val="WWNum44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38">
    <w:nsid w:val="7474451E"/>
    <w:multiLevelType w:val="multilevel"/>
    <w:tmpl w:val="A67ECB3A"/>
    <w:styleLink w:val="WWNum36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39">
    <w:nsid w:val="753C4A05"/>
    <w:multiLevelType w:val="multilevel"/>
    <w:tmpl w:val="EB407F9C"/>
    <w:styleLink w:val="WWNum43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40">
    <w:nsid w:val="76766A1C"/>
    <w:multiLevelType w:val="multilevel"/>
    <w:tmpl w:val="DE2A8294"/>
    <w:styleLink w:val="WWNum14"/>
    <w:lvl w:ilvl="0">
      <w:start w:val="2322"/>
      <w:numFmt w:val="decimal"/>
      <w:lvlText w:val="%1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1">
    <w:nsid w:val="781B6E3B"/>
    <w:multiLevelType w:val="multilevel"/>
    <w:tmpl w:val="1BB07172"/>
    <w:styleLink w:val="WWNum3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42">
    <w:nsid w:val="79730692"/>
    <w:multiLevelType w:val="multilevel"/>
    <w:tmpl w:val="95AC6080"/>
    <w:styleLink w:val="WWNum23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numFmt w:val="bullet"/>
      <w:lvlText w:val=""/>
      <w:lvlJc w:val="left"/>
      <w:rPr>
        <w:rFonts w:ascii="Wingdings" w:hAnsi="Wingdings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43">
    <w:nsid w:val="797B3626"/>
    <w:multiLevelType w:val="multilevel"/>
    <w:tmpl w:val="13F043BC"/>
    <w:styleLink w:val="WWNum19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"/>
      <w:lvlJc w:val="left"/>
      <w:rPr>
        <w:rFonts w:ascii="Wingdings" w:hAnsi="Wingdings"/>
      </w:rPr>
    </w:lvl>
    <w:lvl w:ilvl="2">
      <w:start w:val="1"/>
      <w:numFmt w:val="decimal"/>
      <w:lvlText w:val="%3."/>
      <w:lvlJc w:val="left"/>
      <w:rPr>
        <w:rFonts w:eastAsia="Times New Roman" w:cs="Times New Roman"/>
      </w:rPr>
    </w:lvl>
    <w:lvl w:ilvl="3">
      <w:numFmt w:val="bullet"/>
      <w:lvlText w:val=""/>
      <w:lvlJc w:val="left"/>
      <w:rPr>
        <w:rFonts w:ascii="Wingdings" w:hAnsi="Wingdings"/>
      </w:rPr>
    </w:lvl>
    <w:lvl w:ilvl="4">
      <w:numFmt w:val="bullet"/>
      <w:lvlText w:val=""/>
      <w:lvlJc w:val="left"/>
      <w:rPr>
        <w:rFonts w:ascii="Wingdings" w:hAnsi="Wingdings"/>
      </w:rPr>
    </w:lvl>
    <w:lvl w:ilvl="5">
      <w:numFmt w:val="bullet"/>
      <w:lvlText w:val=""/>
      <w:lvlJc w:val="left"/>
      <w:rPr>
        <w:rFonts w:ascii="Wingdings" w:hAnsi="Wingdings"/>
      </w:rPr>
    </w:lvl>
    <w:lvl w:ilvl="6">
      <w:numFmt w:val="bullet"/>
      <w:lvlText w:val=""/>
      <w:lvlJc w:val="left"/>
      <w:rPr>
        <w:rFonts w:ascii="Wingdings" w:hAnsi="Wingdings"/>
      </w:rPr>
    </w:lvl>
    <w:lvl w:ilvl="7">
      <w:numFmt w:val="bullet"/>
      <w:lvlText w:val=""/>
      <w:lvlJc w:val="left"/>
      <w:rPr>
        <w:rFonts w:ascii="Wingdings" w:hAnsi="Wingdings"/>
      </w:rPr>
    </w:lvl>
    <w:lvl w:ilvl="8">
      <w:numFmt w:val="bullet"/>
      <w:lvlText w:val=""/>
      <w:lvlJc w:val="left"/>
      <w:rPr>
        <w:rFonts w:ascii="Wingdings" w:hAnsi="Wingdings"/>
      </w:rPr>
    </w:lvl>
  </w:abstractNum>
  <w:abstractNum w:abstractNumId="44">
    <w:nsid w:val="7CF63F51"/>
    <w:multiLevelType w:val="multilevel"/>
    <w:tmpl w:val="8580FD34"/>
    <w:styleLink w:val="WWNum9"/>
    <w:lvl w:ilvl="0">
      <w:numFmt w:val="bullet"/>
      <w:lvlText w:val="•"/>
      <w:lvlJc w:val="left"/>
      <w:rPr>
        <w:rFonts w:ascii="Times New Roman" w:hAnsi="Times New Roman"/>
      </w:rPr>
    </w:lvl>
    <w:lvl w:ilvl="1">
      <w:numFmt w:val="bullet"/>
      <w:lvlText w:val="•"/>
      <w:lvlJc w:val="left"/>
      <w:rPr>
        <w:rFonts w:ascii="Times New Roman" w:hAnsi="Times New Roman"/>
      </w:rPr>
    </w:lvl>
    <w:lvl w:ilvl="2">
      <w:numFmt w:val="bullet"/>
      <w:lvlText w:val="•"/>
      <w:lvlJc w:val="left"/>
      <w:rPr>
        <w:rFonts w:ascii="Times New Roman" w:hAnsi="Times New Roman"/>
      </w:rPr>
    </w:lvl>
    <w:lvl w:ilvl="3">
      <w:numFmt w:val="bullet"/>
      <w:lvlText w:val="•"/>
      <w:lvlJc w:val="left"/>
      <w:rPr>
        <w:rFonts w:ascii="Times New Roman" w:hAnsi="Times New Roman"/>
      </w:rPr>
    </w:lvl>
    <w:lvl w:ilvl="4">
      <w:numFmt w:val="bullet"/>
      <w:lvlText w:val="•"/>
      <w:lvlJc w:val="left"/>
      <w:rPr>
        <w:rFonts w:ascii="Times New Roman" w:hAnsi="Times New Roman"/>
      </w:rPr>
    </w:lvl>
    <w:lvl w:ilvl="5">
      <w:numFmt w:val="bullet"/>
      <w:lvlText w:val="•"/>
      <w:lvlJc w:val="left"/>
      <w:rPr>
        <w:rFonts w:ascii="Times New Roman" w:hAnsi="Times New Roman"/>
      </w:rPr>
    </w:lvl>
    <w:lvl w:ilvl="6">
      <w:numFmt w:val="bullet"/>
      <w:lvlText w:val="•"/>
      <w:lvlJc w:val="left"/>
      <w:rPr>
        <w:rFonts w:ascii="Times New Roman" w:hAnsi="Times New Roman"/>
      </w:rPr>
    </w:lvl>
    <w:lvl w:ilvl="7">
      <w:numFmt w:val="bullet"/>
      <w:lvlText w:val="•"/>
      <w:lvlJc w:val="left"/>
      <w:rPr>
        <w:rFonts w:ascii="Times New Roman" w:hAnsi="Times New Roman"/>
      </w:rPr>
    </w:lvl>
    <w:lvl w:ilvl="8">
      <w:numFmt w:val="bullet"/>
      <w:lvlText w:val="•"/>
      <w:lvlJc w:val="left"/>
      <w:rPr>
        <w:rFonts w:ascii="Times New Roman" w:hAnsi="Times New Roman"/>
      </w:rPr>
    </w:lvl>
  </w:abstractNum>
  <w:abstractNum w:abstractNumId="45">
    <w:nsid w:val="7FE42A53"/>
    <w:multiLevelType w:val="multilevel"/>
    <w:tmpl w:val="ED4C0320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6">
    <w:nsid w:val="7FF118FF"/>
    <w:multiLevelType w:val="multilevel"/>
    <w:tmpl w:val="4A3658E0"/>
    <w:styleLink w:val="WWNum1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46"/>
  </w:num>
  <w:num w:numId="2">
    <w:abstractNumId w:val="35"/>
  </w:num>
  <w:num w:numId="3">
    <w:abstractNumId w:val="28"/>
  </w:num>
  <w:num w:numId="4">
    <w:abstractNumId w:val="9"/>
  </w:num>
  <w:num w:numId="5">
    <w:abstractNumId w:val="12"/>
  </w:num>
  <w:num w:numId="6">
    <w:abstractNumId w:val="45"/>
  </w:num>
  <w:num w:numId="7">
    <w:abstractNumId w:val="6"/>
  </w:num>
  <w:num w:numId="8">
    <w:abstractNumId w:val="31"/>
  </w:num>
  <w:num w:numId="9">
    <w:abstractNumId w:val="44"/>
  </w:num>
  <w:num w:numId="10">
    <w:abstractNumId w:val="11"/>
  </w:num>
  <w:num w:numId="11">
    <w:abstractNumId w:val="36"/>
  </w:num>
  <w:num w:numId="12">
    <w:abstractNumId w:val="18"/>
  </w:num>
  <w:num w:numId="13">
    <w:abstractNumId w:val="4"/>
  </w:num>
  <w:num w:numId="14">
    <w:abstractNumId w:val="40"/>
  </w:num>
  <w:num w:numId="15">
    <w:abstractNumId w:val="33"/>
  </w:num>
  <w:num w:numId="16">
    <w:abstractNumId w:val="1"/>
  </w:num>
  <w:num w:numId="17">
    <w:abstractNumId w:val="21"/>
  </w:num>
  <w:num w:numId="18">
    <w:abstractNumId w:val="2"/>
  </w:num>
  <w:num w:numId="19">
    <w:abstractNumId w:val="43"/>
  </w:num>
  <w:num w:numId="20">
    <w:abstractNumId w:val="34"/>
  </w:num>
  <w:num w:numId="21">
    <w:abstractNumId w:val="20"/>
  </w:num>
  <w:num w:numId="22">
    <w:abstractNumId w:val="29"/>
  </w:num>
  <w:num w:numId="23">
    <w:abstractNumId w:val="42"/>
  </w:num>
  <w:num w:numId="24">
    <w:abstractNumId w:val="16"/>
  </w:num>
  <w:num w:numId="25">
    <w:abstractNumId w:val="30"/>
  </w:num>
  <w:num w:numId="26">
    <w:abstractNumId w:val="22"/>
  </w:num>
  <w:num w:numId="27">
    <w:abstractNumId w:val="7"/>
  </w:num>
  <w:num w:numId="28">
    <w:abstractNumId w:val="23"/>
  </w:num>
  <w:num w:numId="29">
    <w:abstractNumId w:val="13"/>
  </w:num>
  <w:num w:numId="30">
    <w:abstractNumId w:val="5"/>
  </w:num>
  <w:num w:numId="31">
    <w:abstractNumId w:val="14"/>
  </w:num>
  <w:num w:numId="32">
    <w:abstractNumId w:val="19"/>
  </w:num>
  <w:num w:numId="33">
    <w:abstractNumId w:val="10"/>
  </w:num>
  <w:num w:numId="34">
    <w:abstractNumId w:val="24"/>
  </w:num>
  <w:num w:numId="35">
    <w:abstractNumId w:val="25"/>
  </w:num>
  <w:num w:numId="36">
    <w:abstractNumId w:val="38"/>
  </w:num>
  <w:num w:numId="37">
    <w:abstractNumId w:val="41"/>
  </w:num>
  <w:num w:numId="38">
    <w:abstractNumId w:val="26"/>
  </w:num>
  <w:num w:numId="39">
    <w:abstractNumId w:val="27"/>
  </w:num>
  <w:num w:numId="40">
    <w:abstractNumId w:val="15"/>
  </w:num>
  <w:num w:numId="41">
    <w:abstractNumId w:val="0"/>
  </w:num>
  <w:num w:numId="42">
    <w:abstractNumId w:val="17"/>
  </w:num>
  <w:num w:numId="43">
    <w:abstractNumId w:val="39"/>
  </w:num>
  <w:num w:numId="44">
    <w:abstractNumId w:val="37"/>
  </w:num>
  <w:num w:numId="45">
    <w:abstractNumId w:val="32"/>
  </w:num>
  <w:num w:numId="46">
    <w:abstractNumId w:val="3"/>
  </w:num>
  <w:num w:numId="47">
    <w:abstractNumId w:val="8"/>
  </w:num>
  <w:num w:numId="48">
    <w:abstractNumId w:val="46"/>
    <w:lvlOverride w:ilvl="0">
      <w:startOverride w:val="1"/>
    </w:lvlOverride>
  </w:num>
  <w:num w:numId="49">
    <w:abstractNumId w:val="8"/>
  </w:num>
  <w:num w:numId="50">
    <w:abstractNumId w:val="4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docVars>
    <w:docVar w:name="LW_DocType" w:val="NORMAL"/>
  </w:docVars>
  <w:rsids>
    <w:rsidRoot w:val="00CA67AF"/>
    <w:rsid w:val="00047067"/>
    <w:rsid w:val="000607BC"/>
    <w:rsid w:val="00124306"/>
    <w:rsid w:val="00133953"/>
    <w:rsid w:val="001E1AC5"/>
    <w:rsid w:val="002F7E7B"/>
    <w:rsid w:val="0030043E"/>
    <w:rsid w:val="00361AF1"/>
    <w:rsid w:val="0040624B"/>
    <w:rsid w:val="00514571"/>
    <w:rsid w:val="005373A5"/>
    <w:rsid w:val="0056475A"/>
    <w:rsid w:val="005D1C0A"/>
    <w:rsid w:val="00646CC0"/>
    <w:rsid w:val="006B0423"/>
    <w:rsid w:val="006C4925"/>
    <w:rsid w:val="006D10BF"/>
    <w:rsid w:val="006F7FC3"/>
    <w:rsid w:val="00782546"/>
    <w:rsid w:val="0083097E"/>
    <w:rsid w:val="008C33B6"/>
    <w:rsid w:val="00917A8B"/>
    <w:rsid w:val="009C0018"/>
    <w:rsid w:val="00B66E87"/>
    <w:rsid w:val="00CA67AF"/>
    <w:rsid w:val="00CB252C"/>
    <w:rsid w:val="00D362CA"/>
    <w:rsid w:val="00DB4883"/>
    <w:rsid w:val="00DD34D7"/>
    <w:rsid w:val="00F95D8A"/>
    <w:rsid w:val="00F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3"/>
        <w:sz w:val="22"/>
        <w:szCs w:val="22"/>
        <w:lang w:val="hu-HU" w:eastAsia="hu-H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4">
    <w:name w:val="heading 4"/>
    <w:basedOn w:val="Standard"/>
    <w:next w:val="Textbody"/>
    <w:pPr>
      <w:spacing w:after="120" w:line="240" w:lineRule="auto"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eastAsia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Listaszerbekezds">
    <w:name w:val="List Paragraph"/>
    <w:basedOn w:val="Standard"/>
    <w:pPr>
      <w:spacing w:after="0"/>
      <w:ind w:left="720"/>
    </w:pPr>
  </w:style>
  <w:style w:type="paragraph" w:styleId="lfej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Web">
    <w:name w:val="Normal (Web)"/>
    <w:basedOn w:val="Standard"/>
    <w:pPr>
      <w:spacing w:before="28" w:after="28" w:line="240" w:lineRule="auto"/>
    </w:pPr>
    <w:rPr>
      <w:rFonts w:ascii="Times New Roman" w:hAnsi="Times New Roman"/>
      <w:sz w:val="24"/>
      <w:szCs w:val="24"/>
    </w:rPr>
  </w:style>
  <w:style w:type="paragraph" w:customStyle="1" w:styleId="Objektumnyllal">
    <w:name w:val="Objektum nyíllal"/>
    <w:basedOn w:val="Standard"/>
  </w:style>
  <w:style w:type="paragraph" w:customStyle="1" w:styleId="Objektumrnykkal">
    <w:name w:val="Objektum árnyékkal"/>
    <w:basedOn w:val="Standard"/>
  </w:style>
  <w:style w:type="paragraph" w:customStyle="1" w:styleId="Kitltetlenobjektum">
    <w:name w:val="Kitöltetlen objektum"/>
    <w:basedOn w:val="Standard"/>
  </w:style>
  <w:style w:type="paragraph" w:customStyle="1" w:styleId="Szveg">
    <w:name w:val="Szöveg"/>
    <w:basedOn w:val="Standard"/>
  </w:style>
  <w:style w:type="paragraph" w:customStyle="1" w:styleId="Sorkizrtszvegtrzs">
    <w:name w:val="Sorkizárt szövegtörzs"/>
    <w:basedOn w:val="Standard"/>
  </w:style>
  <w:style w:type="paragraph" w:customStyle="1" w:styleId="Elssorbehzsa">
    <w:name w:val="Els? sor behúzása"/>
    <w:basedOn w:val="Standard"/>
    <w:pPr>
      <w:spacing w:after="0"/>
      <w:ind w:firstLine="340"/>
    </w:pPr>
  </w:style>
  <w:style w:type="paragraph" w:styleId="Cm">
    <w:name w:val="Title"/>
    <w:basedOn w:val="Heading"/>
    <w:next w:val="Alcm"/>
    <w:pPr>
      <w:jc w:val="center"/>
    </w:pPr>
    <w:rPr>
      <w:b/>
      <w:bCs/>
      <w:sz w:val="36"/>
      <w:szCs w:val="36"/>
    </w:rPr>
  </w:style>
  <w:style w:type="paragraph" w:styleId="Alcm">
    <w:name w:val="Subtitle"/>
    <w:basedOn w:val="Heading"/>
    <w:next w:val="Textbody"/>
    <w:pPr>
      <w:jc w:val="center"/>
    </w:pPr>
    <w:rPr>
      <w:i/>
      <w:iCs/>
    </w:rPr>
  </w:style>
  <w:style w:type="paragraph" w:customStyle="1" w:styleId="Cm1">
    <w:name w:val="Cím1"/>
    <w:basedOn w:val="Standard"/>
    <w:pPr>
      <w:jc w:val="center"/>
    </w:pPr>
  </w:style>
  <w:style w:type="paragraph" w:customStyle="1" w:styleId="Cm2">
    <w:name w:val="Cím2"/>
    <w:basedOn w:val="Standard"/>
    <w:pPr>
      <w:spacing w:before="57" w:after="57"/>
      <w:ind w:right="113"/>
      <w:jc w:val="center"/>
    </w:pPr>
  </w:style>
  <w:style w:type="paragraph" w:customStyle="1" w:styleId="Cmsor1">
    <w:name w:val="Címsor1"/>
    <w:basedOn w:val="Standard"/>
    <w:pPr>
      <w:spacing w:before="238" w:after="119"/>
    </w:pPr>
  </w:style>
  <w:style w:type="paragraph" w:customStyle="1" w:styleId="Cmsor2">
    <w:name w:val="Címsor2"/>
    <w:basedOn w:val="Standard"/>
    <w:pPr>
      <w:spacing w:before="238" w:after="119"/>
    </w:pPr>
  </w:style>
  <w:style w:type="paragraph" w:customStyle="1" w:styleId="Mretvonal">
    <w:name w:val="Méretvonal"/>
    <w:basedOn w:val="Standard"/>
  </w:style>
  <w:style w:type="paragraph" w:customStyle="1" w:styleId="CmlapLTGliederung1">
    <w:name w:val="Címlap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CmlapLTGliederung2">
    <w:name w:val="Címlap~LT~Gliederung 2"/>
    <w:basedOn w:val="CmlapLTGliederung1"/>
    <w:pPr>
      <w:spacing w:after="227"/>
    </w:pPr>
    <w:rPr>
      <w:sz w:val="48"/>
      <w:szCs w:val="48"/>
    </w:rPr>
  </w:style>
  <w:style w:type="paragraph" w:customStyle="1" w:styleId="CmlapLTGliederung3">
    <w:name w:val="Címlap~LT~Gliederung 3"/>
    <w:basedOn w:val="CmlapLTGliederung2"/>
    <w:pPr>
      <w:spacing w:after="170"/>
    </w:pPr>
    <w:rPr>
      <w:sz w:val="40"/>
      <w:szCs w:val="40"/>
    </w:rPr>
  </w:style>
  <w:style w:type="paragraph" w:customStyle="1" w:styleId="CmlapLTGliederung4">
    <w:name w:val="Címlap~LT~Gliederung 4"/>
    <w:basedOn w:val="CmlapLTGliederung3"/>
    <w:pPr>
      <w:spacing w:after="113"/>
    </w:pPr>
  </w:style>
  <w:style w:type="paragraph" w:customStyle="1" w:styleId="CmlapLTGliederung5">
    <w:name w:val="Címlap~LT~Gliederung 5"/>
    <w:basedOn w:val="CmlapLTGliederung4"/>
    <w:pPr>
      <w:spacing w:after="57"/>
    </w:pPr>
  </w:style>
  <w:style w:type="paragraph" w:customStyle="1" w:styleId="CmlapLTGliederung6">
    <w:name w:val="Címlap~LT~Gliederung 6"/>
    <w:basedOn w:val="CmlapLTGliederung5"/>
  </w:style>
  <w:style w:type="paragraph" w:customStyle="1" w:styleId="CmlapLTGliederung7">
    <w:name w:val="Címlap~LT~Gliederung 7"/>
    <w:basedOn w:val="CmlapLTGliederung6"/>
  </w:style>
  <w:style w:type="paragraph" w:customStyle="1" w:styleId="CmlapLTGliederung8">
    <w:name w:val="Címlap~LT~Gliederung 8"/>
    <w:basedOn w:val="CmlapLTGliederung7"/>
  </w:style>
  <w:style w:type="paragraph" w:customStyle="1" w:styleId="CmlapLTGliederung9">
    <w:name w:val="Címlap~LT~Gliederung 9"/>
    <w:basedOn w:val="CmlapLTGliederung8"/>
  </w:style>
  <w:style w:type="paragraph" w:customStyle="1" w:styleId="CmlapLTTitel">
    <w:name w:val="Címlap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CmlapLTUntertitel">
    <w:name w:val="Címlap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CmlapLTNotizen">
    <w:name w:val="Címlap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CmlapLTHintergrundobjekte">
    <w:name w:val="Címlap~LT~Hintergrundobjekte"/>
    <w:pPr>
      <w:autoSpaceDE w:val="0"/>
    </w:pPr>
  </w:style>
  <w:style w:type="paragraph" w:customStyle="1" w:styleId="CmlapLTHintergrund">
    <w:name w:val="Címlap~LT~Hintergrund"/>
    <w:pPr>
      <w:autoSpaceDE w:val="0"/>
    </w:pPr>
  </w:style>
  <w:style w:type="paragraph" w:customStyle="1" w:styleId="default">
    <w:name w:val="default"/>
    <w:pPr>
      <w:autoSpaceDE w:val="0"/>
      <w:spacing w:line="200" w:lineRule="atLeast"/>
    </w:pPr>
    <w:rPr>
      <w:rFonts w:ascii="Lohit Hindi" w:eastAsia="Lohit Hindi" w:hAnsi="Lohit Hindi" w:cs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Cm">
    <w:name w:val="WW-Cím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Httrobjektumok">
    <w:name w:val="Háttérobjektumok"/>
    <w:pPr>
      <w:autoSpaceDE w:val="0"/>
    </w:pPr>
  </w:style>
  <w:style w:type="paragraph" w:customStyle="1" w:styleId="Httr">
    <w:name w:val="Háttér"/>
    <w:pPr>
      <w:autoSpaceDE w:val="0"/>
    </w:pPr>
  </w:style>
  <w:style w:type="paragraph" w:customStyle="1" w:styleId="Jegyzetek">
    <w:name w:val="Jegyzetek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Vzlat1">
    <w:name w:val="Vázlat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Vzlat2">
    <w:name w:val="Vázlat 2"/>
    <w:basedOn w:val="Vzlat1"/>
    <w:pPr>
      <w:spacing w:after="227"/>
    </w:pPr>
    <w:rPr>
      <w:sz w:val="48"/>
      <w:szCs w:val="48"/>
    </w:rPr>
  </w:style>
  <w:style w:type="paragraph" w:customStyle="1" w:styleId="Vzlat3">
    <w:name w:val="Vázlat 3"/>
    <w:basedOn w:val="Vzlat2"/>
    <w:pPr>
      <w:spacing w:after="170"/>
    </w:pPr>
    <w:rPr>
      <w:sz w:val="40"/>
      <w:szCs w:val="40"/>
    </w:rPr>
  </w:style>
  <w:style w:type="paragraph" w:customStyle="1" w:styleId="Vzlat4">
    <w:name w:val="Vázlat 4"/>
    <w:basedOn w:val="Vzlat3"/>
    <w:pPr>
      <w:spacing w:after="113"/>
    </w:pPr>
  </w:style>
  <w:style w:type="paragraph" w:customStyle="1" w:styleId="Vzlat5">
    <w:name w:val="Vázlat 5"/>
    <w:basedOn w:val="Vzlat4"/>
    <w:pPr>
      <w:spacing w:after="57"/>
    </w:pPr>
  </w:style>
  <w:style w:type="paragraph" w:customStyle="1" w:styleId="Vzlat6">
    <w:name w:val="Vázlat 6"/>
    <w:basedOn w:val="Vzlat5"/>
  </w:style>
  <w:style w:type="paragraph" w:customStyle="1" w:styleId="Vzlat7">
    <w:name w:val="Vázlat 7"/>
    <w:basedOn w:val="Vzlat6"/>
  </w:style>
  <w:style w:type="paragraph" w:customStyle="1" w:styleId="Vzlat8">
    <w:name w:val="Vázlat 8"/>
    <w:basedOn w:val="Vzlat7"/>
  </w:style>
  <w:style w:type="paragraph" w:customStyle="1" w:styleId="Vzlat9">
    <w:name w:val="Vázlat 9"/>
    <w:basedOn w:val="Vzlat8"/>
  </w:style>
  <w:style w:type="paragraph" w:customStyle="1" w:styleId="CmstartalomLTGliederung1">
    <w:name w:val="Cím és tartalom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CmstartalomLTGliederung2">
    <w:name w:val="Cím és tartalom~LT~Gliederung 2"/>
    <w:basedOn w:val="CmstartalomLTGliederung1"/>
    <w:pPr>
      <w:spacing w:after="227"/>
    </w:pPr>
    <w:rPr>
      <w:sz w:val="48"/>
      <w:szCs w:val="48"/>
    </w:rPr>
  </w:style>
  <w:style w:type="paragraph" w:customStyle="1" w:styleId="CmstartalomLTGliederung3">
    <w:name w:val="Cím és tartalom~LT~Gliederung 3"/>
    <w:basedOn w:val="CmstartalomLTGliederung2"/>
    <w:pPr>
      <w:spacing w:after="170"/>
    </w:pPr>
    <w:rPr>
      <w:sz w:val="40"/>
      <w:szCs w:val="40"/>
    </w:rPr>
  </w:style>
  <w:style w:type="paragraph" w:customStyle="1" w:styleId="CmstartalomLTGliederung4">
    <w:name w:val="Cím és tartalom~LT~Gliederung 4"/>
    <w:basedOn w:val="CmstartalomLTGliederung3"/>
    <w:pPr>
      <w:spacing w:after="113"/>
    </w:pPr>
  </w:style>
  <w:style w:type="paragraph" w:customStyle="1" w:styleId="CmstartalomLTGliederung5">
    <w:name w:val="Cím és tartalom~LT~Gliederung 5"/>
    <w:basedOn w:val="CmstartalomLTGliederung4"/>
    <w:pPr>
      <w:spacing w:after="57"/>
    </w:pPr>
  </w:style>
  <w:style w:type="paragraph" w:customStyle="1" w:styleId="CmstartalomLTGliederung6">
    <w:name w:val="Cím és tartalom~LT~Gliederung 6"/>
    <w:basedOn w:val="CmstartalomLTGliederung5"/>
  </w:style>
  <w:style w:type="paragraph" w:customStyle="1" w:styleId="CmstartalomLTGliederung7">
    <w:name w:val="Cím és tartalom~LT~Gliederung 7"/>
    <w:basedOn w:val="CmstartalomLTGliederung6"/>
  </w:style>
  <w:style w:type="paragraph" w:customStyle="1" w:styleId="CmstartalomLTGliederung8">
    <w:name w:val="Cím és tartalom~LT~Gliederung 8"/>
    <w:basedOn w:val="CmstartalomLTGliederung7"/>
  </w:style>
  <w:style w:type="paragraph" w:customStyle="1" w:styleId="CmstartalomLTGliederung9">
    <w:name w:val="Cím és tartalom~LT~Gliederung 9"/>
    <w:basedOn w:val="CmstartalomLTGliederung8"/>
  </w:style>
  <w:style w:type="paragraph" w:customStyle="1" w:styleId="CmstartalomLTTitel">
    <w:name w:val="Cím és tartalom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CmstartalomLTUntertitel">
    <w:name w:val="Cím és tartalom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CmstartalomLTNotizen">
    <w:name w:val="Cím és tartalom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CmstartalomLTHintergrundobjekte">
    <w:name w:val="Cím és tartalom~LT~Hintergrundobjekte"/>
    <w:pPr>
      <w:autoSpaceDE w:val="0"/>
    </w:pPr>
  </w:style>
  <w:style w:type="paragraph" w:customStyle="1" w:styleId="CmstartalomLTHintergrund">
    <w:name w:val="Cím és tartalom~LT~Hintergrund"/>
    <w:pPr>
      <w:autoSpaceDE w:val="0"/>
    </w:pPr>
  </w:style>
  <w:style w:type="paragraph" w:customStyle="1" w:styleId="Belsoldal3LTGliederung1">
    <w:name w:val="Bels? oldal 3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Belsoldal3LTGliederung2">
    <w:name w:val="Bels? oldal 3~LT~Gliederung 2"/>
    <w:basedOn w:val="Belsoldal3LTGliederung1"/>
    <w:pPr>
      <w:spacing w:after="227"/>
    </w:pPr>
    <w:rPr>
      <w:sz w:val="48"/>
      <w:szCs w:val="48"/>
    </w:rPr>
  </w:style>
  <w:style w:type="paragraph" w:customStyle="1" w:styleId="Belsoldal3LTGliederung3">
    <w:name w:val="Bels? oldal 3~LT~Gliederung 3"/>
    <w:basedOn w:val="Belsoldal3LTGliederung2"/>
    <w:pPr>
      <w:spacing w:after="170"/>
    </w:pPr>
    <w:rPr>
      <w:sz w:val="40"/>
      <w:szCs w:val="40"/>
    </w:rPr>
  </w:style>
  <w:style w:type="paragraph" w:customStyle="1" w:styleId="Belsoldal3LTGliederung4">
    <w:name w:val="Bels? oldal 3~LT~Gliederung 4"/>
    <w:basedOn w:val="Belsoldal3LTGliederung3"/>
    <w:pPr>
      <w:spacing w:after="113"/>
    </w:pPr>
  </w:style>
  <w:style w:type="paragraph" w:customStyle="1" w:styleId="Belsoldal3LTGliederung5">
    <w:name w:val="Bels? oldal 3~LT~Gliederung 5"/>
    <w:basedOn w:val="Belsoldal3LTGliederung4"/>
    <w:pPr>
      <w:spacing w:after="57"/>
    </w:pPr>
  </w:style>
  <w:style w:type="paragraph" w:customStyle="1" w:styleId="Belsoldal3LTGliederung6">
    <w:name w:val="Bels? oldal 3~LT~Gliederung 6"/>
    <w:basedOn w:val="Belsoldal3LTGliederung5"/>
  </w:style>
  <w:style w:type="paragraph" w:customStyle="1" w:styleId="Belsoldal3LTGliederung7">
    <w:name w:val="Bels? oldal 3~LT~Gliederung 7"/>
    <w:basedOn w:val="Belsoldal3LTGliederung6"/>
  </w:style>
  <w:style w:type="paragraph" w:customStyle="1" w:styleId="Belsoldal3LTGliederung8">
    <w:name w:val="Bels? oldal 3~LT~Gliederung 8"/>
    <w:basedOn w:val="Belsoldal3LTGliederung7"/>
  </w:style>
  <w:style w:type="paragraph" w:customStyle="1" w:styleId="Belsoldal3LTGliederung9">
    <w:name w:val="Bels? oldal 3~LT~Gliederung 9"/>
    <w:basedOn w:val="Belsoldal3LTGliederung8"/>
  </w:style>
  <w:style w:type="paragraph" w:customStyle="1" w:styleId="Belsoldal3LTTitel">
    <w:name w:val="Bels? oldal 3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Belsoldal3LTUntertitel">
    <w:name w:val="Bels? oldal 3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Belsoldal3LTNotizen">
    <w:name w:val="Bels? oldal 3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Belsoldal3LTHintergrundobjekte">
    <w:name w:val="Bels? oldal 3~LT~Hintergrundobjekte"/>
    <w:pPr>
      <w:autoSpaceDE w:val="0"/>
    </w:pPr>
  </w:style>
  <w:style w:type="paragraph" w:customStyle="1" w:styleId="Belsoldal3LTHintergrund">
    <w:name w:val="Bels? oldal 3~LT~Hintergrund"/>
    <w:pPr>
      <w:autoSpaceDE w:val="0"/>
    </w:pPr>
  </w:style>
  <w:style w:type="paragraph" w:customStyle="1" w:styleId="Belsoldal2LTGliederung1">
    <w:name w:val="Bels? oldal 2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Belsoldal2LTGliederung2">
    <w:name w:val="Bels? oldal 2~LT~Gliederung 2"/>
    <w:basedOn w:val="Belsoldal2LTGliederung1"/>
    <w:pPr>
      <w:spacing w:after="227"/>
    </w:pPr>
    <w:rPr>
      <w:sz w:val="48"/>
      <w:szCs w:val="48"/>
    </w:rPr>
  </w:style>
  <w:style w:type="paragraph" w:customStyle="1" w:styleId="Belsoldal2LTGliederung3">
    <w:name w:val="Bels? oldal 2~LT~Gliederung 3"/>
    <w:basedOn w:val="Belsoldal2LTGliederung2"/>
    <w:pPr>
      <w:spacing w:after="170"/>
    </w:pPr>
    <w:rPr>
      <w:sz w:val="40"/>
      <w:szCs w:val="40"/>
    </w:rPr>
  </w:style>
  <w:style w:type="paragraph" w:customStyle="1" w:styleId="Belsoldal2LTGliederung4">
    <w:name w:val="Bels? oldal 2~LT~Gliederung 4"/>
    <w:basedOn w:val="Belsoldal2LTGliederung3"/>
    <w:pPr>
      <w:spacing w:after="113"/>
    </w:pPr>
  </w:style>
  <w:style w:type="paragraph" w:customStyle="1" w:styleId="Belsoldal2LTGliederung5">
    <w:name w:val="Bels? oldal 2~LT~Gliederung 5"/>
    <w:basedOn w:val="Belsoldal2LTGliederung4"/>
    <w:pPr>
      <w:spacing w:after="57"/>
    </w:pPr>
  </w:style>
  <w:style w:type="paragraph" w:customStyle="1" w:styleId="Belsoldal2LTGliederung6">
    <w:name w:val="Bels? oldal 2~LT~Gliederung 6"/>
    <w:basedOn w:val="Belsoldal2LTGliederung5"/>
  </w:style>
  <w:style w:type="paragraph" w:customStyle="1" w:styleId="Belsoldal2LTGliederung7">
    <w:name w:val="Bels? oldal 2~LT~Gliederung 7"/>
    <w:basedOn w:val="Belsoldal2LTGliederung6"/>
  </w:style>
  <w:style w:type="paragraph" w:customStyle="1" w:styleId="Belsoldal2LTGliederung8">
    <w:name w:val="Bels? oldal 2~LT~Gliederung 8"/>
    <w:basedOn w:val="Belsoldal2LTGliederung7"/>
  </w:style>
  <w:style w:type="paragraph" w:customStyle="1" w:styleId="Belsoldal2LTGliederung9">
    <w:name w:val="Bels? oldal 2~LT~Gliederung 9"/>
    <w:basedOn w:val="Belsoldal2LTGliederung8"/>
  </w:style>
  <w:style w:type="paragraph" w:customStyle="1" w:styleId="Belsoldal2LTTitel">
    <w:name w:val="Bels? oldal 2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Belsoldal2LTUntertitel">
    <w:name w:val="Bels? oldal 2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Belsoldal2LTNotizen">
    <w:name w:val="Bels? oldal 2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Belsoldal2LTHintergrundobjekte">
    <w:name w:val="Bels? oldal 2~LT~Hintergrundobjekte"/>
    <w:pPr>
      <w:autoSpaceDE w:val="0"/>
    </w:pPr>
  </w:style>
  <w:style w:type="paragraph" w:customStyle="1" w:styleId="Belsoldal2LTHintergrund">
    <w:name w:val="Bels? oldal 2~LT~Hintergrund"/>
    <w:pPr>
      <w:autoSpaceDE w:val="0"/>
    </w:pPr>
  </w:style>
  <w:style w:type="paragraph" w:customStyle="1" w:styleId="WW-Cm1">
    <w:name w:val="WW-Cím1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">
    <w:name w:val="WW-Cím12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">
    <w:name w:val="WW-Cím123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4">
    <w:name w:val="WW-Cím1234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45">
    <w:name w:val="WW-Cím12345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character" w:customStyle="1" w:styleId="Cmsor4Char">
    <w:name w:val="Címsor 4 Char"/>
    <w:basedOn w:val="Bekezdsalapbettpusa"/>
    <w:rPr>
      <w:rFonts w:ascii="Times New Roman" w:hAnsi="Times New Roman" w:cs="Times New Roman"/>
      <w:sz w:val="24"/>
      <w:szCs w:val="24"/>
      <w:lang w:eastAsia="hu-HU"/>
    </w:rPr>
  </w:style>
  <w:style w:type="character" w:customStyle="1" w:styleId="Internetlink">
    <w:name w:val="Internet link"/>
    <w:basedOn w:val="Bekezdsalapbettpusa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rPr>
      <w:rFonts w:eastAsia="Times New Roman" w:cs="Times New Roman"/>
      <w:lang w:eastAsia="hu-HU"/>
    </w:rPr>
  </w:style>
  <w:style w:type="character" w:customStyle="1" w:styleId="llbChar">
    <w:name w:val="Élőláb Char"/>
    <w:basedOn w:val="Bekezdsalapbettpusa"/>
    <w:rPr>
      <w:rFonts w:eastAsia="Times New Roman" w:cs="Times New Roman"/>
      <w:lang w:eastAsia="hu-HU"/>
    </w:rPr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  <w:lang w:eastAsia="hu-HU"/>
    </w:rPr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SimSun"/>
    </w:rPr>
  </w:style>
  <w:style w:type="character" w:customStyle="1" w:styleId="ListLabel4">
    <w:name w:val="ListLabel 4"/>
    <w:rPr>
      <w:rFonts w:eastAsia="Times New Roman"/>
    </w:rPr>
  </w:style>
  <w:style w:type="character" w:customStyle="1" w:styleId="ListLabel5">
    <w:name w:val="ListLabel 5"/>
    <w:rPr>
      <w:rFonts w:eastAsia="Times New Roman" w:cs="Times New Roman"/>
    </w:rPr>
  </w:style>
  <w:style w:type="character" w:customStyle="1" w:styleId="ListLabel6">
    <w:name w:val="ListLabel 6"/>
    <w:rPr>
      <w:rFonts w:cs="Courier New"/>
    </w:rPr>
  </w:style>
  <w:style w:type="numbering" w:customStyle="1" w:styleId="WWNum1">
    <w:name w:val="WWNum1"/>
    <w:basedOn w:val="Nemlista"/>
    <w:pPr>
      <w:numPr>
        <w:numId w:val="1"/>
      </w:numPr>
    </w:pPr>
  </w:style>
  <w:style w:type="numbering" w:customStyle="1" w:styleId="WWNum2">
    <w:name w:val="WWNum2"/>
    <w:basedOn w:val="Nemlista"/>
    <w:pPr>
      <w:numPr>
        <w:numId w:val="2"/>
      </w:numPr>
    </w:pPr>
  </w:style>
  <w:style w:type="numbering" w:customStyle="1" w:styleId="WWNum3">
    <w:name w:val="WWNum3"/>
    <w:basedOn w:val="Nemlista"/>
    <w:pPr>
      <w:numPr>
        <w:numId w:val="3"/>
      </w:numPr>
    </w:pPr>
  </w:style>
  <w:style w:type="numbering" w:customStyle="1" w:styleId="WWNum4">
    <w:name w:val="WWNum4"/>
    <w:basedOn w:val="Nemlista"/>
    <w:pPr>
      <w:numPr>
        <w:numId w:val="4"/>
      </w:numPr>
    </w:pPr>
  </w:style>
  <w:style w:type="numbering" w:customStyle="1" w:styleId="WWNum5">
    <w:name w:val="WWNum5"/>
    <w:basedOn w:val="Nemlista"/>
    <w:pPr>
      <w:numPr>
        <w:numId w:val="5"/>
      </w:numPr>
    </w:pPr>
  </w:style>
  <w:style w:type="numbering" w:customStyle="1" w:styleId="WWNum6">
    <w:name w:val="WWNum6"/>
    <w:basedOn w:val="Nemlista"/>
    <w:pPr>
      <w:numPr>
        <w:numId w:val="6"/>
      </w:numPr>
    </w:pPr>
  </w:style>
  <w:style w:type="numbering" w:customStyle="1" w:styleId="WWNum7">
    <w:name w:val="WWNum7"/>
    <w:basedOn w:val="Nemlista"/>
    <w:pPr>
      <w:numPr>
        <w:numId w:val="7"/>
      </w:numPr>
    </w:pPr>
  </w:style>
  <w:style w:type="numbering" w:customStyle="1" w:styleId="WWNum8">
    <w:name w:val="WWNum8"/>
    <w:basedOn w:val="Nemlista"/>
    <w:pPr>
      <w:numPr>
        <w:numId w:val="8"/>
      </w:numPr>
    </w:pPr>
  </w:style>
  <w:style w:type="numbering" w:customStyle="1" w:styleId="WWNum9">
    <w:name w:val="WWNum9"/>
    <w:basedOn w:val="Nemlista"/>
    <w:pPr>
      <w:numPr>
        <w:numId w:val="9"/>
      </w:numPr>
    </w:pPr>
  </w:style>
  <w:style w:type="numbering" w:customStyle="1" w:styleId="WWNum10">
    <w:name w:val="WWNum10"/>
    <w:basedOn w:val="Nemlista"/>
    <w:pPr>
      <w:numPr>
        <w:numId w:val="10"/>
      </w:numPr>
    </w:pPr>
  </w:style>
  <w:style w:type="numbering" w:customStyle="1" w:styleId="WWNum11">
    <w:name w:val="WWNum11"/>
    <w:basedOn w:val="Nemlista"/>
    <w:pPr>
      <w:numPr>
        <w:numId w:val="11"/>
      </w:numPr>
    </w:pPr>
  </w:style>
  <w:style w:type="numbering" w:customStyle="1" w:styleId="WWNum12">
    <w:name w:val="WWNum12"/>
    <w:basedOn w:val="Nemlista"/>
    <w:pPr>
      <w:numPr>
        <w:numId w:val="12"/>
      </w:numPr>
    </w:pPr>
  </w:style>
  <w:style w:type="numbering" w:customStyle="1" w:styleId="WWNum13">
    <w:name w:val="WWNum13"/>
    <w:basedOn w:val="Nemlista"/>
    <w:pPr>
      <w:numPr>
        <w:numId w:val="13"/>
      </w:numPr>
    </w:pPr>
  </w:style>
  <w:style w:type="numbering" w:customStyle="1" w:styleId="WWNum14">
    <w:name w:val="WWNum14"/>
    <w:basedOn w:val="Nemlista"/>
    <w:pPr>
      <w:numPr>
        <w:numId w:val="14"/>
      </w:numPr>
    </w:pPr>
  </w:style>
  <w:style w:type="numbering" w:customStyle="1" w:styleId="WWNum15">
    <w:name w:val="WWNum15"/>
    <w:basedOn w:val="Nemlista"/>
    <w:pPr>
      <w:numPr>
        <w:numId w:val="15"/>
      </w:numPr>
    </w:pPr>
  </w:style>
  <w:style w:type="numbering" w:customStyle="1" w:styleId="WWNum16">
    <w:name w:val="WWNum16"/>
    <w:basedOn w:val="Nemlista"/>
    <w:pPr>
      <w:numPr>
        <w:numId w:val="16"/>
      </w:numPr>
    </w:pPr>
  </w:style>
  <w:style w:type="numbering" w:customStyle="1" w:styleId="WWNum17">
    <w:name w:val="WWNum17"/>
    <w:basedOn w:val="Nemlista"/>
    <w:pPr>
      <w:numPr>
        <w:numId w:val="17"/>
      </w:numPr>
    </w:pPr>
  </w:style>
  <w:style w:type="numbering" w:customStyle="1" w:styleId="WWNum18">
    <w:name w:val="WWNum18"/>
    <w:basedOn w:val="Nemlista"/>
    <w:pPr>
      <w:numPr>
        <w:numId w:val="18"/>
      </w:numPr>
    </w:pPr>
  </w:style>
  <w:style w:type="numbering" w:customStyle="1" w:styleId="WWNum19">
    <w:name w:val="WWNum19"/>
    <w:basedOn w:val="Nemlista"/>
    <w:pPr>
      <w:numPr>
        <w:numId w:val="19"/>
      </w:numPr>
    </w:pPr>
  </w:style>
  <w:style w:type="numbering" w:customStyle="1" w:styleId="WWNum20">
    <w:name w:val="WWNum20"/>
    <w:basedOn w:val="Nemlista"/>
    <w:pPr>
      <w:numPr>
        <w:numId w:val="20"/>
      </w:numPr>
    </w:pPr>
  </w:style>
  <w:style w:type="numbering" w:customStyle="1" w:styleId="WWNum21">
    <w:name w:val="WWNum21"/>
    <w:basedOn w:val="Nemlista"/>
    <w:pPr>
      <w:numPr>
        <w:numId w:val="21"/>
      </w:numPr>
    </w:pPr>
  </w:style>
  <w:style w:type="numbering" w:customStyle="1" w:styleId="WWNum22">
    <w:name w:val="WWNum22"/>
    <w:basedOn w:val="Nemlista"/>
    <w:pPr>
      <w:numPr>
        <w:numId w:val="22"/>
      </w:numPr>
    </w:pPr>
  </w:style>
  <w:style w:type="numbering" w:customStyle="1" w:styleId="WWNum23">
    <w:name w:val="WWNum23"/>
    <w:basedOn w:val="Nemlista"/>
    <w:pPr>
      <w:numPr>
        <w:numId w:val="23"/>
      </w:numPr>
    </w:pPr>
  </w:style>
  <w:style w:type="numbering" w:customStyle="1" w:styleId="WWNum24">
    <w:name w:val="WWNum24"/>
    <w:basedOn w:val="Nemlista"/>
    <w:pPr>
      <w:numPr>
        <w:numId w:val="24"/>
      </w:numPr>
    </w:pPr>
  </w:style>
  <w:style w:type="numbering" w:customStyle="1" w:styleId="WWNum25">
    <w:name w:val="WWNum25"/>
    <w:basedOn w:val="Nemlista"/>
    <w:pPr>
      <w:numPr>
        <w:numId w:val="25"/>
      </w:numPr>
    </w:pPr>
  </w:style>
  <w:style w:type="numbering" w:customStyle="1" w:styleId="WWNum26">
    <w:name w:val="WWNum26"/>
    <w:basedOn w:val="Nemlista"/>
    <w:pPr>
      <w:numPr>
        <w:numId w:val="26"/>
      </w:numPr>
    </w:pPr>
  </w:style>
  <w:style w:type="numbering" w:customStyle="1" w:styleId="WWNum27">
    <w:name w:val="WWNum27"/>
    <w:basedOn w:val="Nemlista"/>
    <w:pPr>
      <w:numPr>
        <w:numId w:val="27"/>
      </w:numPr>
    </w:pPr>
  </w:style>
  <w:style w:type="numbering" w:customStyle="1" w:styleId="WWNum28">
    <w:name w:val="WWNum28"/>
    <w:basedOn w:val="Nemlista"/>
    <w:pPr>
      <w:numPr>
        <w:numId w:val="28"/>
      </w:numPr>
    </w:pPr>
  </w:style>
  <w:style w:type="numbering" w:customStyle="1" w:styleId="WWNum29">
    <w:name w:val="WWNum29"/>
    <w:basedOn w:val="Nemlista"/>
    <w:pPr>
      <w:numPr>
        <w:numId w:val="29"/>
      </w:numPr>
    </w:pPr>
  </w:style>
  <w:style w:type="numbering" w:customStyle="1" w:styleId="WWNum30">
    <w:name w:val="WWNum30"/>
    <w:basedOn w:val="Nemlista"/>
    <w:pPr>
      <w:numPr>
        <w:numId w:val="30"/>
      </w:numPr>
    </w:pPr>
  </w:style>
  <w:style w:type="numbering" w:customStyle="1" w:styleId="WWNum31">
    <w:name w:val="WWNum31"/>
    <w:basedOn w:val="Nemlista"/>
    <w:pPr>
      <w:numPr>
        <w:numId w:val="31"/>
      </w:numPr>
    </w:pPr>
  </w:style>
  <w:style w:type="numbering" w:customStyle="1" w:styleId="WWNum32">
    <w:name w:val="WWNum32"/>
    <w:basedOn w:val="Nemlista"/>
    <w:pPr>
      <w:numPr>
        <w:numId w:val="32"/>
      </w:numPr>
    </w:pPr>
  </w:style>
  <w:style w:type="numbering" w:customStyle="1" w:styleId="WWNum33">
    <w:name w:val="WWNum33"/>
    <w:basedOn w:val="Nemlista"/>
    <w:pPr>
      <w:numPr>
        <w:numId w:val="33"/>
      </w:numPr>
    </w:pPr>
  </w:style>
  <w:style w:type="numbering" w:customStyle="1" w:styleId="WWNum34">
    <w:name w:val="WWNum34"/>
    <w:basedOn w:val="Nemlista"/>
    <w:pPr>
      <w:numPr>
        <w:numId w:val="34"/>
      </w:numPr>
    </w:pPr>
  </w:style>
  <w:style w:type="numbering" w:customStyle="1" w:styleId="WWNum35">
    <w:name w:val="WWNum35"/>
    <w:basedOn w:val="Nemlista"/>
    <w:pPr>
      <w:numPr>
        <w:numId w:val="35"/>
      </w:numPr>
    </w:pPr>
  </w:style>
  <w:style w:type="numbering" w:customStyle="1" w:styleId="WWNum36">
    <w:name w:val="WWNum36"/>
    <w:basedOn w:val="Nemlista"/>
    <w:pPr>
      <w:numPr>
        <w:numId w:val="36"/>
      </w:numPr>
    </w:pPr>
  </w:style>
  <w:style w:type="numbering" w:customStyle="1" w:styleId="WWNum37">
    <w:name w:val="WWNum37"/>
    <w:basedOn w:val="Nemlista"/>
    <w:pPr>
      <w:numPr>
        <w:numId w:val="37"/>
      </w:numPr>
    </w:pPr>
  </w:style>
  <w:style w:type="numbering" w:customStyle="1" w:styleId="WWNum38">
    <w:name w:val="WWNum38"/>
    <w:basedOn w:val="Nemlista"/>
    <w:pPr>
      <w:numPr>
        <w:numId w:val="38"/>
      </w:numPr>
    </w:pPr>
  </w:style>
  <w:style w:type="numbering" w:customStyle="1" w:styleId="WWNum39">
    <w:name w:val="WWNum39"/>
    <w:basedOn w:val="Nemlista"/>
    <w:pPr>
      <w:numPr>
        <w:numId w:val="39"/>
      </w:numPr>
    </w:pPr>
  </w:style>
  <w:style w:type="numbering" w:customStyle="1" w:styleId="WWNum40">
    <w:name w:val="WWNum40"/>
    <w:basedOn w:val="Nemlista"/>
    <w:pPr>
      <w:numPr>
        <w:numId w:val="40"/>
      </w:numPr>
    </w:pPr>
  </w:style>
  <w:style w:type="numbering" w:customStyle="1" w:styleId="WWNum41">
    <w:name w:val="WWNum41"/>
    <w:basedOn w:val="Nemlista"/>
    <w:pPr>
      <w:numPr>
        <w:numId w:val="41"/>
      </w:numPr>
    </w:pPr>
  </w:style>
  <w:style w:type="numbering" w:customStyle="1" w:styleId="WWNum42">
    <w:name w:val="WWNum42"/>
    <w:basedOn w:val="Nemlista"/>
    <w:pPr>
      <w:numPr>
        <w:numId w:val="42"/>
      </w:numPr>
    </w:pPr>
  </w:style>
  <w:style w:type="numbering" w:customStyle="1" w:styleId="WWNum43">
    <w:name w:val="WWNum43"/>
    <w:basedOn w:val="Nemlista"/>
    <w:pPr>
      <w:numPr>
        <w:numId w:val="43"/>
      </w:numPr>
    </w:pPr>
  </w:style>
  <w:style w:type="numbering" w:customStyle="1" w:styleId="WWNum44">
    <w:name w:val="WWNum44"/>
    <w:basedOn w:val="Nemlista"/>
    <w:pPr>
      <w:numPr>
        <w:numId w:val="44"/>
      </w:numPr>
    </w:pPr>
  </w:style>
  <w:style w:type="numbering" w:customStyle="1" w:styleId="WWNum45">
    <w:name w:val="WWNum45"/>
    <w:basedOn w:val="Nemlista"/>
    <w:pPr>
      <w:numPr>
        <w:numId w:val="45"/>
      </w:numPr>
    </w:pPr>
  </w:style>
  <w:style w:type="numbering" w:customStyle="1" w:styleId="WWNum46">
    <w:name w:val="WWNum46"/>
    <w:basedOn w:val="Nemlista"/>
    <w:pPr>
      <w:numPr>
        <w:numId w:val="46"/>
      </w:numPr>
    </w:pPr>
  </w:style>
  <w:style w:type="numbering" w:customStyle="1" w:styleId="WWNum47">
    <w:name w:val="WWNum47"/>
    <w:basedOn w:val="Nemlista"/>
    <w:pPr>
      <w:numPr>
        <w:numId w:val="4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3"/>
        <w:sz w:val="22"/>
        <w:szCs w:val="22"/>
        <w:lang w:val="hu-HU" w:eastAsia="hu-H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4">
    <w:name w:val="heading 4"/>
    <w:basedOn w:val="Standard"/>
    <w:next w:val="Textbody"/>
    <w:pPr>
      <w:spacing w:after="120" w:line="240" w:lineRule="auto"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rFonts w:eastAsia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Listaszerbekezds">
    <w:name w:val="List Paragraph"/>
    <w:basedOn w:val="Standard"/>
    <w:pPr>
      <w:spacing w:after="0"/>
      <w:ind w:left="720"/>
    </w:pPr>
  </w:style>
  <w:style w:type="paragraph" w:styleId="lfej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Web">
    <w:name w:val="Normal (Web)"/>
    <w:basedOn w:val="Standard"/>
    <w:pPr>
      <w:spacing w:before="28" w:after="28" w:line="240" w:lineRule="auto"/>
    </w:pPr>
    <w:rPr>
      <w:rFonts w:ascii="Times New Roman" w:hAnsi="Times New Roman"/>
      <w:sz w:val="24"/>
      <w:szCs w:val="24"/>
    </w:rPr>
  </w:style>
  <w:style w:type="paragraph" w:customStyle="1" w:styleId="Objektumnyllal">
    <w:name w:val="Objektum nyíllal"/>
    <w:basedOn w:val="Standard"/>
  </w:style>
  <w:style w:type="paragraph" w:customStyle="1" w:styleId="Objektumrnykkal">
    <w:name w:val="Objektum árnyékkal"/>
    <w:basedOn w:val="Standard"/>
  </w:style>
  <w:style w:type="paragraph" w:customStyle="1" w:styleId="Kitltetlenobjektum">
    <w:name w:val="Kitöltetlen objektum"/>
    <w:basedOn w:val="Standard"/>
  </w:style>
  <w:style w:type="paragraph" w:customStyle="1" w:styleId="Szveg">
    <w:name w:val="Szöveg"/>
    <w:basedOn w:val="Standard"/>
  </w:style>
  <w:style w:type="paragraph" w:customStyle="1" w:styleId="Sorkizrtszvegtrzs">
    <w:name w:val="Sorkizárt szövegtörzs"/>
    <w:basedOn w:val="Standard"/>
  </w:style>
  <w:style w:type="paragraph" w:customStyle="1" w:styleId="Elssorbehzsa">
    <w:name w:val="Els? sor behúzása"/>
    <w:basedOn w:val="Standard"/>
    <w:pPr>
      <w:spacing w:after="0"/>
      <w:ind w:firstLine="340"/>
    </w:pPr>
  </w:style>
  <w:style w:type="paragraph" w:styleId="Cm">
    <w:name w:val="Title"/>
    <w:basedOn w:val="Heading"/>
    <w:next w:val="Alcm"/>
    <w:pPr>
      <w:jc w:val="center"/>
    </w:pPr>
    <w:rPr>
      <w:b/>
      <w:bCs/>
      <w:sz w:val="36"/>
      <w:szCs w:val="36"/>
    </w:rPr>
  </w:style>
  <w:style w:type="paragraph" w:styleId="Alcm">
    <w:name w:val="Subtitle"/>
    <w:basedOn w:val="Heading"/>
    <w:next w:val="Textbody"/>
    <w:pPr>
      <w:jc w:val="center"/>
    </w:pPr>
    <w:rPr>
      <w:i/>
      <w:iCs/>
    </w:rPr>
  </w:style>
  <w:style w:type="paragraph" w:customStyle="1" w:styleId="Cm1">
    <w:name w:val="Cím1"/>
    <w:basedOn w:val="Standard"/>
    <w:pPr>
      <w:jc w:val="center"/>
    </w:pPr>
  </w:style>
  <w:style w:type="paragraph" w:customStyle="1" w:styleId="Cm2">
    <w:name w:val="Cím2"/>
    <w:basedOn w:val="Standard"/>
    <w:pPr>
      <w:spacing w:before="57" w:after="57"/>
      <w:ind w:right="113"/>
      <w:jc w:val="center"/>
    </w:pPr>
  </w:style>
  <w:style w:type="paragraph" w:customStyle="1" w:styleId="Cmsor1">
    <w:name w:val="Címsor1"/>
    <w:basedOn w:val="Standard"/>
    <w:pPr>
      <w:spacing w:before="238" w:after="119"/>
    </w:pPr>
  </w:style>
  <w:style w:type="paragraph" w:customStyle="1" w:styleId="Cmsor2">
    <w:name w:val="Címsor2"/>
    <w:basedOn w:val="Standard"/>
    <w:pPr>
      <w:spacing w:before="238" w:after="119"/>
    </w:pPr>
  </w:style>
  <w:style w:type="paragraph" w:customStyle="1" w:styleId="Mretvonal">
    <w:name w:val="Méretvonal"/>
    <w:basedOn w:val="Standard"/>
  </w:style>
  <w:style w:type="paragraph" w:customStyle="1" w:styleId="CmlapLTGliederung1">
    <w:name w:val="Címlap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CmlapLTGliederung2">
    <w:name w:val="Címlap~LT~Gliederung 2"/>
    <w:basedOn w:val="CmlapLTGliederung1"/>
    <w:pPr>
      <w:spacing w:after="227"/>
    </w:pPr>
    <w:rPr>
      <w:sz w:val="48"/>
      <w:szCs w:val="48"/>
    </w:rPr>
  </w:style>
  <w:style w:type="paragraph" w:customStyle="1" w:styleId="CmlapLTGliederung3">
    <w:name w:val="Címlap~LT~Gliederung 3"/>
    <w:basedOn w:val="CmlapLTGliederung2"/>
    <w:pPr>
      <w:spacing w:after="170"/>
    </w:pPr>
    <w:rPr>
      <w:sz w:val="40"/>
      <w:szCs w:val="40"/>
    </w:rPr>
  </w:style>
  <w:style w:type="paragraph" w:customStyle="1" w:styleId="CmlapLTGliederung4">
    <w:name w:val="Címlap~LT~Gliederung 4"/>
    <w:basedOn w:val="CmlapLTGliederung3"/>
    <w:pPr>
      <w:spacing w:after="113"/>
    </w:pPr>
  </w:style>
  <w:style w:type="paragraph" w:customStyle="1" w:styleId="CmlapLTGliederung5">
    <w:name w:val="Címlap~LT~Gliederung 5"/>
    <w:basedOn w:val="CmlapLTGliederung4"/>
    <w:pPr>
      <w:spacing w:after="57"/>
    </w:pPr>
  </w:style>
  <w:style w:type="paragraph" w:customStyle="1" w:styleId="CmlapLTGliederung6">
    <w:name w:val="Címlap~LT~Gliederung 6"/>
    <w:basedOn w:val="CmlapLTGliederung5"/>
  </w:style>
  <w:style w:type="paragraph" w:customStyle="1" w:styleId="CmlapLTGliederung7">
    <w:name w:val="Címlap~LT~Gliederung 7"/>
    <w:basedOn w:val="CmlapLTGliederung6"/>
  </w:style>
  <w:style w:type="paragraph" w:customStyle="1" w:styleId="CmlapLTGliederung8">
    <w:name w:val="Címlap~LT~Gliederung 8"/>
    <w:basedOn w:val="CmlapLTGliederung7"/>
  </w:style>
  <w:style w:type="paragraph" w:customStyle="1" w:styleId="CmlapLTGliederung9">
    <w:name w:val="Címlap~LT~Gliederung 9"/>
    <w:basedOn w:val="CmlapLTGliederung8"/>
  </w:style>
  <w:style w:type="paragraph" w:customStyle="1" w:styleId="CmlapLTTitel">
    <w:name w:val="Címlap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CmlapLTUntertitel">
    <w:name w:val="Címlap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CmlapLTNotizen">
    <w:name w:val="Címlap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CmlapLTHintergrundobjekte">
    <w:name w:val="Címlap~LT~Hintergrundobjekte"/>
    <w:pPr>
      <w:autoSpaceDE w:val="0"/>
    </w:pPr>
  </w:style>
  <w:style w:type="paragraph" w:customStyle="1" w:styleId="CmlapLTHintergrund">
    <w:name w:val="Címlap~LT~Hintergrund"/>
    <w:pPr>
      <w:autoSpaceDE w:val="0"/>
    </w:pPr>
  </w:style>
  <w:style w:type="paragraph" w:customStyle="1" w:styleId="default">
    <w:name w:val="default"/>
    <w:pPr>
      <w:autoSpaceDE w:val="0"/>
      <w:spacing w:line="200" w:lineRule="atLeast"/>
    </w:pPr>
    <w:rPr>
      <w:rFonts w:ascii="Lohit Hindi" w:eastAsia="Lohit Hindi" w:hAnsi="Lohit Hindi" w:cs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Cm">
    <w:name w:val="WW-Cím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Httrobjektumok">
    <w:name w:val="Háttérobjektumok"/>
    <w:pPr>
      <w:autoSpaceDE w:val="0"/>
    </w:pPr>
  </w:style>
  <w:style w:type="paragraph" w:customStyle="1" w:styleId="Httr">
    <w:name w:val="Háttér"/>
    <w:pPr>
      <w:autoSpaceDE w:val="0"/>
    </w:pPr>
  </w:style>
  <w:style w:type="paragraph" w:customStyle="1" w:styleId="Jegyzetek">
    <w:name w:val="Jegyzetek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Vzlat1">
    <w:name w:val="Vázlat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Vzlat2">
    <w:name w:val="Vázlat 2"/>
    <w:basedOn w:val="Vzlat1"/>
    <w:pPr>
      <w:spacing w:after="227"/>
    </w:pPr>
    <w:rPr>
      <w:sz w:val="48"/>
      <w:szCs w:val="48"/>
    </w:rPr>
  </w:style>
  <w:style w:type="paragraph" w:customStyle="1" w:styleId="Vzlat3">
    <w:name w:val="Vázlat 3"/>
    <w:basedOn w:val="Vzlat2"/>
    <w:pPr>
      <w:spacing w:after="170"/>
    </w:pPr>
    <w:rPr>
      <w:sz w:val="40"/>
      <w:szCs w:val="40"/>
    </w:rPr>
  </w:style>
  <w:style w:type="paragraph" w:customStyle="1" w:styleId="Vzlat4">
    <w:name w:val="Vázlat 4"/>
    <w:basedOn w:val="Vzlat3"/>
    <w:pPr>
      <w:spacing w:after="113"/>
    </w:pPr>
  </w:style>
  <w:style w:type="paragraph" w:customStyle="1" w:styleId="Vzlat5">
    <w:name w:val="Vázlat 5"/>
    <w:basedOn w:val="Vzlat4"/>
    <w:pPr>
      <w:spacing w:after="57"/>
    </w:pPr>
  </w:style>
  <w:style w:type="paragraph" w:customStyle="1" w:styleId="Vzlat6">
    <w:name w:val="Vázlat 6"/>
    <w:basedOn w:val="Vzlat5"/>
  </w:style>
  <w:style w:type="paragraph" w:customStyle="1" w:styleId="Vzlat7">
    <w:name w:val="Vázlat 7"/>
    <w:basedOn w:val="Vzlat6"/>
  </w:style>
  <w:style w:type="paragraph" w:customStyle="1" w:styleId="Vzlat8">
    <w:name w:val="Vázlat 8"/>
    <w:basedOn w:val="Vzlat7"/>
  </w:style>
  <w:style w:type="paragraph" w:customStyle="1" w:styleId="Vzlat9">
    <w:name w:val="Vázlat 9"/>
    <w:basedOn w:val="Vzlat8"/>
  </w:style>
  <w:style w:type="paragraph" w:customStyle="1" w:styleId="CmstartalomLTGliederung1">
    <w:name w:val="Cím és tartalom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CmstartalomLTGliederung2">
    <w:name w:val="Cím és tartalom~LT~Gliederung 2"/>
    <w:basedOn w:val="CmstartalomLTGliederung1"/>
    <w:pPr>
      <w:spacing w:after="227"/>
    </w:pPr>
    <w:rPr>
      <w:sz w:val="48"/>
      <w:szCs w:val="48"/>
    </w:rPr>
  </w:style>
  <w:style w:type="paragraph" w:customStyle="1" w:styleId="CmstartalomLTGliederung3">
    <w:name w:val="Cím és tartalom~LT~Gliederung 3"/>
    <w:basedOn w:val="CmstartalomLTGliederung2"/>
    <w:pPr>
      <w:spacing w:after="170"/>
    </w:pPr>
    <w:rPr>
      <w:sz w:val="40"/>
      <w:szCs w:val="40"/>
    </w:rPr>
  </w:style>
  <w:style w:type="paragraph" w:customStyle="1" w:styleId="CmstartalomLTGliederung4">
    <w:name w:val="Cím és tartalom~LT~Gliederung 4"/>
    <w:basedOn w:val="CmstartalomLTGliederung3"/>
    <w:pPr>
      <w:spacing w:after="113"/>
    </w:pPr>
  </w:style>
  <w:style w:type="paragraph" w:customStyle="1" w:styleId="CmstartalomLTGliederung5">
    <w:name w:val="Cím és tartalom~LT~Gliederung 5"/>
    <w:basedOn w:val="CmstartalomLTGliederung4"/>
    <w:pPr>
      <w:spacing w:after="57"/>
    </w:pPr>
  </w:style>
  <w:style w:type="paragraph" w:customStyle="1" w:styleId="CmstartalomLTGliederung6">
    <w:name w:val="Cím és tartalom~LT~Gliederung 6"/>
    <w:basedOn w:val="CmstartalomLTGliederung5"/>
  </w:style>
  <w:style w:type="paragraph" w:customStyle="1" w:styleId="CmstartalomLTGliederung7">
    <w:name w:val="Cím és tartalom~LT~Gliederung 7"/>
    <w:basedOn w:val="CmstartalomLTGliederung6"/>
  </w:style>
  <w:style w:type="paragraph" w:customStyle="1" w:styleId="CmstartalomLTGliederung8">
    <w:name w:val="Cím és tartalom~LT~Gliederung 8"/>
    <w:basedOn w:val="CmstartalomLTGliederung7"/>
  </w:style>
  <w:style w:type="paragraph" w:customStyle="1" w:styleId="CmstartalomLTGliederung9">
    <w:name w:val="Cím és tartalom~LT~Gliederung 9"/>
    <w:basedOn w:val="CmstartalomLTGliederung8"/>
  </w:style>
  <w:style w:type="paragraph" w:customStyle="1" w:styleId="CmstartalomLTTitel">
    <w:name w:val="Cím és tartalom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CmstartalomLTUntertitel">
    <w:name w:val="Cím és tartalom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CmstartalomLTNotizen">
    <w:name w:val="Cím és tartalom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CmstartalomLTHintergrundobjekte">
    <w:name w:val="Cím és tartalom~LT~Hintergrundobjekte"/>
    <w:pPr>
      <w:autoSpaceDE w:val="0"/>
    </w:pPr>
  </w:style>
  <w:style w:type="paragraph" w:customStyle="1" w:styleId="CmstartalomLTHintergrund">
    <w:name w:val="Cím és tartalom~LT~Hintergrund"/>
    <w:pPr>
      <w:autoSpaceDE w:val="0"/>
    </w:pPr>
  </w:style>
  <w:style w:type="paragraph" w:customStyle="1" w:styleId="Belsoldal3LTGliederung1">
    <w:name w:val="Bels? oldal 3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Belsoldal3LTGliederung2">
    <w:name w:val="Bels? oldal 3~LT~Gliederung 2"/>
    <w:basedOn w:val="Belsoldal3LTGliederung1"/>
    <w:pPr>
      <w:spacing w:after="227"/>
    </w:pPr>
    <w:rPr>
      <w:sz w:val="48"/>
      <w:szCs w:val="48"/>
    </w:rPr>
  </w:style>
  <w:style w:type="paragraph" w:customStyle="1" w:styleId="Belsoldal3LTGliederung3">
    <w:name w:val="Bels? oldal 3~LT~Gliederung 3"/>
    <w:basedOn w:val="Belsoldal3LTGliederung2"/>
    <w:pPr>
      <w:spacing w:after="170"/>
    </w:pPr>
    <w:rPr>
      <w:sz w:val="40"/>
      <w:szCs w:val="40"/>
    </w:rPr>
  </w:style>
  <w:style w:type="paragraph" w:customStyle="1" w:styleId="Belsoldal3LTGliederung4">
    <w:name w:val="Bels? oldal 3~LT~Gliederung 4"/>
    <w:basedOn w:val="Belsoldal3LTGliederung3"/>
    <w:pPr>
      <w:spacing w:after="113"/>
    </w:pPr>
  </w:style>
  <w:style w:type="paragraph" w:customStyle="1" w:styleId="Belsoldal3LTGliederung5">
    <w:name w:val="Bels? oldal 3~LT~Gliederung 5"/>
    <w:basedOn w:val="Belsoldal3LTGliederung4"/>
    <w:pPr>
      <w:spacing w:after="57"/>
    </w:pPr>
  </w:style>
  <w:style w:type="paragraph" w:customStyle="1" w:styleId="Belsoldal3LTGliederung6">
    <w:name w:val="Bels? oldal 3~LT~Gliederung 6"/>
    <w:basedOn w:val="Belsoldal3LTGliederung5"/>
  </w:style>
  <w:style w:type="paragraph" w:customStyle="1" w:styleId="Belsoldal3LTGliederung7">
    <w:name w:val="Bels? oldal 3~LT~Gliederung 7"/>
    <w:basedOn w:val="Belsoldal3LTGliederung6"/>
  </w:style>
  <w:style w:type="paragraph" w:customStyle="1" w:styleId="Belsoldal3LTGliederung8">
    <w:name w:val="Bels? oldal 3~LT~Gliederung 8"/>
    <w:basedOn w:val="Belsoldal3LTGliederung7"/>
  </w:style>
  <w:style w:type="paragraph" w:customStyle="1" w:styleId="Belsoldal3LTGliederung9">
    <w:name w:val="Bels? oldal 3~LT~Gliederung 9"/>
    <w:basedOn w:val="Belsoldal3LTGliederung8"/>
  </w:style>
  <w:style w:type="paragraph" w:customStyle="1" w:styleId="Belsoldal3LTTitel">
    <w:name w:val="Bels? oldal 3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Belsoldal3LTUntertitel">
    <w:name w:val="Bels? oldal 3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Belsoldal3LTNotizen">
    <w:name w:val="Bels? oldal 3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Belsoldal3LTHintergrundobjekte">
    <w:name w:val="Bels? oldal 3~LT~Hintergrundobjekte"/>
    <w:pPr>
      <w:autoSpaceDE w:val="0"/>
    </w:pPr>
  </w:style>
  <w:style w:type="paragraph" w:customStyle="1" w:styleId="Belsoldal3LTHintergrund">
    <w:name w:val="Bels? oldal 3~LT~Hintergrund"/>
    <w:pPr>
      <w:autoSpaceDE w:val="0"/>
    </w:pPr>
  </w:style>
  <w:style w:type="paragraph" w:customStyle="1" w:styleId="Belsoldal2LTGliederung1">
    <w:name w:val="Bels? oldal 2~LT~Gliederung 1"/>
    <w:pPr>
      <w:autoSpaceDE w:val="0"/>
      <w:spacing w:after="283" w:line="200" w:lineRule="atLeast"/>
    </w:pPr>
    <w:rPr>
      <w:rFonts w:ascii="Arial" w:eastAsia="Arial" w:hAnsi="Arial" w:cs="Arial"/>
      <w:color w:val="000000"/>
      <w:sz w:val="64"/>
      <w:szCs w:val="64"/>
    </w:rPr>
  </w:style>
  <w:style w:type="paragraph" w:customStyle="1" w:styleId="Belsoldal2LTGliederung2">
    <w:name w:val="Bels? oldal 2~LT~Gliederung 2"/>
    <w:basedOn w:val="Belsoldal2LTGliederung1"/>
    <w:pPr>
      <w:spacing w:after="227"/>
    </w:pPr>
    <w:rPr>
      <w:sz w:val="48"/>
      <w:szCs w:val="48"/>
    </w:rPr>
  </w:style>
  <w:style w:type="paragraph" w:customStyle="1" w:styleId="Belsoldal2LTGliederung3">
    <w:name w:val="Bels? oldal 2~LT~Gliederung 3"/>
    <w:basedOn w:val="Belsoldal2LTGliederung2"/>
    <w:pPr>
      <w:spacing w:after="170"/>
    </w:pPr>
    <w:rPr>
      <w:sz w:val="40"/>
      <w:szCs w:val="40"/>
    </w:rPr>
  </w:style>
  <w:style w:type="paragraph" w:customStyle="1" w:styleId="Belsoldal2LTGliederung4">
    <w:name w:val="Bels? oldal 2~LT~Gliederung 4"/>
    <w:basedOn w:val="Belsoldal2LTGliederung3"/>
    <w:pPr>
      <w:spacing w:after="113"/>
    </w:pPr>
  </w:style>
  <w:style w:type="paragraph" w:customStyle="1" w:styleId="Belsoldal2LTGliederung5">
    <w:name w:val="Bels? oldal 2~LT~Gliederung 5"/>
    <w:basedOn w:val="Belsoldal2LTGliederung4"/>
    <w:pPr>
      <w:spacing w:after="57"/>
    </w:pPr>
  </w:style>
  <w:style w:type="paragraph" w:customStyle="1" w:styleId="Belsoldal2LTGliederung6">
    <w:name w:val="Bels? oldal 2~LT~Gliederung 6"/>
    <w:basedOn w:val="Belsoldal2LTGliederung5"/>
  </w:style>
  <w:style w:type="paragraph" w:customStyle="1" w:styleId="Belsoldal2LTGliederung7">
    <w:name w:val="Bels? oldal 2~LT~Gliederung 7"/>
    <w:basedOn w:val="Belsoldal2LTGliederung6"/>
  </w:style>
  <w:style w:type="paragraph" w:customStyle="1" w:styleId="Belsoldal2LTGliederung8">
    <w:name w:val="Bels? oldal 2~LT~Gliederung 8"/>
    <w:basedOn w:val="Belsoldal2LTGliederung7"/>
  </w:style>
  <w:style w:type="paragraph" w:customStyle="1" w:styleId="Belsoldal2LTGliederung9">
    <w:name w:val="Bels? oldal 2~LT~Gliederung 9"/>
    <w:basedOn w:val="Belsoldal2LTGliederung8"/>
  </w:style>
  <w:style w:type="paragraph" w:customStyle="1" w:styleId="Belsoldal2LTTitel">
    <w:name w:val="Bels? oldal 2~LT~Titel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Belsoldal2LTUntertitel">
    <w:name w:val="Bels? oldal 2~LT~Untertitel"/>
    <w:pPr>
      <w:autoSpaceDE w:val="0"/>
      <w:jc w:val="center"/>
    </w:pPr>
    <w:rPr>
      <w:rFonts w:ascii="Lohit Hindi" w:eastAsia="Lohit Hindi" w:hAnsi="Lohit Hindi" w:cs="Lohit Hindi"/>
      <w:sz w:val="64"/>
      <w:szCs w:val="64"/>
    </w:rPr>
  </w:style>
  <w:style w:type="paragraph" w:customStyle="1" w:styleId="Belsoldal2LTNotizen">
    <w:name w:val="Bels? oldal 2~LT~Notizen"/>
    <w:pPr>
      <w:autoSpaceDE w:val="0"/>
      <w:ind w:left="340" w:hanging="340"/>
    </w:pPr>
    <w:rPr>
      <w:rFonts w:ascii="Lohit Hindi" w:eastAsia="Lohit Hindi" w:hAnsi="Lohit Hindi" w:cs="Lohit Hindi"/>
      <w:sz w:val="40"/>
      <w:szCs w:val="40"/>
    </w:rPr>
  </w:style>
  <w:style w:type="paragraph" w:customStyle="1" w:styleId="Belsoldal2LTHintergrundobjekte">
    <w:name w:val="Bels? oldal 2~LT~Hintergrundobjekte"/>
    <w:pPr>
      <w:autoSpaceDE w:val="0"/>
    </w:pPr>
  </w:style>
  <w:style w:type="paragraph" w:customStyle="1" w:styleId="Belsoldal2LTHintergrund">
    <w:name w:val="Bels? oldal 2~LT~Hintergrund"/>
    <w:pPr>
      <w:autoSpaceDE w:val="0"/>
    </w:pPr>
  </w:style>
  <w:style w:type="paragraph" w:customStyle="1" w:styleId="WW-Cm1">
    <w:name w:val="WW-Cím1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">
    <w:name w:val="WW-Cím12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">
    <w:name w:val="WW-Cím123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4">
    <w:name w:val="WW-Cím1234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paragraph" w:customStyle="1" w:styleId="WW-Cm12345">
    <w:name w:val="WW-Cím12345"/>
    <w:pPr>
      <w:autoSpaceDE w:val="0"/>
      <w:spacing w:line="200" w:lineRule="atLeast"/>
    </w:pPr>
    <w:rPr>
      <w:rFonts w:ascii="Arial" w:eastAsia="Arial" w:hAnsi="Arial" w:cs="Arial"/>
      <w:color w:val="000000"/>
      <w:sz w:val="88"/>
      <w:szCs w:val="88"/>
    </w:rPr>
  </w:style>
  <w:style w:type="character" w:customStyle="1" w:styleId="Cmsor4Char">
    <w:name w:val="Címsor 4 Char"/>
    <w:basedOn w:val="Bekezdsalapbettpusa"/>
    <w:rPr>
      <w:rFonts w:ascii="Times New Roman" w:hAnsi="Times New Roman" w:cs="Times New Roman"/>
      <w:sz w:val="24"/>
      <w:szCs w:val="24"/>
      <w:lang w:eastAsia="hu-HU"/>
    </w:rPr>
  </w:style>
  <w:style w:type="character" w:customStyle="1" w:styleId="Internetlink">
    <w:name w:val="Internet link"/>
    <w:basedOn w:val="Bekezdsalapbettpusa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rPr>
      <w:rFonts w:eastAsia="Times New Roman" w:cs="Times New Roman"/>
      <w:lang w:eastAsia="hu-HU"/>
    </w:rPr>
  </w:style>
  <w:style w:type="character" w:customStyle="1" w:styleId="llbChar">
    <w:name w:val="Élőláb Char"/>
    <w:basedOn w:val="Bekezdsalapbettpusa"/>
    <w:rPr>
      <w:rFonts w:eastAsia="Times New Roman" w:cs="Times New Roman"/>
      <w:lang w:eastAsia="hu-HU"/>
    </w:rPr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  <w:lang w:eastAsia="hu-HU"/>
    </w:rPr>
  </w:style>
  <w:style w:type="character" w:customStyle="1" w:styleId="ListLabel1">
    <w:name w:val="ListLabel 1"/>
    <w:rPr>
      <w:rFonts w:cs="Times New Roman"/>
      <w:b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eastAsia="SimSun"/>
    </w:rPr>
  </w:style>
  <w:style w:type="character" w:customStyle="1" w:styleId="ListLabel4">
    <w:name w:val="ListLabel 4"/>
    <w:rPr>
      <w:rFonts w:eastAsia="Times New Roman"/>
    </w:rPr>
  </w:style>
  <w:style w:type="character" w:customStyle="1" w:styleId="ListLabel5">
    <w:name w:val="ListLabel 5"/>
    <w:rPr>
      <w:rFonts w:eastAsia="Times New Roman" w:cs="Times New Roman"/>
    </w:rPr>
  </w:style>
  <w:style w:type="character" w:customStyle="1" w:styleId="ListLabel6">
    <w:name w:val="ListLabel 6"/>
    <w:rPr>
      <w:rFonts w:cs="Courier New"/>
    </w:rPr>
  </w:style>
  <w:style w:type="numbering" w:customStyle="1" w:styleId="WWNum1">
    <w:name w:val="WWNum1"/>
    <w:basedOn w:val="Nemlista"/>
    <w:pPr>
      <w:numPr>
        <w:numId w:val="1"/>
      </w:numPr>
    </w:pPr>
  </w:style>
  <w:style w:type="numbering" w:customStyle="1" w:styleId="WWNum2">
    <w:name w:val="WWNum2"/>
    <w:basedOn w:val="Nemlista"/>
    <w:pPr>
      <w:numPr>
        <w:numId w:val="2"/>
      </w:numPr>
    </w:pPr>
  </w:style>
  <w:style w:type="numbering" w:customStyle="1" w:styleId="WWNum3">
    <w:name w:val="WWNum3"/>
    <w:basedOn w:val="Nemlista"/>
    <w:pPr>
      <w:numPr>
        <w:numId w:val="3"/>
      </w:numPr>
    </w:pPr>
  </w:style>
  <w:style w:type="numbering" w:customStyle="1" w:styleId="WWNum4">
    <w:name w:val="WWNum4"/>
    <w:basedOn w:val="Nemlista"/>
    <w:pPr>
      <w:numPr>
        <w:numId w:val="4"/>
      </w:numPr>
    </w:pPr>
  </w:style>
  <w:style w:type="numbering" w:customStyle="1" w:styleId="WWNum5">
    <w:name w:val="WWNum5"/>
    <w:basedOn w:val="Nemlista"/>
    <w:pPr>
      <w:numPr>
        <w:numId w:val="5"/>
      </w:numPr>
    </w:pPr>
  </w:style>
  <w:style w:type="numbering" w:customStyle="1" w:styleId="WWNum6">
    <w:name w:val="WWNum6"/>
    <w:basedOn w:val="Nemlista"/>
    <w:pPr>
      <w:numPr>
        <w:numId w:val="6"/>
      </w:numPr>
    </w:pPr>
  </w:style>
  <w:style w:type="numbering" w:customStyle="1" w:styleId="WWNum7">
    <w:name w:val="WWNum7"/>
    <w:basedOn w:val="Nemlista"/>
    <w:pPr>
      <w:numPr>
        <w:numId w:val="7"/>
      </w:numPr>
    </w:pPr>
  </w:style>
  <w:style w:type="numbering" w:customStyle="1" w:styleId="WWNum8">
    <w:name w:val="WWNum8"/>
    <w:basedOn w:val="Nemlista"/>
    <w:pPr>
      <w:numPr>
        <w:numId w:val="8"/>
      </w:numPr>
    </w:pPr>
  </w:style>
  <w:style w:type="numbering" w:customStyle="1" w:styleId="WWNum9">
    <w:name w:val="WWNum9"/>
    <w:basedOn w:val="Nemlista"/>
    <w:pPr>
      <w:numPr>
        <w:numId w:val="9"/>
      </w:numPr>
    </w:pPr>
  </w:style>
  <w:style w:type="numbering" w:customStyle="1" w:styleId="WWNum10">
    <w:name w:val="WWNum10"/>
    <w:basedOn w:val="Nemlista"/>
    <w:pPr>
      <w:numPr>
        <w:numId w:val="10"/>
      </w:numPr>
    </w:pPr>
  </w:style>
  <w:style w:type="numbering" w:customStyle="1" w:styleId="WWNum11">
    <w:name w:val="WWNum11"/>
    <w:basedOn w:val="Nemlista"/>
    <w:pPr>
      <w:numPr>
        <w:numId w:val="11"/>
      </w:numPr>
    </w:pPr>
  </w:style>
  <w:style w:type="numbering" w:customStyle="1" w:styleId="WWNum12">
    <w:name w:val="WWNum12"/>
    <w:basedOn w:val="Nemlista"/>
    <w:pPr>
      <w:numPr>
        <w:numId w:val="12"/>
      </w:numPr>
    </w:pPr>
  </w:style>
  <w:style w:type="numbering" w:customStyle="1" w:styleId="WWNum13">
    <w:name w:val="WWNum13"/>
    <w:basedOn w:val="Nemlista"/>
    <w:pPr>
      <w:numPr>
        <w:numId w:val="13"/>
      </w:numPr>
    </w:pPr>
  </w:style>
  <w:style w:type="numbering" w:customStyle="1" w:styleId="WWNum14">
    <w:name w:val="WWNum14"/>
    <w:basedOn w:val="Nemlista"/>
    <w:pPr>
      <w:numPr>
        <w:numId w:val="14"/>
      </w:numPr>
    </w:pPr>
  </w:style>
  <w:style w:type="numbering" w:customStyle="1" w:styleId="WWNum15">
    <w:name w:val="WWNum15"/>
    <w:basedOn w:val="Nemlista"/>
    <w:pPr>
      <w:numPr>
        <w:numId w:val="15"/>
      </w:numPr>
    </w:pPr>
  </w:style>
  <w:style w:type="numbering" w:customStyle="1" w:styleId="WWNum16">
    <w:name w:val="WWNum16"/>
    <w:basedOn w:val="Nemlista"/>
    <w:pPr>
      <w:numPr>
        <w:numId w:val="16"/>
      </w:numPr>
    </w:pPr>
  </w:style>
  <w:style w:type="numbering" w:customStyle="1" w:styleId="WWNum17">
    <w:name w:val="WWNum17"/>
    <w:basedOn w:val="Nemlista"/>
    <w:pPr>
      <w:numPr>
        <w:numId w:val="17"/>
      </w:numPr>
    </w:pPr>
  </w:style>
  <w:style w:type="numbering" w:customStyle="1" w:styleId="WWNum18">
    <w:name w:val="WWNum18"/>
    <w:basedOn w:val="Nemlista"/>
    <w:pPr>
      <w:numPr>
        <w:numId w:val="18"/>
      </w:numPr>
    </w:pPr>
  </w:style>
  <w:style w:type="numbering" w:customStyle="1" w:styleId="WWNum19">
    <w:name w:val="WWNum19"/>
    <w:basedOn w:val="Nemlista"/>
    <w:pPr>
      <w:numPr>
        <w:numId w:val="19"/>
      </w:numPr>
    </w:pPr>
  </w:style>
  <w:style w:type="numbering" w:customStyle="1" w:styleId="WWNum20">
    <w:name w:val="WWNum20"/>
    <w:basedOn w:val="Nemlista"/>
    <w:pPr>
      <w:numPr>
        <w:numId w:val="20"/>
      </w:numPr>
    </w:pPr>
  </w:style>
  <w:style w:type="numbering" w:customStyle="1" w:styleId="WWNum21">
    <w:name w:val="WWNum21"/>
    <w:basedOn w:val="Nemlista"/>
    <w:pPr>
      <w:numPr>
        <w:numId w:val="21"/>
      </w:numPr>
    </w:pPr>
  </w:style>
  <w:style w:type="numbering" w:customStyle="1" w:styleId="WWNum22">
    <w:name w:val="WWNum22"/>
    <w:basedOn w:val="Nemlista"/>
    <w:pPr>
      <w:numPr>
        <w:numId w:val="22"/>
      </w:numPr>
    </w:pPr>
  </w:style>
  <w:style w:type="numbering" w:customStyle="1" w:styleId="WWNum23">
    <w:name w:val="WWNum23"/>
    <w:basedOn w:val="Nemlista"/>
    <w:pPr>
      <w:numPr>
        <w:numId w:val="23"/>
      </w:numPr>
    </w:pPr>
  </w:style>
  <w:style w:type="numbering" w:customStyle="1" w:styleId="WWNum24">
    <w:name w:val="WWNum24"/>
    <w:basedOn w:val="Nemlista"/>
    <w:pPr>
      <w:numPr>
        <w:numId w:val="24"/>
      </w:numPr>
    </w:pPr>
  </w:style>
  <w:style w:type="numbering" w:customStyle="1" w:styleId="WWNum25">
    <w:name w:val="WWNum25"/>
    <w:basedOn w:val="Nemlista"/>
    <w:pPr>
      <w:numPr>
        <w:numId w:val="25"/>
      </w:numPr>
    </w:pPr>
  </w:style>
  <w:style w:type="numbering" w:customStyle="1" w:styleId="WWNum26">
    <w:name w:val="WWNum26"/>
    <w:basedOn w:val="Nemlista"/>
    <w:pPr>
      <w:numPr>
        <w:numId w:val="26"/>
      </w:numPr>
    </w:pPr>
  </w:style>
  <w:style w:type="numbering" w:customStyle="1" w:styleId="WWNum27">
    <w:name w:val="WWNum27"/>
    <w:basedOn w:val="Nemlista"/>
    <w:pPr>
      <w:numPr>
        <w:numId w:val="27"/>
      </w:numPr>
    </w:pPr>
  </w:style>
  <w:style w:type="numbering" w:customStyle="1" w:styleId="WWNum28">
    <w:name w:val="WWNum28"/>
    <w:basedOn w:val="Nemlista"/>
    <w:pPr>
      <w:numPr>
        <w:numId w:val="28"/>
      </w:numPr>
    </w:pPr>
  </w:style>
  <w:style w:type="numbering" w:customStyle="1" w:styleId="WWNum29">
    <w:name w:val="WWNum29"/>
    <w:basedOn w:val="Nemlista"/>
    <w:pPr>
      <w:numPr>
        <w:numId w:val="29"/>
      </w:numPr>
    </w:pPr>
  </w:style>
  <w:style w:type="numbering" w:customStyle="1" w:styleId="WWNum30">
    <w:name w:val="WWNum30"/>
    <w:basedOn w:val="Nemlista"/>
    <w:pPr>
      <w:numPr>
        <w:numId w:val="30"/>
      </w:numPr>
    </w:pPr>
  </w:style>
  <w:style w:type="numbering" w:customStyle="1" w:styleId="WWNum31">
    <w:name w:val="WWNum31"/>
    <w:basedOn w:val="Nemlista"/>
    <w:pPr>
      <w:numPr>
        <w:numId w:val="31"/>
      </w:numPr>
    </w:pPr>
  </w:style>
  <w:style w:type="numbering" w:customStyle="1" w:styleId="WWNum32">
    <w:name w:val="WWNum32"/>
    <w:basedOn w:val="Nemlista"/>
    <w:pPr>
      <w:numPr>
        <w:numId w:val="32"/>
      </w:numPr>
    </w:pPr>
  </w:style>
  <w:style w:type="numbering" w:customStyle="1" w:styleId="WWNum33">
    <w:name w:val="WWNum33"/>
    <w:basedOn w:val="Nemlista"/>
    <w:pPr>
      <w:numPr>
        <w:numId w:val="33"/>
      </w:numPr>
    </w:pPr>
  </w:style>
  <w:style w:type="numbering" w:customStyle="1" w:styleId="WWNum34">
    <w:name w:val="WWNum34"/>
    <w:basedOn w:val="Nemlista"/>
    <w:pPr>
      <w:numPr>
        <w:numId w:val="34"/>
      </w:numPr>
    </w:pPr>
  </w:style>
  <w:style w:type="numbering" w:customStyle="1" w:styleId="WWNum35">
    <w:name w:val="WWNum35"/>
    <w:basedOn w:val="Nemlista"/>
    <w:pPr>
      <w:numPr>
        <w:numId w:val="35"/>
      </w:numPr>
    </w:pPr>
  </w:style>
  <w:style w:type="numbering" w:customStyle="1" w:styleId="WWNum36">
    <w:name w:val="WWNum36"/>
    <w:basedOn w:val="Nemlista"/>
    <w:pPr>
      <w:numPr>
        <w:numId w:val="36"/>
      </w:numPr>
    </w:pPr>
  </w:style>
  <w:style w:type="numbering" w:customStyle="1" w:styleId="WWNum37">
    <w:name w:val="WWNum37"/>
    <w:basedOn w:val="Nemlista"/>
    <w:pPr>
      <w:numPr>
        <w:numId w:val="37"/>
      </w:numPr>
    </w:pPr>
  </w:style>
  <w:style w:type="numbering" w:customStyle="1" w:styleId="WWNum38">
    <w:name w:val="WWNum38"/>
    <w:basedOn w:val="Nemlista"/>
    <w:pPr>
      <w:numPr>
        <w:numId w:val="38"/>
      </w:numPr>
    </w:pPr>
  </w:style>
  <w:style w:type="numbering" w:customStyle="1" w:styleId="WWNum39">
    <w:name w:val="WWNum39"/>
    <w:basedOn w:val="Nemlista"/>
    <w:pPr>
      <w:numPr>
        <w:numId w:val="39"/>
      </w:numPr>
    </w:pPr>
  </w:style>
  <w:style w:type="numbering" w:customStyle="1" w:styleId="WWNum40">
    <w:name w:val="WWNum40"/>
    <w:basedOn w:val="Nemlista"/>
    <w:pPr>
      <w:numPr>
        <w:numId w:val="40"/>
      </w:numPr>
    </w:pPr>
  </w:style>
  <w:style w:type="numbering" w:customStyle="1" w:styleId="WWNum41">
    <w:name w:val="WWNum41"/>
    <w:basedOn w:val="Nemlista"/>
    <w:pPr>
      <w:numPr>
        <w:numId w:val="41"/>
      </w:numPr>
    </w:pPr>
  </w:style>
  <w:style w:type="numbering" w:customStyle="1" w:styleId="WWNum42">
    <w:name w:val="WWNum42"/>
    <w:basedOn w:val="Nemlista"/>
    <w:pPr>
      <w:numPr>
        <w:numId w:val="42"/>
      </w:numPr>
    </w:pPr>
  </w:style>
  <w:style w:type="numbering" w:customStyle="1" w:styleId="WWNum43">
    <w:name w:val="WWNum43"/>
    <w:basedOn w:val="Nemlista"/>
    <w:pPr>
      <w:numPr>
        <w:numId w:val="43"/>
      </w:numPr>
    </w:pPr>
  </w:style>
  <w:style w:type="numbering" w:customStyle="1" w:styleId="WWNum44">
    <w:name w:val="WWNum44"/>
    <w:basedOn w:val="Nemlista"/>
    <w:pPr>
      <w:numPr>
        <w:numId w:val="44"/>
      </w:numPr>
    </w:pPr>
  </w:style>
  <w:style w:type="numbering" w:customStyle="1" w:styleId="WWNum45">
    <w:name w:val="WWNum45"/>
    <w:basedOn w:val="Nemlista"/>
    <w:pPr>
      <w:numPr>
        <w:numId w:val="45"/>
      </w:numPr>
    </w:pPr>
  </w:style>
  <w:style w:type="numbering" w:customStyle="1" w:styleId="WWNum46">
    <w:name w:val="WWNum46"/>
    <w:basedOn w:val="Nemlista"/>
    <w:pPr>
      <w:numPr>
        <w:numId w:val="46"/>
      </w:numPr>
    </w:pPr>
  </w:style>
  <w:style w:type="numbering" w:customStyle="1" w:styleId="WWNum47">
    <w:name w:val="WWNum47"/>
    <w:basedOn w:val="Nemlista"/>
    <w:pPr>
      <w:numPr>
        <w:numId w:val="4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3857</Words>
  <Characters>26614</Characters>
  <Application>Microsoft Office Word</Application>
  <DocSecurity>0</DocSecurity>
  <Lines>221</Lines>
  <Paragraphs>60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EMLÉKEZTETŐ</vt:lpstr>
      <vt:lpstr>EMLÉKEZTETŐ</vt:lpstr>
    </vt:vector>
  </TitlesOfParts>
  <Company>KD</Company>
  <LinksUpToDate>false</LinksUpToDate>
  <CharactersWithSpaces>30411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EMLÉKEZTETŐ</dc:title>
  <dc:creator>Dienes Melinda</dc:creator>
  <cp:lastModifiedBy>BereczL</cp:lastModifiedBy>
  <cp:revision>2</cp:revision>
  <cp:lastPrinted>2014-01-08T09:48:00Z</cp:lastPrinted>
  <dcterms:created xsi:type="dcterms:W3CDTF">2014-02-03T09:37:00Z</dcterms:created>
  <dcterms:modified xsi:type="dcterms:W3CDTF">2014-02-03T09:37:00Z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KD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