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391" w:rsidRPr="00F35797" w:rsidRDefault="004F42FA" w:rsidP="004F42FA">
      <w:pPr>
        <w:jc w:val="left"/>
      </w:pPr>
      <w:r>
        <w:rPr>
          <w:noProof/>
        </w:rPr>
        <w:drawing>
          <wp:anchor distT="0" distB="0" distL="114300" distR="114300" simplePos="0" relativeHeight="251662336" behindDoc="1" locked="0" layoutInCell="1" allowOverlap="1" wp14:anchorId="51FB5688" wp14:editId="32337A4C">
            <wp:simplePos x="0" y="0"/>
            <wp:positionH relativeFrom="column">
              <wp:posOffset>1038708</wp:posOffset>
            </wp:positionH>
            <wp:positionV relativeFrom="paragraph">
              <wp:posOffset>27305</wp:posOffset>
            </wp:positionV>
            <wp:extent cx="4256629" cy="1705970"/>
            <wp:effectExtent l="0" t="0" r="0" b="8890"/>
            <wp:wrapNone/>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6629" cy="170597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rsidR="00597391" w:rsidRPr="00F35797" w:rsidRDefault="00597391" w:rsidP="004F42FA">
      <w:pPr>
        <w:pStyle w:val="Szvegtrzs"/>
        <w:jc w:val="center"/>
      </w:pPr>
    </w:p>
    <w:p w:rsidR="00597391" w:rsidRPr="00F35797" w:rsidRDefault="00597391" w:rsidP="00597391">
      <w:pPr>
        <w:pStyle w:val="Szvegtrzs"/>
      </w:pPr>
    </w:p>
    <w:p w:rsidR="00597391" w:rsidRPr="00F35797" w:rsidRDefault="00597391" w:rsidP="00597391">
      <w:pPr>
        <w:pStyle w:val="Szvegtrzs"/>
      </w:pPr>
    </w:p>
    <w:p w:rsidR="00597391" w:rsidRPr="00F35797" w:rsidRDefault="00597391" w:rsidP="00597391">
      <w:pPr>
        <w:pStyle w:val="Szvegtrzs"/>
      </w:pPr>
    </w:p>
    <w:p w:rsidR="00597391" w:rsidRDefault="00597391" w:rsidP="00597391">
      <w:pPr>
        <w:pStyle w:val="Szvegtrzs"/>
      </w:pPr>
    </w:p>
    <w:p w:rsidR="004F42FA" w:rsidRDefault="004F42FA" w:rsidP="00597391">
      <w:pPr>
        <w:pStyle w:val="Szvegtrzs"/>
      </w:pPr>
    </w:p>
    <w:p w:rsidR="004F42FA" w:rsidRPr="00F35797" w:rsidRDefault="004F42FA" w:rsidP="00597391">
      <w:pPr>
        <w:pStyle w:val="Szvegtrzs"/>
      </w:pPr>
    </w:p>
    <w:p w:rsidR="00597391" w:rsidRPr="00F35797" w:rsidRDefault="000842E9" w:rsidP="00597391">
      <w:pPr>
        <w:pStyle w:val="Szvegtrzs"/>
      </w:pPr>
      <w:r>
        <w:rPr>
          <w:noProof/>
        </w:rPr>
        <mc:AlternateContent>
          <mc:Choice Requires="wps">
            <w:drawing>
              <wp:anchor distT="0" distB="0" distL="114300" distR="114300" simplePos="0" relativeHeight="251660288" behindDoc="0" locked="0" layoutInCell="1" allowOverlap="1" wp14:anchorId="4D0F1D20" wp14:editId="57DD410C">
                <wp:simplePos x="0" y="0"/>
                <wp:positionH relativeFrom="column">
                  <wp:posOffset>3597910</wp:posOffset>
                </wp:positionH>
                <wp:positionV relativeFrom="paragraph">
                  <wp:posOffset>-5715</wp:posOffset>
                </wp:positionV>
                <wp:extent cx="2465720" cy="3729001"/>
                <wp:effectExtent l="0" t="0" r="0" b="5080"/>
                <wp:wrapNone/>
                <wp:docPr id="70" name="Szövegdoboz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20" cy="3729001"/>
                        </a:xfrm>
                        <a:prstGeom prst="rect">
                          <a:avLst/>
                        </a:prstGeom>
                        <a:solidFill>
                          <a:schemeClr val="accent3">
                            <a:lumMod val="75000"/>
                          </a:schemeClr>
                        </a:solidFill>
                        <a:ln>
                          <a:noFill/>
                        </a:ln>
                      </wps:spPr>
                      <wps:txbx>
                        <w:txbxContent>
                          <w:p w:rsidR="00C91980" w:rsidRPr="000842E9" w:rsidRDefault="00C91980" w:rsidP="00597391">
                            <w:pPr>
                              <w:autoSpaceDE w:val="0"/>
                              <w:spacing w:before="240" w:after="240"/>
                              <w:jc w:val="center"/>
                              <w:rPr>
                                <w:rFonts w:ascii="Arial" w:eastAsia="Times New Roman" w:hAnsi="Arial"/>
                                <w:b/>
                                <w:bCs/>
                                <w:color w:val="E6D199"/>
                                <w:sz w:val="44"/>
                                <w:szCs w:val="44"/>
                                <w:lang w:eastAsia="ar-SA"/>
                                <w14:textOutline w14:w="9525" w14:cap="rnd" w14:cmpd="sng" w14:algn="ctr">
                                  <w14:noFill/>
                                  <w14:prstDash w14:val="solid"/>
                                  <w14:bevel/>
                                </w14:textOutline>
                              </w:rPr>
                            </w:pPr>
                            <w:r w:rsidRPr="000842E9">
                              <w:rPr>
                                <w:rFonts w:ascii="Arial" w:eastAsia="Times New Roman" w:hAnsi="Arial"/>
                                <w:b/>
                                <w:bCs/>
                                <w:color w:val="E6D199"/>
                                <w:sz w:val="44"/>
                                <w:szCs w:val="44"/>
                                <w:lang w:eastAsia="ar-SA"/>
                                <w14:textOutline w14:w="9525" w14:cap="rnd" w14:cmpd="sng" w14:algn="ctr">
                                  <w14:noFill/>
                                  <w14:prstDash w14:val="solid"/>
                                  <w14:bevel/>
                                </w14:textOutline>
                              </w:rPr>
                              <w:t>JELENTÉS</w:t>
                            </w:r>
                          </w:p>
                          <w:p w:rsidR="00C91980" w:rsidRPr="000842E9" w:rsidRDefault="00C91980" w:rsidP="00597391">
                            <w:pPr>
                              <w:autoSpaceDE w:val="0"/>
                              <w:jc w:val="center"/>
                              <w:rPr>
                                <w:rFonts w:ascii="Arial" w:eastAsia="Times New Roman" w:hAnsi="Arial"/>
                                <w:b/>
                                <w:bCs/>
                                <w:color w:val="E6D199"/>
                                <w:sz w:val="44"/>
                                <w:szCs w:val="44"/>
                                <w:lang w:eastAsia="ar-SA"/>
                                <w14:textOutline w14:w="9525" w14:cap="rnd" w14:cmpd="sng" w14:algn="ctr">
                                  <w14:noFill/>
                                  <w14:prstDash w14:val="solid"/>
                                  <w14:bevel/>
                                </w14:textOutline>
                              </w:rPr>
                            </w:pPr>
                            <w:r>
                              <w:rPr>
                                <w:rFonts w:ascii="Arial" w:eastAsia="Times New Roman" w:hAnsi="Arial"/>
                                <w:b/>
                                <w:bCs/>
                                <w:color w:val="E6D199"/>
                                <w:sz w:val="44"/>
                                <w:szCs w:val="44"/>
                                <w:lang w:eastAsia="ar-SA"/>
                                <w14:textOutline w14:w="9525" w14:cap="rnd" w14:cmpd="sng" w14:algn="ctr">
                                  <w14:noFill/>
                                  <w14:prstDash w14:val="solid"/>
                                  <w14:bevel/>
                                </w14:textOutline>
                              </w:rPr>
                              <w:t xml:space="preserve">a Darányi Ignác Terv- </w:t>
                            </w:r>
                            <w:r w:rsidRPr="000842E9">
                              <w:rPr>
                                <w:rFonts w:ascii="Arial" w:eastAsia="Times New Roman" w:hAnsi="Arial"/>
                                <w:b/>
                                <w:bCs/>
                                <w:color w:val="E6D199"/>
                                <w:sz w:val="44"/>
                                <w:szCs w:val="44"/>
                                <w:lang w:eastAsia="ar-SA"/>
                                <w14:textOutline w14:w="9525" w14:cap="rnd" w14:cmpd="sng" w14:algn="ctr">
                                  <w14:noFill/>
                                  <w14:prstDash w14:val="solid"/>
                                  <w14:bevel/>
                                </w14:textOutline>
                              </w:rPr>
                              <w:t>Új Magyarország Vidékfejlesztési Program végrehajtásának</w:t>
                            </w:r>
                          </w:p>
                          <w:p w:rsidR="00C91980" w:rsidRPr="000842E9" w:rsidRDefault="00C91980" w:rsidP="00597391">
                            <w:pPr>
                              <w:autoSpaceDE w:val="0"/>
                              <w:jc w:val="center"/>
                              <w:rPr>
                                <w:rFonts w:ascii="Arial" w:eastAsia="Times New Roman" w:hAnsi="Arial"/>
                                <w:b/>
                                <w:bCs/>
                                <w:color w:val="E6D199"/>
                                <w:sz w:val="44"/>
                                <w:szCs w:val="44"/>
                                <w:lang w:eastAsia="ar-SA"/>
                                <w14:textOutline w14:w="9525" w14:cap="rnd" w14:cmpd="sng" w14:algn="ctr">
                                  <w14:noFill/>
                                  <w14:prstDash w14:val="solid"/>
                                  <w14:bevel/>
                                </w14:textOutline>
                              </w:rPr>
                            </w:pPr>
                            <w:r w:rsidRPr="000842E9">
                              <w:rPr>
                                <w:rFonts w:ascii="Arial" w:eastAsia="Times New Roman" w:hAnsi="Arial"/>
                                <w:b/>
                                <w:bCs/>
                                <w:color w:val="E6D199"/>
                                <w:sz w:val="44"/>
                                <w:szCs w:val="44"/>
                                <w:lang w:eastAsia="ar-SA"/>
                                <w14:textOutline w14:w="9525" w14:cap="rnd" w14:cmpd="sng" w14:algn="ctr">
                                  <w14:noFill/>
                                  <w14:prstDash w14:val="solid"/>
                                  <w14:bevel/>
                                </w14:textOutline>
                              </w:rPr>
                              <w:t>2012. évi előrehaladásáról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 o:spid="_x0000_s1026" type="#_x0000_t202" style="position:absolute;left:0;text-align:left;margin-left:283.3pt;margin-top:-.45pt;width:194.15pt;height:29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" fillcolor="#76923c [2406]" stroked="f">
                <v:textbox>
                  <w:txbxContent>
                    <w:p w:rsidR="00C91980" w:rsidRPr="000842E9" w:rsidRDefault="00C91980" w:rsidP="00597391">
                      <w:pPr>
                        <w:autoSpaceDE w:val="0"/>
                        <w:spacing w:before="240" w:after="240"/>
                        <w:jc w:val="center"/>
                        <w:rPr>
                          <w:rFonts w:ascii="Arial" w:eastAsia="Times New Roman" w:hAnsi="Arial"/>
                          <w:b/>
                          <w:bCs/>
                          <w:color w:val="E6D199"/>
                          <w:sz w:val="44"/>
                          <w:szCs w:val="44"/>
                          <w:lang w:eastAsia="ar-SA"/>
                          <w14:textOutline w14:w="9525" w14:cap="rnd" w14:cmpd="sng" w14:algn="ctr">
                            <w14:noFill/>
                            <w14:prstDash w14:val="solid"/>
                            <w14:bevel/>
                          </w14:textOutline>
                        </w:rPr>
                      </w:pPr>
                      <w:r w:rsidRPr="000842E9">
                        <w:rPr>
                          <w:rFonts w:ascii="Arial" w:eastAsia="Times New Roman" w:hAnsi="Arial"/>
                          <w:b/>
                          <w:bCs/>
                          <w:color w:val="E6D199"/>
                          <w:sz w:val="44"/>
                          <w:szCs w:val="44"/>
                          <w:lang w:eastAsia="ar-SA"/>
                          <w14:textOutline w14:w="9525" w14:cap="rnd" w14:cmpd="sng" w14:algn="ctr">
                            <w14:noFill/>
                            <w14:prstDash w14:val="solid"/>
                            <w14:bevel/>
                          </w14:textOutline>
                        </w:rPr>
                        <w:t>JELENTÉS</w:t>
                      </w:r>
                    </w:p>
                    <w:p w:rsidR="00C91980" w:rsidRPr="000842E9" w:rsidRDefault="00C91980" w:rsidP="00597391">
                      <w:pPr>
                        <w:autoSpaceDE w:val="0"/>
                        <w:jc w:val="center"/>
                        <w:rPr>
                          <w:rFonts w:ascii="Arial" w:eastAsia="Times New Roman" w:hAnsi="Arial"/>
                          <w:b/>
                          <w:bCs/>
                          <w:color w:val="E6D199"/>
                          <w:sz w:val="44"/>
                          <w:szCs w:val="44"/>
                          <w:lang w:eastAsia="ar-SA"/>
                          <w14:textOutline w14:w="9525" w14:cap="rnd" w14:cmpd="sng" w14:algn="ctr">
                            <w14:noFill/>
                            <w14:prstDash w14:val="solid"/>
                            <w14:bevel/>
                          </w14:textOutline>
                        </w:rPr>
                      </w:pPr>
                      <w:r>
                        <w:rPr>
                          <w:rFonts w:ascii="Arial" w:eastAsia="Times New Roman" w:hAnsi="Arial"/>
                          <w:b/>
                          <w:bCs/>
                          <w:color w:val="E6D199"/>
                          <w:sz w:val="44"/>
                          <w:szCs w:val="44"/>
                          <w:lang w:eastAsia="ar-SA"/>
                          <w14:textOutline w14:w="9525" w14:cap="rnd" w14:cmpd="sng" w14:algn="ctr">
                            <w14:noFill/>
                            <w14:prstDash w14:val="solid"/>
                            <w14:bevel/>
                          </w14:textOutline>
                        </w:rPr>
                        <w:t xml:space="preserve">a Darányi Ignác Terv- </w:t>
                      </w:r>
                      <w:r w:rsidRPr="000842E9">
                        <w:rPr>
                          <w:rFonts w:ascii="Arial" w:eastAsia="Times New Roman" w:hAnsi="Arial"/>
                          <w:b/>
                          <w:bCs/>
                          <w:color w:val="E6D199"/>
                          <w:sz w:val="44"/>
                          <w:szCs w:val="44"/>
                          <w:lang w:eastAsia="ar-SA"/>
                          <w14:textOutline w14:w="9525" w14:cap="rnd" w14:cmpd="sng" w14:algn="ctr">
                            <w14:noFill/>
                            <w14:prstDash w14:val="solid"/>
                            <w14:bevel/>
                          </w14:textOutline>
                        </w:rPr>
                        <w:t>Új Magyarország Vidékfejlesztési Program végrehajtásának</w:t>
                      </w:r>
                    </w:p>
                    <w:p w:rsidR="00C91980" w:rsidRPr="000842E9" w:rsidRDefault="00C91980" w:rsidP="00597391">
                      <w:pPr>
                        <w:autoSpaceDE w:val="0"/>
                        <w:jc w:val="center"/>
                        <w:rPr>
                          <w:rFonts w:ascii="Arial" w:eastAsia="Times New Roman" w:hAnsi="Arial"/>
                          <w:b/>
                          <w:bCs/>
                          <w:color w:val="E6D199"/>
                          <w:sz w:val="44"/>
                          <w:szCs w:val="44"/>
                          <w:lang w:eastAsia="ar-SA"/>
                          <w14:textOutline w14:w="9525" w14:cap="rnd" w14:cmpd="sng" w14:algn="ctr">
                            <w14:noFill/>
                            <w14:prstDash w14:val="solid"/>
                            <w14:bevel/>
                          </w14:textOutline>
                        </w:rPr>
                      </w:pPr>
                      <w:r w:rsidRPr="000842E9">
                        <w:rPr>
                          <w:rFonts w:ascii="Arial" w:eastAsia="Times New Roman" w:hAnsi="Arial"/>
                          <w:b/>
                          <w:bCs/>
                          <w:color w:val="E6D199"/>
                          <w:sz w:val="44"/>
                          <w:szCs w:val="44"/>
                          <w:lang w:eastAsia="ar-SA"/>
                          <w14:textOutline w14:w="9525" w14:cap="rnd" w14:cmpd="sng" w14:algn="ctr">
                            <w14:noFill/>
                            <w14:prstDash w14:val="solid"/>
                            <w14:bevel/>
                          </w14:textOutline>
                        </w:rPr>
                        <w:t>2012. évi előrehaladásáról</w:t>
                      </w:r>
                    </w:p>
                  </w:txbxContent>
                </v:textbox>
              </v:shape>
            </w:pict>
          </mc:Fallback>
        </mc:AlternateContent>
      </w:r>
      <w:r>
        <w:rPr>
          <w:noProof/>
        </w:rPr>
        <w:drawing>
          <wp:inline distT="0" distB="0" distL="0" distR="0" wp14:anchorId="5E153CD4" wp14:editId="6FCB7830">
            <wp:extent cx="3423684" cy="3729370"/>
            <wp:effectExtent l="0" t="0" r="5715" b="4445"/>
            <wp:docPr id="71" name="Kép 71" descr="\\gvvrcommon05\gvvrcommon05\FVM_AVF\UMVP_eves_jelentesek\UMVP_eves_jelentes_2012\Képek\erdő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vrcommon05\gvvrcommon05\FVM_AVF\UMVP_eves_jelentesek\UMVP_eves_jelentes_2012\Képek\erdő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3617" cy="3729297"/>
                    </a:xfrm>
                    <a:prstGeom prst="rect">
                      <a:avLst/>
                    </a:prstGeom>
                    <a:noFill/>
                    <a:ln>
                      <a:noFill/>
                    </a:ln>
                  </pic:spPr>
                </pic:pic>
              </a:graphicData>
            </a:graphic>
          </wp:inline>
        </w:drawing>
      </w:r>
    </w:p>
    <w:p w:rsidR="00597391" w:rsidRPr="00F35797" w:rsidRDefault="00597391" w:rsidP="00597391">
      <w:pPr>
        <w:pStyle w:val="Szvegtrzs"/>
      </w:pPr>
    </w:p>
    <w:p w:rsidR="00597391" w:rsidRPr="00F35797" w:rsidRDefault="00597391" w:rsidP="00597391">
      <w:pPr>
        <w:pStyle w:val="Szvegtrzs"/>
      </w:pPr>
    </w:p>
    <w:p w:rsidR="00597391" w:rsidRPr="00AA6631" w:rsidRDefault="00597391" w:rsidP="00AA6631">
      <w:pPr>
        <w:jc w:val="center"/>
        <w:rPr>
          <w:b/>
        </w:rPr>
      </w:pPr>
      <w:r w:rsidRPr="00AA6631">
        <w:rPr>
          <w:b/>
        </w:rPr>
        <w:t>Budapest, 2013. június</w:t>
      </w:r>
    </w:p>
    <w:p w:rsidR="00597391" w:rsidRPr="00AA6631" w:rsidRDefault="00597391" w:rsidP="00AA6631">
      <w:pPr>
        <w:jc w:val="center"/>
        <w:rPr>
          <w:b/>
        </w:rPr>
      </w:pPr>
    </w:p>
    <w:p w:rsidR="00597391" w:rsidRPr="00AA6631" w:rsidRDefault="004F42FA" w:rsidP="00AA6631">
      <w:pPr>
        <w:sectPr w:rsidR="00597391" w:rsidRPr="00AA6631" w:rsidSect="00527629">
          <w:headerReference w:type="default" r:id="rId11"/>
          <w:footerReference w:type="default" r:id="rId12"/>
          <w:pgSz w:w="11906" w:h="16838" w:code="9"/>
          <w:pgMar w:top="1418" w:right="1418" w:bottom="1418" w:left="1418" w:header="709" w:footer="561" w:gutter="0"/>
          <w:pgNumType w:start="1"/>
          <w:cols w:space="708"/>
          <w:docGrid w:linePitch="360"/>
        </w:sectPr>
      </w:pPr>
      <w:r>
        <w:rPr>
          <w:noProof/>
        </w:rPr>
        <w:drawing>
          <wp:anchor distT="0" distB="0" distL="114300" distR="114300" simplePos="0" relativeHeight="251664384" behindDoc="0" locked="0" layoutInCell="1" allowOverlap="1" wp14:anchorId="131D17D9" wp14:editId="5E288D2A">
            <wp:simplePos x="0" y="0"/>
            <wp:positionH relativeFrom="column">
              <wp:posOffset>1931670</wp:posOffset>
            </wp:positionH>
            <wp:positionV relativeFrom="paragraph">
              <wp:posOffset>768985</wp:posOffset>
            </wp:positionV>
            <wp:extent cx="1889125" cy="1173480"/>
            <wp:effectExtent l="0" t="0" r="0" b="7620"/>
            <wp:wrapSquare wrapText="bothSides"/>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125" cy="117348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30F9A5EF" wp14:editId="745F9D29">
            <wp:simplePos x="0" y="0"/>
            <wp:positionH relativeFrom="column">
              <wp:posOffset>443230</wp:posOffset>
            </wp:positionH>
            <wp:positionV relativeFrom="paragraph">
              <wp:posOffset>8983345</wp:posOffset>
            </wp:positionV>
            <wp:extent cx="6858000" cy="770890"/>
            <wp:effectExtent l="0" t="0" r="0" b="0"/>
            <wp:wrapNone/>
            <wp:docPr id="80" name="Kép 80" descr="als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s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391" w:rsidRPr="00AA6631">
        <w:t>Európai Mezőgazdasági Vidékfejlesztési Alap: a vidéki területekbe beruházó Európa</w:t>
      </w:r>
    </w:p>
    <w:p w:rsidR="00597391" w:rsidRDefault="00597391" w:rsidP="00F17E25">
      <w:pPr>
        <w:pStyle w:val="Tartalomjegyzkcmsora"/>
      </w:pPr>
    </w:p>
    <w:p w:rsidR="00011C3B" w:rsidRDefault="00011C3B" w:rsidP="00F17E25">
      <w:pPr>
        <w:pStyle w:val="Tartalomjegyzkcmsora"/>
      </w:pPr>
      <w:r>
        <w:t>Tartalom</w:t>
      </w:r>
    </w:p>
    <w:p w:rsidR="005962A0" w:rsidRDefault="00011C3B">
      <w:pPr>
        <w:pStyle w:val="TJ1"/>
        <w:rPr>
          <w:rFonts w:asciiTheme="minorHAnsi" w:eastAsiaTheme="minorEastAsia" w:hAnsiTheme="minorHAnsi" w:cstheme="minorBidi"/>
          <w:b w:val="0"/>
          <w:noProof/>
          <w:kern w:val="0"/>
          <w:sz w:val="22"/>
          <w:szCs w:val="22"/>
        </w:rPr>
      </w:pPr>
      <w:r>
        <w:fldChar w:fldCharType="begin"/>
      </w:r>
      <w:r>
        <w:instrText xml:space="preserve"> TOC \o "1-3" \h \z \u </w:instrText>
      </w:r>
      <w:r>
        <w:fldChar w:fldCharType="separate"/>
      </w:r>
      <w:hyperlink w:anchor="_Toc360176779" w:history="1">
        <w:r w:rsidR="005962A0" w:rsidRPr="002B1778">
          <w:rPr>
            <w:rStyle w:val="Hiperhivatkozs"/>
            <w:noProof/>
          </w:rPr>
          <w:t>Bevezetés</w:t>
        </w:r>
        <w:r w:rsidR="005962A0">
          <w:rPr>
            <w:noProof/>
            <w:webHidden/>
          </w:rPr>
          <w:tab/>
        </w:r>
        <w:r w:rsidR="005962A0">
          <w:rPr>
            <w:noProof/>
            <w:webHidden/>
          </w:rPr>
          <w:fldChar w:fldCharType="begin"/>
        </w:r>
        <w:r w:rsidR="005962A0">
          <w:rPr>
            <w:noProof/>
            <w:webHidden/>
          </w:rPr>
          <w:instrText xml:space="preserve"> PAGEREF _Toc360176779 \h </w:instrText>
        </w:r>
        <w:r w:rsidR="005962A0">
          <w:rPr>
            <w:noProof/>
            <w:webHidden/>
          </w:rPr>
        </w:r>
        <w:r w:rsidR="005962A0">
          <w:rPr>
            <w:noProof/>
            <w:webHidden/>
          </w:rPr>
          <w:fldChar w:fldCharType="separate"/>
        </w:r>
        <w:r w:rsidR="005962A0">
          <w:rPr>
            <w:noProof/>
            <w:webHidden/>
          </w:rPr>
          <w:t>5</w:t>
        </w:r>
        <w:r w:rsidR="005962A0">
          <w:rPr>
            <w:noProof/>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780" w:history="1">
        <w:r w:rsidRPr="002B1778">
          <w:rPr>
            <w:rStyle w:val="Hiperhivatkozs"/>
            <w:noProof/>
          </w:rPr>
          <w:t>1</w:t>
        </w:r>
        <w:r>
          <w:rPr>
            <w:rFonts w:asciiTheme="minorHAnsi" w:eastAsiaTheme="minorEastAsia" w:hAnsiTheme="minorHAnsi" w:cstheme="minorBidi"/>
            <w:b w:val="0"/>
            <w:noProof/>
            <w:kern w:val="0"/>
            <w:sz w:val="22"/>
            <w:szCs w:val="22"/>
          </w:rPr>
          <w:tab/>
        </w:r>
        <w:r w:rsidRPr="002B1778">
          <w:rPr>
            <w:rStyle w:val="Hiperhivatkozs"/>
            <w:noProof/>
          </w:rPr>
          <w:t>A program végrehajtásának általános feltételei 2012-ben</w:t>
        </w:r>
        <w:r>
          <w:rPr>
            <w:noProof/>
            <w:webHidden/>
          </w:rPr>
          <w:tab/>
        </w:r>
        <w:r>
          <w:rPr>
            <w:noProof/>
            <w:webHidden/>
          </w:rPr>
          <w:fldChar w:fldCharType="begin"/>
        </w:r>
        <w:r>
          <w:rPr>
            <w:noProof/>
            <w:webHidden/>
          </w:rPr>
          <w:instrText xml:space="preserve"> PAGEREF _Toc360176780 \h </w:instrText>
        </w:r>
        <w:r>
          <w:rPr>
            <w:noProof/>
            <w:webHidden/>
          </w:rPr>
        </w:r>
        <w:r>
          <w:rPr>
            <w:noProof/>
            <w:webHidden/>
          </w:rPr>
          <w:fldChar w:fldCharType="separate"/>
        </w:r>
        <w:r>
          <w:rPr>
            <w:noProof/>
            <w:webHidden/>
          </w:rPr>
          <w:t>6</w:t>
        </w:r>
        <w:r>
          <w:rPr>
            <w:noProof/>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781" w:history="1">
        <w:r w:rsidRPr="002B1778">
          <w:rPr>
            <w:rStyle w:val="Hiperhivatkozs"/>
            <w:noProof/>
          </w:rPr>
          <w:t>1.1</w:t>
        </w:r>
        <w:r>
          <w:rPr>
            <w:rFonts w:asciiTheme="minorHAnsi" w:eastAsiaTheme="minorEastAsia" w:hAnsiTheme="minorHAnsi" w:cstheme="minorBidi"/>
            <w:b w:val="0"/>
            <w:noProof/>
            <w:kern w:val="0"/>
            <w:sz w:val="22"/>
            <w:szCs w:val="22"/>
          </w:rPr>
          <w:tab/>
        </w:r>
        <w:r w:rsidRPr="002B1778">
          <w:rPr>
            <w:rStyle w:val="Hiperhivatkozs"/>
            <w:noProof/>
          </w:rPr>
          <w:t>A gazdasági keretfeltételek változásai</w:t>
        </w:r>
        <w:r>
          <w:rPr>
            <w:noProof/>
            <w:webHidden/>
          </w:rPr>
          <w:tab/>
        </w:r>
        <w:r>
          <w:rPr>
            <w:noProof/>
            <w:webHidden/>
          </w:rPr>
          <w:fldChar w:fldCharType="begin"/>
        </w:r>
        <w:r>
          <w:rPr>
            <w:noProof/>
            <w:webHidden/>
          </w:rPr>
          <w:instrText xml:space="preserve"> PAGEREF _Toc360176781 \h </w:instrText>
        </w:r>
        <w:r>
          <w:rPr>
            <w:noProof/>
            <w:webHidden/>
          </w:rPr>
        </w:r>
        <w:r>
          <w:rPr>
            <w:noProof/>
            <w:webHidden/>
          </w:rPr>
          <w:fldChar w:fldCharType="separate"/>
        </w:r>
        <w:r>
          <w:rPr>
            <w:noProof/>
            <w:webHidden/>
          </w:rPr>
          <w:t>6</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82" w:history="1">
        <w:r w:rsidRPr="002B1778">
          <w:rPr>
            <w:rStyle w:val="Hiperhivatkozs"/>
          </w:rPr>
          <w:t>1.1.1</w:t>
        </w:r>
        <w:r>
          <w:rPr>
            <w:rFonts w:asciiTheme="minorHAnsi" w:eastAsiaTheme="minorEastAsia" w:hAnsiTheme="minorHAnsi" w:cstheme="minorBidi"/>
            <w:kern w:val="0"/>
            <w:szCs w:val="22"/>
          </w:rPr>
          <w:tab/>
        </w:r>
        <w:r w:rsidRPr="002B1778">
          <w:rPr>
            <w:rStyle w:val="Hiperhivatkozs"/>
          </w:rPr>
          <w:t>Társadalmi-gazdasági trendek - külső környezet</w:t>
        </w:r>
        <w:r>
          <w:rPr>
            <w:webHidden/>
          </w:rPr>
          <w:tab/>
        </w:r>
        <w:r>
          <w:rPr>
            <w:webHidden/>
          </w:rPr>
          <w:fldChar w:fldCharType="begin"/>
        </w:r>
        <w:r>
          <w:rPr>
            <w:webHidden/>
          </w:rPr>
          <w:instrText xml:space="preserve"> PAGEREF _Toc360176782 \h </w:instrText>
        </w:r>
        <w:r>
          <w:rPr>
            <w:webHidden/>
          </w:rPr>
        </w:r>
        <w:r>
          <w:rPr>
            <w:webHidden/>
          </w:rPr>
          <w:fldChar w:fldCharType="separate"/>
        </w:r>
        <w:r>
          <w:rPr>
            <w:webHidden/>
          </w:rPr>
          <w:t>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83" w:history="1">
        <w:r w:rsidRPr="002B1778">
          <w:rPr>
            <w:rStyle w:val="Hiperhivatkozs"/>
          </w:rPr>
          <w:t>1.1.2</w:t>
        </w:r>
        <w:r>
          <w:rPr>
            <w:rFonts w:asciiTheme="minorHAnsi" w:eastAsiaTheme="minorEastAsia" w:hAnsiTheme="minorHAnsi" w:cstheme="minorBidi"/>
            <w:kern w:val="0"/>
            <w:szCs w:val="22"/>
          </w:rPr>
          <w:tab/>
        </w:r>
        <w:r w:rsidRPr="002B1778">
          <w:rPr>
            <w:rStyle w:val="Hiperhivatkozs"/>
          </w:rPr>
          <w:t>Társadalmi-gazdasági trendek - belső környezet</w:t>
        </w:r>
        <w:r>
          <w:rPr>
            <w:webHidden/>
          </w:rPr>
          <w:tab/>
        </w:r>
        <w:r>
          <w:rPr>
            <w:webHidden/>
          </w:rPr>
          <w:fldChar w:fldCharType="begin"/>
        </w:r>
        <w:r>
          <w:rPr>
            <w:webHidden/>
          </w:rPr>
          <w:instrText xml:space="preserve"> PAGEREF _Toc360176783 \h </w:instrText>
        </w:r>
        <w:r>
          <w:rPr>
            <w:webHidden/>
          </w:rPr>
        </w:r>
        <w:r>
          <w:rPr>
            <w:webHidden/>
          </w:rPr>
          <w:fldChar w:fldCharType="separate"/>
        </w:r>
        <w:r>
          <w:rPr>
            <w:webHidden/>
          </w:rPr>
          <w:t>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84" w:history="1">
        <w:r w:rsidRPr="002B1778">
          <w:rPr>
            <w:rStyle w:val="Hiperhivatkozs"/>
          </w:rPr>
          <w:t>1.1.3</w:t>
        </w:r>
        <w:r>
          <w:rPr>
            <w:rFonts w:asciiTheme="minorHAnsi" w:eastAsiaTheme="minorEastAsia" w:hAnsiTheme="minorHAnsi" w:cstheme="minorBidi"/>
            <w:kern w:val="0"/>
            <w:szCs w:val="22"/>
          </w:rPr>
          <w:tab/>
        </w:r>
        <w:r w:rsidRPr="002B1778">
          <w:rPr>
            <w:rStyle w:val="Hiperhivatkozs"/>
          </w:rPr>
          <w:t>A magyar mezőgazdaság működésének keretfeltételei 2012-ben</w:t>
        </w:r>
        <w:r>
          <w:rPr>
            <w:webHidden/>
          </w:rPr>
          <w:tab/>
        </w:r>
        <w:r>
          <w:rPr>
            <w:webHidden/>
          </w:rPr>
          <w:fldChar w:fldCharType="begin"/>
        </w:r>
        <w:r>
          <w:rPr>
            <w:webHidden/>
          </w:rPr>
          <w:instrText xml:space="preserve"> PAGEREF _Toc360176784 \h </w:instrText>
        </w:r>
        <w:r>
          <w:rPr>
            <w:webHidden/>
          </w:rPr>
        </w:r>
        <w:r>
          <w:rPr>
            <w:webHidden/>
          </w:rPr>
          <w:fldChar w:fldCharType="separate"/>
        </w:r>
        <w:r>
          <w:rPr>
            <w:webHidden/>
          </w:rPr>
          <w:t>9</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85" w:history="1">
        <w:r w:rsidRPr="002B1778">
          <w:rPr>
            <w:rStyle w:val="Hiperhivatkozs"/>
          </w:rPr>
          <w:t>1.1.4</w:t>
        </w:r>
        <w:r>
          <w:rPr>
            <w:rFonts w:asciiTheme="minorHAnsi" w:eastAsiaTheme="minorEastAsia" w:hAnsiTheme="minorHAnsi" w:cstheme="minorBidi"/>
            <w:kern w:val="0"/>
            <w:szCs w:val="22"/>
          </w:rPr>
          <w:tab/>
        </w:r>
        <w:r w:rsidRPr="002B1778">
          <w:rPr>
            <w:rStyle w:val="Hiperhivatkozs"/>
          </w:rPr>
          <w:t>Országos, regionális és ágazati politikák változásai</w:t>
        </w:r>
        <w:r>
          <w:rPr>
            <w:webHidden/>
          </w:rPr>
          <w:tab/>
        </w:r>
        <w:r>
          <w:rPr>
            <w:webHidden/>
          </w:rPr>
          <w:fldChar w:fldCharType="begin"/>
        </w:r>
        <w:r>
          <w:rPr>
            <w:webHidden/>
          </w:rPr>
          <w:instrText xml:space="preserve"> PAGEREF _Toc360176785 \h </w:instrText>
        </w:r>
        <w:r>
          <w:rPr>
            <w:webHidden/>
          </w:rPr>
        </w:r>
        <w:r>
          <w:rPr>
            <w:webHidden/>
          </w:rPr>
          <w:fldChar w:fldCharType="separate"/>
        </w:r>
        <w:r>
          <w:rPr>
            <w:webHidden/>
          </w:rPr>
          <w:t>25</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86" w:history="1">
        <w:r w:rsidRPr="002B1778">
          <w:rPr>
            <w:rStyle w:val="Hiperhivatkozs"/>
          </w:rPr>
          <w:t>1.1.5</w:t>
        </w:r>
        <w:r>
          <w:rPr>
            <w:rFonts w:asciiTheme="minorHAnsi" w:eastAsiaTheme="minorEastAsia" w:hAnsiTheme="minorHAnsi" w:cstheme="minorBidi"/>
            <w:kern w:val="0"/>
            <w:szCs w:val="22"/>
          </w:rPr>
          <w:tab/>
        </w:r>
        <w:r w:rsidRPr="002B1778">
          <w:rPr>
            <w:rStyle w:val="Hiperhivatkozs"/>
          </w:rPr>
          <w:t>ÚMVP specifikus jogszabályi változások</w:t>
        </w:r>
        <w:r>
          <w:rPr>
            <w:webHidden/>
          </w:rPr>
          <w:tab/>
        </w:r>
        <w:r>
          <w:rPr>
            <w:webHidden/>
          </w:rPr>
          <w:fldChar w:fldCharType="begin"/>
        </w:r>
        <w:r>
          <w:rPr>
            <w:webHidden/>
          </w:rPr>
          <w:instrText xml:space="preserve"> PAGEREF _Toc360176786 \h </w:instrText>
        </w:r>
        <w:r>
          <w:rPr>
            <w:webHidden/>
          </w:rPr>
        </w:r>
        <w:r>
          <w:rPr>
            <w:webHidden/>
          </w:rPr>
          <w:fldChar w:fldCharType="separate"/>
        </w:r>
        <w:r>
          <w:rPr>
            <w:webHidden/>
          </w:rPr>
          <w:t>30</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787" w:history="1">
        <w:r w:rsidRPr="002B1778">
          <w:rPr>
            <w:rStyle w:val="Hiperhivatkozs"/>
            <w:noProof/>
          </w:rPr>
          <w:t>1.2</w:t>
        </w:r>
        <w:r>
          <w:rPr>
            <w:rFonts w:asciiTheme="minorHAnsi" w:eastAsiaTheme="minorEastAsia" w:hAnsiTheme="minorHAnsi" w:cstheme="minorBidi"/>
            <w:b w:val="0"/>
            <w:noProof/>
            <w:kern w:val="0"/>
            <w:sz w:val="22"/>
            <w:szCs w:val="22"/>
          </w:rPr>
          <w:tab/>
        </w:r>
        <w:r w:rsidRPr="002B1778">
          <w:rPr>
            <w:rStyle w:val="Hiperhivatkozs"/>
            <w:noProof/>
          </w:rPr>
          <w:t>Az EMVA és a többi pénzügyi eszköz közötti összhang</w:t>
        </w:r>
        <w:r>
          <w:rPr>
            <w:noProof/>
            <w:webHidden/>
          </w:rPr>
          <w:tab/>
        </w:r>
        <w:r>
          <w:rPr>
            <w:noProof/>
            <w:webHidden/>
          </w:rPr>
          <w:fldChar w:fldCharType="begin"/>
        </w:r>
        <w:r>
          <w:rPr>
            <w:noProof/>
            <w:webHidden/>
          </w:rPr>
          <w:instrText xml:space="preserve"> PAGEREF _Toc360176787 \h </w:instrText>
        </w:r>
        <w:r>
          <w:rPr>
            <w:noProof/>
            <w:webHidden/>
          </w:rPr>
        </w:r>
        <w:r>
          <w:rPr>
            <w:noProof/>
            <w:webHidden/>
          </w:rPr>
          <w:fldChar w:fldCharType="separate"/>
        </w:r>
        <w:r>
          <w:rPr>
            <w:noProof/>
            <w:webHidden/>
          </w:rPr>
          <w:t>32</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88" w:history="1">
        <w:r w:rsidRPr="002B1778">
          <w:rPr>
            <w:rStyle w:val="Hiperhivatkozs"/>
          </w:rPr>
          <w:t>1.2.1</w:t>
        </w:r>
        <w:r>
          <w:rPr>
            <w:rFonts w:asciiTheme="minorHAnsi" w:eastAsiaTheme="minorEastAsia" w:hAnsiTheme="minorHAnsi" w:cstheme="minorBidi"/>
            <w:kern w:val="0"/>
            <w:szCs w:val="22"/>
          </w:rPr>
          <w:tab/>
        </w:r>
        <w:r w:rsidRPr="002B1778">
          <w:rPr>
            <w:rStyle w:val="Hiperhivatkozs"/>
          </w:rPr>
          <w:t>Kapcsolódás a Halászati Operatív Programhoz</w:t>
        </w:r>
        <w:r>
          <w:rPr>
            <w:webHidden/>
          </w:rPr>
          <w:tab/>
        </w:r>
        <w:r>
          <w:rPr>
            <w:webHidden/>
          </w:rPr>
          <w:fldChar w:fldCharType="begin"/>
        </w:r>
        <w:r>
          <w:rPr>
            <w:webHidden/>
          </w:rPr>
          <w:instrText xml:space="preserve"> PAGEREF _Toc360176788 \h </w:instrText>
        </w:r>
        <w:r>
          <w:rPr>
            <w:webHidden/>
          </w:rPr>
        </w:r>
        <w:r>
          <w:rPr>
            <w:webHidden/>
          </w:rPr>
          <w:fldChar w:fldCharType="separate"/>
        </w:r>
        <w:r>
          <w:rPr>
            <w:webHidden/>
          </w:rPr>
          <w:t>33</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89" w:history="1">
        <w:r w:rsidRPr="002B1778">
          <w:rPr>
            <w:rStyle w:val="Hiperhivatkozs"/>
          </w:rPr>
          <w:t>1.2.2</w:t>
        </w:r>
        <w:r>
          <w:rPr>
            <w:rFonts w:asciiTheme="minorHAnsi" w:eastAsiaTheme="minorEastAsia" w:hAnsiTheme="minorHAnsi" w:cstheme="minorBidi"/>
            <w:kern w:val="0"/>
            <w:szCs w:val="22"/>
          </w:rPr>
          <w:tab/>
        </w:r>
        <w:r w:rsidRPr="002B1778">
          <w:rPr>
            <w:rStyle w:val="Hiperhivatkozs"/>
          </w:rPr>
          <w:t>Kapcsolódás a hazai Operatív Programokhoz</w:t>
        </w:r>
        <w:r>
          <w:rPr>
            <w:webHidden/>
          </w:rPr>
          <w:tab/>
        </w:r>
        <w:r>
          <w:rPr>
            <w:webHidden/>
          </w:rPr>
          <w:fldChar w:fldCharType="begin"/>
        </w:r>
        <w:r>
          <w:rPr>
            <w:webHidden/>
          </w:rPr>
          <w:instrText xml:space="preserve"> PAGEREF _Toc360176789 \h </w:instrText>
        </w:r>
        <w:r>
          <w:rPr>
            <w:webHidden/>
          </w:rPr>
        </w:r>
        <w:r>
          <w:rPr>
            <w:webHidden/>
          </w:rPr>
          <w:fldChar w:fldCharType="separate"/>
        </w:r>
        <w:r>
          <w:rPr>
            <w:webHidden/>
          </w:rPr>
          <w:t>34</w:t>
        </w:r>
        <w:r>
          <w:rPr>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790" w:history="1">
        <w:r w:rsidRPr="002B1778">
          <w:rPr>
            <w:rStyle w:val="Hiperhivatkozs"/>
            <w:noProof/>
          </w:rPr>
          <w:t>2</w:t>
        </w:r>
        <w:r>
          <w:rPr>
            <w:rFonts w:asciiTheme="minorHAnsi" w:eastAsiaTheme="minorEastAsia" w:hAnsiTheme="minorHAnsi" w:cstheme="minorBidi"/>
            <w:b w:val="0"/>
            <w:noProof/>
            <w:kern w:val="0"/>
            <w:sz w:val="22"/>
            <w:szCs w:val="22"/>
          </w:rPr>
          <w:tab/>
        </w:r>
        <w:r w:rsidRPr="002B1778">
          <w:rPr>
            <w:rStyle w:val="Hiperhivatkozs"/>
            <w:noProof/>
          </w:rPr>
          <w:t>A Program előrehaladása</w:t>
        </w:r>
        <w:r>
          <w:rPr>
            <w:noProof/>
            <w:webHidden/>
          </w:rPr>
          <w:tab/>
        </w:r>
        <w:r>
          <w:rPr>
            <w:noProof/>
            <w:webHidden/>
          </w:rPr>
          <w:fldChar w:fldCharType="begin"/>
        </w:r>
        <w:r>
          <w:rPr>
            <w:noProof/>
            <w:webHidden/>
          </w:rPr>
          <w:instrText xml:space="preserve"> PAGEREF _Toc360176790 \h </w:instrText>
        </w:r>
        <w:r>
          <w:rPr>
            <w:noProof/>
            <w:webHidden/>
          </w:rPr>
        </w:r>
        <w:r>
          <w:rPr>
            <w:noProof/>
            <w:webHidden/>
          </w:rPr>
          <w:fldChar w:fldCharType="separate"/>
        </w:r>
        <w:r>
          <w:rPr>
            <w:noProof/>
            <w:webHidden/>
          </w:rPr>
          <w:t>35</w:t>
        </w:r>
        <w:r>
          <w:rPr>
            <w:noProof/>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791" w:history="1">
        <w:r w:rsidRPr="002B1778">
          <w:rPr>
            <w:rStyle w:val="Hiperhivatkozs"/>
            <w:noProof/>
          </w:rPr>
          <w:t>2.1</w:t>
        </w:r>
        <w:r>
          <w:rPr>
            <w:rFonts w:asciiTheme="minorHAnsi" w:eastAsiaTheme="minorEastAsia" w:hAnsiTheme="minorHAnsi" w:cstheme="minorBidi"/>
            <w:b w:val="0"/>
            <w:noProof/>
            <w:kern w:val="0"/>
            <w:sz w:val="22"/>
            <w:szCs w:val="22"/>
          </w:rPr>
          <w:tab/>
        </w:r>
        <w:r w:rsidRPr="002B1778">
          <w:rPr>
            <w:rStyle w:val="Hiperhivatkozs"/>
            <w:noProof/>
          </w:rPr>
          <w:t>I. tengely</w:t>
        </w:r>
        <w:r>
          <w:rPr>
            <w:noProof/>
            <w:webHidden/>
          </w:rPr>
          <w:tab/>
        </w:r>
        <w:r>
          <w:rPr>
            <w:noProof/>
            <w:webHidden/>
          </w:rPr>
          <w:fldChar w:fldCharType="begin"/>
        </w:r>
        <w:r>
          <w:rPr>
            <w:noProof/>
            <w:webHidden/>
          </w:rPr>
          <w:instrText xml:space="preserve"> PAGEREF _Toc360176791 \h </w:instrText>
        </w:r>
        <w:r>
          <w:rPr>
            <w:noProof/>
            <w:webHidden/>
          </w:rPr>
        </w:r>
        <w:r>
          <w:rPr>
            <w:noProof/>
            <w:webHidden/>
          </w:rPr>
          <w:fldChar w:fldCharType="separate"/>
        </w:r>
        <w:r>
          <w:rPr>
            <w:noProof/>
            <w:webHidden/>
          </w:rPr>
          <w:t>36</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2" w:history="1">
        <w:r w:rsidRPr="002B1778">
          <w:rPr>
            <w:rStyle w:val="Hiperhivatkozs"/>
          </w:rPr>
          <w:t>2.1.1</w:t>
        </w:r>
        <w:r>
          <w:rPr>
            <w:rFonts w:asciiTheme="minorHAnsi" w:eastAsiaTheme="minorEastAsia" w:hAnsiTheme="minorHAnsi" w:cstheme="minorBidi"/>
            <w:kern w:val="0"/>
            <w:szCs w:val="22"/>
          </w:rPr>
          <w:tab/>
        </w:r>
        <w:r w:rsidRPr="002B1778">
          <w:rPr>
            <w:rStyle w:val="Hiperhivatkozs"/>
          </w:rPr>
          <w:t>Szakképzési és tájékoztatási tevékenységek intézkedés (111) rövid bemutatása</w:t>
        </w:r>
        <w:r>
          <w:rPr>
            <w:webHidden/>
          </w:rPr>
          <w:tab/>
        </w:r>
        <w:r>
          <w:rPr>
            <w:webHidden/>
          </w:rPr>
          <w:fldChar w:fldCharType="begin"/>
        </w:r>
        <w:r>
          <w:rPr>
            <w:webHidden/>
          </w:rPr>
          <w:instrText xml:space="preserve"> PAGEREF _Toc360176792 \h </w:instrText>
        </w:r>
        <w:r>
          <w:rPr>
            <w:webHidden/>
          </w:rPr>
        </w:r>
        <w:r>
          <w:rPr>
            <w:webHidden/>
          </w:rPr>
          <w:fldChar w:fldCharType="separate"/>
        </w:r>
        <w:r>
          <w:rPr>
            <w:webHidden/>
          </w:rPr>
          <w:t>39</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3" w:history="1">
        <w:r w:rsidRPr="002B1778">
          <w:rPr>
            <w:rStyle w:val="Hiperhivatkozs"/>
          </w:rPr>
          <w:t>2.1.2</w:t>
        </w:r>
        <w:r>
          <w:rPr>
            <w:rFonts w:asciiTheme="minorHAnsi" w:eastAsiaTheme="minorEastAsia" w:hAnsiTheme="minorHAnsi" w:cstheme="minorBidi"/>
            <w:kern w:val="0"/>
            <w:szCs w:val="22"/>
          </w:rPr>
          <w:tab/>
        </w:r>
        <w:r w:rsidRPr="002B1778">
          <w:rPr>
            <w:rStyle w:val="Hiperhivatkozs"/>
          </w:rPr>
          <w:t>Fiatal gazdák induló támogatása intézkedés (112) rövid bemutatása</w:t>
        </w:r>
        <w:r>
          <w:rPr>
            <w:webHidden/>
          </w:rPr>
          <w:tab/>
        </w:r>
        <w:r>
          <w:rPr>
            <w:webHidden/>
          </w:rPr>
          <w:fldChar w:fldCharType="begin"/>
        </w:r>
        <w:r>
          <w:rPr>
            <w:webHidden/>
          </w:rPr>
          <w:instrText xml:space="preserve"> PAGEREF _Toc360176793 \h </w:instrText>
        </w:r>
        <w:r>
          <w:rPr>
            <w:webHidden/>
          </w:rPr>
        </w:r>
        <w:r>
          <w:rPr>
            <w:webHidden/>
          </w:rPr>
          <w:fldChar w:fldCharType="separate"/>
        </w:r>
        <w:r>
          <w:rPr>
            <w:webHidden/>
          </w:rPr>
          <w:t>42</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4" w:history="1">
        <w:r w:rsidRPr="002B1778">
          <w:rPr>
            <w:rStyle w:val="Hiperhivatkozs"/>
          </w:rPr>
          <w:t>2.1.3</w:t>
        </w:r>
        <w:r>
          <w:rPr>
            <w:rFonts w:asciiTheme="minorHAnsi" w:eastAsiaTheme="minorEastAsia" w:hAnsiTheme="minorHAnsi" w:cstheme="minorBidi"/>
            <w:kern w:val="0"/>
            <w:szCs w:val="22"/>
          </w:rPr>
          <w:tab/>
        </w:r>
        <w:r w:rsidRPr="002B1778">
          <w:rPr>
            <w:rStyle w:val="Hiperhivatkozs"/>
          </w:rPr>
          <w:t>Mezőgazdasági termelők gazdaságátadási támogatása intézkedés (113) rövid bemutatása</w:t>
        </w:r>
        <w:r>
          <w:rPr>
            <w:webHidden/>
          </w:rPr>
          <w:tab/>
        </w:r>
        <w:r>
          <w:rPr>
            <w:webHidden/>
          </w:rPr>
          <w:fldChar w:fldCharType="begin"/>
        </w:r>
        <w:r>
          <w:rPr>
            <w:webHidden/>
          </w:rPr>
          <w:instrText xml:space="preserve"> PAGEREF _Toc360176794 \h </w:instrText>
        </w:r>
        <w:r>
          <w:rPr>
            <w:webHidden/>
          </w:rPr>
        </w:r>
        <w:r>
          <w:rPr>
            <w:webHidden/>
          </w:rPr>
          <w:fldChar w:fldCharType="separate"/>
        </w:r>
        <w:r>
          <w:rPr>
            <w:webHidden/>
          </w:rPr>
          <w:t>44</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5" w:history="1">
        <w:r w:rsidRPr="002B1778">
          <w:rPr>
            <w:rStyle w:val="Hiperhivatkozs"/>
          </w:rPr>
          <w:t>2.1.4</w:t>
        </w:r>
        <w:r>
          <w:rPr>
            <w:rFonts w:asciiTheme="minorHAnsi" w:eastAsiaTheme="minorEastAsia" w:hAnsiTheme="minorHAnsi" w:cstheme="minorBidi"/>
            <w:kern w:val="0"/>
            <w:szCs w:val="22"/>
          </w:rPr>
          <w:tab/>
        </w:r>
        <w:r w:rsidRPr="002B1778">
          <w:rPr>
            <w:rStyle w:val="Hiperhivatkozs"/>
          </w:rPr>
          <w:t>Szaktanácsadói szolgáltatások igénybevétele (114) intézkedés rövid bemutatása</w:t>
        </w:r>
        <w:r>
          <w:rPr>
            <w:webHidden/>
          </w:rPr>
          <w:tab/>
        </w:r>
        <w:r>
          <w:rPr>
            <w:webHidden/>
          </w:rPr>
          <w:fldChar w:fldCharType="begin"/>
        </w:r>
        <w:r>
          <w:rPr>
            <w:webHidden/>
          </w:rPr>
          <w:instrText xml:space="preserve"> PAGEREF _Toc360176795 \h </w:instrText>
        </w:r>
        <w:r>
          <w:rPr>
            <w:webHidden/>
          </w:rPr>
        </w:r>
        <w:r>
          <w:rPr>
            <w:webHidden/>
          </w:rPr>
          <w:fldChar w:fldCharType="separate"/>
        </w:r>
        <w:r>
          <w:rPr>
            <w:webHidden/>
          </w:rPr>
          <w:t>46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6" w:history="1">
        <w:r w:rsidRPr="002B1778">
          <w:rPr>
            <w:rStyle w:val="Hiperhivatkozs"/>
          </w:rPr>
          <w:t>2.1.5</w:t>
        </w:r>
        <w:r>
          <w:rPr>
            <w:rFonts w:asciiTheme="minorHAnsi" w:eastAsiaTheme="minorEastAsia" w:hAnsiTheme="minorHAnsi" w:cstheme="minorBidi"/>
            <w:kern w:val="0"/>
            <w:szCs w:val="22"/>
          </w:rPr>
          <w:tab/>
        </w:r>
        <w:r w:rsidRPr="002B1778">
          <w:rPr>
            <w:rStyle w:val="Hiperhivatkozs"/>
          </w:rPr>
          <w:t>A mezőgazdasági üzemek korszerűsítését célzó intézkedés (121) rövid bemutatása</w:t>
        </w:r>
        <w:r>
          <w:rPr>
            <w:webHidden/>
          </w:rPr>
          <w:tab/>
        </w:r>
        <w:r>
          <w:rPr>
            <w:webHidden/>
          </w:rPr>
          <w:fldChar w:fldCharType="begin"/>
        </w:r>
        <w:r>
          <w:rPr>
            <w:webHidden/>
          </w:rPr>
          <w:instrText xml:space="preserve"> PAGEREF _Toc360176796 \h </w:instrText>
        </w:r>
        <w:r>
          <w:rPr>
            <w:webHidden/>
          </w:rPr>
        </w:r>
        <w:r>
          <w:rPr>
            <w:webHidden/>
          </w:rPr>
          <w:fldChar w:fldCharType="separate"/>
        </w:r>
        <w:r>
          <w:rPr>
            <w:webHidden/>
          </w:rPr>
          <w:t>49</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7" w:history="1">
        <w:r w:rsidRPr="002B1778">
          <w:rPr>
            <w:rStyle w:val="Hiperhivatkozs"/>
          </w:rPr>
          <w:t>2.1.6</w:t>
        </w:r>
        <w:r>
          <w:rPr>
            <w:rFonts w:asciiTheme="minorHAnsi" w:eastAsiaTheme="minorEastAsia" w:hAnsiTheme="minorHAnsi" w:cstheme="minorBidi"/>
            <w:kern w:val="0"/>
            <w:szCs w:val="22"/>
          </w:rPr>
          <w:tab/>
        </w:r>
        <w:r w:rsidRPr="002B1778">
          <w:rPr>
            <w:rStyle w:val="Hiperhivatkozs"/>
          </w:rPr>
          <w:t>Az erdők gazdasági értékének javítását célzó intézkedés (122) rövid bemutatása</w:t>
        </w:r>
        <w:r>
          <w:rPr>
            <w:webHidden/>
          </w:rPr>
          <w:tab/>
        </w:r>
        <w:r>
          <w:rPr>
            <w:webHidden/>
          </w:rPr>
          <w:fldChar w:fldCharType="begin"/>
        </w:r>
        <w:r>
          <w:rPr>
            <w:webHidden/>
          </w:rPr>
          <w:instrText xml:space="preserve"> PAGEREF _Toc360176797 \h </w:instrText>
        </w:r>
        <w:r>
          <w:rPr>
            <w:webHidden/>
          </w:rPr>
        </w:r>
        <w:r>
          <w:rPr>
            <w:webHidden/>
          </w:rPr>
          <w:fldChar w:fldCharType="separate"/>
        </w:r>
        <w:r>
          <w:rPr>
            <w:webHidden/>
          </w:rPr>
          <w:t>65</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8" w:history="1">
        <w:r w:rsidRPr="002B1778">
          <w:rPr>
            <w:rStyle w:val="Hiperhivatkozs"/>
          </w:rPr>
          <w:t>2.1.7</w:t>
        </w:r>
        <w:r>
          <w:rPr>
            <w:rFonts w:asciiTheme="minorHAnsi" w:eastAsiaTheme="minorEastAsia" w:hAnsiTheme="minorHAnsi" w:cstheme="minorBidi"/>
            <w:kern w:val="0"/>
            <w:szCs w:val="22"/>
          </w:rPr>
          <w:tab/>
        </w:r>
        <w:r w:rsidRPr="002B1778">
          <w:rPr>
            <w:rStyle w:val="Hiperhivatkozs"/>
          </w:rPr>
          <w:t>Mezőgazdasági termékek értéknövelése (123) intézkedés rövid bemutatása</w:t>
        </w:r>
        <w:r>
          <w:rPr>
            <w:webHidden/>
          </w:rPr>
          <w:tab/>
        </w:r>
        <w:r>
          <w:rPr>
            <w:webHidden/>
          </w:rPr>
          <w:fldChar w:fldCharType="begin"/>
        </w:r>
        <w:r>
          <w:rPr>
            <w:webHidden/>
          </w:rPr>
          <w:instrText xml:space="preserve"> PAGEREF _Toc360176798 \h </w:instrText>
        </w:r>
        <w:r>
          <w:rPr>
            <w:webHidden/>
          </w:rPr>
        </w:r>
        <w:r>
          <w:rPr>
            <w:webHidden/>
          </w:rPr>
          <w:fldChar w:fldCharType="separate"/>
        </w:r>
        <w:r>
          <w:rPr>
            <w:webHidden/>
          </w:rPr>
          <w:t>68</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799" w:history="1">
        <w:r w:rsidRPr="002B1778">
          <w:rPr>
            <w:rStyle w:val="Hiperhivatkozs"/>
          </w:rPr>
          <w:t>2.1.8</w:t>
        </w:r>
        <w:r>
          <w:rPr>
            <w:rFonts w:asciiTheme="minorHAnsi" w:eastAsiaTheme="minorEastAsia" w:hAnsiTheme="minorHAnsi" w:cstheme="minorBidi"/>
            <w:kern w:val="0"/>
            <w:szCs w:val="22"/>
          </w:rPr>
          <w:tab/>
        </w:r>
        <w:r w:rsidRPr="002B1778">
          <w:rPr>
            <w:rStyle w:val="Hiperhivatkozs"/>
          </w:rPr>
          <w:t>A mezőgazdaság és az erdészet fejlesztéséhez és korszerűsítéséhez kapcsolódó infrastruktúra fejlesztését célzó intézkedés (125) rövid bemutatása</w:t>
        </w:r>
        <w:r>
          <w:rPr>
            <w:webHidden/>
          </w:rPr>
          <w:tab/>
        </w:r>
        <w:r>
          <w:rPr>
            <w:webHidden/>
          </w:rPr>
          <w:fldChar w:fldCharType="begin"/>
        </w:r>
        <w:r>
          <w:rPr>
            <w:webHidden/>
          </w:rPr>
          <w:instrText xml:space="preserve"> PAGEREF _Toc360176799 \h </w:instrText>
        </w:r>
        <w:r>
          <w:rPr>
            <w:webHidden/>
          </w:rPr>
        </w:r>
        <w:r>
          <w:rPr>
            <w:webHidden/>
          </w:rPr>
          <w:fldChar w:fldCharType="separate"/>
        </w:r>
        <w:r>
          <w:rPr>
            <w:webHidden/>
          </w:rPr>
          <w:t>73</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0" w:history="1">
        <w:r w:rsidRPr="002B1778">
          <w:rPr>
            <w:rStyle w:val="Hiperhivatkozs"/>
          </w:rPr>
          <w:t>2.1.9</w:t>
        </w:r>
        <w:r>
          <w:rPr>
            <w:rFonts w:asciiTheme="minorHAnsi" w:eastAsiaTheme="minorEastAsia" w:hAnsiTheme="minorHAnsi" w:cstheme="minorBidi"/>
            <w:kern w:val="0"/>
            <w:szCs w:val="22"/>
          </w:rPr>
          <w:tab/>
        </w:r>
        <w:r w:rsidRPr="002B1778">
          <w:rPr>
            <w:rStyle w:val="Hiperhivatkozs"/>
          </w:rPr>
          <w:t>Közösségi szabályokon alapuló előírások betartása (131)</w:t>
        </w:r>
        <w:r>
          <w:rPr>
            <w:webHidden/>
          </w:rPr>
          <w:tab/>
        </w:r>
        <w:r>
          <w:rPr>
            <w:webHidden/>
          </w:rPr>
          <w:fldChar w:fldCharType="begin"/>
        </w:r>
        <w:r>
          <w:rPr>
            <w:webHidden/>
          </w:rPr>
          <w:instrText xml:space="preserve"> PAGEREF _Toc360176800 \h </w:instrText>
        </w:r>
        <w:r>
          <w:rPr>
            <w:webHidden/>
          </w:rPr>
        </w:r>
        <w:r>
          <w:rPr>
            <w:webHidden/>
          </w:rPr>
          <w:fldChar w:fldCharType="separate"/>
        </w:r>
        <w:r>
          <w:rPr>
            <w:webHidden/>
          </w:rPr>
          <w:t>76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1" w:history="1">
        <w:r w:rsidRPr="002B1778">
          <w:rPr>
            <w:rStyle w:val="Hiperhivatkozs"/>
          </w:rPr>
          <w:t>2.1.10</w:t>
        </w:r>
        <w:r>
          <w:rPr>
            <w:rFonts w:asciiTheme="minorHAnsi" w:eastAsiaTheme="minorEastAsia" w:hAnsiTheme="minorHAnsi" w:cstheme="minorBidi"/>
            <w:kern w:val="0"/>
            <w:szCs w:val="22"/>
          </w:rPr>
          <w:tab/>
        </w:r>
        <w:r w:rsidRPr="002B1778">
          <w:rPr>
            <w:rStyle w:val="Hiperhivatkozs"/>
          </w:rPr>
          <w:t>Szerkezetátalakítás alatt álló félig önellátó gazdaságok támogatása (NVT) 141. intézkedés rövid bemutatása</w:t>
        </w:r>
        <w:r>
          <w:rPr>
            <w:webHidden/>
          </w:rPr>
          <w:tab/>
        </w:r>
        <w:r>
          <w:rPr>
            <w:webHidden/>
          </w:rPr>
          <w:fldChar w:fldCharType="begin"/>
        </w:r>
        <w:r>
          <w:rPr>
            <w:webHidden/>
          </w:rPr>
          <w:instrText xml:space="preserve"> PAGEREF _Toc360176801 \h </w:instrText>
        </w:r>
        <w:r>
          <w:rPr>
            <w:webHidden/>
          </w:rPr>
        </w:r>
        <w:r>
          <w:rPr>
            <w:webHidden/>
          </w:rPr>
          <w:fldChar w:fldCharType="separate"/>
        </w:r>
        <w:r>
          <w:rPr>
            <w:webHidden/>
          </w:rPr>
          <w:t>78</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2" w:history="1">
        <w:r w:rsidRPr="002B1778">
          <w:rPr>
            <w:rStyle w:val="Hiperhivatkozs"/>
          </w:rPr>
          <w:t>2.1.11</w:t>
        </w:r>
        <w:r>
          <w:rPr>
            <w:rFonts w:asciiTheme="minorHAnsi" w:eastAsiaTheme="minorEastAsia" w:hAnsiTheme="minorHAnsi" w:cstheme="minorBidi"/>
            <w:kern w:val="0"/>
            <w:szCs w:val="22"/>
          </w:rPr>
          <w:tab/>
        </w:r>
        <w:r w:rsidRPr="002B1778">
          <w:rPr>
            <w:rStyle w:val="Hiperhivatkozs"/>
          </w:rPr>
          <w:t>Termelői csoportok létrehozásának támogatása intézkedés (142) rövid bemutatása</w:t>
        </w:r>
        <w:r>
          <w:rPr>
            <w:webHidden/>
          </w:rPr>
          <w:tab/>
        </w:r>
        <w:r>
          <w:rPr>
            <w:webHidden/>
          </w:rPr>
          <w:fldChar w:fldCharType="begin"/>
        </w:r>
        <w:r>
          <w:rPr>
            <w:webHidden/>
          </w:rPr>
          <w:instrText xml:space="preserve"> PAGEREF _Toc360176802 \h </w:instrText>
        </w:r>
        <w:r>
          <w:rPr>
            <w:webHidden/>
          </w:rPr>
        </w:r>
        <w:r>
          <w:rPr>
            <w:webHidden/>
          </w:rPr>
          <w:fldChar w:fldCharType="separate"/>
        </w:r>
        <w:r>
          <w:rPr>
            <w:webHidden/>
          </w:rPr>
          <w:t>79</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03" w:history="1">
        <w:r w:rsidRPr="002B1778">
          <w:rPr>
            <w:rStyle w:val="Hiperhivatkozs"/>
            <w:noProof/>
          </w:rPr>
          <w:t>2.2</w:t>
        </w:r>
        <w:r>
          <w:rPr>
            <w:rFonts w:asciiTheme="minorHAnsi" w:eastAsiaTheme="minorEastAsia" w:hAnsiTheme="minorHAnsi" w:cstheme="minorBidi"/>
            <w:b w:val="0"/>
            <w:noProof/>
            <w:kern w:val="0"/>
            <w:sz w:val="22"/>
            <w:szCs w:val="22"/>
          </w:rPr>
          <w:tab/>
        </w:r>
        <w:r w:rsidRPr="002B1778">
          <w:rPr>
            <w:rStyle w:val="Hiperhivatkozs"/>
            <w:noProof/>
          </w:rPr>
          <w:t>II. tengely</w:t>
        </w:r>
        <w:r>
          <w:rPr>
            <w:noProof/>
            <w:webHidden/>
          </w:rPr>
          <w:tab/>
        </w:r>
        <w:r>
          <w:rPr>
            <w:noProof/>
            <w:webHidden/>
          </w:rPr>
          <w:fldChar w:fldCharType="begin"/>
        </w:r>
        <w:r>
          <w:rPr>
            <w:noProof/>
            <w:webHidden/>
          </w:rPr>
          <w:instrText xml:space="preserve"> PAGEREF _Toc360176803 \h </w:instrText>
        </w:r>
        <w:r>
          <w:rPr>
            <w:noProof/>
            <w:webHidden/>
          </w:rPr>
        </w:r>
        <w:r>
          <w:rPr>
            <w:noProof/>
            <w:webHidden/>
          </w:rPr>
          <w:fldChar w:fldCharType="separate"/>
        </w:r>
        <w:r>
          <w:rPr>
            <w:noProof/>
            <w:webHidden/>
          </w:rPr>
          <w:t>82</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4" w:history="1">
        <w:r w:rsidRPr="002B1778">
          <w:rPr>
            <w:rStyle w:val="Hiperhivatkozs"/>
          </w:rPr>
          <w:t>2.2.1</w:t>
        </w:r>
        <w:r>
          <w:rPr>
            <w:rFonts w:asciiTheme="minorHAnsi" w:eastAsiaTheme="minorEastAsia" w:hAnsiTheme="minorHAnsi" w:cstheme="minorBidi"/>
            <w:kern w:val="0"/>
            <w:szCs w:val="22"/>
          </w:rPr>
          <w:tab/>
        </w:r>
        <w:r w:rsidRPr="002B1778">
          <w:rPr>
            <w:rStyle w:val="Hiperhivatkozs"/>
          </w:rPr>
          <w:t>A hegyvidéki területeken kívüli hátrányos helyzetű területek mezőgazdasági termelőinek nyújtott kifizetések intézkedés (212) rövid bemutatása</w:t>
        </w:r>
        <w:r>
          <w:rPr>
            <w:webHidden/>
          </w:rPr>
          <w:tab/>
        </w:r>
        <w:r>
          <w:rPr>
            <w:webHidden/>
          </w:rPr>
          <w:fldChar w:fldCharType="begin"/>
        </w:r>
        <w:r>
          <w:rPr>
            <w:webHidden/>
          </w:rPr>
          <w:instrText xml:space="preserve"> PAGEREF _Toc360176804 \h </w:instrText>
        </w:r>
        <w:r>
          <w:rPr>
            <w:webHidden/>
          </w:rPr>
        </w:r>
        <w:r>
          <w:rPr>
            <w:webHidden/>
          </w:rPr>
          <w:fldChar w:fldCharType="separate"/>
        </w:r>
        <w:r>
          <w:rPr>
            <w:webHidden/>
          </w:rPr>
          <w:t>83</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5" w:history="1">
        <w:r w:rsidRPr="002B1778">
          <w:rPr>
            <w:rStyle w:val="Hiperhivatkozs"/>
          </w:rPr>
          <w:t>2.2.2</w:t>
        </w:r>
        <w:r>
          <w:rPr>
            <w:rFonts w:asciiTheme="minorHAnsi" w:eastAsiaTheme="minorEastAsia" w:hAnsiTheme="minorHAnsi" w:cstheme="minorBidi"/>
            <w:kern w:val="0"/>
            <w:szCs w:val="22"/>
          </w:rPr>
          <w:tab/>
        </w:r>
        <w:r w:rsidRPr="002B1778">
          <w:rPr>
            <w:rStyle w:val="Hiperhivatkozs"/>
          </w:rPr>
          <w:t>Natura 2000 gyepterületeken történő gazdálkodáshoz nyújtandó kompenzációs támogatást célzó intézkedés (213) rövid bemutatása</w:t>
        </w:r>
        <w:r>
          <w:rPr>
            <w:webHidden/>
          </w:rPr>
          <w:tab/>
        </w:r>
        <w:r>
          <w:rPr>
            <w:webHidden/>
          </w:rPr>
          <w:fldChar w:fldCharType="begin"/>
        </w:r>
        <w:r>
          <w:rPr>
            <w:webHidden/>
          </w:rPr>
          <w:instrText xml:space="preserve"> PAGEREF _Toc360176805 \h </w:instrText>
        </w:r>
        <w:r>
          <w:rPr>
            <w:webHidden/>
          </w:rPr>
        </w:r>
        <w:r>
          <w:rPr>
            <w:webHidden/>
          </w:rPr>
          <w:fldChar w:fldCharType="separate"/>
        </w:r>
        <w:r>
          <w:rPr>
            <w:webHidden/>
          </w:rPr>
          <w:t>85</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6" w:history="1">
        <w:r w:rsidRPr="002B1778">
          <w:rPr>
            <w:rStyle w:val="Hiperhivatkozs"/>
          </w:rPr>
          <w:t>2.2.3</w:t>
        </w:r>
        <w:r>
          <w:rPr>
            <w:rFonts w:asciiTheme="minorHAnsi" w:eastAsiaTheme="minorEastAsia" w:hAnsiTheme="minorHAnsi" w:cstheme="minorBidi"/>
            <w:kern w:val="0"/>
            <w:szCs w:val="22"/>
          </w:rPr>
          <w:tab/>
        </w:r>
        <w:r w:rsidRPr="002B1778">
          <w:rPr>
            <w:rStyle w:val="Hiperhivatkozs"/>
          </w:rPr>
          <w:t>Az agrár-környezetgazdálkodási kifizetések intézkedés (214) rövid bemutatása</w:t>
        </w:r>
        <w:r>
          <w:rPr>
            <w:webHidden/>
          </w:rPr>
          <w:tab/>
        </w:r>
        <w:r>
          <w:rPr>
            <w:webHidden/>
          </w:rPr>
          <w:fldChar w:fldCharType="begin"/>
        </w:r>
        <w:r>
          <w:rPr>
            <w:webHidden/>
          </w:rPr>
          <w:instrText xml:space="preserve"> PAGEREF _Toc360176806 \h </w:instrText>
        </w:r>
        <w:r>
          <w:rPr>
            <w:webHidden/>
          </w:rPr>
        </w:r>
        <w:r>
          <w:rPr>
            <w:webHidden/>
          </w:rPr>
          <w:fldChar w:fldCharType="separate"/>
        </w:r>
        <w:r>
          <w:rPr>
            <w:webHidden/>
          </w:rPr>
          <w:t>87</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7" w:history="1">
        <w:r w:rsidRPr="002B1778">
          <w:rPr>
            <w:rStyle w:val="Hiperhivatkozs"/>
          </w:rPr>
          <w:t>2.2.4</w:t>
        </w:r>
        <w:r>
          <w:rPr>
            <w:rFonts w:asciiTheme="minorHAnsi" w:eastAsiaTheme="minorEastAsia" w:hAnsiTheme="minorHAnsi" w:cstheme="minorBidi"/>
            <w:kern w:val="0"/>
            <w:szCs w:val="22"/>
          </w:rPr>
          <w:tab/>
        </w:r>
        <w:r w:rsidRPr="002B1778">
          <w:rPr>
            <w:rStyle w:val="Hiperhivatkozs"/>
          </w:rPr>
          <w:t>Állatjóléti kifizetések intézkedés (215) rövid bemutatása</w:t>
        </w:r>
        <w:r>
          <w:rPr>
            <w:webHidden/>
          </w:rPr>
          <w:tab/>
        </w:r>
        <w:r>
          <w:rPr>
            <w:webHidden/>
          </w:rPr>
          <w:fldChar w:fldCharType="begin"/>
        </w:r>
        <w:r>
          <w:rPr>
            <w:webHidden/>
          </w:rPr>
          <w:instrText xml:space="preserve"> PAGEREF _Toc360176807 \h </w:instrText>
        </w:r>
        <w:r>
          <w:rPr>
            <w:webHidden/>
          </w:rPr>
        </w:r>
        <w:r>
          <w:rPr>
            <w:webHidden/>
          </w:rPr>
          <w:fldChar w:fldCharType="separate"/>
        </w:r>
        <w:r>
          <w:rPr>
            <w:webHidden/>
          </w:rPr>
          <w:t>96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8" w:history="1">
        <w:r w:rsidRPr="002B1778">
          <w:rPr>
            <w:rStyle w:val="Hiperhivatkozs"/>
          </w:rPr>
          <w:t>2.2.5</w:t>
        </w:r>
        <w:r>
          <w:rPr>
            <w:rFonts w:asciiTheme="minorHAnsi" w:eastAsiaTheme="minorEastAsia" w:hAnsiTheme="minorHAnsi" w:cstheme="minorBidi"/>
            <w:kern w:val="0"/>
            <w:szCs w:val="22"/>
          </w:rPr>
          <w:tab/>
        </w:r>
        <w:r w:rsidRPr="002B1778">
          <w:rPr>
            <w:rStyle w:val="Hiperhivatkozs"/>
          </w:rPr>
          <w:t>Nem termelő beruházásoknak nyújtott támogatás intézkedés (216) rövid bemutatása</w:t>
        </w:r>
        <w:r>
          <w:rPr>
            <w:webHidden/>
          </w:rPr>
          <w:tab/>
        </w:r>
        <w:r>
          <w:rPr>
            <w:webHidden/>
          </w:rPr>
          <w:fldChar w:fldCharType="begin"/>
        </w:r>
        <w:r>
          <w:rPr>
            <w:webHidden/>
          </w:rPr>
          <w:instrText xml:space="preserve"> PAGEREF _Toc360176808 \h </w:instrText>
        </w:r>
        <w:r>
          <w:rPr>
            <w:webHidden/>
          </w:rPr>
        </w:r>
        <w:r>
          <w:rPr>
            <w:webHidden/>
          </w:rPr>
          <w:fldChar w:fldCharType="separate"/>
        </w:r>
        <w:r>
          <w:rPr>
            <w:webHidden/>
          </w:rPr>
          <w:t>98</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09" w:history="1">
        <w:r w:rsidRPr="002B1778">
          <w:rPr>
            <w:rStyle w:val="Hiperhivatkozs"/>
          </w:rPr>
          <w:t>2.2.6</w:t>
        </w:r>
        <w:r>
          <w:rPr>
            <w:rFonts w:asciiTheme="minorHAnsi" w:eastAsiaTheme="minorEastAsia" w:hAnsiTheme="minorHAnsi" w:cstheme="minorBidi"/>
            <w:kern w:val="0"/>
            <w:szCs w:val="22"/>
          </w:rPr>
          <w:tab/>
        </w:r>
        <w:r w:rsidRPr="002B1778">
          <w:rPr>
            <w:rStyle w:val="Hiperhivatkozs"/>
          </w:rPr>
          <w:t>Mezőgazdasági földterület első erdősítése (221) intézkedés rövid bemutatása</w:t>
        </w:r>
        <w:r>
          <w:rPr>
            <w:webHidden/>
          </w:rPr>
          <w:tab/>
        </w:r>
        <w:r>
          <w:rPr>
            <w:webHidden/>
          </w:rPr>
          <w:fldChar w:fldCharType="begin"/>
        </w:r>
        <w:r>
          <w:rPr>
            <w:webHidden/>
          </w:rPr>
          <w:instrText xml:space="preserve"> PAGEREF _Toc360176809 \h </w:instrText>
        </w:r>
        <w:r>
          <w:rPr>
            <w:webHidden/>
          </w:rPr>
        </w:r>
        <w:r>
          <w:rPr>
            <w:webHidden/>
          </w:rPr>
          <w:fldChar w:fldCharType="separate"/>
        </w:r>
        <w:r>
          <w:rPr>
            <w:webHidden/>
          </w:rPr>
          <w:t>100</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0" w:history="1">
        <w:r w:rsidRPr="002B1778">
          <w:rPr>
            <w:rStyle w:val="Hiperhivatkozs"/>
          </w:rPr>
          <w:t>2.2.7</w:t>
        </w:r>
        <w:r>
          <w:rPr>
            <w:rFonts w:asciiTheme="minorHAnsi" w:eastAsiaTheme="minorEastAsia" w:hAnsiTheme="minorHAnsi" w:cstheme="minorBidi"/>
            <w:kern w:val="0"/>
            <w:szCs w:val="22"/>
          </w:rPr>
          <w:tab/>
        </w:r>
        <w:r w:rsidRPr="002B1778">
          <w:rPr>
            <w:rStyle w:val="Hiperhivatkozs"/>
          </w:rPr>
          <w:t>Agrár-erdészeti rendszerek első létrehozása mezőgazdasági földterületeken intézkedés (222) rövid bemutatása</w:t>
        </w:r>
        <w:r>
          <w:rPr>
            <w:webHidden/>
          </w:rPr>
          <w:tab/>
        </w:r>
        <w:r>
          <w:rPr>
            <w:webHidden/>
          </w:rPr>
          <w:fldChar w:fldCharType="begin"/>
        </w:r>
        <w:r>
          <w:rPr>
            <w:webHidden/>
          </w:rPr>
          <w:instrText xml:space="preserve"> PAGEREF _Toc360176810 \h </w:instrText>
        </w:r>
        <w:r>
          <w:rPr>
            <w:webHidden/>
          </w:rPr>
        </w:r>
        <w:r>
          <w:rPr>
            <w:webHidden/>
          </w:rPr>
          <w:fldChar w:fldCharType="separate"/>
        </w:r>
        <w:r>
          <w:rPr>
            <w:webHidden/>
          </w:rPr>
          <w:t>103</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1" w:history="1">
        <w:r w:rsidRPr="002B1778">
          <w:rPr>
            <w:rStyle w:val="Hiperhivatkozs"/>
          </w:rPr>
          <w:t>2.2.8</w:t>
        </w:r>
        <w:r>
          <w:rPr>
            <w:rFonts w:asciiTheme="minorHAnsi" w:eastAsiaTheme="minorEastAsia" w:hAnsiTheme="minorHAnsi" w:cstheme="minorBidi"/>
            <w:kern w:val="0"/>
            <w:szCs w:val="22"/>
          </w:rPr>
          <w:tab/>
        </w:r>
        <w:r w:rsidRPr="002B1778">
          <w:rPr>
            <w:rStyle w:val="Hiperhivatkozs"/>
          </w:rPr>
          <w:t>A Natura 2000 erdőterületeken történő gazdálkodáshoz nyújtandó kompenzációs támogatás (224) intézkedés rövid bemutatása</w:t>
        </w:r>
        <w:r>
          <w:rPr>
            <w:webHidden/>
          </w:rPr>
          <w:tab/>
        </w:r>
        <w:r>
          <w:rPr>
            <w:webHidden/>
          </w:rPr>
          <w:fldChar w:fldCharType="begin"/>
        </w:r>
        <w:r>
          <w:rPr>
            <w:webHidden/>
          </w:rPr>
          <w:instrText xml:space="preserve"> PAGEREF _Toc360176811 \h </w:instrText>
        </w:r>
        <w:r>
          <w:rPr>
            <w:webHidden/>
          </w:rPr>
        </w:r>
        <w:r>
          <w:rPr>
            <w:webHidden/>
          </w:rPr>
          <w:fldChar w:fldCharType="separate"/>
        </w:r>
        <w:r>
          <w:rPr>
            <w:webHidden/>
          </w:rPr>
          <w:t>105</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2" w:history="1">
        <w:r w:rsidRPr="002B1778">
          <w:rPr>
            <w:rStyle w:val="Hiperhivatkozs"/>
          </w:rPr>
          <w:t>2.2.9</w:t>
        </w:r>
        <w:r>
          <w:rPr>
            <w:rFonts w:asciiTheme="minorHAnsi" w:eastAsiaTheme="minorEastAsia" w:hAnsiTheme="minorHAnsi" w:cstheme="minorBidi"/>
            <w:kern w:val="0"/>
            <w:szCs w:val="22"/>
          </w:rPr>
          <w:tab/>
        </w:r>
        <w:r w:rsidRPr="002B1778">
          <w:rPr>
            <w:rStyle w:val="Hiperhivatkozs"/>
          </w:rPr>
          <w:t>Erdő-környezetvédelmi kifizetések (225) intézkedés rövid bemutatása</w:t>
        </w:r>
        <w:r>
          <w:rPr>
            <w:webHidden/>
          </w:rPr>
          <w:tab/>
        </w:r>
        <w:r>
          <w:rPr>
            <w:webHidden/>
          </w:rPr>
          <w:fldChar w:fldCharType="begin"/>
        </w:r>
        <w:r>
          <w:rPr>
            <w:webHidden/>
          </w:rPr>
          <w:instrText xml:space="preserve"> PAGEREF _Toc360176812 \h </w:instrText>
        </w:r>
        <w:r>
          <w:rPr>
            <w:webHidden/>
          </w:rPr>
        </w:r>
        <w:r>
          <w:rPr>
            <w:webHidden/>
          </w:rPr>
          <w:fldChar w:fldCharType="separate"/>
        </w:r>
        <w:r>
          <w:rPr>
            <w:webHidden/>
          </w:rPr>
          <w:t>106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3" w:history="1">
        <w:r w:rsidRPr="002B1778">
          <w:rPr>
            <w:rStyle w:val="Hiperhivatkozs"/>
          </w:rPr>
          <w:t>2.2.10</w:t>
        </w:r>
        <w:r>
          <w:rPr>
            <w:rFonts w:asciiTheme="minorHAnsi" w:eastAsiaTheme="minorEastAsia" w:hAnsiTheme="minorHAnsi" w:cstheme="minorBidi"/>
            <w:kern w:val="0"/>
            <w:szCs w:val="22"/>
          </w:rPr>
          <w:tab/>
        </w:r>
        <w:r w:rsidRPr="002B1778">
          <w:rPr>
            <w:rStyle w:val="Hiperhivatkozs"/>
          </w:rPr>
          <w:t>Erdészeti potenciál helyreállítása és megelőző intézkedések (226) rövid bemutatása</w:t>
        </w:r>
        <w:r>
          <w:rPr>
            <w:webHidden/>
          </w:rPr>
          <w:tab/>
        </w:r>
        <w:r>
          <w:rPr>
            <w:webHidden/>
          </w:rPr>
          <w:fldChar w:fldCharType="begin"/>
        </w:r>
        <w:r>
          <w:rPr>
            <w:webHidden/>
          </w:rPr>
          <w:instrText xml:space="preserve"> PAGEREF _Toc360176813 \h </w:instrText>
        </w:r>
        <w:r>
          <w:rPr>
            <w:webHidden/>
          </w:rPr>
        </w:r>
        <w:r>
          <w:rPr>
            <w:webHidden/>
          </w:rPr>
          <w:fldChar w:fldCharType="separate"/>
        </w:r>
        <w:r>
          <w:rPr>
            <w:webHidden/>
          </w:rPr>
          <w:t>108</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4" w:history="1">
        <w:r w:rsidRPr="002B1778">
          <w:rPr>
            <w:rStyle w:val="Hiperhivatkozs"/>
          </w:rPr>
          <w:t>2.2.11</w:t>
        </w:r>
        <w:r>
          <w:rPr>
            <w:rFonts w:asciiTheme="minorHAnsi" w:eastAsiaTheme="minorEastAsia" w:hAnsiTheme="minorHAnsi" w:cstheme="minorBidi"/>
            <w:kern w:val="0"/>
            <w:szCs w:val="22"/>
          </w:rPr>
          <w:tab/>
        </w:r>
        <w:r w:rsidRPr="002B1778">
          <w:rPr>
            <w:rStyle w:val="Hiperhivatkozs"/>
          </w:rPr>
          <w:t>Erdőterületeket érintő, nem termelő jellegű beruházások intézkedés (227) rövid bemutatása</w:t>
        </w:r>
        <w:r>
          <w:rPr>
            <w:webHidden/>
          </w:rPr>
          <w:tab/>
        </w:r>
        <w:r>
          <w:rPr>
            <w:webHidden/>
          </w:rPr>
          <w:fldChar w:fldCharType="begin"/>
        </w:r>
        <w:r>
          <w:rPr>
            <w:webHidden/>
          </w:rPr>
          <w:instrText xml:space="preserve"> PAGEREF _Toc360176814 \h </w:instrText>
        </w:r>
        <w:r>
          <w:rPr>
            <w:webHidden/>
          </w:rPr>
        </w:r>
        <w:r>
          <w:rPr>
            <w:webHidden/>
          </w:rPr>
          <w:fldChar w:fldCharType="separate"/>
        </w:r>
        <w:r>
          <w:rPr>
            <w:webHidden/>
          </w:rPr>
          <w:t>111</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15" w:history="1">
        <w:r w:rsidRPr="002B1778">
          <w:rPr>
            <w:rStyle w:val="Hiperhivatkozs"/>
            <w:noProof/>
          </w:rPr>
          <w:t>2.3</w:t>
        </w:r>
        <w:r>
          <w:rPr>
            <w:rFonts w:asciiTheme="minorHAnsi" w:eastAsiaTheme="minorEastAsia" w:hAnsiTheme="minorHAnsi" w:cstheme="minorBidi"/>
            <w:b w:val="0"/>
            <w:noProof/>
            <w:kern w:val="0"/>
            <w:sz w:val="22"/>
            <w:szCs w:val="22"/>
          </w:rPr>
          <w:tab/>
        </w:r>
        <w:r w:rsidRPr="002B1778">
          <w:rPr>
            <w:rStyle w:val="Hiperhivatkozs"/>
            <w:noProof/>
          </w:rPr>
          <w:t>III. tengely</w:t>
        </w:r>
        <w:r>
          <w:rPr>
            <w:noProof/>
            <w:webHidden/>
          </w:rPr>
          <w:tab/>
        </w:r>
        <w:r>
          <w:rPr>
            <w:noProof/>
            <w:webHidden/>
          </w:rPr>
          <w:fldChar w:fldCharType="begin"/>
        </w:r>
        <w:r>
          <w:rPr>
            <w:noProof/>
            <w:webHidden/>
          </w:rPr>
          <w:instrText xml:space="preserve"> PAGEREF _Toc360176815 \h </w:instrText>
        </w:r>
        <w:r>
          <w:rPr>
            <w:noProof/>
            <w:webHidden/>
          </w:rPr>
        </w:r>
        <w:r>
          <w:rPr>
            <w:noProof/>
            <w:webHidden/>
          </w:rPr>
          <w:fldChar w:fldCharType="separate"/>
        </w:r>
        <w:r>
          <w:rPr>
            <w:noProof/>
            <w:webHidden/>
          </w:rPr>
          <w:t>113</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6" w:history="1">
        <w:r w:rsidRPr="002B1778">
          <w:rPr>
            <w:rStyle w:val="Hiperhivatkozs"/>
          </w:rPr>
          <w:t>2.3.1</w:t>
        </w:r>
        <w:r>
          <w:rPr>
            <w:rFonts w:asciiTheme="minorHAnsi" w:eastAsiaTheme="minorEastAsia" w:hAnsiTheme="minorHAnsi" w:cstheme="minorBidi"/>
            <w:kern w:val="0"/>
            <w:szCs w:val="22"/>
          </w:rPr>
          <w:tab/>
        </w:r>
        <w:r w:rsidRPr="002B1778">
          <w:rPr>
            <w:rStyle w:val="Hiperhivatkozs"/>
          </w:rPr>
          <w:t>Nem mezőgazdasági tevékenységgé történő diverzifikálás (311) intézkedés rövid bemutatása</w:t>
        </w:r>
        <w:r>
          <w:rPr>
            <w:webHidden/>
          </w:rPr>
          <w:tab/>
        </w:r>
        <w:r>
          <w:rPr>
            <w:webHidden/>
          </w:rPr>
          <w:fldChar w:fldCharType="begin"/>
        </w:r>
        <w:r>
          <w:rPr>
            <w:webHidden/>
          </w:rPr>
          <w:instrText xml:space="preserve"> PAGEREF _Toc360176816 \h </w:instrText>
        </w:r>
        <w:r>
          <w:rPr>
            <w:webHidden/>
          </w:rPr>
        </w:r>
        <w:r>
          <w:rPr>
            <w:webHidden/>
          </w:rPr>
          <w:fldChar w:fldCharType="separate"/>
        </w:r>
        <w:r>
          <w:rPr>
            <w:webHidden/>
          </w:rPr>
          <w:t>113</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7" w:history="1">
        <w:r w:rsidRPr="002B1778">
          <w:rPr>
            <w:rStyle w:val="Hiperhivatkozs"/>
          </w:rPr>
          <w:t>2.3.2</w:t>
        </w:r>
        <w:r>
          <w:rPr>
            <w:rFonts w:asciiTheme="minorHAnsi" w:eastAsiaTheme="minorEastAsia" w:hAnsiTheme="minorHAnsi" w:cstheme="minorBidi"/>
            <w:kern w:val="0"/>
            <w:szCs w:val="22"/>
          </w:rPr>
          <w:tab/>
        </w:r>
        <w:r w:rsidRPr="002B1778">
          <w:rPr>
            <w:rStyle w:val="Hiperhivatkozs"/>
          </w:rPr>
          <w:t>Mikrovállalkozások létrehozásának és fejlesztésének támogatása (312) intézkedés rövid bemutatása</w:t>
        </w:r>
        <w:r>
          <w:rPr>
            <w:webHidden/>
          </w:rPr>
          <w:tab/>
        </w:r>
        <w:r>
          <w:rPr>
            <w:webHidden/>
          </w:rPr>
          <w:fldChar w:fldCharType="begin"/>
        </w:r>
        <w:r>
          <w:rPr>
            <w:webHidden/>
          </w:rPr>
          <w:instrText xml:space="preserve"> PAGEREF _Toc360176817 \h </w:instrText>
        </w:r>
        <w:r>
          <w:rPr>
            <w:webHidden/>
          </w:rPr>
        </w:r>
        <w:r>
          <w:rPr>
            <w:webHidden/>
          </w:rPr>
          <w:fldChar w:fldCharType="separate"/>
        </w:r>
        <w:r>
          <w:rPr>
            <w:webHidden/>
          </w:rPr>
          <w:t>114</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8" w:history="1">
        <w:r w:rsidRPr="002B1778">
          <w:rPr>
            <w:rStyle w:val="Hiperhivatkozs"/>
          </w:rPr>
          <w:t>2.3.3</w:t>
        </w:r>
        <w:r>
          <w:rPr>
            <w:rFonts w:asciiTheme="minorHAnsi" w:eastAsiaTheme="minorEastAsia" w:hAnsiTheme="minorHAnsi" w:cstheme="minorBidi"/>
            <w:kern w:val="0"/>
            <w:szCs w:val="22"/>
          </w:rPr>
          <w:tab/>
        </w:r>
        <w:r w:rsidRPr="002B1778">
          <w:rPr>
            <w:rStyle w:val="Hiperhivatkozs"/>
          </w:rPr>
          <w:t>Turisztikai tevékenységek ösztönzése (313) intézkedés rövid bemutatása</w:t>
        </w:r>
        <w:r>
          <w:rPr>
            <w:webHidden/>
          </w:rPr>
          <w:tab/>
        </w:r>
        <w:r>
          <w:rPr>
            <w:webHidden/>
          </w:rPr>
          <w:fldChar w:fldCharType="begin"/>
        </w:r>
        <w:r>
          <w:rPr>
            <w:webHidden/>
          </w:rPr>
          <w:instrText xml:space="preserve"> PAGEREF _Toc360176818 \h </w:instrText>
        </w:r>
        <w:r>
          <w:rPr>
            <w:webHidden/>
          </w:rPr>
        </w:r>
        <w:r>
          <w:rPr>
            <w:webHidden/>
          </w:rPr>
          <w:fldChar w:fldCharType="separate"/>
        </w:r>
        <w:r>
          <w:rPr>
            <w:webHidden/>
          </w:rPr>
          <w:t>116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19" w:history="1">
        <w:r w:rsidRPr="002B1778">
          <w:rPr>
            <w:rStyle w:val="Hiperhivatkozs"/>
          </w:rPr>
          <w:t>2.3.4</w:t>
        </w:r>
        <w:r>
          <w:rPr>
            <w:rFonts w:asciiTheme="minorHAnsi" w:eastAsiaTheme="minorEastAsia" w:hAnsiTheme="minorHAnsi" w:cstheme="minorBidi"/>
            <w:kern w:val="0"/>
            <w:szCs w:val="22"/>
          </w:rPr>
          <w:tab/>
        </w:r>
        <w:r w:rsidRPr="002B1778">
          <w:rPr>
            <w:rStyle w:val="Hiperhivatkozs"/>
          </w:rPr>
          <w:t>A vidéki gazdaság és lakosság számára nyújtott alapszolgáltatások intézkedés (321)</w:t>
        </w:r>
        <w:r>
          <w:rPr>
            <w:webHidden/>
          </w:rPr>
          <w:tab/>
        </w:r>
        <w:r>
          <w:rPr>
            <w:webHidden/>
          </w:rPr>
          <w:fldChar w:fldCharType="begin"/>
        </w:r>
        <w:r>
          <w:rPr>
            <w:webHidden/>
          </w:rPr>
          <w:instrText xml:space="preserve"> PAGEREF _Toc360176819 \h </w:instrText>
        </w:r>
        <w:r>
          <w:rPr>
            <w:webHidden/>
          </w:rPr>
        </w:r>
        <w:r>
          <w:rPr>
            <w:webHidden/>
          </w:rPr>
          <w:fldChar w:fldCharType="separate"/>
        </w:r>
        <w:r>
          <w:rPr>
            <w:webHidden/>
          </w:rPr>
          <w:t>119</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0" w:history="1">
        <w:r w:rsidRPr="002B1778">
          <w:rPr>
            <w:rStyle w:val="Hiperhivatkozs"/>
          </w:rPr>
          <w:t>2.3.5</w:t>
        </w:r>
        <w:r>
          <w:rPr>
            <w:rFonts w:asciiTheme="minorHAnsi" w:eastAsiaTheme="minorEastAsia" w:hAnsiTheme="minorHAnsi" w:cstheme="minorBidi"/>
            <w:kern w:val="0"/>
            <w:szCs w:val="22"/>
          </w:rPr>
          <w:tab/>
        </w:r>
        <w:r w:rsidRPr="002B1778">
          <w:rPr>
            <w:rStyle w:val="Hiperhivatkozs"/>
          </w:rPr>
          <w:t>A falumegújítás és -fejlesztés (322) intézkedés rövid bemutatása</w:t>
        </w:r>
        <w:r>
          <w:rPr>
            <w:webHidden/>
          </w:rPr>
          <w:tab/>
        </w:r>
        <w:r>
          <w:rPr>
            <w:webHidden/>
          </w:rPr>
          <w:fldChar w:fldCharType="begin"/>
        </w:r>
        <w:r>
          <w:rPr>
            <w:webHidden/>
          </w:rPr>
          <w:instrText xml:space="preserve"> PAGEREF _Toc360176820 \h </w:instrText>
        </w:r>
        <w:r>
          <w:rPr>
            <w:webHidden/>
          </w:rPr>
        </w:r>
        <w:r>
          <w:rPr>
            <w:webHidden/>
          </w:rPr>
          <w:fldChar w:fldCharType="separate"/>
        </w:r>
        <w:r>
          <w:rPr>
            <w:webHidden/>
          </w:rPr>
          <w:t>122</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1" w:history="1">
        <w:r w:rsidRPr="002B1778">
          <w:rPr>
            <w:rStyle w:val="Hiperhivatkozs"/>
          </w:rPr>
          <w:t>2.3.6</w:t>
        </w:r>
        <w:r>
          <w:rPr>
            <w:rFonts w:asciiTheme="minorHAnsi" w:eastAsiaTheme="minorEastAsia" w:hAnsiTheme="minorHAnsi" w:cstheme="minorBidi"/>
            <w:kern w:val="0"/>
            <w:szCs w:val="22"/>
          </w:rPr>
          <w:tab/>
        </w:r>
        <w:r w:rsidRPr="002B1778">
          <w:rPr>
            <w:rStyle w:val="Hiperhivatkozs"/>
          </w:rPr>
          <w:t>A vidéki örökség megőrzése és fenntartható fejlesztése (323) intézkedés rövid bemutatása</w:t>
        </w:r>
        <w:r>
          <w:rPr>
            <w:webHidden/>
          </w:rPr>
          <w:tab/>
        </w:r>
        <w:r>
          <w:rPr>
            <w:webHidden/>
          </w:rPr>
          <w:fldChar w:fldCharType="begin"/>
        </w:r>
        <w:r>
          <w:rPr>
            <w:webHidden/>
          </w:rPr>
          <w:instrText xml:space="preserve"> PAGEREF _Toc360176821 \h </w:instrText>
        </w:r>
        <w:r>
          <w:rPr>
            <w:webHidden/>
          </w:rPr>
        </w:r>
        <w:r>
          <w:rPr>
            <w:webHidden/>
          </w:rPr>
          <w:fldChar w:fldCharType="separate"/>
        </w:r>
        <w:r>
          <w:rPr>
            <w:webHidden/>
          </w:rPr>
          <w:t>124</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2" w:history="1">
        <w:r w:rsidRPr="002B1778">
          <w:rPr>
            <w:rStyle w:val="Hiperhivatkozs"/>
          </w:rPr>
          <w:t>2.3.7</w:t>
        </w:r>
        <w:r>
          <w:rPr>
            <w:rFonts w:asciiTheme="minorHAnsi" w:eastAsiaTheme="minorEastAsia" w:hAnsiTheme="minorHAnsi" w:cstheme="minorBidi"/>
            <w:kern w:val="0"/>
            <w:szCs w:val="22"/>
          </w:rPr>
          <w:tab/>
        </w:r>
        <w:r w:rsidRPr="002B1778">
          <w:rPr>
            <w:rStyle w:val="Hiperhivatkozs"/>
          </w:rPr>
          <w:t>Natura 2000 fenntartási tervek készítéséhez nyújtott támogatás</w:t>
        </w:r>
        <w:r>
          <w:rPr>
            <w:webHidden/>
          </w:rPr>
          <w:tab/>
        </w:r>
        <w:r>
          <w:rPr>
            <w:webHidden/>
          </w:rPr>
          <w:fldChar w:fldCharType="begin"/>
        </w:r>
        <w:r>
          <w:rPr>
            <w:webHidden/>
          </w:rPr>
          <w:instrText xml:space="preserve"> PAGEREF _Toc360176822 \h </w:instrText>
        </w:r>
        <w:r>
          <w:rPr>
            <w:webHidden/>
          </w:rPr>
        </w:r>
        <w:r>
          <w:rPr>
            <w:webHidden/>
          </w:rPr>
          <w:fldChar w:fldCharType="separate"/>
        </w:r>
        <w:r>
          <w:rPr>
            <w:webHidden/>
          </w:rPr>
          <w:t>126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3" w:history="1">
        <w:r w:rsidRPr="002B1778">
          <w:rPr>
            <w:rStyle w:val="Hiperhivatkozs"/>
          </w:rPr>
          <w:t>2.3.8</w:t>
        </w:r>
        <w:r>
          <w:rPr>
            <w:rFonts w:asciiTheme="minorHAnsi" w:eastAsiaTheme="minorEastAsia" w:hAnsiTheme="minorHAnsi" w:cstheme="minorBidi"/>
            <w:kern w:val="0"/>
            <w:szCs w:val="22"/>
          </w:rPr>
          <w:tab/>
        </w:r>
        <w:r w:rsidRPr="002B1778">
          <w:rPr>
            <w:rStyle w:val="Hiperhivatkozs"/>
          </w:rPr>
          <w:t>Képzés és tájékoztatás intézkedés (331) rövid bemutatása</w:t>
        </w:r>
        <w:r>
          <w:rPr>
            <w:webHidden/>
          </w:rPr>
          <w:tab/>
        </w:r>
        <w:r>
          <w:rPr>
            <w:webHidden/>
          </w:rPr>
          <w:fldChar w:fldCharType="begin"/>
        </w:r>
        <w:r>
          <w:rPr>
            <w:webHidden/>
          </w:rPr>
          <w:instrText xml:space="preserve"> PAGEREF _Toc360176823 \h </w:instrText>
        </w:r>
        <w:r>
          <w:rPr>
            <w:webHidden/>
          </w:rPr>
        </w:r>
        <w:r>
          <w:rPr>
            <w:webHidden/>
          </w:rPr>
          <w:fldChar w:fldCharType="separate"/>
        </w:r>
        <w:r>
          <w:rPr>
            <w:webHidden/>
          </w:rPr>
          <w:t>128</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4" w:history="1">
        <w:r w:rsidRPr="002B1778">
          <w:rPr>
            <w:rStyle w:val="Hiperhivatkozs"/>
          </w:rPr>
          <w:t>2.3.9</w:t>
        </w:r>
        <w:r>
          <w:rPr>
            <w:rFonts w:asciiTheme="minorHAnsi" w:eastAsiaTheme="minorEastAsia" w:hAnsiTheme="minorHAnsi" w:cstheme="minorBidi"/>
            <w:kern w:val="0"/>
            <w:szCs w:val="22"/>
          </w:rPr>
          <w:tab/>
        </w:r>
        <w:r w:rsidRPr="002B1778">
          <w:rPr>
            <w:rStyle w:val="Hiperhivatkozs"/>
          </w:rPr>
          <w:t>Készségek elsajátítása, ösztönzés és végrehajtás (341) intézkedés rövid bemutatása</w:t>
        </w:r>
        <w:r>
          <w:rPr>
            <w:webHidden/>
          </w:rPr>
          <w:tab/>
        </w:r>
        <w:r>
          <w:rPr>
            <w:webHidden/>
          </w:rPr>
          <w:fldChar w:fldCharType="begin"/>
        </w:r>
        <w:r>
          <w:rPr>
            <w:webHidden/>
          </w:rPr>
          <w:instrText xml:space="preserve"> PAGEREF _Toc360176824 \h </w:instrText>
        </w:r>
        <w:r>
          <w:rPr>
            <w:webHidden/>
          </w:rPr>
        </w:r>
        <w:r>
          <w:rPr>
            <w:webHidden/>
          </w:rPr>
          <w:fldChar w:fldCharType="separate"/>
        </w:r>
        <w:r>
          <w:rPr>
            <w:webHidden/>
          </w:rPr>
          <w:t>128</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25" w:history="1">
        <w:r w:rsidRPr="002B1778">
          <w:rPr>
            <w:rStyle w:val="Hiperhivatkozs"/>
            <w:noProof/>
          </w:rPr>
          <w:t>2.4</w:t>
        </w:r>
        <w:r>
          <w:rPr>
            <w:rFonts w:asciiTheme="minorHAnsi" w:eastAsiaTheme="minorEastAsia" w:hAnsiTheme="minorHAnsi" w:cstheme="minorBidi"/>
            <w:b w:val="0"/>
            <w:noProof/>
            <w:kern w:val="0"/>
            <w:sz w:val="22"/>
            <w:szCs w:val="22"/>
          </w:rPr>
          <w:tab/>
        </w:r>
        <w:r w:rsidRPr="002B1778">
          <w:rPr>
            <w:rStyle w:val="Hiperhivatkozs"/>
            <w:noProof/>
          </w:rPr>
          <w:t>IV. tengely: LEADER</w:t>
        </w:r>
        <w:r>
          <w:rPr>
            <w:noProof/>
            <w:webHidden/>
          </w:rPr>
          <w:tab/>
        </w:r>
        <w:r>
          <w:rPr>
            <w:noProof/>
            <w:webHidden/>
          </w:rPr>
          <w:fldChar w:fldCharType="begin"/>
        </w:r>
        <w:r>
          <w:rPr>
            <w:noProof/>
            <w:webHidden/>
          </w:rPr>
          <w:instrText xml:space="preserve"> PAGEREF _Toc360176825 \h </w:instrText>
        </w:r>
        <w:r>
          <w:rPr>
            <w:noProof/>
            <w:webHidden/>
          </w:rPr>
        </w:r>
        <w:r>
          <w:rPr>
            <w:noProof/>
            <w:webHidden/>
          </w:rPr>
          <w:fldChar w:fldCharType="separate"/>
        </w:r>
        <w:r>
          <w:rPr>
            <w:noProof/>
            <w:webHidden/>
          </w:rPr>
          <w:t>132</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6" w:history="1">
        <w:r w:rsidRPr="002B1778">
          <w:rPr>
            <w:rStyle w:val="Hiperhivatkozs"/>
          </w:rPr>
          <w:t>2.4.1</w:t>
        </w:r>
        <w:r>
          <w:rPr>
            <w:rFonts w:asciiTheme="minorHAnsi" w:eastAsiaTheme="minorEastAsia" w:hAnsiTheme="minorHAnsi" w:cstheme="minorBidi"/>
            <w:kern w:val="0"/>
            <w:szCs w:val="22"/>
          </w:rPr>
          <w:tab/>
        </w:r>
        <w:r w:rsidRPr="002B1778">
          <w:rPr>
            <w:rStyle w:val="Hiperhivatkozs"/>
          </w:rPr>
          <w:t>A helyi fejlesztési stratégiák megvalósítása (41) intézkedés rövid bemutatása</w:t>
        </w:r>
        <w:r>
          <w:rPr>
            <w:webHidden/>
          </w:rPr>
          <w:tab/>
        </w:r>
        <w:r>
          <w:rPr>
            <w:webHidden/>
          </w:rPr>
          <w:fldChar w:fldCharType="begin"/>
        </w:r>
        <w:r>
          <w:rPr>
            <w:webHidden/>
          </w:rPr>
          <w:instrText xml:space="preserve"> PAGEREF _Toc360176826 \h </w:instrText>
        </w:r>
        <w:r>
          <w:rPr>
            <w:webHidden/>
          </w:rPr>
        </w:r>
        <w:r>
          <w:rPr>
            <w:webHidden/>
          </w:rPr>
          <w:fldChar w:fldCharType="separate"/>
        </w:r>
        <w:r>
          <w:rPr>
            <w:webHidden/>
          </w:rPr>
          <w:t>133</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7" w:history="1">
        <w:r w:rsidRPr="002B1778">
          <w:rPr>
            <w:rStyle w:val="Hiperhivatkozs"/>
          </w:rPr>
          <w:t>2.4.2</w:t>
        </w:r>
        <w:r>
          <w:rPr>
            <w:rFonts w:asciiTheme="minorHAnsi" w:eastAsiaTheme="minorEastAsia" w:hAnsiTheme="minorHAnsi" w:cstheme="minorBidi"/>
            <w:kern w:val="0"/>
            <w:szCs w:val="22"/>
          </w:rPr>
          <w:tab/>
        </w:r>
        <w:r w:rsidRPr="002B1778">
          <w:rPr>
            <w:rStyle w:val="Hiperhivatkozs"/>
          </w:rPr>
          <w:t>Térségek közötti és nemzetközi együttműködések (421) intézkedés rövid bemutatása</w:t>
        </w:r>
        <w:r>
          <w:rPr>
            <w:webHidden/>
          </w:rPr>
          <w:tab/>
        </w:r>
        <w:r>
          <w:rPr>
            <w:webHidden/>
          </w:rPr>
          <w:fldChar w:fldCharType="begin"/>
        </w:r>
        <w:r>
          <w:rPr>
            <w:webHidden/>
          </w:rPr>
          <w:instrText xml:space="preserve"> PAGEREF _Toc360176827 \h </w:instrText>
        </w:r>
        <w:r>
          <w:rPr>
            <w:webHidden/>
          </w:rPr>
        </w:r>
        <w:r>
          <w:rPr>
            <w:webHidden/>
          </w:rPr>
          <w:fldChar w:fldCharType="separate"/>
        </w:r>
        <w:r>
          <w:rPr>
            <w:webHidden/>
          </w:rPr>
          <w:t>136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28" w:history="1">
        <w:r w:rsidRPr="002B1778">
          <w:rPr>
            <w:rStyle w:val="Hiperhivatkozs"/>
          </w:rPr>
          <w:t>2.4.3</w:t>
        </w:r>
        <w:r>
          <w:rPr>
            <w:rFonts w:asciiTheme="minorHAnsi" w:eastAsiaTheme="minorEastAsia" w:hAnsiTheme="minorHAnsi" w:cstheme="minorBidi"/>
            <w:kern w:val="0"/>
            <w:szCs w:val="22"/>
          </w:rPr>
          <w:tab/>
        </w:r>
        <w:r w:rsidRPr="002B1778">
          <w:rPr>
            <w:rStyle w:val="Hiperhivatkozs"/>
          </w:rPr>
          <w:t>A helyi akciócsoport működtetése, készségek elsajátítása, a térség élénkítése (431) intézkedés rövid bemutatása</w:t>
        </w:r>
        <w:r>
          <w:rPr>
            <w:webHidden/>
          </w:rPr>
          <w:tab/>
        </w:r>
        <w:r>
          <w:rPr>
            <w:webHidden/>
          </w:rPr>
          <w:fldChar w:fldCharType="begin"/>
        </w:r>
        <w:r>
          <w:rPr>
            <w:webHidden/>
          </w:rPr>
          <w:instrText xml:space="preserve"> PAGEREF _Toc360176828 \h </w:instrText>
        </w:r>
        <w:r>
          <w:rPr>
            <w:webHidden/>
          </w:rPr>
        </w:r>
        <w:r>
          <w:rPr>
            <w:webHidden/>
          </w:rPr>
          <w:fldChar w:fldCharType="separate"/>
        </w:r>
        <w:r>
          <w:rPr>
            <w:webHidden/>
          </w:rPr>
          <w:t>138</w:t>
        </w:r>
        <w:r>
          <w:rPr>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829" w:history="1">
        <w:r w:rsidRPr="002B1778">
          <w:rPr>
            <w:rStyle w:val="Hiperhivatkozs"/>
            <w:noProof/>
          </w:rPr>
          <w:t>3</w:t>
        </w:r>
        <w:r>
          <w:rPr>
            <w:rFonts w:asciiTheme="minorHAnsi" w:eastAsiaTheme="minorEastAsia" w:hAnsiTheme="minorHAnsi" w:cstheme="minorBidi"/>
            <w:b w:val="0"/>
            <w:noProof/>
            <w:kern w:val="0"/>
            <w:sz w:val="22"/>
            <w:szCs w:val="22"/>
          </w:rPr>
          <w:tab/>
        </w:r>
        <w:r w:rsidRPr="002B1778">
          <w:rPr>
            <w:rStyle w:val="Hiperhivatkozs"/>
            <w:noProof/>
          </w:rPr>
          <w:t>A program pénzügyi végrehajtása</w:t>
        </w:r>
        <w:r>
          <w:rPr>
            <w:noProof/>
            <w:webHidden/>
          </w:rPr>
          <w:tab/>
        </w:r>
        <w:r>
          <w:rPr>
            <w:noProof/>
            <w:webHidden/>
          </w:rPr>
          <w:fldChar w:fldCharType="begin"/>
        </w:r>
        <w:r>
          <w:rPr>
            <w:noProof/>
            <w:webHidden/>
          </w:rPr>
          <w:instrText xml:space="preserve"> PAGEREF _Toc360176829 \h </w:instrText>
        </w:r>
        <w:r>
          <w:rPr>
            <w:noProof/>
            <w:webHidden/>
          </w:rPr>
        </w:r>
        <w:r>
          <w:rPr>
            <w:noProof/>
            <w:webHidden/>
          </w:rPr>
          <w:fldChar w:fldCharType="separate"/>
        </w:r>
        <w:r>
          <w:rPr>
            <w:noProof/>
            <w:webHidden/>
          </w:rPr>
          <w:t>140</w:t>
        </w:r>
        <w:r>
          <w:rPr>
            <w:noProof/>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830" w:history="1">
        <w:r w:rsidRPr="002B1778">
          <w:rPr>
            <w:rStyle w:val="Hiperhivatkozs"/>
            <w:noProof/>
          </w:rPr>
          <w:t>4</w:t>
        </w:r>
        <w:r>
          <w:rPr>
            <w:rFonts w:asciiTheme="minorHAnsi" w:eastAsiaTheme="minorEastAsia" w:hAnsiTheme="minorHAnsi" w:cstheme="minorBidi"/>
            <w:b w:val="0"/>
            <w:noProof/>
            <w:kern w:val="0"/>
            <w:sz w:val="22"/>
            <w:szCs w:val="22"/>
          </w:rPr>
          <w:tab/>
        </w:r>
        <w:r w:rsidRPr="002B1778">
          <w:rPr>
            <w:rStyle w:val="Hiperhivatkozs"/>
            <w:noProof/>
          </w:rPr>
          <w:t>A folyamatos értékelési tevékenység összegzése</w:t>
        </w:r>
        <w:r>
          <w:rPr>
            <w:noProof/>
            <w:webHidden/>
          </w:rPr>
          <w:tab/>
        </w:r>
        <w:r>
          <w:rPr>
            <w:noProof/>
            <w:webHidden/>
          </w:rPr>
          <w:fldChar w:fldCharType="begin"/>
        </w:r>
        <w:r>
          <w:rPr>
            <w:noProof/>
            <w:webHidden/>
          </w:rPr>
          <w:instrText xml:space="preserve"> PAGEREF _Toc360176830 \h </w:instrText>
        </w:r>
        <w:r>
          <w:rPr>
            <w:noProof/>
            <w:webHidden/>
          </w:rPr>
        </w:r>
        <w:r>
          <w:rPr>
            <w:noProof/>
            <w:webHidden/>
          </w:rPr>
          <w:fldChar w:fldCharType="separate"/>
        </w:r>
        <w:r>
          <w:rPr>
            <w:noProof/>
            <w:webHidden/>
          </w:rPr>
          <w:t>149</w:t>
        </w:r>
        <w:r>
          <w:rPr>
            <w:noProof/>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831" w:history="1">
        <w:r w:rsidRPr="002B1778">
          <w:rPr>
            <w:rStyle w:val="Hiperhivatkozs"/>
            <w:noProof/>
          </w:rPr>
          <w:t>5</w:t>
        </w:r>
        <w:r>
          <w:rPr>
            <w:rFonts w:asciiTheme="minorHAnsi" w:eastAsiaTheme="minorEastAsia" w:hAnsiTheme="minorHAnsi" w:cstheme="minorBidi"/>
            <w:b w:val="0"/>
            <w:noProof/>
            <w:kern w:val="0"/>
            <w:sz w:val="22"/>
            <w:szCs w:val="22"/>
          </w:rPr>
          <w:tab/>
        </w:r>
        <w:r w:rsidRPr="002B1778">
          <w:rPr>
            <w:rStyle w:val="Hiperhivatkozs"/>
            <w:noProof/>
          </w:rPr>
          <w:t>A Program Irányító Hatóság és a Monitoring Bizottság lépései a program végrehajtásának minősége és eredményessége biztosítása céljából</w:t>
        </w:r>
        <w:r>
          <w:rPr>
            <w:noProof/>
            <w:webHidden/>
          </w:rPr>
          <w:tab/>
        </w:r>
        <w:r>
          <w:rPr>
            <w:noProof/>
            <w:webHidden/>
          </w:rPr>
          <w:fldChar w:fldCharType="begin"/>
        </w:r>
        <w:r>
          <w:rPr>
            <w:noProof/>
            <w:webHidden/>
          </w:rPr>
          <w:instrText xml:space="preserve"> PAGEREF _Toc360176831 \h </w:instrText>
        </w:r>
        <w:r>
          <w:rPr>
            <w:noProof/>
            <w:webHidden/>
          </w:rPr>
        </w:r>
        <w:r>
          <w:rPr>
            <w:noProof/>
            <w:webHidden/>
          </w:rPr>
          <w:fldChar w:fldCharType="separate"/>
        </w:r>
        <w:r>
          <w:rPr>
            <w:noProof/>
            <w:webHidden/>
          </w:rPr>
          <w:t>150</w:t>
        </w:r>
        <w:r>
          <w:rPr>
            <w:noProof/>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32" w:history="1">
        <w:r w:rsidRPr="002B1778">
          <w:rPr>
            <w:rStyle w:val="Hiperhivatkozs"/>
            <w:noProof/>
          </w:rPr>
          <w:t>5.1</w:t>
        </w:r>
        <w:r>
          <w:rPr>
            <w:rFonts w:asciiTheme="minorHAnsi" w:eastAsiaTheme="minorEastAsia" w:hAnsiTheme="minorHAnsi" w:cstheme="minorBidi"/>
            <w:b w:val="0"/>
            <w:noProof/>
            <w:kern w:val="0"/>
            <w:sz w:val="22"/>
            <w:szCs w:val="22"/>
          </w:rPr>
          <w:tab/>
        </w:r>
        <w:r w:rsidRPr="002B1778">
          <w:rPr>
            <w:rStyle w:val="Hiperhivatkozs"/>
            <w:noProof/>
          </w:rPr>
          <w:t>Irányító Hatósági feladatok</w:t>
        </w:r>
        <w:r>
          <w:rPr>
            <w:noProof/>
            <w:webHidden/>
          </w:rPr>
          <w:tab/>
        </w:r>
        <w:r>
          <w:rPr>
            <w:noProof/>
            <w:webHidden/>
          </w:rPr>
          <w:fldChar w:fldCharType="begin"/>
        </w:r>
        <w:r>
          <w:rPr>
            <w:noProof/>
            <w:webHidden/>
          </w:rPr>
          <w:instrText xml:space="preserve"> PAGEREF _Toc360176832 \h </w:instrText>
        </w:r>
        <w:r>
          <w:rPr>
            <w:noProof/>
            <w:webHidden/>
          </w:rPr>
        </w:r>
        <w:r>
          <w:rPr>
            <w:noProof/>
            <w:webHidden/>
          </w:rPr>
          <w:fldChar w:fldCharType="separate"/>
        </w:r>
        <w:r>
          <w:rPr>
            <w:noProof/>
            <w:webHidden/>
          </w:rPr>
          <w:t>150</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33" w:history="1">
        <w:r w:rsidRPr="002B1778">
          <w:rPr>
            <w:rStyle w:val="Hiperhivatkozs"/>
          </w:rPr>
          <w:t>5.1.1</w:t>
        </w:r>
        <w:r>
          <w:rPr>
            <w:rFonts w:asciiTheme="minorHAnsi" w:eastAsiaTheme="minorEastAsia" w:hAnsiTheme="minorHAnsi" w:cstheme="minorBidi"/>
            <w:kern w:val="0"/>
            <w:szCs w:val="22"/>
          </w:rPr>
          <w:tab/>
        </w:r>
        <w:r w:rsidRPr="002B1778">
          <w:rPr>
            <w:rStyle w:val="Hiperhivatkozs"/>
          </w:rPr>
          <w:t>Az ÚMVP végrehajtásának biztosítására létrehozott adminisztratív kapacitás</w:t>
        </w:r>
        <w:r>
          <w:rPr>
            <w:webHidden/>
          </w:rPr>
          <w:tab/>
        </w:r>
        <w:r>
          <w:rPr>
            <w:webHidden/>
          </w:rPr>
          <w:fldChar w:fldCharType="begin"/>
        </w:r>
        <w:r>
          <w:rPr>
            <w:webHidden/>
          </w:rPr>
          <w:instrText xml:space="preserve"> PAGEREF _Toc360176833 \h </w:instrText>
        </w:r>
        <w:r>
          <w:rPr>
            <w:webHidden/>
          </w:rPr>
        </w:r>
        <w:r>
          <w:rPr>
            <w:webHidden/>
          </w:rPr>
          <w:fldChar w:fldCharType="separate"/>
        </w:r>
        <w:r>
          <w:rPr>
            <w:webHidden/>
          </w:rPr>
          <w:t>150</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34" w:history="1">
        <w:r w:rsidRPr="002B1778">
          <w:rPr>
            <w:rStyle w:val="Hiperhivatkozs"/>
          </w:rPr>
          <w:t>5.1.2</w:t>
        </w:r>
        <w:r>
          <w:rPr>
            <w:rFonts w:asciiTheme="minorHAnsi" w:eastAsiaTheme="minorEastAsia" w:hAnsiTheme="minorHAnsi" w:cstheme="minorBidi"/>
            <w:kern w:val="0"/>
            <w:szCs w:val="22"/>
          </w:rPr>
          <w:tab/>
        </w:r>
        <w:r w:rsidRPr="002B1778">
          <w:rPr>
            <w:rStyle w:val="Hiperhivatkozs"/>
          </w:rPr>
          <w:t>Informatikai fejlesztések</w:t>
        </w:r>
        <w:r>
          <w:rPr>
            <w:webHidden/>
          </w:rPr>
          <w:tab/>
        </w:r>
        <w:r>
          <w:rPr>
            <w:webHidden/>
          </w:rPr>
          <w:fldChar w:fldCharType="begin"/>
        </w:r>
        <w:r>
          <w:rPr>
            <w:webHidden/>
          </w:rPr>
          <w:instrText xml:space="preserve"> PAGEREF _Toc360176834 \h </w:instrText>
        </w:r>
        <w:r>
          <w:rPr>
            <w:webHidden/>
          </w:rPr>
        </w:r>
        <w:r>
          <w:rPr>
            <w:webHidden/>
          </w:rPr>
          <w:fldChar w:fldCharType="separate"/>
        </w:r>
        <w:r>
          <w:rPr>
            <w:webHidden/>
          </w:rPr>
          <w:t>153</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35" w:history="1">
        <w:r w:rsidRPr="002B1778">
          <w:rPr>
            <w:rStyle w:val="Hiperhivatkozs"/>
            <w:noProof/>
          </w:rPr>
          <w:t>5.2</w:t>
        </w:r>
        <w:r>
          <w:rPr>
            <w:rFonts w:asciiTheme="minorHAnsi" w:eastAsiaTheme="minorEastAsia" w:hAnsiTheme="minorHAnsi" w:cstheme="minorBidi"/>
            <w:b w:val="0"/>
            <w:noProof/>
            <w:kern w:val="0"/>
            <w:sz w:val="22"/>
            <w:szCs w:val="22"/>
          </w:rPr>
          <w:tab/>
        </w:r>
        <w:r w:rsidRPr="002B1778">
          <w:rPr>
            <w:rStyle w:val="Hiperhivatkozs"/>
            <w:noProof/>
          </w:rPr>
          <w:t>A program irányítása során felmerült fő problémák és a meghozott intézkedések összegzése</w:t>
        </w:r>
        <w:r>
          <w:rPr>
            <w:noProof/>
            <w:webHidden/>
          </w:rPr>
          <w:tab/>
        </w:r>
        <w:r>
          <w:rPr>
            <w:noProof/>
            <w:webHidden/>
          </w:rPr>
          <w:fldChar w:fldCharType="begin"/>
        </w:r>
        <w:r>
          <w:rPr>
            <w:noProof/>
            <w:webHidden/>
          </w:rPr>
          <w:instrText xml:space="preserve"> PAGEREF _Toc360176835 \h </w:instrText>
        </w:r>
        <w:r>
          <w:rPr>
            <w:noProof/>
            <w:webHidden/>
          </w:rPr>
        </w:r>
        <w:r>
          <w:rPr>
            <w:noProof/>
            <w:webHidden/>
          </w:rPr>
          <w:fldChar w:fldCharType="separate"/>
        </w:r>
        <w:r>
          <w:rPr>
            <w:noProof/>
            <w:webHidden/>
          </w:rPr>
          <w:t>155</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36" w:history="1">
        <w:r w:rsidRPr="002B1778">
          <w:rPr>
            <w:rStyle w:val="Hiperhivatkozs"/>
          </w:rPr>
          <w:t>5.2.1</w:t>
        </w:r>
        <w:r>
          <w:rPr>
            <w:rFonts w:asciiTheme="minorHAnsi" w:eastAsiaTheme="minorEastAsia" w:hAnsiTheme="minorHAnsi" w:cstheme="minorBidi"/>
            <w:kern w:val="0"/>
            <w:szCs w:val="22"/>
          </w:rPr>
          <w:tab/>
        </w:r>
        <w:r w:rsidRPr="002B1778">
          <w:rPr>
            <w:rStyle w:val="Hiperhivatkozs"/>
          </w:rPr>
          <w:t>A program irányítása során felmerült fő problémák</w:t>
        </w:r>
        <w:r>
          <w:rPr>
            <w:webHidden/>
          </w:rPr>
          <w:tab/>
        </w:r>
        <w:r>
          <w:rPr>
            <w:webHidden/>
          </w:rPr>
          <w:fldChar w:fldCharType="begin"/>
        </w:r>
        <w:r>
          <w:rPr>
            <w:webHidden/>
          </w:rPr>
          <w:instrText xml:space="preserve"> PAGEREF _Toc360176836 \h </w:instrText>
        </w:r>
        <w:r>
          <w:rPr>
            <w:webHidden/>
          </w:rPr>
        </w:r>
        <w:r>
          <w:rPr>
            <w:webHidden/>
          </w:rPr>
          <w:fldChar w:fldCharType="separate"/>
        </w:r>
        <w:r>
          <w:rPr>
            <w:webHidden/>
          </w:rPr>
          <w:t>155</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37" w:history="1">
        <w:r w:rsidRPr="002B1778">
          <w:rPr>
            <w:rStyle w:val="Hiperhivatkozs"/>
          </w:rPr>
          <w:t>5.2.2</w:t>
        </w:r>
        <w:r>
          <w:rPr>
            <w:rFonts w:asciiTheme="minorHAnsi" w:eastAsiaTheme="minorEastAsia" w:hAnsiTheme="minorHAnsi" w:cstheme="minorBidi"/>
            <w:kern w:val="0"/>
            <w:szCs w:val="22"/>
          </w:rPr>
          <w:tab/>
        </w:r>
        <w:r w:rsidRPr="002B1778">
          <w:rPr>
            <w:rStyle w:val="Hiperhivatkozs"/>
          </w:rPr>
          <w:t>Monitoring feladatok</w:t>
        </w:r>
        <w:r>
          <w:rPr>
            <w:webHidden/>
          </w:rPr>
          <w:tab/>
        </w:r>
        <w:r>
          <w:rPr>
            <w:webHidden/>
          </w:rPr>
          <w:fldChar w:fldCharType="begin"/>
        </w:r>
        <w:r>
          <w:rPr>
            <w:webHidden/>
          </w:rPr>
          <w:instrText xml:space="preserve"> PAGEREF _Toc360176837 \h </w:instrText>
        </w:r>
        <w:r>
          <w:rPr>
            <w:webHidden/>
          </w:rPr>
        </w:r>
        <w:r>
          <w:rPr>
            <w:webHidden/>
          </w:rPr>
          <w:fldChar w:fldCharType="separate"/>
        </w:r>
        <w:r>
          <w:rPr>
            <w:webHidden/>
          </w:rPr>
          <w:t>156</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38" w:history="1">
        <w:r w:rsidRPr="002B1778">
          <w:rPr>
            <w:rStyle w:val="Hiperhivatkozs"/>
          </w:rPr>
          <w:t>5.2.3</w:t>
        </w:r>
        <w:r>
          <w:rPr>
            <w:rFonts w:asciiTheme="minorHAnsi" w:eastAsiaTheme="minorEastAsia" w:hAnsiTheme="minorHAnsi" w:cstheme="minorBidi"/>
            <w:kern w:val="0"/>
            <w:szCs w:val="22"/>
          </w:rPr>
          <w:tab/>
        </w:r>
        <w:r w:rsidRPr="002B1778">
          <w:rPr>
            <w:rStyle w:val="Hiperhivatkozs"/>
          </w:rPr>
          <w:t>A Program Monitoring Bizottsága</w:t>
        </w:r>
        <w:r>
          <w:rPr>
            <w:webHidden/>
          </w:rPr>
          <w:tab/>
        </w:r>
        <w:r>
          <w:rPr>
            <w:webHidden/>
          </w:rPr>
          <w:fldChar w:fldCharType="begin"/>
        </w:r>
        <w:r>
          <w:rPr>
            <w:webHidden/>
          </w:rPr>
          <w:instrText xml:space="preserve"> PAGEREF _Toc360176838 \h </w:instrText>
        </w:r>
        <w:r>
          <w:rPr>
            <w:webHidden/>
          </w:rPr>
        </w:r>
        <w:r>
          <w:rPr>
            <w:webHidden/>
          </w:rPr>
          <w:fldChar w:fldCharType="separate"/>
        </w:r>
        <w:r>
          <w:rPr>
            <w:webHidden/>
          </w:rPr>
          <w:t>157</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39" w:history="1">
        <w:r w:rsidRPr="002B1778">
          <w:rPr>
            <w:rStyle w:val="Hiperhivatkozs"/>
          </w:rPr>
          <w:t>5.2.4</w:t>
        </w:r>
        <w:r>
          <w:rPr>
            <w:rFonts w:asciiTheme="minorHAnsi" w:eastAsiaTheme="minorEastAsia" w:hAnsiTheme="minorHAnsi" w:cstheme="minorBidi"/>
            <w:kern w:val="0"/>
            <w:szCs w:val="22"/>
          </w:rPr>
          <w:tab/>
        </w:r>
        <w:r w:rsidRPr="002B1778">
          <w:rPr>
            <w:rStyle w:val="Hiperhivatkozs"/>
          </w:rPr>
          <w:t>Programmódosítások</w:t>
        </w:r>
        <w:r>
          <w:rPr>
            <w:webHidden/>
          </w:rPr>
          <w:tab/>
        </w:r>
        <w:r>
          <w:rPr>
            <w:webHidden/>
          </w:rPr>
          <w:fldChar w:fldCharType="begin"/>
        </w:r>
        <w:r>
          <w:rPr>
            <w:webHidden/>
          </w:rPr>
          <w:instrText xml:space="preserve"> PAGEREF _Toc360176839 \h </w:instrText>
        </w:r>
        <w:r>
          <w:rPr>
            <w:webHidden/>
          </w:rPr>
        </w:r>
        <w:r>
          <w:rPr>
            <w:webHidden/>
          </w:rPr>
          <w:fldChar w:fldCharType="separate"/>
        </w:r>
        <w:r>
          <w:rPr>
            <w:webHidden/>
          </w:rPr>
          <w:t>163</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40" w:history="1">
        <w:r w:rsidRPr="002B1778">
          <w:rPr>
            <w:rStyle w:val="Hiperhivatkozs"/>
          </w:rPr>
          <w:t>5.2.5</w:t>
        </w:r>
        <w:r>
          <w:rPr>
            <w:rFonts w:asciiTheme="minorHAnsi" w:eastAsiaTheme="minorEastAsia" w:hAnsiTheme="minorHAnsi" w:cstheme="minorBidi"/>
            <w:kern w:val="0"/>
            <w:szCs w:val="22"/>
          </w:rPr>
          <w:tab/>
        </w:r>
        <w:r w:rsidRPr="002B1778">
          <w:rPr>
            <w:rStyle w:val="Hiperhivatkozs"/>
          </w:rPr>
          <w:t>A Program lebonyolításához kapcsolódó ellenőrzések/auditok</w:t>
        </w:r>
        <w:r>
          <w:rPr>
            <w:webHidden/>
          </w:rPr>
          <w:tab/>
        </w:r>
        <w:r>
          <w:rPr>
            <w:webHidden/>
          </w:rPr>
          <w:fldChar w:fldCharType="begin"/>
        </w:r>
        <w:r>
          <w:rPr>
            <w:webHidden/>
          </w:rPr>
          <w:instrText xml:space="preserve"> PAGEREF _Toc360176840 \h </w:instrText>
        </w:r>
        <w:r>
          <w:rPr>
            <w:webHidden/>
          </w:rPr>
        </w:r>
        <w:r>
          <w:rPr>
            <w:webHidden/>
          </w:rPr>
          <w:fldChar w:fldCharType="separate"/>
        </w:r>
        <w:r>
          <w:rPr>
            <w:webHidden/>
          </w:rPr>
          <w:t>172</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41" w:history="1">
        <w:r w:rsidRPr="002B1778">
          <w:rPr>
            <w:rStyle w:val="Hiperhivatkozs"/>
            <w:noProof/>
          </w:rPr>
          <w:t>5.3</w:t>
        </w:r>
        <w:r>
          <w:rPr>
            <w:rFonts w:asciiTheme="minorHAnsi" w:eastAsiaTheme="minorEastAsia" w:hAnsiTheme="minorHAnsi" w:cstheme="minorBidi"/>
            <w:b w:val="0"/>
            <w:noProof/>
            <w:kern w:val="0"/>
            <w:sz w:val="22"/>
            <w:szCs w:val="22"/>
          </w:rPr>
          <w:tab/>
        </w:r>
        <w:r w:rsidRPr="002B1778">
          <w:rPr>
            <w:rStyle w:val="Hiperhivatkozs"/>
            <w:noProof/>
          </w:rPr>
          <w:t>Technikai segítségnyújtás</w:t>
        </w:r>
        <w:r>
          <w:rPr>
            <w:noProof/>
            <w:webHidden/>
          </w:rPr>
          <w:tab/>
        </w:r>
        <w:r>
          <w:rPr>
            <w:noProof/>
            <w:webHidden/>
          </w:rPr>
          <w:fldChar w:fldCharType="begin"/>
        </w:r>
        <w:r>
          <w:rPr>
            <w:noProof/>
            <w:webHidden/>
          </w:rPr>
          <w:instrText xml:space="preserve"> PAGEREF _Toc360176841 \h </w:instrText>
        </w:r>
        <w:r>
          <w:rPr>
            <w:noProof/>
            <w:webHidden/>
          </w:rPr>
        </w:r>
        <w:r>
          <w:rPr>
            <w:noProof/>
            <w:webHidden/>
          </w:rPr>
          <w:fldChar w:fldCharType="separate"/>
        </w:r>
        <w:r>
          <w:rPr>
            <w:noProof/>
            <w:webHidden/>
          </w:rPr>
          <w:t>180</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42" w:history="1">
        <w:r w:rsidRPr="002B1778">
          <w:rPr>
            <w:rStyle w:val="Hiperhivatkozs"/>
          </w:rPr>
          <w:t>5.3.1</w:t>
        </w:r>
        <w:r>
          <w:rPr>
            <w:rFonts w:asciiTheme="minorHAnsi" w:eastAsiaTheme="minorEastAsia" w:hAnsiTheme="minorHAnsi" w:cstheme="minorBidi"/>
            <w:kern w:val="0"/>
            <w:szCs w:val="22"/>
          </w:rPr>
          <w:tab/>
        </w:r>
        <w:r w:rsidRPr="002B1778">
          <w:rPr>
            <w:rStyle w:val="Hiperhivatkozs"/>
          </w:rPr>
          <w:t>Irányító Hatóság</w:t>
        </w:r>
        <w:r>
          <w:rPr>
            <w:webHidden/>
          </w:rPr>
          <w:tab/>
        </w:r>
        <w:r>
          <w:rPr>
            <w:webHidden/>
          </w:rPr>
          <w:fldChar w:fldCharType="begin"/>
        </w:r>
        <w:r>
          <w:rPr>
            <w:webHidden/>
          </w:rPr>
          <w:instrText xml:space="preserve"> PAGEREF _Toc360176842 \h </w:instrText>
        </w:r>
        <w:r>
          <w:rPr>
            <w:webHidden/>
          </w:rPr>
        </w:r>
        <w:r>
          <w:rPr>
            <w:webHidden/>
          </w:rPr>
          <w:fldChar w:fldCharType="separate"/>
        </w:r>
        <w:r>
          <w:rPr>
            <w:webHidden/>
          </w:rPr>
          <w:t>181</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43" w:history="1">
        <w:r w:rsidRPr="002B1778">
          <w:rPr>
            <w:rStyle w:val="Hiperhivatkozs"/>
          </w:rPr>
          <w:t>5.3.2</w:t>
        </w:r>
        <w:r>
          <w:rPr>
            <w:rFonts w:asciiTheme="minorHAnsi" w:eastAsiaTheme="minorEastAsia" w:hAnsiTheme="minorHAnsi" w:cstheme="minorBidi"/>
            <w:kern w:val="0"/>
            <w:szCs w:val="22"/>
          </w:rPr>
          <w:tab/>
        </w:r>
        <w:r w:rsidRPr="002B1778">
          <w:rPr>
            <w:rStyle w:val="Hiperhivatkozs"/>
          </w:rPr>
          <w:t>A Kifizető Ügynökség (MVH)</w:t>
        </w:r>
        <w:r>
          <w:rPr>
            <w:webHidden/>
          </w:rPr>
          <w:tab/>
        </w:r>
        <w:r>
          <w:rPr>
            <w:webHidden/>
          </w:rPr>
          <w:fldChar w:fldCharType="begin"/>
        </w:r>
        <w:r>
          <w:rPr>
            <w:webHidden/>
          </w:rPr>
          <w:instrText xml:space="preserve"> PAGEREF _Toc360176843 \h </w:instrText>
        </w:r>
        <w:r>
          <w:rPr>
            <w:webHidden/>
          </w:rPr>
        </w:r>
        <w:r>
          <w:rPr>
            <w:webHidden/>
          </w:rPr>
          <w:fldChar w:fldCharType="separate"/>
        </w:r>
        <w:r>
          <w:rPr>
            <w:webHidden/>
          </w:rPr>
          <w:t>182</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44" w:history="1">
        <w:r w:rsidRPr="002B1778">
          <w:rPr>
            <w:rStyle w:val="Hiperhivatkozs"/>
          </w:rPr>
          <w:t>5.3.3</w:t>
        </w:r>
        <w:r>
          <w:rPr>
            <w:rFonts w:asciiTheme="minorHAnsi" w:eastAsiaTheme="minorEastAsia" w:hAnsiTheme="minorHAnsi" w:cstheme="minorBidi"/>
            <w:kern w:val="0"/>
            <w:szCs w:val="22"/>
          </w:rPr>
          <w:tab/>
        </w:r>
        <w:r w:rsidRPr="002B1778">
          <w:rPr>
            <w:rStyle w:val="Hiperhivatkozs"/>
          </w:rPr>
          <w:t>Magyar Nemzeti Vidéki Hálózat</w:t>
        </w:r>
        <w:r>
          <w:rPr>
            <w:webHidden/>
          </w:rPr>
          <w:tab/>
        </w:r>
        <w:r>
          <w:rPr>
            <w:webHidden/>
          </w:rPr>
          <w:fldChar w:fldCharType="begin"/>
        </w:r>
        <w:r>
          <w:rPr>
            <w:webHidden/>
          </w:rPr>
          <w:instrText xml:space="preserve"> PAGEREF _Toc360176844 \h </w:instrText>
        </w:r>
        <w:r>
          <w:rPr>
            <w:webHidden/>
          </w:rPr>
        </w:r>
        <w:r>
          <w:rPr>
            <w:webHidden/>
          </w:rPr>
          <w:fldChar w:fldCharType="separate"/>
        </w:r>
        <w:r>
          <w:rPr>
            <w:webHidden/>
          </w:rPr>
          <w:t>184</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45" w:history="1">
        <w:r w:rsidRPr="002B1778">
          <w:rPr>
            <w:rStyle w:val="Hiperhivatkozs"/>
            <w:noProof/>
          </w:rPr>
          <w:t>5.4</w:t>
        </w:r>
        <w:r>
          <w:rPr>
            <w:rFonts w:asciiTheme="minorHAnsi" w:eastAsiaTheme="minorEastAsia" w:hAnsiTheme="minorHAnsi" w:cstheme="minorBidi"/>
            <w:b w:val="0"/>
            <w:noProof/>
            <w:kern w:val="0"/>
            <w:sz w:val="22"/>
            <w:szCs w:val="22"/>
          </w:rPr>
          <w:tab/>
        </w:r>
        <w:r w:rsidRPr="002B1778">
          <w:rPr>
            <w:rStyle w:val="Hiperhivatkozs"/>
            <w:noProof/>
          </w:rPr>
          <w:t>A program nyilvánosságának biztosítására tett lépések</w:t>
        </w:r>
        <w:r>
          <w:rPr>
            <w:noProof/>
            <w:webHidden/>
          </w:rPr>
          <w:tab/>
        </w:r>
        <w:r>
          <w:rPr>
            <w:noProof/>
            <w:webHidden/>
          </w:rPr>
          <w:fldChar w:fldCharType="begin"/>
        </w:r>
        <w:r>
          <w:rPr>
            <w:noProof/>
            <w:webHidden/>
          </w:rPr>
          <w:instrText xml:space="preserve"> PAGEREF _Toc360176845 \h </w:instrText>
        </w:r>
        <w:r>
          <w:rPr>
            <w:noProof/>
            <w:webHidden/>
          </w:rPr>
        </w:r>
        <w:r>
          <w:rPr>
            <w:noProof/>
            <w:webHidden/>
          </w:rPr>
          <w:fldChar w:fldCharType="separate"/>
        </w:r>
        <w:r>
          <w:rPr>
            <w:noProof/>
            <w:webHidden/>
          </w:rPr>
          <w:t>185</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46" w:history="1">
        <w:r w:rsidRPr="002B1778">
          <w:rPr>
            <w:rStyle w:val="Hiperhivatkozs"/>
          </w:rPr>
          <w:t>5.4.1</w:t>
        </w:r>
        <w:r>
          <w:rPr>
            <w:rFonts w:asciiTheme="minorHAnsi" w:eastAsiaTheme="minorEastAsia" w:hAnsiTheme="minorHAnsi" w:cstheme="minorBidi"/>
            <w:kern w:val="0"/>
            <w:szCs w:val="22"/>
          </w:rPr>
          <w:tab/>
        </w:r>
        <w:r w:rsidRPr="002B1778">
          <w:rPr>
            <w:rStyle w:val="Hiperhivatkozs"/>
          </w:rPr>
          <w:t>Az IH kommunikációs tevékenysége</w:t>
        </w:r>
        <w:r>
          <w:rPr>
            <w:webHidden/>
          </w:rPr>
          <w:tab/>
        </w:r>
        <w:r>
          <w:rPr>
            <w:webHidden/>
          </w:rPr>
          <w:fldChar w:fldCharType="begin"/>
        </w:r>
        <w:r>
          <w:rPr>
            <w:webHidden/>
          </w:rPr>
          <w:instrText xml:space="preserve"> PAGEREF _Toc360176846 \h </w:instrText>
        </w:r>
        <w:r>
          <w:rPr>
            <w:webHidden/>
          </w:rPr>
        </w:r>
        <w:r>
          <w:rPr>
            <w:webHidden/>
          </w:rPr>
          <w:fldChar w:fldCharType="separate"/>
        </w:r>
        <w:r>
          <w:rPr>
            <w:webHidden/>
          </w:rPr>
          <w:t>185</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47" w:history="1">
        <w:r w:rsidRPr="002B1778">
          <w:rPr>
            <w:rStyle w:val="Hiperhivatkozs"/>
          </w:rPr>
          <w:t>5.4.2</w:t>
        </w:r>
        <w:r>
          <w:rPr>
            <w:rFonts w:asciiTheme="minorHAnsi" w:eastAsiaTheme="minorEastAsia" w:hAnsiTheme="minorHAnsi" w:cstheme="minorBidi"/>
            <w:kern w:val="0"/>
            <w:szCs w:val="22"/>
          </w:rPr>
          <w:tab/>
        </w:r>
        <w:r w:rsidRPr="002B1778">
          <w:rPr>
            <w:rStyle w:val="Hiperhivatkozs"/>
          </w:rPr>
          <w:t>Az MVH kommunikációs tevékenysége</w:t>
        </w:r>
        <w:r>
          <w:rPr>
            <w:webHidden/>
          </w:rPr>
          <w:tab/>
        </w:r>
        <w:r>
          <w:rPr>
            <w:webHidden/>
          </w:rPr>
          <w:fldChar w:fldCharType="begin"/>
        </w:r>
        <w:r>
          <w:rPr>
            <w:webHidden/>
          </w:rPr>
          <w:instrText xml:space="preserve"> PAGEREF _Toc360176847 \h </w:instrText>
        </w:r>
        <w:r>
          <w:rPr>
            <w:webHidden/>
          </w:rPr>
        </w:r>
        <w:r>
          <w:rPr>
            <w:webHidden/>
          </w:rPr>
          <w:fldChar w:fldCharType="separate"/>
        </w:r>
        <w:r>
          <w:rPr>
            <w:webHidden/>
          </w:rPr>
          <w:t>190</w:t>
        </w:r>
        <w:r>
          <w:rPr>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848" w:history="1">
        <w:r w:rsidRPr="002B1778">
          <w:rPr>
            <w:rStyle w:val="Hiperhivatkozs"/>
            <w:noProof/>
          </w:rPr>
          <w:t>6</w:t>
        </w:r>
        <w:r>
          <w:rPr>
            <w:rFonts w:asciiTheme="minorHAnsi" w:eastAsiaTheme="minorEastAsia" w:hAnsiTheme="minorHAnsi" w:cstheme="minorBidi"/>
            <w:b w:val="0"/>
            <w:noProof/>
            <w:kern w:val="0"/>
            <w:sz w:val="22"/>
            <w:szCs w:val="22"/>
          </w:rPr>
          <w:tab/>
        </w:r>
        <w:r w:rsidRPr="002B1778">
          <w:rPr>
            <w:rStyle w:val="Hiperhivatkozs"/>
            <w:noProof/>
          </w:rPr>
          <w:t>A közösségi politikákkal meglévő összhang</w:t>
        </w:r>
        <w:r>
          <w:rPr>
            <w:noProof/>
            <w:webHidden/>
          </w:rPr>
          <w:tab/>
        </w:r>
        <w:r>
          <w:rPr>
            <w:noProof/>
            <w:webHidden/>
          </w:rPr>
          <w:fldChar w:fldCharType="begin"/>
        </w:r>
        <w:r>
          <w:rPr>
            <w:noProof/>
            <w:webHidden/>
          </w:rPr>
          <w:instrText xml:space="preserve"> PAGEREF _Toc360176848 \h </w:instrText>
        </w:r>
        <w:r>
          <w:rPr>
            <w:noProof/>
            <w:webHidden/>
          </w:rPr>
        </w:r>
        <w:r>
          <w:rPr>
            <w:noProof/>
            <w:webHidden/>
          </w:rPr>
          <w:fldChar w:fldCharType="separate"/>
        </w:r>
        <w:r>
          <w:rPr>
            <w:noProof/>
            <w:webHidden/>
          </w:rPr>
          <w:t>192</w:t>
        </w:r>
        <w:r>
          <w:rPr>
            <w:noProof/>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49" w:history="1">
        <w:r w:rsidRPr="002B1778">
          <w:rPr>
            <w:rStyle w:val="Hiperhivatkozs"/>
            <w:noProof/>
          </w:rPr>
          <w:t>6.1</w:t>
        </w:r>
        <w:r>
          <w:rPr>
            <w:rFonts w:asciiTheme="minorHAnsi" w:eastAsiaTheme="minorEastAsia" w:hAnsiTheme="minorHAnsi" w:cstheme="minorBidi"/>
            <w:b w:val="0"/>
            <w:noProof/>
            <w:kern w:val="0"/>
            <w:sz w:val="22"/>
            <w:szCs w:val="22"/>
          </w:rPr>
          <w:tab/>
        </w:r>
        <w:r w:rsidRPr="002B1778">
          <w:rPr>
            <w:rStyle w:val="Hiperhivatkozs"/>
            <w:noProof/>
          </w:rPr>
          <w:t>A közösségi politikák változásai</w:t>
        </w:r>
        <w:r>
          <w:rPr>
            <w:noProof/>
            <w:webHidden/>
          </w:rPr>
          <w:tab/>
        </w:r>
        <w:r>
          <w:rPr>
            <w:noProof/>
            <w:webHidden/>
          </w:rPr>
          <w:fldChar w:fldCharType="begin"/>
        </w:r>
        <w:r>
          <w:rPr>
            <w:noProof/>
            <w:webHidden/>
          </w:rPr>
          <w:instrText xml:space="preserve"> PAGEREF _Toc360176849 \h </w:instrText>
        </w:r>
        <w:r>
          <w:rPr>
            <w:noProof/>
            <w:webHidden/>
          </w:rPr>
        </w:r>
        <w:r>
          <w:rPr>
            <w:noProof/>
            <w:webHidden/>
          </w:rPr>
          <w:fldChar w:fldCharType="separate"/>
        </w:r>
        <w:r>
          <w:rPr>
            <w:noProof/>
            <w:webHidden/>
          </w:rPr>
          <w:t>192</w:t>
        </w:r>
        <w:r>
          <w:rPr>
            <w:noProof/>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50" w:history="1">
        <w:r w:rsidRPr="002B1778">
          <w:rPr>
            <w:rStyle w:val="Hiperhivatkozs"/>
          </w:rPr>
          <w:t>6.1.1</w:t>
        </w:r>
        <w:r>
          <w:rPr>
            <w:rFonts w:asciiTheme="minorHAnsi" w:eastAsiaTheme="minorEastAsia" w:hAnsiTheme="minorHAnsi" w:cstheme="minorBidi"/>
            <w:kern w:val="0"/>
            <w:szCs w:val="22"/>
          </w:rPr>
          <w:tab/>
        </w:r>
        <w:r w:rsidRPr="002B1778">
          <w:rPr>
            <w:rStyle w:val="Hiperhivatkozs"/>
          </w:rPr>
          <w:t>A más közösségi alapokkal történő lehatárolás és komplementaritás</w:t>
        </w:r>
        <w:r>
          <w:rPr>
            <w:webHidden/>
          </w:rPr>
          <w:tab/>
        </w:r>
        <w:r>
          <w:rPr>
            <w:webHidden/>
          </w:rPr>
          <w:fldChar w:fldCharType="begin"/>
        </w:r>
        <w:r>
          <w:rPr>
            <w:webHidden/>
          </w:rPr>
          <w:instrText xml:space="preserve"> PAGEREF _Toc360176850 \h </w:instrText>
        </w:r>
        <w:r>
          <w:rPr>
            <w:webHidden/>
          </w:rPr>
        </w:r>
        <w:r>
          <w:rPr>
            <w:webHidden/>
          </w:rPr>
          <w:fldChar w:fldCharType="separate"/>
        </w:r>
        <w:r>
          <w:rPr>
            <w:webHidden/>
          </w:rPr>
          <w:t>192</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51" w:history="1">
        <w:r w:rsidRPr="002B1778">
          <w:rPr>
            <w:rStyle w:val="Hiperhivatkozs"/>
          </w:rPr>
          <w:t>6.1.2</w:t>
        </w:r>
        <w:r>
          <w:rPr>
            <w:rFonts w:asciiTheme="minorHAnsi" w:eastAsiaTheme="minorEastAsia" w:hAnsiTheme="minorHAnsi" w:cstheme="minorBidi"/>
            <w:kern w:val="0"/>
            <w:szCs w:val="22"/>
          </w:rPr>
          <w:tab/>
        </w:r>
        <w:r w:rsidRPr="002B1778">
          <w:rPr>
            <w:rStyle w:val="Hiperhivatkozs"/>
          </w:rPr>
          <w:t>Kapcsolat a Közös Agrárpolitikával</w:t>
        </w:r>
        <w:r>
          <w:rPr>
            <w:webHidden/>
          </w:rPr>
          <w:tab/>
        </w:r>
        <w:r>
          <w:rPr>
            <w:webHidden/>
          </w:rPr>
          <w:fldChar w:fldCharType="begin"/>
        </w:r>
        <w:r>
          <w:rPr>
            <w:webHidden/>
          </w:rPr>
          <w:instrText xml:space="preserve"> PAGEREF _Toc360176851 \h </w:instrText>
        </w:r>
        <w:r>
          <w:rPr>
            <w:webHidden/>
          </w:rPr>
        </w:r>
        <w:r>
          <w:rPr>
            <w:webHidden/>
          </w:rPr>
          <w:fldChar w:fldCharType="separate"/>
        </w:r>
        <w:r>
          <w:rPr>
            <w:webHidden/>
          </w:rPr>
          <w:t>194</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52" w:history="1">
        <w:r w:rsidRPr="002B1778">
          <w:rPr>
            <w:rStyle w:val="Hiperhivatkozs"/>
          </w:rPr>
          <w:t>6.1.3</w:t>
        </w:r>
        <w:r>
          <w:rPr>
            <w:rFonts w:asciiTheme="minorHAnsi" w:eastAsiaTheme="minorEastAsia" w:hAnsiTheme="minorHAnsi" w:cstheme="minorBidi"/>
            <w:kern w:val="0"/>
            <w:szCs w:val="22"/>
          </w:rPr>
          <w:tab/>
        </w:r>
        <w:r w:rsidRPr="002B1778">
          <w:rPr>
            <w:rStyle w:val="Hiperhivatkozs"/>
          </w:rPr>
          <w:t>Kapcsolódás az uniós politikákhoz</w:t>
        </w:r>
        <w:r>
          <w:rPr>
            <w:webHidden/>
          </w:rPr>
          <w:tab/>
        </w:r>
        <w:r>
          <w:rPr>
            <w:webHidden/>
          </w:rPr>
          <w:fldChar w:fldCharType="begin"/>
        </w:r>
        <w:r>
          <w:rPr>
            <w:webHidden/>
          </w:rPr>
          <w:instrText xml:space="preserve"> PAGEREF _Toc360176852 \h </w:instrText>
        </w:r>
        <w:r>
          <w:rPr>
            <w:webHidden/>
          </w:rPr>
        </w:r>
        <w:r>
          <w:rPr>
            <w:webHidden/>
          </w:rPr>
          <w:fldChar w:fldCharType="separate"/>
        </w:r>
        <w:r>
          <w:rPr>
            <w:webHidden/>
          </w:rPr>
          <w:t>197</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53" w:history="1">
        <w:r w:rsidRPr="002B1778">
          <w:rPr>
            <w:rStyle w:val="Hiperhivatkozs"/>
          </w:rPr>
          <w:t>6.1.4</w:t>
        </w:r>
        <w:r>
          <w:rPr>
            <w:rFonts w:asciiTheme="minorHAnsi" w:eastAsiaTheme="minorEastAsia" w:hAnsiTheme="minorHAnsi" w:cstheme="minorBidi"/>
            <w:kern w:val="0"/>
            <w:szCs w:val="22"/>
          </w:rPr>
          <w:tab/>
        </w:r>
        <w:r w:rsidRPr="002B1778">
          <w:rPr>
            <w:rStyle w:val="Hiperhivatkozs"/>
          </w:rPr>
          <w:t>Közbeszerzés</w:t>
        </w:r>
        <w:r>
          <w:rPr>
            <w:webHidden/>
          </w:rPr>
          <w:tab/>
        </w:r>
        <w:r>
          <w:rPr>
            <w:webHidden/>
          </w:rPr>
          <w:fldChar w:fldCharType="begin"/>
        </w:r>
        <w:r>
          <w:rPr>
            <w:webHidden/>
          </w:rPr>
          <w:instrText xml:space="preserve"> PAGEREF _Toc360176853 \h </w:instrText>
        </w:r>
        <w:r>
          <w:rPr>
            <w:webHidden/>
          </w:rPr>
        </w:r>
        <w:r>
          <w:rPr>
            <w:webHidden/>
          </w:rPr>
          <w:fldChar w:fldCharType="separate"/>
        </w:r>
        <w:r>
          <w:rPr>
            <w:webHidden/>
          </w:rPr>
          <w:t>197</w:t>
        </w:r>
        <w:r>
          <w:rPr>
            <w:webHidden/>
          </w:rPr>
          <w:fldChar w:fldCharType="end"/>
        </w:r>
      </w:hyperlink>
    </w:p>
    <w:p w:rsidR="005962A0" w:rsidRDefault="005962A0">
      <w:pPr>
        <w:pStyle w:val="TJ3"/>
        <w:rPr>
          <w:rFonts w:asciiTheme="minorHAnsi" w:eastAsiaTheme="minorEastAsia" w:hAnsiTheme="minorHAnsi" w:cstheme="minorBidi"/>
          <w:kern w:val="0"/>
          <w:szCs w:val="22"/>
        </w:rPr>
      </w:pPr>
      <w:hyperlink w:anchor="_Toc360176854" w:history="1">
        <w:r w:rsidRPr="002B1778">
          <w:rPr>
            <w:rStyle w:val="Hiperhivatkozs"/>
          </w:rPr>
          <w:t>6.1.5</w:t>
        </w:r>
        <w:r>
          <w:rPr>
            <w:rFonts w:asciiTheme="minorHAnsi" w:eastAsiaTheme="minorEastAsia" w:hAnsiTheme="minorHAnsi" w:cstheme="minorBidi"/>
            <w:kern w:val="0"/>
            <w:szCs w:val="22"/>
          </w:rPr>
          <w:tab/>
        </w:r>
        <w:r w:rsidRPr="002B1778">
          <w:rPr>
            <w:rStyle w:val="Hiperhivatkozs"/>
          </w:rPr>
          <w:t>Állami támogatások</w:t>
        </w:r>
        <w:r>
          <w:rPr>
            <w:webHidden/>
          </w:rPr>
          <w:tab/>
        </w:r>
        <w:r>
          <w:rPr>
            <w:webHidden/>
          </w:rPr>
          <w:fldChar w:fldCharType="begin"/>
        </w:r>
        <w:r>
          <w:rPr>
            <w:webHidden/>
          </w:rPr>
          <w:instrText xml:space="preserve"> PAGEREF _Toc360176854 \h </w:instrText>
        </w:r>
        <w:r>
          <w:rPr>
            <w:webHidden/>
          </w:rPr>
        </w:r>
        <w:r>
          <w:rPr>
            <w:webHidden/>
          </w:rPr>
          <w:fldChar w:fldCharType="separate"/>
        </w:r>
        <w:r>
          <w:rPr>
            <w:webHidden/>
          </w:rPr>
          <w:t>201</w:t>
        </w:r>
        <w:r>
          <w:rPr>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55" w:history="1">
        <w:r w:rsidRPr="002B1778">
          <w:rPr>
            <w:rStyle w:val="Hiperhivatkozs"/>
            <w:noProof/>
          </w:rPr>
          <w:t>6.2</w:t>
        </w:r>
        <w:r>
          <w:rPr>
            <w:rFonts w:asciiTheme="minorHAnsi" w:eastAsiaTheme="minorEastAsia" w:hAnsiTheme="minorHAnsi" w:cstheme="minorBidi"/>
            <w:b w:val="0"/>
            <w:noProof/>
            <w:kern w:val="0"/>
            <w:sz w:val="22"/>
            <w:szCs w:val="22"/>
          </w:rPr>
          <w:tab/>
        </w:r>
        <w:r w:rsidRPr="002B1778">
          <w:rPr>
            <w:rStyle w:val="Hiperhivatkozs"/>
            <w:noProof/>
          </w:rPr>
          <w:t>Környezeti szempontú fenntarthatóság</w:t>
        </w:r>
        <w:r>
          <w:rPr>
            <w:noProof/>
            <w:webHidden/>
          </w:rPr>
          <w:tab/>
        </w:r>
        <w:r>
          <w:rPr>
            <w:noProof/>
            <w:webHidden/>
          </w:rPr>
          <w:fldChar w:fldCharType="begin"/>
        </w:r>
        <w:r>
          <w:rPr>
            <w:noProof/>
            <w:webHidden/>
          </w:rPr>
          <w:instrText xml:space="preserve"> PAGEREF _Toc360176855 \h </w:instrText>
        </w:r>
        <w:r>
          <w:rPr>
            <w:noProof/>
            <w:webHidden/>
          </w:rPr>
        </w:r>
        <w:r>
          <w:rPr>
            <w:noProof/>
            <w:webHidden/>
          </w:rPr>
          <w:fldChar w:fldCharType="separate"/>
        </w:r>
        <w:r>
          <w:rPr>
            <w:noProof/>
            <w:webHidden/>
          </w:rPr>
          <w:t>203</w:t>
        </w:r>
        <w:r>
          <w:rPr>
            <w:noProof/>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56" w:history="1">
        <w:r w:rsidRPr="002B1778">
          <w:rPr>
            <w:rStyle w:val="Hiperhivatkozs"/>
            <w:noProof/>
          </w:rPr>
          <w:t>6.3</w:t>
        </w:r>
        <w:r>
          <w:rPr>
            <w:rFonts w:asciiTheme="minorHAnsi" w:eastAsiaTheme="minorEastAsia" w:hAnsiTheme="minorHAnsi" w:cstheme="minorBidi"/>
            <w:b w:val="0"/>
            <w:noProof/>
            <w:kern w:val="0"/>
            <w:sz w:val="22"/>
            <w:szCs w:val="22"/>
          </w:rPr>
          <w:tab/>
        </w:r>
        <w:r w:rsidRPr="002B1778">
          <w:rPr>
            <w:rStyle w:val="Hiperhivatkozs"/>
            <w:noProof/>
          </w:rPr>
          <w:t>Esélyegyenlőség és a környezeti szempontú fenntarthatóság érvényesülése néhány jogcím esetében</w:t>
        </w:r>
        <w:r>
          <w:rPr>
            <w:noProof/>
            <w:webHidden/>
          </w:rPr>
          <w:tab/>
        </w:r>
        <w:r>
          <w:rPr>
            <w:noProof/>
            <w:webHidden/>
          </w:rPr>
          <w:fldChar w:fldCharType="begin"/>
        </w:r>
        <w:r>
          <w:rPr>
            <w:noProof/>
            <w:webHidden/>
          </w:rPr>
          <w:instrText xml:space="preserve"> PAGEREF _Toc360176856 \h </w:instrText>
        </w:r>
        <w:r>
          <w:rPr>
            <w:noProof/>
            <w:webHidden/>
          </w:rPr>
        </w:r>
        <w:r>
          <w:rPr>
            <w:noProof/>
            <w:webHidden/>
          </w:rPr>
          <w:fldChar w:fldCharType="separate"/>
        </w:r>
        <w:r>
          <w:rPr>
            <w:noProof/>
            <w:webHidden/>
          </w:rPr>
          <w:t>203</w:t>
        </w:r>
        <w:r>
          <w:rPr>
            <w:noProof/>
            <w:webHidden/>
          </w:rPr>
          <w:fldChar w:fldCharType="end"/>
        </w:r>
      </w:hyperlink>
    </w:p>
    <w:p w:rsidR="005962A0" w:rsidRDefault="005962A0">
      <w:pPr>
        <w:pStyle w:val="TJ2"/>
        <w:tabs>
          <w:tab w:val="left" w:pos="879"/>
        </w:tabs>
        <w:rPr>
          <w:rFonts w:asciiTheme="minorHAnsi" w:eastAsiaTheme="minorEastAsia" w:hAnsiTheme="minorHAnsi" w:cstheme="minorBidi"/>
          <w:b w:val="0"/>
          <w:noProof/>
          <w:kern w:val="0"/>
          <w:sz w:val="22"/>
          <w:szCs w:val="22"/>
        </w:rPr>
      </w:pPr>
      <w:hyperlink w:anchor="_Toc360176857" w:history="1">
        <w:r w:rsidRPr="002B1778">
          <w:rPr>
            <w:rStyle w:val="Hiperhivatkozs"/>
            <w:noProof/>
          </w:rPr>
          <w:t>6.4</w:t>
        </w:r>
        <w:r>
          <w:rPr>
            <w:rFonts w:asciiTheme="minorHAnsi" w:eastAsiaTheme="minorEastAsia" w:hAnsiTheme="minorHAnsi" w:cstheme="minorBidi"/>
            <w:b w:val="0"/>
            <w:noProof/>
            <w:kern w:val="0"/>
            <w:sz w:val="22"/>
            <w:szCs w:val="22"/>
          </w:rPr>
          <w:tab/>
        </w:r>
        <w:r w:rsidRPr="002B1778">
          <w:rPr>
            <w:rStyle w:val="Hiperhivatkozs"/>
            <w:noProof/>
          </w:rPr>
          <w:t>Esélyegyenlőség, társadalmi befogadás és a romák társadalmi felzárkózásának elősegítése</w:t>
        </w:r>
        <w:r>
          <w:rPr>
            <w:noProof/>
            <w:webHidden/>
          </w:rPr>
          <w:tab/>
        </w:r>
        <w:r>
          <w:rPr>
            <w:noProof/>
            <w:webHidden/>
          </w:rPr>
          <w:fldChar w:fldCharType="begin"/>
        </w:r>
        <w:r>
          <w:rPr>
            <w:noProof/>
            <w:webHidden/>
          </w:rPr>
          <w:instrText xml:space="preserve"> PAGEREF _Toc360176857 \h </w:instrText>
        </w:r>
        <w:r>
          <w:rPr>
            <w:noProof/>
            <w:webHidden/>
          </w:rPr>
        </w:r>
        <w:r>
          <w:rPr>
            <w:noProof/>
            <w:webHidden/>
          </w:rPr>
          <w:fldChar w:fldCharType="separate"/>
        </w:r>
        <w:r>
          <w:rPr>
            <w:noProof/>
            <w:webHidden/>
          </w:rPr>
          <w:t>209</w:t>
        </w:r>
        <w:r>
          <w:rPr>
            <w:noProof/>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858" w:history="1">
        <w:r w:rsidRPr="002B1778">
          <w:rPr>
            <w:rStyle w:val="Hiperhivatkozs"/>
            <w:noProof/>
          </w:rPr>
          <w:t>7</w:t>
        </w:r>
        <w:r>
          <w:rPr>
            <w:rFonts w:asciiTheme="minorHAnsi" w:eastAsiaTheme="minorEastAsia" w:hAnsiTheme="minorHAnsi" w:cstheme="minorBidi"/>
            <w:b w:val="0"/>
            <w:noProof/>
            <w:kern w:val="0"/>
            <w:sz w:val="22"/>
            <w:szCs w:val="22"/>
          </w:rPr>
          <w:tab/>
        </w:r>
        <w:r w:rsidRPr="002B1778">
          <w:rPr>
            <w:rStyle w:val="Hiperhivatkozs"/>
            <w:noProof/>
          </w:rPr>
          <w:t>.Az 1290/2005/EK rendelet 33. cikke szerint visszatérített támogatás ismételt felhasználása</w:t>
        </w:r>
        <w:r>
          <w:rPr>
            <w:noProof/>
            <w:webHidden/>
          </w:rPr>
          <w:tab/>
        </w:r>
        <w:r>
          <w:rPr>
            <w:noProof/>
            <w:webHidden/>
          </w:rPr>
          <w:fldChar w:fldCharType="begin"/>
        </w:r>
        <w:r>
          <w:rPr>
            <w:noProof/>
            <w:webHidden/>
          </w:rPr>
          <w:instrText xml:space="preserve"> PAGEREF _Toc360176858 \h </w:instrText>
        </w:r>
        <w:r>
          <w:rPr>
            <w:noProof/>
            <w:webHidden/>
          </w:rPr>
        </w:r>
        <w:r>
          <w:rPr>
            <w:noProof/>
            <w:webHidden/>
          </w:rPr>
          <w:fldChar w:fldCharType="separate"/>
        </w:r>
        <w:r>
          <w:rPr>
            <w:noProof/>
            <w:webHidden/>
          </w:rPr>
          <w:t>214</w:t>
        </w:r>
        <w:r>
          <w:rPr>
            <w:noProof/>
            <w:webHidden/>
          </w:rPr>
          <w:fldChar w:fldCharType="end"/>
        </w:r>
      </w:hyperlink>
    </w:p>
    <w:p w:rsidR="005962A0" w:rsidRDefault="005962A0">
      <w:pPr>
        <w:pStyle w:val="TJ1"/>
        <w:rPr>
          <w:rFonts w:asciiTheme="minorHAnsi" w:eastAsiaTheme="minorEastAsia" w:hAnsiTheme="minorHAnsi" w:cstheme="minorBidi"/>
          <w:b w:val="0"/>
          <w:noProof/>
          <w:kern w:val="0"/>
          <w:sz w:val="22"/>
          <w:szCs w:val="22"/>
        </w:rPr>
      </w:pPr>
      <w:hyperlink w:anchor="_Toc360176859" w:history="1">
        <w:r w:rsidRPr="002B1778">
          <w:rPr>
            <w:rStyle w:val="Hiperhivatkozs"/>
            <w:noProof/>
          </w:rPr>
          <w:t>8</w:t>
        </w:r>
        <w:r>
          <w:rPr>
            <w:rFonts w:asciiTheme="minorHAnsi" w:eastAsiaTheme="minorEastAsia" w:hAnsiTheme="minorHAnsi" w:cstheme="minorBidi"/>
            <w:b w:val="0"/>
            <w:noProof/>
            <w:kern w:val="0"/>
            <w:sz w:val="22"/>
            <w:szCs w:val="22"/>
          </w:rPr>
          <w:tab/>
        </w:r>
        <w:r w:rsidRPr="002B1778">
          <w:rPr>
            <w:rStyle w:val="Hiperhivatkozs"/>
            <w:noProof/>
          </w:rPr>
          <w:t>Mellékletek</w:t>
        </w:r>
        <w:r>
          <w:rPr>
            <w:noProof/>
            <w:webHidden/>
          </w:rPr>
          <w:tab/>
        </w:r>
        <w:r>
          <w:rPr>
            <w:noProof/>
            <w:webHidden/>
          </w:rPr>
          <w:fldChar w:fldCharType="begin"/>
        </w:r>
        <w:r>
          <w:rPr>
            <w:noProof/>
            <w:webHidden/>
          </w:rPr>
          <w:instrText xml:space="preserve"> PAGEREF _Toc360176859 \h </w:instrText>
        </w:r>
        <w:r>
          <w:rPr>
            <w:noProof/>
            <w:webHidden/>
          </w:rPr>
        </w:r>
        <w:r>
          <w:rPr>
            <w:noProof/>
            <w:webHidden/>
          </w:rPr>
          <w:fldChar w:fldCharType="separate"/>
        </w:r>
        <w:r>
          <w:rPr>
            <w:noProof/>
            <w:webHidden/>
          </w:rPr>
          <w:t>215</w:t>
        </w:r>
        <w:r>
          <w:rPr>
            <w:noProof/>
            <w:webHidden/>
          </w:rPr>
          <w:fldChar w:fldCharType="end"/>
        </w:r>
      </w:hyperlink>
    </w:p>
    <w:p w:rsidR="00011C3B" w:rsidRDefault="00011C3B">
      <w:r>
        <w:rPr>
          <w:b/>
          <w:bCs/>
        </w:rPr>
        <w:fldChar w:fldCharType="end"/>
      </w:r>
    </w:p>
    <w:p w:rsidR="00011C3B" w:rsidRPr="00011C3B" w:rsidRDefault="00011C3B" w:rsidP="00011C3B">
      <w:pPr>
        <w:pStyle w:val="Szvegtrzs"/>
      </w:pPr>
    </w:p>
    <w:p w:rsidR="007E5FDF" w:rsidRPr="00F35797" w:rsidRDefault="007E5FDF" w:rsidP="005962A0">
      <w:pPr>
        <w:pStyle w:val="Cmsor1"/>
        <w:numPr>
          <w:ilvl w:val="0"/>
          <w:numId w:val="0"/>
        </w:numPr>
        <w:ind w:left="567"/>
      </w:pPr>
      <w:bookmarkStart w:id="0" w:name="_Toc232860140"/>
      <w:bookmarkStart w:id="1" w:name="_Toc101512938"/>
      <w:bookmarkStart w:id="2" w:name="_Toc136258711"/>
      <w:bookmarkStart w:id="3" w:name="_Toc164076489"/>
      <w:bookmarkStart w:id="4" w:name="_Toc196203043"/>
      <w:bookmarkStart w:id="5" w:name="_Toc232860141"/>
      <w:bookmarkStart w:id="6" w:name="_Toc328638689"/>
      <w:bookmarkStart w:id="7" w:name="_Toc360176779"/>
      <w:r w:rsidRPr="00F35797">
        <w:lastRenderedPageBreak/>
        <w:t>Bevezetés</w:t>
      </w:r>
      <w:bookmarkEnd w:id="6"/>
      <w:bookmarkEnd w:id="7"/>
    </w:p>
    <w:p w:rsidR="007E5FDF" w:rsidRPr="00F35797" w:rsidRDefault="007E5FDF" w:rsidP="007E5FDF">
      <w:pPr>
        <w:pStyle w:val="j-nomlszveg"/>
      </w:pPr>
      <w:r w:rsidRPr="00F35797">
        <w:t>Az Európai Mezőgazdasági</w:t>
      </w:r>
      <w:r>
        <w:t xml:space="preserve"> és</w:t>
      </w:r>
      <w:r w:rsidRPr="00F35797">
        <w:t xml:space="preserve"> Vidékfejlesztési Alap (EMVA) által finanszírozott közösségi vidékfejlesztési támogatásra vonatkozó általános szabályokat a</w:t>
      </w:r>
      <w:r w:rsidRPr="00F35797">
        <w:rPr>
          <w:b/>
        </w:rPr>
        <w:t xml:space="preserve"> </w:t>
      </w:r>
      <w:r w:rsidRPr="00F35797">
        <w:t>Tanács</w:t>
      </w:r>
      <w:r w:rsidRPr="00F35797">
        <w:rPr>
          <w:b/>
        </w:rPr>
        <w:t xml:space="preserve"> </w:t>
      </w:r>
      <w:r w:rsidRPr="00F35797">
        <w:t>1698/2005/EK (2005. szep</w:t>
      </w:r>
      <w:r>
        <w:t>tember 20.) r</w:t>
      </w:r>
      <w:r w:rsidRPr="00F35797">
        <w:t>endelete állapítja meg. A rendelet szerint minden tagállam nemzeti str</w:t>
      </w:r>
      <w:r w:rsidRPr="00F35797">
        <w:t>a</w:t>
      </w:r>
      <w:r w:rsidRPr="00F35797">
        <w:t>tégiai tervet nyújt be, amely feltünteti az EMVA és az érintett tagállam cselekvési prioritásait, figyelembe véve a közösségi stratégiai iránymutatásokat, azok konkrét célkitűzéseit, v</w:t>
      </w:r>
      <w:r w:rsidRPr="00F35797">
        <w:t>a</w:t>
      </w:r>
      <w:r w:rsidRPr="00F35797">
        <w:t>lamint az EMVA-ból és más finanszírozási forrásokból származó hozzájárulást. A nemzeti stratégiai terv végrehajtása a vidékfejlesztési programon keresztül tört</w:t>
      </w:r>
      <w:r w:rsidRPr="00F35797">
        <w:t>é</w:t>
      </w:r>
      <w:r w:rsidRPr="00F35797">
        <w:t>nik.</w:t>
      </w:r>
    </w:p>
    <w:p w:rsidR="007E5FDF" w:rsidRDefault="007E5FDF" w:rsidP="007E5FDF">
      <w:pPr>
        <w:pStyle w:val="j-nomlszveg"/>
      </w:pPr>
      <w:r w:rsidRPr="00314C4D">
        <w:t>Az EMVA keretében nyújtott támogatásokra vonatkozó V</w:t>
      </w:r>
      <w:r>
        <w:t>idékfejlesztési Stratégiai Terv</w:t>
      </w:r>
      <w:r w:rsidRPr="00314C4D">
        <w:t xml:space="preserve"> és az EMVA által társfinanszírozott vidékfejlesztési program ter</w:t>
      </w:r>
      <w:r w:rsidRPr="00F35797">
        <w:t xml:space="preserve">vezése már 2005-ben elindult, majd </w:t>
      </w:r>
      <w:r>
        <w:t>a Stratégia</w:t>
      </w:r>
      <w:r w:rsidRPr="00F35797">
        <w:t xml:space="preserve"> 2006 december</w:t>
      </w:r>
      <w:r w:rsidRPr="00F35797">
        <w:t>é</w:t>
      </w:r>
      <w:r w:rsidRPr="00F35797">
        <w:t xml:space="preserve">ben, míg </w:t>
      </w:r>
      <w:r>
        <w:t>a Program</w:t>
      </w:r>
      <w:r w:rsidRPr="00F35797">
        <w:t xml:space="preserve"> 2007 februárjában hivatalosan is benyújtásra került az Európai Bizottsághoz. Folyamatos tárgyalásokat követően a Vidé</w:t>
      </w:r>
      <w:r w:rsidRPr="00F35797">
        <w:t>k</w:t>
      </w:r>
      <w:r w:rsidRPr="00F35797">
        <w:t xml:space="preserve">fejlesztési Bizottság 2007. szeptember 19-én jóváhagyta a 2007-2013-as időszakra vonatkozó </w:t>
      </w:r>
      <w:r>
        <w:t>vidé</w:t>
      </w:r>
      <w:r>
        <w:t>k</w:t>
      </w:r>
      <w:r>
        <w:t>fejlesztési p</w:t>
      </w:r>
      <w:r w:rsidRPr="00F35797">
        <w:t xml:space="preserve">rogramot. Ezt követően </w:t>
      </w:r>
      <w:r>
        <w:t xml:space="preserve">2007. </w:t>
      </w:r>
      <w:r w:rsidRPr="00F35797">
        <w:t xml:space="preserve">október 24-én az EU Bizottság B(2007) 5121 számú határozatában elfogadta </w:t>
      </w:r>
      <w:r>
        <w:t>Magyarország</w:t>
      </w:r>
      <w:r w:rsidRPr="00F35797">
        <w:t xml:space="preserve"> </w:t>
      </w:r>
      <w:r>
        <w:t>v</w:t>
      </w:r>
      <w:r>
        <w:t>i</w:t>
      </w:r>
      <w:r>
        <w:t>dékfejlesztési p</w:t>
      </w:r>
      <w:r w:rsidRPr="00F35797">
        <w:t>rogram</w:t>
      </w:r>
      <w:r>
        <w:t>já</w:t>
      </w:r>
      <w:r w:rsidRPr="00F35797">
        <w:t>t.</w:t>
      </w:r>
    </w:p>
    <w:p w:rsidR="007E5FDF" w:rsidRPr="00F35797" w:rsidRDefault="007E5FDF" w:rsidP="007E5FDF">
      <w:pPr>
        <w:pStyle w:val="j-nomlszveg"/>
      </w:pPr>
      <w:r w:rsidRPr="00F35797">
        <w:t xml:space="preserve">A Rendelet 82. cikke rendelkezik az éves időközi jelentési kötelezettségről, mely szerint az </w:t>
      </w:r>
      <w:r>
        <w:t>I</w:t>
      </w:r>
      <w:r w:rsidRPr="00F35797">
        <w:t>r</w:t>
      </w:r>
      <w:r w:rsidRPr="00F35797">
        <w:t>á</w:t>
      </w:r>
      <w:r w:rsidRPr="00F35797">
        <w:t xml:space="preserve">nyító </w:t>
      </w:r>
      <w:r>
        <w:t>H</w:t>
      </w:r>
      <w:r w:rsidRPr="00F35797">
        <w:t xml:space="preserve">atóság első alkalommal 2008-ban </w:t>
      </w:r>
      <w:r>
        <w:t>és minden évben június 30-ig a P</w:t>
      </w:r>
      <w:r w:rsidRPr="00F35797">
        <w:t>rogram végrehajtás</w:t>
      </w:r>
      <w:r w:rsidRPr="00F35797">
        <w:t>á</w:t>
      </w:r>
      <w:r w:rsidRPr="00F35797">
        <w:t>ról szóló éves időközi jelentést küld a Bizottságnak, a Monitoring Bizottság j</w:t>
      </w:r>
      <w:r w:rsidRPr="00F35797">
        <w:t>ó</w:t>
      </w:r>
      <w:r w:rsidRPr="00F35797">
        <w:t xml:space="preserve">váhagyását követően. A jelentés célja, hogy feldolgozott, összegző információt nyújtson a Monitoring Bizottság és az Európai Unió Bizottsága számára </w:t>
      </w:r>
      <w:r>
        <w:t>a Program</w:t>
      </w:r>
      <w:r w:rsidRPr="00F35797">
        <w:t xml:space="preserve"> előrehaladásáról, a megvalósítás hatékonyság</w:t>
      </w:r>
      <w:r w:rsidRPr="00F35797">
        <w:t>á</w:t>
      </w:r>
      <w:r w:rsidRPr="00F35797">
        <w:t>nak növelése érdekében tett lépésekről, az esetleges problémákról és a javasolt megoldáso</w:t>
      </w:r>
      <w:r w:rsidRPr="00F35797">
        <w:t>k</w:t>
      </w:r>
      <w:r w:rsidRPr="00F35797">
        <w:t>ról.</w:t>
      </w:r>
    </w:p>
    <w:p w:rsidR="007E5FDF" w:rsidRPr="00F35797" w:rsidRDefault="007E5FDF" w:rsidP="007E5FDF">
      <w:pPr>
        <w:pStyle w:val="j-nomlszveg"/>
      </w:pPr>
      <w:r>
        <w:t>Jelen</w:t>
      </w:r>
      <w:r w:rsidRPr="00F35797">
        <w:t xml:space="preserve"> jelentés középpontjában a 201</w:t>
      </w:r>
      <w:r>
        <w:t>2</w:t>
      </w:r>
      <w:r w:rsidRPr="00F35797">
        <w:t>. évben meghirdetett és végrehajtott jogcímek végr</w:t>
      </w:r>
      <w:r w:rsidRPr="00F35797">
        <w:t>e</w:t>
      </w:r>
      <w:r w:rsidRPr="00F35797">
        <w:t>hajtásának bemutatása á</w:t>
      </w:r>
      <w:r>
        <w:t>ll. A jelentés az 1974/2006/EK bizottsági r</w:t>
      </w:r>
      <w:r w:rsidRPr="00F35797">
        <w:t>endelet 60. cikkében előírtaknak és a VII. sz. mellékletében foglaltaknak megfelelően, az ott megadott szerk</w:t>
      </w:r>
      <w:r w:rsidRPr="00F35797">
        <w:t>e</w:t>
      </w:r>
      <w:r w:rsidRPr="00F35797">
        <w:t>zetben készült el:</w:t>
      </w:r>
    </w:p>
    <w:p w:rsidR="007E5FDF" w:rsidRPr="00F35797" w:rsidRDefault="007E5FDF" w:rsidP="007E5FDF">
      <w:pPr>
        <w:pStyle w:val="j-felsorols1"/>
      </w:pPr>
      <w:r>
        <w:t>a</w:t>
      </w:r>
      <w:r w:rsidRPr="00F35797">
        <w:t xml:space="preserve">z 1. fejezet összefoglalja a </w:t>
      </w:r>
      <w:r>
        <w:t>P</w:t>
      </w:r>
      <w:r w:rsidRPr="00F35797">
        <w:t>rogram megvalósítását befolyásoló külső kö</w:t>
      </w:r>
      <w:r w:rsidRPr="00F35797">
        <w:t>r</w:t>
      </w:r>
      <w:r w:rsidRPr="00F35797">
        <w:t>nyezetet</w:t>
      </w:r>
    </w:p>
    <w:p w:rsidR="007E5FDF" w:rsidRPr="00F35797" w:rsidRDefault="007E5FDF" w:rsidP="007E5FDF">
      <w:pPr>
        <w:pStyle w:val="j-felsorols1"/>
      </w:pPr>
      <w:r>
        <w:t>a</w:t>
      </w:r>
      <w:r w:rsidRPr="00F35797">
        <w:t xml:space="preserve"> 2. fejezet beszámol </w:t>
      </w:r>
      <w:r>
        <w:t>a Program</w:t>
      </w:r>
      <w:r w:rsidRPr="00F35797">
        <w:t xml:space="preserve"> 201</w:t>
      </w:r>
      <w:r>
        <w:t>2</w:t>
      </w:r>
      <w:r w:rsidRPr="00F35797">
        <w:t>. évi előrehalad</w:t>
      </w:r>
      <w:r w:rsidRPr="00F35797">
        <w:t>á</w:t>
      </w:r>
      <w:r w:rsidRPr="00F35797">
        <w:t>sáról</w:t>
      </w:r>
    </w:p>
    <w:p w:rsidR="007E5FDF" w:rsidRPr="00F35797" w:rsidRDefault="007E5FDF" w:rsidP="007E5FDF">
      <w:pPr>
        <w:pStyle w:val="j-felsorols1"/>
      </w:pPr>
      <w:r>
        <w:t>a</w:t>
      </w:r>
      <w:r w:rsidRPr="00F35797">
        <w:t xml:space="preserve"> 3. fejezet a program pénzügyi végrehajtását mutatja be</w:t>
      </w:r>
    </w:p>
    <w:p w:rsidR="007E5FDF" w:rsidRPr="00F35797" w:rsidRDefault="007E5FDF" w:rsidP="007E5FDF">
      <w:pPr>
        <w:pStyle w:val="j-felsorols1"/>
      </w:pPr>
      <w:r>
        <w:t>a</w:t>
      </w:r>
      <w:r w:rsidRPr="00F35797">
        <w:t xml:space="preserve"> 4. fejezet a folyamatos értékelési t</w:t>
      </w:r>
      <w:r w:rsidRPr="00F35797">
        <w:t>e</w:t>
      </w:r>
      <w:r w:rsidRPr="00F35797">
        <w:t>vékenység összegzését tartalmazza</w:t>
      </w:r>
    </w:p>
    <w:p w:rsidR="007E5FDF" w:rsidRPr="00F35797" w:rsidRDefault="007E5FDF" w:rsidP="007E5FDF">
      <w:pPr>
        <w:pStyle w:val="j-felsorols1"/>
      </w:pPr>
      <w:r>
        <w:t>a</w:t>
      </w:r>
      <w:r w:rsidRPr="00F35797">
        <w:t xml:space="preserve">z 5. fejezet tárgyalja a </w:t>
      </w:r>
      <w:r>
        <w:t>P</w:t>
      </w:r>
      <w:r w:rsidRPr="00F35797">
        <w:t>rogram irányítása során felmerült fő problémákat és összegzi a meghozott intézkedés</w:t>
      </w:r>
      <w:r w:rsidRPr="00F35797">
        <w:t>e</w:t>
      </w:r>
      <w:r w:rsidRPr="00F35797">
        <w:t>ket</w:t>
      </w:r>
    </w:p>
    <w:p w:rsidR="007E5FDF" w:rsidRPr="00F35797" w:rsidRDefault="007E5FDF" w:rsidP="007E5FDF">
      <w:pPr>
        <w:pStyle w:val="j-felsorols1"/>
      </w:pPr>
      <w:r>
        <w:t>a</w:t>
      </w:r>
      <w:r w:rsidRPr="00F35797">
        <w:t xml:space="preserve"> 6. fejezetben kerül bemutatásra a Program és a közösségi politikák közötti öss</w:t>
      </w:r>
      <w:r w:rsidRPr="00F35797">
        <w:t>z</w:t>
      </w:r>
      <w:r w:rsidRPr="00F35797">
        <w:t>hang</w:t>
      </w:r>
    </w:p>
    <w:p w:rsidR="007E5FDF" w:rsidRPr="00F35797" w:rsidRDefault="007E5FDF" w:rsidP="007E5FDF">
      <w:pPr>
        <w:pStyle w:val="j-felsorols1"/>
      </w:pPr>
      <w:r>
        <w:t>a</w:t>
      </w:r>
      <w:r w:rsidRPr="00F35797">
        <w:t xml:space="preserve"> 7. fejezet az 1290/2005/EK rendelet 33. cikke szerint visszatérített támogatás ismételt fe</w:t>
      </w:r>
      <w:r w:rsidRPr="00F35797">
        <w:t>l</w:t>
      </w:r>
      <w:r w:rsidRPr="00F35797">
        <w:t>használását részletezi.</w:t>
      </w:r>
    </w:p>
    <w:p w:rsidR="007E5FDF" w:rsidRDefault="007E5FDF" w:rsidP="005962A0">
      <w:pPr>
        <w:pStyle w:val="j-nomlszveg"/>
      </w:pPr>
      <w:r w:rsidRPr="00F35797">
        <w:t xml:space="preserve">A jelentés összeállításába a Vidékfejlesztési Minisztérium </w:t>
      </w:r>
      <w:r>
        <w:t xml:space="preserve">Vidékfejlesztésért felelős Helyettes Államtitkársága és annak főosztályai - </w:t>
      </w:r>
      <w:smartTag w:uri="urn:schemas-microsoft-com:office:smarttags" w:element="PersonName">
        <w:r w:rsidRPr="00F35797">
          <w:t>Vidékfejlesztési Főosztály</w:t>
        </w:r>
      </w:smartTag>
      <w:r w:rsidRPr="00F35797">
        <w:t xml:space="preserve">, Agrárfejlesztési Főosztály, Pénzügyi, Felügyeleti és Akkreditációs Főosztály </w:t>
      </w:r>
      <w:r>
        <w:t xml:space="preserve">- </w:t>
      </w:r>
      <w:r w:rsidRPr="00F35797">
        <w:t xml:space="preserve">mint </w:t>
      </w:r>
      <w:r>
        <w:t>a Program</w:t>
      </w:r>
      <w:r w:rsidRPr="00F35797">
        <w:t xml:space="preserve"> Irányító Hatósági fe</w:t>
      </w:r>
      <w:r w:rsidRPr="00F35797">
        <w:t>l</w:t>
      </w:r>
      <w:r w:rsidRPr="00F35797">
        <w:t>adatait ellátó főosztály</w:t>
      </w:r>
      <w:r>
        <w:t>ok</w:t>
      </w:r>
      <w:r w:rsidRPr="00F35797">
        <w:t xml:space="preserve"> bevont</w:t>
      </w:r>
      <w:r>
        <w:t xml:space="preserve">ák </w:t>
      </w:r>
      <w:r w:rsidRPr="00F35797">
        <w:t>a Mezőgazdasági és Vidékfejlesztési Hivatal (MVH)</w:t>
      </w:r>
      <w:r>
        <w:t>, a Nemzeti Agrárszaktanácsadási, Képzési és Vidékfejlesztési Intézet (NAKVI) mu</w:t>
      </w:r>
      <w:r>
        <w:t>n</w:t>
      </w:r>
      <w:r>
        <w:t>katársait</w:t>
      </w:r>
      <w:r w:rsidRPr="00F35797">
        <w:t xml:space="preserve">. </w:t>
      </w:r>
    </w:p>
    <w:p w:rsidR="007E5FDF" w:rsidRPr="00F330F7" w:rsidRDefault="007E5FDF" w:rsidP="005962A0">
      <w:pPr>
        <w:pStyle w:val="j-nomlszveg"/>
      </w:pPr>
      <w:r w:rsidRPr="001B06E8">
        <w:t>A jelentésben szereplő adatok elsődleges forrása az Integrált Igazgatási és Ellenőrzési Rendszer (a továbbiakban: IIER) 201</w:t>
      </w:r>
      <w:r>
        <w:t>2</w:t>
      </w:r>
      <w:r w:rsidRPr="001B06E8">
        <w:t>. december 31-i adata</w:t>
      </w:r>
      <w:r>
        <w:t>i</w:t>
      </w:r>
      <w:r w:rsidRPr="001B06E8">
        <w:t>. A jelentés forint adatai az Európai Központi Bank 201</w:t>
      </w:r>
      <w:r>
        <w:t>2</w:t>
      </w:r>
      <w:r w:rsidRPr="001B06E8">
        <w:t xml:space="preserve">. december 31-i </w:t>
      </w:r>
      <w:r w:rsidRPr="007E5FDF">
        <w:rPr>
          <w:b/>
          <w:bCs/>
        </w:rPr>
        <w:t xml:space="preserve">292,3 </w:t>
      </w:r>
      <w:r w:rsidRPr="005962A0">
        <w:rPr>
          <w:b/>
        </w:rPr>
        <w:t>forint/euró</w:t>
      </w:r>
      <w:r w:rsidRPr="001B06E8">
        <w:t xml:space="preserve"> árfolyamán kerültek euróra átsz</w:t>
      </w:r>
      <w:r w:rsidRPr="001B06E8">
        <w:t>á</w:t>
      </w:r>
      <w:r w:rsidRPr="00F330F7">
        <w:t>mításra.</w:t>
      </w:r>
    </w:p>
    <w:p w:rsidR="00011C3B" w:rsidRDefault="00011C3B" w:rsidP="00F17E25">
      <w:pPr>
        <w:pStyle w:val="Cmsor1"/>
      </w:pPr>
      <w:bookmarkStart w:id="8" w:name="_Toc360176780"/>
      <w:r>
        <w:lastRenderedPageBreak/>
        <w:t>A</w:t>
      </w:r>
      <w:r w:rsidRPr="00136D63">
        <w:t xml:space="preserve"> program végrehaj</w:t>
      </w:r>
      <w:r>
        <w:t>tásának általános feltételei 2012-</w:t>
      </w:r>
      <w:r w:rsidRPr="00136D63">
        <w:t>b</w:t>
      </w:r>
      <w:r>
        <w:t>e</w:t>
      </w:r>
      <w:r w:rsidRPr="00136D63">
        <w:t>n</w:t>
      </w:r>
      <w:bookmarkEnd w:id="0"/>
      <w:bookmarkEnd w:id="8"/>
    </w:p>
    <w:p w:rsidR="00C07F4B" w:rsidRPr="009D1B7B" w:rsidRDefault="00C07F4B" w:rsidP="00626F2F">
      <w:pPr>
        <w:pStyle w:val="Cmsor2"/>
      </w:pPr>
      <w:bookmarkStart w:id="9" w:name="_Toc360176781"/>
      <w:r w:rsidRPr="009D1B7B">
        <w:t>A gazdasági keretfeltételek változásai</w:t>
      </w:r>
      <w:bookmarkEnd w:id="1"/>
      <w:bookmarkEnd w:id="2"/>
      <w:bookmarkEnd w:id="3"/>
      <w:bookmarkEnd w:id="4"/>
      <w:bookmarkEnd w:id="5"/>
      <w:bookmarkEnd w:id="9"/>
      <w:r w:rsidR="009A7F01">
        <w:t xml:space="preserve"> </w:t>
      </w:r>
    </w:p>
    <w:p w:rsidR="008B1EAE" w:rsidRPr="00896E03" w:rsidRDefault="008B1EAE" w:rsidP="00DB48A3">
      <w:pPr>
        <w:pStyle w:val="Cmsor3"/>
      </w:pPr>
      <w:bookmarkStart w:id="10" w:name="_Toc227551597"/>
      <w:bookmarkStart w:id="11" w:name="_Toc232860142"/>
      <w:bookmarkStart w:id="12" w:name="_Toc136258715"/>
      <w:bookmarkStart w:id="13" w:name="_Toc164076491"/>
      <w:bookmarkStart w:id="14" w:name="_Toc360176782"/>
      <w:r w:rsidRPr="00896E03">
        <w:t>Társadalmi-gazdasági trendek - külső környezet</w:t>
      </w:r>
      <w:bookmarkEnd w:id="10"/>
      <w:bookmarkEnd w:id="11"/>
      <w:bookmarkEnd w:id="14"/>
      <w:r w:rsidRPr="00896E03">
        <w:t xml:space="preserve"> </w:t>
      </w:r>
    </w:p>
    <w:p w:rsidR="003F11CB" w:rsidRDefault="003F11CB" w:rsidP="00634CDA">
      <w:pPr>
        <w:rPr>
          <w:szCs w:val="20"/>
        </w:rPr>
      </w:pPr>
      <w:r>
        <w:rPr>
          <w:szCs w:val="20"/>
        </w:rPr>
        <w:t>A</w:t>
      </w:r>
      <w:r w:rsidRPr="00463625">
        <w:rPr>
          <w:szCs w:val="20"/>
        </w:rPr>
        <w:t xml:space="preserve"> 2010. évi adatok a</w:t>
      </w:r>
      <w:r>
        <w:rPr>
          <w:szCs w:val="20"/>
        </w:rPr>
        <w:t xml:space="preserve"> növekedés megindulását mutatták</w:t>
      </w:r>
      <w:r w:rsidRPr="00463625">
        <w:rPr>
          <w:szCs w:val="20"/>
        </w:rPr>
        <w:t>.</w:t>
      </w:r>
      <w:r>
        <w:rPr>
          <w:szCs w:val="20"/>
        </w:rPr>
        <w:t xml:space="preserve"> A kedvező folyamatok 2011 első félévében tovább folytatódtak, ugyanakkor az év második felében és 2012-ben is lassult a világgazdaság bővülésének üteme. Az IMF becslése</w:t>
      </w:r>
      <w:r w:rsidRPr="00463625">
        <w:rPr>
          <w:szCs w:val="20"/>
        </w:rPr>
        <w:t xml:space="preserve"> alapján 201</w:t>
      </w:r>
      <w:r>
        <w:rPr>
          <w:szCs w:val="20"/>
        </w:rPr>
        <w:t>2</w:t>
      </w:r>
      <w:r w:rsidRPr="00463625">
        <w:rPr>
          <w:szCs w:val="20"/>
        </w:rPr>
        <w:t xml:space="preserve"> egészében a </w:t>
      </w:r>
      <w:r w:rsidRPr="00463625">
        <w:rPr>
          <w:b/>
          <w:bCs/>
          <w:szCs w:val="20"/>
        </w:rPr>
        <w:t xml:space="preserve">világgazdaság </w:t>
      </w:r>
      <w:r w:rsidRPr="00463625">
        <w:rPr>
          <w:szCs w:val="20"/>
        </w:rPr>
        <w:t xml:space="preserve">teljesítménye </w:t>
      </w:r>
      <w:r>
        <w:rPr>
          <w:szCs w:val="20"/>
        </w:rPr>
        <w:t>3,3%-kal bővült.</w:t>
      </w:r>
      <w:r w:rsidRPr="00463625">
        <w:rPr>
          <w:szCs w:val="20"/>
        </w:rPr>
        <w:t xml:space="preserve"> </w:t>
      </w:r>
    </w:p>
    <w:p w:rsidR="003F11CB" w:rsidRPr="003F11CB" w:rsidRDefault="003F11CB" w:rsidP="00634CDA">
      <w:pPr>
        <w:rPr>
          <w:szCs w:val="20"/>
        </w:rPr>
      </w:pPr>
      <w:r>
        <w:rPr>
          <w:rFonts w:cs="Times New Roman"/>
        </w:rPr>
        <w:t>Az Európai Unió (EU27) 2012-ben recesszióba került, bruttó hazai terméke csökkent az előző évihez képest, a háztartások visszafogták kiadásaikat és a bruttó állóeszköz felhalmozás is visszaesett. Ez visszavetette a tagországok importját, ami jelentősen mérsékelte a magyar export iránti keresletet.</w:t>
      </w:r>
    </w:p>
    <w:p w:rsidR="003F11CB" w:rsidRDefault="007E5FDF" w:rsidP="002B6CB3">
      <w:pPr>
        <w:pStyle w:val="bra-cmetbla"/>
      </w:pPr>
      <w:fldSimple w:instr=" SEQ táblázat \* ARABIC ">
        <w:r w:rsidR="00E5031F">
          <w:rPr>
            <w:noProof/>
          </w:rPr>
          <w:t>1</w:t>
        </w:r>
      </w:fldSimple>
      <w:r w:rsidR="002B6CB3">
        <w:t xml:space="preserve">. táblázat: </w:t>
      </w:r>
      <w:r w:rsidR="00E3277F">
        <w:t xml:space="preserve">Az EU (27) fontosabb gazdasági mutatói </w:t>
      </w:r>
    </w:p>
    <w:tbl>
      <w:tblPr>
        <w:tblW w:w="9284" w:type="dxa"/>
        <w:jc w:val="center"/>
        <w:tblCellMar>
          <w:left w:w="70" w:type="dxa"/>
          <w:right w:w="70" w:type="dxa"/>
        </w:tblCellMar>
        <w:tblLook w:val="0000" w:firstRow="0" w:lastRow="0" w:firstColumn="0" w:lastColumn="0" w:noHBand="0" w:noVBand="0"/>
      </w:tblPr>
      <w:tblGrid>
        <w:gridCol w:w="2234"/>
        <w:gridCol w:w="1134"/>
        <w:gridCol w:w="992"/>
        <w:gridCol w:w="992"/>
        <w:gridCol w:w="992"/>
        <w:gridCol w:w="993"/>
        <w:gridCol w:w="992"/>
        <w:gridCol w:w="955"/>
      </w:tblGrid>
      <w:tr w:rsidR="00E46358" w:rsidRPr="00830B9E" w:rsidTr="00E46358">
        <w:trPr>
          <w:trHeight w:val="255"/>
          <w:jc w:val="center"/>
        </w:trPr>
        <w:tc>
          <w:tcPr>
            <w:tcW w:w="2234" w:type="dxa"/>
            <w:tcBorders>
              <w:top w:val="single" w:sz="4" w:space="0" w:color="auto"/>
              <w:left w:val="single" w:sz="4" w:space="0" w:color="auto"/>
              <w:bottom w:val="single" w:sz="4" w:space="0" w:color="auto"/>
              <w:right w:val="single" w:sz="4" w:space="0" w:color="auto"/>
            </w:tcBorders>
            <w:shd w:val="clear" w:color="auto" w:fill="99CCFF"/>
            <w:vAlign w:val="bottom"/>
          </w:tcPr>
          <w:p w:rsidR="003F11CB" w:rsidRPr="002D0BA0" w:rsidRDefault="003F11CB" w:rsidP="00EF4359">
            <w:pPr>
              <w:spacing w:after="0"/>
              <w:jc w:val="center"/>
              <w:rPr>
                <w:b/>
                <w:bCs/>
                <w:szCs w:val="20"/>
              </w:rPr>
            </w:pPr>
            <w:r w:rsidRPr="002D0BA0">
              <w:rPr>
                <w:b/>
                <w:bCs/>
                <w:szCs w:val="20"/>
              </w:rPr>
              <w:t>EU27</w:t>
            </w:r>
          </w:p>
        </w:tc>
        <w:tc>
          <w:tcPr>
            <w:tcW w:w="1134" w:type="dxa"/>
            <w:tcBorders>
              <w:top w:val="single" w:sz="4" w:space="0" w:color="auto"/>
              <w:left w:val="nil"/>
              <w:bottom w:val="single" w:sz="4" w:space="0" w:color="auto"/>
              <w:right w:val="single" w:sz="4" w:space="0" w:color="auto"/>
            </w:tcBorders>
            <w:shd w:val="clear" w:color="auto" w:fill="99CCFF"/>
            <w:noWrap/>
            <w:vAlign w:val="bottom"/>
          </w:tcPr>
          <w:p w:rsidR="003F11CB" w:rsidRPr="002D0BA0" w:rsidRDefault="003F11CB" w:rsidP="00EF4359">
            <w:pPr>
              <w:spacing w:after="0"/>
              <w:jc w:val="center"/>
              <w:rPr>
                <w:b/>
                <w:szCs w:val="20"/>
              </w:rPr>
            </w:pPr>
            <w:r w:rsidRPr="002D0BA0">
              <w:rPr>
                <w:b/>
                <w:szCs w:val="20"/>
              </w:rPr>
              <w:t>2006</w:t>
            </w:r>
          </w:p>
        </w:tc>
        <w:tc>
          <w:tcPr>
            <w:tcW w:w="992" w:type="dxa"/>
            <w:tcBorders>
              <w:top w:val="single" w:sz="4" w:space="0" w:color="auto"/>
              <w:left w:val="nil"/>
              <w:bottom w:val="single" w:sz="4" w:space="0" w:color="auto"/>
              <w:right w:val="single" w:sz="4" w:space="0" w:color="auto"/>
            </w:tcBorders>
            <w:shd w:val="clear" w:color="auto" w:fill="99CCFF"/>
            <w:noWrap/>
            <w:vAlign w:val="bottom"/>
          </w:tcPr>
          <w:p w:rsidR="003F11CB" w:rsidRPr="002D0BA0" w:rsidRDefault="003F11CB" w:rsidP="00EF4359">
            <w:pPr>
              <w:spacing w:after="0"/>
              <w:jc w:val="center"/>
              <w:rPr>
                <w:b/>
                <w:szCs w:val="20"/>
              </w:rPr>
            </w:pPr>
            <w:r w:rsidRPr="002D0BA0">
              <w:rPr>
                <w:b/>
                <w:szCs w:val="20"/>
              </w:rPr>
              <w:t>2007</w:t>
            </w:r>
          </w:p>
        </w:tc>
        <w:tc>
          <w:tcPr>
            <w:tcW w:w="992" w:type="dxa"/>
            <w:tcBorders>
              <w:top w:val="single" w:sz="4" w:space="0" w:color="auto"/>
              <w:left w:val="nil"/>
              <w:bottom w:val="single" w:sz="4" w:space="0" w:color="auto"/>
              <w:right w:val="single" w:sz="4" w:space="0" w:color="auto"/>
            </w:tcBorders>
            <w:shd w:val="clear" w:color="auto" w:fill="99CCFF"/>
            <w:noWrap/>
            <w:vAlign w:val="bottom"/>
          </w:tcPr>
          <w:p w:rsidR="003F11CB" w:rsidRPr="002D0BA0" w:rsidRDefault="003F11CB" w:rsidP="00EF4359">
            <w:pPr>
              <w:spacing w:after="0"/>
              <w:jc w:val="center"/>
              <w:rPr>
                <w:b/>
                <w:szCs w:val="20"/>
              </w:rPr>
            </w:pPr>
            <w:r w:rsidRPr="002D0BA0">
              <w:rPr>
                <w:b/>
                <w:szCs w:val="20"/>
              </w:rPr>
              <w:t>2008</w:t>
            </w:r>
          </w:p>
        </w:tc>
        <w:tc>
          <w:tcPr>
            <w:tcW w:w="992" w:type="dxa"/>
            <w:tcBorders>
              <w:top w:val="single" w:sz="4" w:space="0" w:color="auto"/>
              <w:left w:val="nil"/>
              <w:bottom w:val="single" w:sz="4" w:space="0" w:color="auto"/>
              <w:right w:val="single" w:sz="4" w:space="0" w:color="auto"/>
            </w:tcBorders>
            <w:shd w:val="clear" w:color="auto" w:fill="99CCFF"/>
            <w:noWrap/>
            <w:vAlign w:val="bottom"/>
          </w:tcPr>
          <w:p w:rsidR="003F11CB" w:rsidRPr="002D0BA0" w:rsidRDefault="003F11CB" w:rsidP="00EF4359">
            <w:pPr>
              <w:spacing w:after="0"/>
              <w:jc w:val="center"/>
              <w:rPr>
                <w:b/>
                <w:szCs w:val="20"/>
              </w:rPr>
            </w:pPr>
            <w:r w:rsidRPr="002D0BA0">
              <w:rPr>
                <w:b/>
                <w:szCs w:val="20"/>
              </w:rPr>
              <w:t>2009</w:t>
            </w:r>
          </w:p>
        </w:tc>
        <w:tc>
          <w:tcPr>
            <w:tcW w:w="993" w:type="dxa"/>
            <w:tcBorders>
              <w:top w:val="single" w:sz="4" w:space="0" w:color="auto"/>
              <w:left w:val="nil"/>
              <w:bottom w:val="single" w:sz="4" w:space="0" w:color="auto"/>
              <w:right w:val="single" w:sz="4" w:space="0" w:color="auto"/>
            </w:tcBorders>
            <w:shd w:val="clear" w:color="auto" w:fill="99CCFF"/>
            <w:noWrap/>
            <w:vAlign w:val="bottom"/>
          </w:tcPr>
          <w:p w:rsidR="003F11CB" w:rsidRPr="002D0BA0" w:rsidRDefault="003F11CB" w:rsidP="00EF4359">
            <w:pPr>
              <w:spacing w:after="0"/>
              <w:jc w:val="center"/>
              <w:rPr>
                <w:b/>
                <w:szCs w:val="20"/>
              </w:rPr>
            </w:pPr>
            <w:r w:rsidRPr="002D0BA0">
              <w:rPr>
                <w:b/>
                <w:szCs w:val="20"/>
              </w:rPr>
              <w:t>2010</w:t>
            </w:r>
          </w:p>
        </w:tc>
        <w:tc>
          <w:tcPr>
            <w:tcW w:w="992" w:type="dxa"/>
            <w:tcBorders>
              <w:top w:val="single" w:sz="4" w:space="0" w:color="auto"/>
              <w:left w:val="nil"/>
              <w:bottom w:val="single" w:sz="4" w:space="0" w:color="auto"/>
              <w:right w:val="single" w:sz="4" w:space="0" w:color="auto"/>
            </w:tcBorders>
            <w:shd w:val="clear" w:color="auto" w:fill="99CCFF"/>
          </w:tcPr>
          <w:p w:rsidR="003F11CB" w:rsidRPr="002D0BA0" w:rsidRDefault="003F11CB" w:rsidP="00EF4359">
            <w:pPr>
              <w:spacing w:after="0"/>
              <w:jc w:val="center"/>
              <w:rPr>
                <w:b/>
                <w:szCs w:val="20"/>
              </w:rPr>
            </w:pPr>
            <w:r w:rsidRPr="002D0BA0">
              <w:rPr>
                <w:b/>
                <w:szCs w:val="20"/>
              </w:rPr>
              <w:t xml:space="preserve">2011 </w:t>
            </w:r>
          </w:p>
        </w:tc>
        <w:tc>
          <w:tcPr>
            <w:tcW w:w="955" w:type="dxa"/>
            <w:tcBorders>
              <w:top w:val="single" w:sz="4" w:space="0" w:color="auto"/>
              <w:left w:val="nil"/>
              <w:bottom w:val="single" w:sz="4" w:space="0" w:color="auto"/>
              <w:right w:val="single" w:sz="4" w:space="0" w:color="auto"/>
            </w:tcBorders>
            <w:shd w:val="clear" w:color="auto" w:fill="99CCFF"/>
          </w:tcPr>
          <w:p w:rsidR="003F11CB" w:rsidRPr="002D0BA0" w:rsidRDefault="003F11CB" w:rsidP="00EF4359">
            <w:pPr>
              <w:spacing w:after="0"/>
              <w:jc w:val="center"/>
              <w:rPr>
                <w:b/>
                <w:szCs w:val="20"/>
              </w:rPr>
            </w:pPr>
            <w:r>
              <w:rPr>
                <w:b/>
                <w:szCs w:val="20"/>
              </w:rPr>
              <w:t>2012</w:t>
            </w:r>
          </w:p>
        </w:tc>
      </w:tr>
      <w:tr w:rsidR="003F11CB" w:rsidRPr="00830B9E" w:rsidTr="00EF4359">
        <w:trPr>
          <w:trHeight w:val="255"/>
          <w:jc w:val="center"/>
        </w:trPr>
        <w:tc>
          <w:tcPr>
            <w:tcW w:w="8329" w:type="dxa"/>
            <w:gridSpan w:val="7"/>
            <w:tcBorders>
              <w:top w:val="single" w:sz="4" w:space="0" w:color="auto"/>
              <w:left w:val="single" w:sz="4" w:space="0" w:color="auto"/>
              <w:bottom w:val="single" w:sz="4" w:space="0" w:color="auto"/>
              <w:right w:val="single" w:sz="4" w:space="0" w:color="auto"/>
            </w:tcBorders>
            <w:shd w:val="clear" w:color="auto" w:fill="99CCFF"/>
            <w:noWrap/>
            <w:vAlign w:val="bottom"/>
          </w:tcPr>
          <w:p w:rsidR="003F11CB" w:rsidRPr="002D0BA0" w:rsidRDefault="003F11CB" w:rsidP="00EF4359">
            <w:pPr>
              <w:spacing w:after="0"/>
              <w:jc w:val="center"/>
              <w:rPr>
                <w:b/>
                <w:szCs w:val="20"/>
              </w:rPr>
            </w:pPr>
            <w:r w:rsidRPr="002D0BA0">
              <w:rPr>
                <w:b/>
                <w:szCs w:val="20"/>
              </w:rPr>
              <w:t xml:space="preserve">GDP fő komponensei (%-os változás, év/év)  </w:t>
            </w:r>
          </w:p>
        </w:tc>
        <w:tc>
          <w:tcPr>
            <w:tcW w:w="955" w:type="dxa"/>
            <w:tcBorders>
              <w:top w:val="single" w:sz="4" w:space="0" w:color="auto"/>
              <w:left w:val="single" w:sz="4" w:space="0" w:color="auto"/>
              <w:bottom w:val="single" w:sz="4" w:space="0" w:color="auto"/>
              <w:right w:val="single" w:sz="4" w:space="0" w:color="auto"/>
            </w:tcBorders>
            <w:shd w:val="clear" w:color="auto" w:fill="99CCFF"/>
          </w:tcPr>
          <w:p w:rsidR="003F11CB" w:rsidRPr="002D0BA0" w:rsidRDefault="003F11CB" w:rsidP="00EF4359">
            <w:pPr>
              <w:spacing w:after="0"/>
              <w:jc w:val="center"/>
              <w:rPr>
                <w:b/>
                <w:szCs w:val="20"/>
              </w:rPr>
            </w:pP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3E3C0F" w:rsidRDefault="003F11CB" w:rsidP="00EF4359">
            <w:pPr>
              <w:spacing w:after="0"/>
              <w:jc w:val="left"/>
              <w:rPr>
                <w:bCs/>
                <w:szCs w:val="20"/>
              </w:rPr>
            </w:pPr>
            <w:r w:rsidRPr="003E3C0F">
              <w:rPr>
                <w:bCs/>
                <w:szCs w:val="20"/>
              </w:rPr>
              <w:t>GDP</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3,3</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3,2</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0,3</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-4,3</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2,1</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1,5</w:t>
            </w:r>
          </w:p>
        </w:tc>
        <w:tc>
          <w:tcPr>
            <w:tcW w:w="955"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-0,3</w:t>
            </w: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3E3C0F" w:rsidRDefault="003F11CB" w:rsidP="00EF4359">
            <w:pPr>
              <w:spacing w:after="0"/>
              <w:jc w:val="left"/>
              <w:rPr>
                <w:szCs w:val="20"/>
              </w:rPr>
            </w:pPr>
            <w:r w:rsidRPr="003E3C0F">
              <w:rPr>
                <w:szCs w:val="20"/>
              </w:rPr>
              <w:t>Végső fogyasztási kiadás</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2,2</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2,1</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0,8</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-0,5</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1,0</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0,0</w:t>
            </w:r>
          </w:p>
        </w:tc>
        <w:tc>
          <w:tcPr>
            <w:tcW w:w="955"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-0,4</w:t>
            </w: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3E3C0F" w:rsidRDefault="003F11CB" w:rsidP="00EF4359">
            <w:pPr>
              <w:spacing w:after="0"/>
              <w:jc w:val="left"/>
              <w:rPr>
                <w:szCs w:val="20"/>
              </w:rPr>
            </w:pPr>
            <w:r w:rsidRPr="003E3C0F">
              <w:rPr>
                <w:szCs w:val="20"/>
              </w:rPr>
              <w:t>Bruttó állóeszköz felhalmozás</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6,3</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6,3</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-1,2</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-12,0</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0,2</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1,4</w:t>
            </w:r>
          </w:p>
        </w:tc>
        <w:tc>
          <w:tcPr>
            <w:tcW w:w="955"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-2,7</w:t>
            </w: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3E3C0F" w:rsidRDefault="003F11CB" w:rsidP="00EF4359">
            <w:pPr>
              <w:spacing w:after="0"/>
              <w:jc w:val="left"/>
              <w:rPr>
                <w:szCs w:val="20"/>
              </w:rPr>
            </w:pPr>
            <w:r w:rsidRPr="003E3C0F">
              <w:rPr>
                <w:szCs w:val="20"/>
              </w:rPr>
              <w:t>Export</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9,8</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5,6</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1,6</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-11,7</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10,7</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6,4</w:t>
            </w:r>
          </w:p>
        </w:tc>
        <w:tc>
          <w:tcPr>
            <w:tcW w:w="955"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2,3</w:t>
            </w: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3E3C0F" w:rsidRDefault="003F11CB" w:rsidP="00EF4359">
            <w:pPr>
              <w:spacing w:after="0"/>
              <w:jc w:val="left"/>
              <w:rPr>
                <w:szCs w:val="20"/>
              </w:rPr>
            </w:pPr>
            <w:r w:rsidRPr="003E3C0F">
              <w:rPr>
                <w:szCs w:val="20"/>
              </w:rPr>
              <w:t>Import</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9,6</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5,9</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1,1</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-11,6</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9,7</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4,1</w:t>
            </w:r>
          </w:p>
        </w:tc>
        <w:tc>
          <w:tcPr>
            <w:tcW w:w="955"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-0,4</w:t>
            </w:r>
          </w:p>
        </w:tc>
      </w:tr>
      <w:tr w:rsidR="003F11CB" w:rsidRPr="00830B9E" w:rsidTr="00EF4359">
        <w:trPr>
          <w:trHeight w:val="255"/>
          <w:jc w:val="center"/>
        </w:trPr>
        <w:tc>
          <w:tcPr>
            <w:tcW w:w="8329"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3F11CB" w:rsidRPr="00830B9E" w:rsidRDefault="003F11CB" w:rsidP="00EF4359">
            <w:pPr>
              <w:spacing w:after="0"/>
              <w:jc w:val="center"/>
              <w:rPr>
                <w:b/>
                <w:szCs w:val="20"/>
              </w:rPr>
            </w:pPr>
            <w:r w:rsidRPr="00830B9E">
              <w:rPr>
                <w:b/>
                <w:szCs w:val="20"/>
              </w:rPr>
              <w:t>Munkaerő-piac</w:t>
            </w:r>
          </w:p>
        </w:tc>
        <w:tc>
          <w:tcPr>
            <w:tcW w:w="955" w:type="dxa"/>
            <w:tcBorders>
              <w:top w:val="single" w:sz="4" w:space="0" w:color="auto"/>
              <w:left w:val="single" w:sz="4" w:space="0" w:color="auto"/>
              <w:bottom w:val="single" w:sz="4" w:space="0" w:color="auto"/>
              <w:right w:val="single" w:sz="4" w:space="0" w:color="auto"/>
            </w:tcBorders>
            <w:shd w:val="clear" w:color="auto" w:fill="99CCFF"/>
          </w:tcPr>
          <w:p w:rsidR="003F11CB" w:rsidRPr="00830B9E" w:rsidRDefault="003F11CB" w:rsidP="00EF4359">
            <w:pPr>
              <w:spacing w:after="0"/>
              <w:jc w:val="center"/>
              <w:rPr>
                <w:b/>
                <w:szCs w:val="20"/>
              </w:rPr>
            </w:pP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F57DDD" w:rsidRDefault="003F11CB" w:rsidP="00EF4359">
            <w:pPr>
              <w:spacing w:after="0"/>
              <w:jc w:val="left"/>
              <w:rPr>
                <w:szCs w:val="20"/>
              </w:rPr>
            </w:pPr>
            <w:r w:rsidRPr="00F57DDD">
              <w:rPr>
                <w:szCs w:val="20"/>
              </w:rPr>
              <w:t>Foglalkoztatási ráta (15-64)</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64,4</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65,3</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65,8</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64,5</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64,1</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64,3</w:t>
            </w:r>
          </w:p>
        </w:tc>
        <w:tc>
          <w:tcPr>
            <w:tcW w:w="955" w:type="dxa"/>
            <w:tcBorders>
              <w:top w:val="nil"/>
              <w:left w:val="nil"/>
              <w:bottom w:val="single" w:sz="4" w:space="0" w:color="auto"/>
              <w:right w:val="single" w:sz="4" w:space="0" w:color="auto"/>
            </w:tcBorders>
            <w:vAlign w:val="center"/>
          </w:tcPr>
          <w:p w:rsidR="003F11CB" w:rsidRPr="00F57DDD" w:rsidRDefault="003F11CB" w:rsidP="00EF4359">
            <w:pPr>
              <w:spacing w:after="0"/>
              <w:jc w:val="center"/>
              <w:rPr>
                <w:szCs w:val="20"/>
              </w:rPr>
            </w:pP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F26BBE" w:rsidRDefault="003F11CB" w:rsidP="00EF4359">
            <w:pPr>
              <w:spacing w:after="0"/>
              <w:jc w:val="left"/>
              <w:rPr>
                <w:szCs w:val="20"/>
                <w:highlight w:val="yellow"/>
              </w:rPr>
            </w:pPr>
            <w:r w:rsidRPr="00F57DDD">
              <w:rPr>
                <w:szCs w:val="20"/>
              </w:rPr>
              <w:t>Foglalkoztatási ráta (20-64)</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69,0</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69,9</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70,3</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69,0</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68,6</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68,6</w:t>
            </w:r>
          </w:p>
        </w:tc>
        <w:tc>
          <w:tcPr>
            <w:tcW w:w="955" w:type="dxa"/>
            <w:tcBorders>
              <w:top w:val="nil"/>
              <w:left w:val="nil"/>
              <w:bottom w:val="single" w:sz="4" w:space="0" w:color="auto"/>
              <w:right w:val="single" w:sz="4" w:space="0" w:color="auto"/>
            </w:tcBorders>
            <w:vAlign w:val="center"/>
          </w:tcPr>
          <w:p w:rsidR="003F11CB" w:rsidRPr="00F26BBE" w:rsidRDefault="003F11CB" w:rsidP="00EF4359">
            <w:pPr>
              <w:spacing w:after="0"/>
              <w:jc w:val="center"/>
              <w:rPr>
                <w:szCs w:val="20"/>
                <w:highlight w:val="yellow"/>
              </w:rPr>
            </w:pPr>
          </w:p>
        </w:tc>
      </w:tr>
      <w:tr w:rsidR="003F11CB" w:rsidRPr="00830B9E" w:rsidTr="00E46358">
        <w:trPr>
          <w:trHeight w:val="255"/>
          <w:jc w:val="center"/>
        </w:trPr>
        <w:tc>
          <w:tcPr>
            <w:tcW w:w="2234" w:type="dxa"/>
            <w:tcBorders>
              <w:top w:val="nil"/>
              <w:left w:val="single" w:sz="4" w:space="0" w:color="auto"/>
              <w:bottom w:val="single" w:sz="4" w:space="0" w:color="auto"/>
              <w:right w:val="single" w:sz="4" w:space="0" w:color="auto"/>
            </w:tcBorders>
            <w:vAlign w:val="bottom"/>
          </w:tcPr>
          <w:p w:rsidR="003F11CB" w:rsidRPr="00F57DDD" w:rsidRDefault="003F11CB" w:rsidP="00EF4359">
            <w:pPr>
              <w:spacing w:after="0"/>
              <w:jc w:val="left"/>
              <w:rPr>
                <w:szCs w:val="20"/>
              </w:rPr>
            </w:pPr>
            <w:r w:rsidRPr="00F57DDD">
              <w:rPr>
                <w:szCs w:val="20"/>
              </w:rPr>
              <w:t xml:space="preserve">Munkanélküliségi ráta </w:t>
            </w:r>
          </w:p>
        </w:tc>
        <w:tc>
          <w:tcPr>
            <w:tcW w:w="1134"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8,3</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7,2</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7,1</w:t>
            </w:r>
          </w:p>
        </w:tc>
        <w:tc>
          <w:tcPr>
            <w:tcW w:w="992"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9</w:t>
            </w:r>
          </w:p>
        </w:tc>
        <w:tc>
          <w:tcPr>
            <w:tcW w:w="993" w:type="dxa"/>
            <w:tcBorders>
              <w:top w:val="nil"/>
              <w:left w:val="nil"/>
              <w:bottom w:val="single" w:sz="4" w:space="0" w:color="auto"/>
              <w:right w:val="single" w:sz="4" w:space="0" w:color="auto"/>
            </w:tcBorders>
            <w:noWrap/>
            <w:vAlign w:val="center"/>
          </w:tcPr>
          <w:p w:rsidR="003F11CB" w:rsidRPr="00BD037E" w:rsidRDefault="003F11CB" w:rsidP="00BD037E">
            <w:pPr>
              <w:spacing w:after="0"/>
              <w:jc w:val="center"/>
            </w:pPr>
            <w:r w:rsidRPr="00BD037E">
              <w:t>9,7</w:t>
            </w:r>
          </w:p>
        </w:tc>
        <w:tc>
          <w:tcPr>
            <w:tcW w:w="992"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9,7</w:t>
            </w:r>
          </w:p>
        </w:tc>
        <w:tc>
          <w:tcPr>
            <w:tcW w:w="955" w:type="dxa"/>
            <w:tcBorders>
              <w:top w:val="nil"/>
              <w:left w:val="nil"/>
              <w:bottom w:val="single" w:sz="4" w:space="0" w:color="auto"/>
              <w:right w:val="single" w:sz="4" w:space="0" w:color="auto"/>
            </w:tcBorders>
            <w:vAlign w:val="center"/>
          </w:tcPr>
          <w:p w:rsidR="003F11CB" w:rsidRPr="00BD037E" w:rsidRDefault="003F11CB" w:rsidP="00BD037E">
            <w:pPr>
              <w:spacing w:after="0"/>
              <w:jc w:val="center"/>
            </w:pPr>
            <w:r w:rsidRPr="00BD037E">
              <w:t>10,5</w:t>
            </w:r>
          </w:p>
        </w:tc>
      </w:tr>
    </w:tbl>
    <w:p w:rsidR="002322DA" w:rsidRDefault="002322DA" w:rsidP="002322DA">
      <w:pPr>
        <w:ind w:left="960"/>
        <w:rPr>
          <w:sz w:val="16"/>
          <w:szCs w:val="16"/>
        </w:rPr>
      </w:pPr>
      <w:r w:rsidRPr="000A6F63">
        <w:rPr>
          <w:sz w:val="16"/>
          <w:szCs w:val="16"/>
        </w:rPr>
        <w:t>Forrás: Eurostat</w:t>
      </w:r>
    </w:p>
    <w:p w:rsidR="008B1EAE" w:rsidRPr="00896E03" w:rsidRDefault="008B1EAE" w:rsidP="00DB48A3">
      <w:pPr>
        <w:pStyle w:val="Cmsor3"/>
      </w:pPr>
      <w:bookmarkStart w:id="15" w:name="_Toc227551598"/>
      <w:bookmarkStart w:id="16" w:name="_Toc232860143"/>
      <w:bookmarkStart w:id="17" w:name="_Toc360176783"/>
      <w:r w:rsidRPr="00896E03">
        <w:t xml:space="preserve">Társadalmi-gazdasági trendek - belső </w:t>
      </w:r>
      <w:r w:rsidR="002322DA" w:rsidRPr="00896E03">
        <w:t>környezet</w:t>
      </w:r>
      <w:bookmarkEnd w:id="17"/>
      <w:r w:rsidR="002322DA" w:rsidRPr="00896E03">
        <w:t xml:space="preserve"> </w:t>
      </w:r>
      <w:bookmarkEnd w:id="15"/>
      <w:bookmarkEnd w:id="16"/>
    </w:p>
    <w:p w:rsidR="00E3277F" w:rsidRDefault="00E3277F" w:rsidP="00634CDA">
      <w:pPr>
        <w:pStyle w:val="Szvegtrzs"/>
      </w:pPr>
      <w:r>
        <w:t xml:space="preserve">A KSH részletes tájékoztatója szerint Magyarország bruttó hazai terméke 2012 IV. negyedévében 2,7%-kal csökkent az előző év azonos időszakához képest. A 2012-es év egészében az ország gazdasági teljesítménye 1,7%-kal elmaradt az egy évvel korábbitól. Ez a visszaesés egyrészt az aszályos időjárásból következő rossz mezőgazdasági termelésnek, másrészt a külpiacok gyengülésének, ebből adódóan pedig a gyengébb exportteljesítménynek tudható be. </w:t>
      </w:r>
      <w:r w:rsidR="00BE779B">
        <w:t>Ezen kívül</w:t>
      </w:r>
      <w:r>
        <w:t xml:space="preserve">, a kiadások visszafogása következtében a gyenge belső kereslet rövid távú hatása is érvényesült. </w:t>
      </w:r>
    </w:p>
    <w:p w:rsidR="00E3277F" w:rsidRDefault="00E3277F" w:rsidP="00634CDA">
      <w:pPr>
        <w:pStyle w:val="Szvegtrzs"/>
      </w:pPr>
      <w:r>
        <w:t xml:space="preserve">A bruttó keresetek színvonala 4,6%-kal haladta meg az egy évvel korábbi szintet, mialatt a nettó keresetek 2,0%-kal emelkedtek a nemzetgazdaság egészét tekintve. </w:t>
      </w:r>
    </w:p>
    <w:p w:rsidR="00E3277F" w:rsidRDefault="00E3277F" w:rsidP="00634CDA">
      <w:pPr>
        <w:pStyle w:val="Szvegtrzs"/>
      </w:pPr>
      <w:r>
        <w:t>A foglalkoztatottak száma 64 ezer fővel bővült egy év alatt, 2012 folyamán (a 15-64 éves korosztályban), miközben a munkanélküliségi ráta változatlanul 11%-on áll</w:t>
      </w:r>
      <w:r w:rsidR="00BE779B">
        <w:t>t</w:t>
      </w:r>
      <w:r>
        <w:t>. A fogyasztói árak 5,7%-kal emelkedtek 2012-ben.</w:t>
      </w:r>
    </w:p>
    <w:p w:rsidR="008B1EAE" w:rsidRPr="00715E86" w:rsidRDefault="002322DA" w:rsidP="00715E86">
      <w:pPr>
        <w:pStyle w:val="Cmsor4"/>
      </w:pPr>
      <w:r w:rsidRPr="00715E86">
        <w:lastRenderedPageBreak/>
        <w:t>G</w:t>
      </w:r>
      <w:r w:rsidR="008B1EAE" w:rsidRPr="00715E86">
        <w:t>azdasági növekedés</w:t>
      </w:r>
    </w:p>
    <w:p w:rsidR="002322DA" w:rsidRDefault="00E3277F" w:rsidP="00634CDA">
      <w:r w:rsidRPr="00E3277F">
        <w:t>2012-ben Magyarország gazdasági teljesítménye, 1,7%-kal volt alacsonyabb az előző évinél. 2012-ben a bruttó hazai termék értéke folyó áron 28</w:t>
      </w:r>
      <w:r w:rsidR="00387688">
        <w:t> </w:t>
      </w:r>
      <w:r w:rsidRPr="00E3277F">
        <w:t>276</w:t>
      </w:r>
      <w:r w:rsidR="00387688">
        <w:t> </w:t>
      </w:r>
      <w:r w:rsidRPr="00E3277F">
        <w:t>milliárd</w:t>
      </w:r>
      <w:r w:rsidR="00387688">
        <w:t> </w:t>
      </w:r>
      <w:r w:rsidRPr="00E3277F">
        <w:t>Ft, egy főre vetítve 2</w:t>
      </w:r>
      <w:r w:rsidR="00387688">
        <w:t> </w:t>
      </w:r>
      <w:r w:rsidRPr="00E3277F">
        <w:t>millió</w:t>
      </w:r>
      <w:r w:rsidR="00387688">
        <w:t> </w:t>
      </w:r>
      <w:r w:rsidRPr="00E3277F">
        <w:t>844</w:t>
      </w:r>
      <w:r w:rsidR="00387688">
        <w:t> </w:t>
      </w:r>
      <w:r w:rsidRPr="00E3277F">
        <w:t>ezer</w:t>
      </w:r>
      <w:r w:rsidR="00387688">
        <w:t> </w:t>
      </w:r>
      <w:r w:rsidRPr="00E3277F">
        <w:t>Ft volt.</w:t>
      </w:r>
    </w:p>
    <w:p w:rsidR="000530EE" w:rsidRDefault="00B452BF" w:rsidP="000530EE">
      <w:pPr>
        <w:suppressAutoHyphens w:val="0"/>
        <w:autoSpaceDE w:val="0"/>
        <w:autoSpaceDN w:val="0"/>
        <w:adjustRightInd w:val="0"/>
        <w:spacing w:after="0"/>
        <w:ind w:firstLine="0"/>
        <w:jc w:val="left"/>
        <w:rPr>
          <w:rFonts w:eastAsia="Times New Roman" w:cs="Times New Roman"/>
          <w:color w:val="000000"/>
          <w:kern w:val="0"/>
          <w:szCs w:val="22"/>
        </w:rPr>
      </w:pPr>
      <w:r>
        <w:rPr>
          <w:noProof/>
        </w:rPr>
        <w:drawing>
          <wp:inline distT="0" distB="0" distL="0" distR="0" wp14:anchorId="71F58435" wp14:editId="72DDD259">
            <wp:extent cx="5571490" cy="2392045"/>
            <wp:effectExtent l="0" t="0" r="0" b="8255"/>
            <wp:docPr id="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1490" cy="2392045"/>
                    </a:xfrm>
                    <a:prstGeom prst="rect">
                      <a:avLst/>
                    </a:prstGeom>
                    <a:noFill/>
                    <a:ln>
                      <a:noFill/>
                    </a:ln>
                  </pic:spPr>
                </pic:pic>
              </a:graphicData>
            </a:graphic>
          </wp:inline>
        </w:drawing>
      </w:r>
    </w:p>
    <w:p w:rsidR="00E3277F" w:rsidRPr="0094190E" w:rsidRDefault="00E3277F" w:rsidP="006F55E9">
      <w:pPr>
        <w:pStyle w:val="StlusKpalrsNemFlkvrBalrazrtBal127cmEltte"/>
        <w:numPr>
          <w:ilvl w:val="0"/>
          <w:numId w:val="0"/>
        </w:numPr>
        <w:spacing w:before="120"/>
        <w:ind w:left="360"/>
      </w:pPr>
      <w:r w:rsidRPr="0094190E">
        <w:t>Megjegyzés: Szezonálisan és naptári hatással kiigazított és kiegyensúlyozott adatok (előző év azonos időszaka=100,0)</w:t>
      </w:r>
    </w:p>
    <w:p w:rsidR="00E3277F" w:rsidRPr="0094190E" w:rsidRDefault="00E3277F" w:rsidP="00E3277F">
      <w:pPr>
        <w:pStyle w:val="StlusKpalrsNemFlkvrBalrazrtBal127cmEltte"/>
        <w:numPr>
          <w:ilvl w:val="0"/>
          <w:numId w:val="0"/>
        </w:numPr>
        <w:spacing w:before="120"/>
        <w:ind w:left="720"/>
      </w:pPr>
      <w:r w:rsidRPr="0094190E">
        <w:t>Forrás: KSH</w:t>
      </w:r>
    </w:p>
    <w:p w:rsidR="00E3277F" w:rsidRPr="00E3277F" w:rsidRDefault="00E3277F" w:rsidP="00634CDA">
      <w:r w:rsidRPr="00E3277F">
        <w:t>2012-ben a mezőgazdaság teljesítménye 21,3%-kal, az ipari termelés volumene pedig 1,2%-kal csökkent, így a GDP-hez való hozzájárulásuk is negatív lett (-0,8 ill. -0,3 százalékpont). Az exportorientált feldolgozóiparban is csökkenés volt tapasztalható (-1,6%) így nem tudta más szektorok visszaesését ellensúlyozni. Ez annak tudható be, hogy az Európai Unió országainak gazdasági visszaesése gyenge külső keresletet teremtett a magyar exportcikkek iránt. Az ipari teljesítmény visszaesésének ellenére a termékkivitel volumene 0,9%-kal bővült, a behozatalé nem változott, az áruforgalmi aktívum 6,8</w:t>
      </w:r>
      <w:r w:rsidR="00387688">
        <w:t> </w:t>
      </w:r>
      <w:r w:rsidRPr="00E3277F">
        <w:t>milliárd</w:t>
      </w:r>
      <w:r w:rsidR="00387688">
        <w:t> </w:t>
      </w:r>
      <w:r w:rsidRPr="00E3277F">
        <w:t xml:space="preserve">euróra mérséklődött. </w:t>
      </w:r>
    </w:p>
    <w:p w:rsidR="00E3277F" w:rsidRPr="00A114A4" w:rsidRDefault="00E3277F" w:rsidP="00634CDA">
      <w:pPr>
        <w:rPr>
          <w:szCs w:val="20"/>
        </w:rPr>
      </w:pPr>
      <w:r w:rsidRPr="004754F0">
        <w:rPr>
          <w:szCs w:val="20"/>
        </w:rPr>
        <w:t xml:space="preserve">Az </w:t>
      </w:r>
      <w:r w:rsidRPr="006E7E40">
        <w:rPr>
          <w:b/>
          <w:szCs w:val="20"/>
        </w:rPr>
        <w:t>építőipar</w:t>
      </w:r>
      <w:r w:rsidRPr="004754F0">
        <w:rPr>
          <w:szCs w:val="20"/>
        </w:rPr>
        <w:t xml:space="preserve"> hozzáadott értéke</w:t>
      </w:r>
      <w:r>
        <w:rPr>
          <w:szCs w:val="20"/>
        </w:rPr>
        <w:t xml:space="preserve"> a</w:t>
      </w:r>
      <w:r w:rsidRPr="004754F0">
        <w:rPr>
          <w:szCs w:val="20"/>
        </w:rPr>
        <w:t xml:space="preserve"> </w:t>
      </w:r>
      <w:r>
        <w:rPr>
          <w:szCs w:val="20"/>
        </w:rPr>
        <w:t>2011</w:t>
      </w:r>
      <w:r w:rsidRPr="004754F0">
        <w:rPr>
          <w:szCs w:val="20"/>
        </w:rPr>
        <w:t>-es évhez viszonyítva</w:t>
      </w:r>
      <w:r>
        <w:rPr>
          <w:szCs w:val="20"/>
        </w:rPr>
        <w:t xml:space="preserve"> továbbra is</w:t>
      </w:r>
      <w:r w:rsidRPr="004754F0">
        <w:rPr>
          <w:szCs w:val="20"/>
        </w:rPr>
        <w:t xml:space="preserve"> jelentős</w:t>
      </w:r>
      <w:r>
        <w:rPr>
          <w:szCs w:val="20"/>
        </w:rPr>
        <w:t xml:space="preserve"> </w:t>
      </w:r>
      <w:r w:rsidRPr="004754F0">
        <w:rPr>
          <w:szCs w:val="20"/>
        </w:rPr>
        <w:t>mérséklődést mutatott (-</w:t>
      </w:r>
      <w:r>
        <w:rPr>
          <w:szCs w:val="20"/>
        </w:rPr>
        <w:t>6</w:t>
      </w:r>
      <w:r w:rsidRPr="004754F0">
        <w:rPr>
          <w:szCs w:val="20"/>
        </w:rPr>
        <w:t>,</w:t>
      </w:r>
      <w:r>
        <w:rPr>
          <w:szCs w:val="20"/>
        </w:rPr>
        <w:t xml:space="preserve">4%). </w:t>
      </w:r>
      <w:r w:rsidRPr="00011E78">
        <w:rPr>
          <w:szCs w:val="20"/>
        </w:rPr>
        <w:t>Mind az épületek, mind az egyéb építmények építése csökkent az év folyamán.</w:t>
      </w:r>
      <w:r>
        <w:rPr>
          <w:szCs w:val="20"/>
        </w:rPr>
        <w:t xml:space="preserve"> </w:t>
      </w:r>
      <w:r w:rsidRPr="00011E78">
        <w:rPr>
          <w:szCs w:val="20"/>
        </w:rPr>
        <w:t xml:space="preserve">A lakásépítési statisztikák alapján 2012-ben 17%-kal kevesebb új lakás </w:t>
      </w:r>
      <w:r>
        <w:rPr>
          <w:szCs w:val="20"/>
        </w:rPr>
        <w:t xml:space="preserve">épült, mint egy évvel korábban, és </w:t>
      </w:r>
      <w:r w:rsidRPr="00011E78">
        <w:rPr>
          <w:szCs w:val="20"/>
        </w:rPr>
        <w:t>15%-kal kevesebb építési engedélyt adtak ki</w:t>
      </w:r>
      <w:r w:rsidRPr="00E427D8">
        <w:t>.</w:t>
      </w:r>
    </w:p>
    <w:p w:rsidR="00E3277F" w:rsidRDefault="00E3277F" w:rsidP="00634CDA">
      <w:pPr>
        <w:rPr>
          <w:szCs w:val="20"/>
        </w:rPr>
      </w:pPr>
      <w:r w:rsidRPr="00C33C1D">
        <w:rPr>
          <w:szCs w:val="20"/>
        </w:rPr>
        <w:t xml:space="preserve">A </w:t>
      </w:r>
      <w:r w:rsidRPr="00C33C1D">
        <w:rPr>
          <w:b/>
          <w:bCs/>
          <w:szCs w:val="20"/>
        </w:rPr>
        <w:t>szolgáltatások bruttó hozzáadott értéke</w:t>
      </w:r>
      <w:r w:rsidRPr="00C33C1D">
        <w:rPr>
          <w:szCs w:val="20"/>
        </w:rPr>
        <w:t xml:space="preserve"> 0,</w:t>
      </w:r>
      <w:r>
        <w:rPr>
          <w:szCs w:val="20"/>
        </w:rPr>
        <w:t>5</w:t>
      </w:r>
      <w:r w:rsidRPr="00C33C1D">
        <w:rPr>
          <w:szCs w:val="20"/>
        </w:rPr>
        <w:t xml:space="preserve">%-kal </w:t>
      </w:r>
      <w:r>
        <w:rPr>
          <w:szCs w:val="20"/>
        </w:rPr>
        <w:t>csökkent 2011</w:t>
      </w:r>
      <w:r w:rsidRPr="00C33C1D">
        <w:rPr>
          <w:szCs w:val="20"/>
        </w:rPr>
        <w:t xml:space="preserve">-hez képest. </w:t>
      </w:r>
      <w:r>
        <w:rPr>
          <w:szCs w:val="20"/>
        </w:rPr>
        <w:t>2012</w:t>
      </w:r>
      <w:r w:rsidRPr="00C33C1D">
        <w:rPr>
          <w:szCs w:val="20"/>
        </w:rPr>
        <w:t>-ben</w:t>
      </w:r>
      <w:r>
        <w:rPr>
          <w:szCs w:val="20"/>
        </w:rPr>
        <w:t xml:space="preserve"> az</w:t>
      </w:r>
      <w:r w:rsidRPr="00C33C1D">
        <w:rPr>
          <w:szCs w:val="20"/>
        </w:rPr>
        <w:t xml:space="preserve"> előző évhez viszonyítva </w:t>
      </w:r>
      <w:r>
        <w:rPr>
          <w:szCs w:val="20"/>
        </w:rPr>
        <w:t>csupán az információ-kommunikáció területen, ill. a közigazgatás, védelem ágazatokban ment végbe növekedés (3,5% ill. 0,2%).</w:t>
      </w:r>
    </w:p>
    <w:p w:rsidR="00E3277F" w:rsidRDefault="00E3277F" w:rsidP="00634CDA">
      <w:pPr>
        <w:rPr>
          <w:szCs w:val="20"/>
        </w:rPr>
      </w:pPr>
      <w:r w:rsidRPr="00A114A4">
        <w:rPr>
          <w:szCs w:val="20"/>
        </w:rPr>
        <w:t xml:space="preserve">A GDP </w:t>
      </w:r>
      <w:r w:rsidRPr="00A114A4">
        <w:rPr>
          <w:b/>
          <w:bCs/>
          <w:szCs w:val="20"/>
        </w:rPr>
        <w:t xml:space="preserve">felhasználási oldalán </w:t>
      </w:r>
      <w:r w:rsidRPr="00A114A4">
        <w:rPr>
          <w:szCs w:val="20"/>
        </w:rPr>
        <w:t>a házt</w:t>
      </w:r>
      <w:r>
        <w:rPr>
          <w:szCs w:val="20"/>
        </w:rPr>
        <w:t>artások tényleges fogyasztása az egy évvel korábbi értékhez képest 2,0%-kal csökkent, míg a</w:t>
      </w:r>
      <w:r w:rsidRPr="00A114A4">
        <w:rPr>
          <w:szCs w:val="20"/>
        </w:rPr>
        <w:t xml:space="preserve"> háztartások fogyasztá</w:t>
      </w:r>
      <w:r>
        <w:rPr>
          <w:szCs w:val="20"/>
        </w:rPr>
        <w:t xml:space="preserve">si kiadása 1,4%-kal csökkent a 2011. évi szinthez képest. </w:t>
      </w:r>
      <w:r>
        <w:t xml:space="preserve">Összességében a végső fogyasztás 1,7%-kal csökkent. </w:t>
      </w:r>
      <w:r w:rsidRPr="00A114A4">
        <w:rPr>
          <w:szCs w:val="20"/>
        </w:rPr>
        <w:t xml:space="preserve">A </w:t>
      </w:r>
      <w:r w:rsidRPr="00A114A4">
        <w:rPr>
          <w:b/>
          <w:bCs/>
          <w:szCs w:val="20"/>
        </w:rPr>
        <w:t xml:space="preserve">bruttó állóeszköz-felhalmozás </w:t>
      </w:r>
      <w:r>
        <w:rPr>
          <w:szCs w:val="20"/>
        </w:rPr>
        <w:t xml:space="preserve">2012-ben 3,8%-kal csökkent az egy évvel korábbi értékhez viszonyítva. </w:t>
      </w:r>
      <w:r>
        <w:t xml:space="preserve">Így a </w:t>
      </w:r>
      <w:r w:rsidRPr="005E1CAD">
        <w:rPr>
          <w:b/>
        </w:rPr>
        <w:t>belföldi felhasználás 3,7%-kal maradt el az előző évitől</w:t>
      </w:r>
      <w:r>
        <w:t>.</w:t>
      </w:r>
    </w:p>
    <w:p w:rsidR="00E3277F" w:rsidRDefault="00E3277F" w:rsidP="00634CDA">
      <w:pPr>
        <w:rPr>
          <w:szCs w:val="20"/>
        </w:rPr>
      </w:pPr>
      <w:r w:rsidRPr="005D7A9F">
        <w:rPr>
          <w:szCs w:val="20"/>
        </w:rPr>
        <w:t>Az export 2,0%-kal, az import 0,1%-kal emelkedett,</w:t>
      </w:r>
      <w:r>
        <w:rPr>
          <w:szCs w:val="20"/>
        </w:rPr>
        <w:t xml:space="preserve"> így</w:t>
      </w:r>
      <w:r w:rsidRPr="005D7A9F">
        <w:rPr>
          <w:szCs w:val="20"/>
        </w:rPr>
        <w:t xml:space="preserve"> a </w:t>
      </w:r>
      <w:r w:rsidRPr="00011E78">
        <w:rPr>
          <w:b/>
          <w:szCs w:val="20"/>
        </w:rPr>
        <w:t>nettó export</w:t>
      </w:r>
      <w:r w:rsidRPr="005D7A9F">
        <w:rPr>
          <w:szCs w:val="20"/>
        </w:rPr>
        <w:t xml:space="preserve"> hozzájárulása a GDP-hez 1,7</w:t>
      </w:r>
      <w:r w:rsidR="00387688">
        <w:rPr>
          <w:szCs w:val="20"/>
        </w:rPr>
        <w:t> </w:t>
      </w:r>
      <w:r w:rsidRPr="005D7A9F">
        <w:rPr>
          <w:szCs w:val="20"/>
        </w:rPr>
        <w:t>százalékpont volt.</w:t>
      </w:r>
    </w:p>
    <w:p w:rsidR="008B1EAE" w:rsidRPr="00715E86" w:rsidRDefault="00E3277F" w:rsidP="00715E86">
      <w:pPr>
        <w:pStyle w:val="Cmsor4"/>
      </w:pPr>
      <w:r w:rsidRPr="00715E86">
        <w:t xml:space="preserve">1.1.2.2. </w:t>
      </w:r>
      <w:r w:rsidR="00726797" w:rsidRPr="00715E86">
        <w:t>M</w:t>
      </w:r>
      <w:r w:rsidR="008B1EAE" w:rsidRPr="00715E86">
        <w:t>unkaerőpiac</w:t>
      </w:r>
    </w:p>
    <w:p w:rsidR="00E3277F" w:rsidRPr="00D22249" w:rsidRDefault="00E3277F" w:rsidP="00634CDA">
      <w:pPr>
        <w:rPr>
          <w:rFonts w:cs="TimesNewRomanPSMT"/>
          <w:szCs w:val="20"/>
          <w:lang w:eastAsia="ko-KR"/>
        </w:rPr>
      </w:pPr>
      <w:r w:rsidRPr="00D22249">
        <w:rPr>
          <w:szCs w:val="20"/>
        </w:rPr>
        <w:t xml:space="preserve">A gazdasági válság alapvetően meghatározta </w:t>
      </w:r>
      <w:r w:rsidRPr="00D22249">
        <w:rPr>
          <w:b/>
          <w:bCs/>
          <w:szCs w:val="20"/>
        </w:rPr>
        <w:t>az elmúlt évek munkaerő-piaci folyamata</w:t>
      </w:r>
      <w:r w:rsidRPr="00D22249">
        <w:rPr>
          <w:szCs w:val="20"/>
        </w:rPr>
        <w:t xml:space="preserve">it, ugyanakkor az elmúlt években már lassú javulás volt tapasztalható. </w:t>
      </w:r>
      <w:r w:rsidR="00387688">
        <w:rPr>
          <w:szCs w:val="20"/>
        </w:rPr>
        <w:t xml:space="preserve">A </w:t>
      </w:r>
      <w:r w:rsidRPr="00D22249">
        <w:rPr>
          <w:rFonts w:cs="TimesNewRomanPS-BoldMT"/>
          <w:szCs w:val="20"/>
          <w:lang w:eastAsia="ko-KR"/>
        </w:rPr>
        <w:t xml:space="preserve">2012. év átlagában </w:t>
      </w:r>
      <w:r w:rsidRPr="00D22249">
        <w:rPr>
          <w:rFonts w:cs="TimesNewRomanPSMT"/>
          <w:szCs w:val="20"/>
          <w:lang w:eastAsia="ko-KR"/>
        </w:rPr>
        <w:t>a 15–64 évesek 64,3%-a, azaz 4</w:t>
      </w:r>
      <w:r w:rsidR="00387688">
        <w:rPr>
          <w:rFonts w:cs="TimesNewRomanPSMT"/>
          <w:szCs w:val="20"/>
          <w:lang w:eastAsia="ko-KR"/>
        </w:rPr>
        <w:t> </w:t>
      </w:r>
      <w:r w:rsidRPr="00D22249">
        <w:rPr>
          <w:rFonts w:cs="TimesNewRomanPSMT"/>
          <w:szCs w:val="20"/>
          <w:lang w:eastAsia="ko-KR"/>
        </w:rPr>
        <w:t>millió</w:t>
      </w:r>
      <w:r w:rsidR="00387688">
        <w:rPr>
          <w:rFonts w:cs="TimesNewRomanPSMT"/>
          <w:szCs w:val="20"/>
          <w:lang w:eastAsia="ko-KR"/>
        </w:rPr>
        <w:t> </w:t>
      </w:r>
      <w:r w:rsidRPr="00D22249">
        <w:rPr>
          <w:rFonts w:cs="TimesNewRomanPSMT"/>
          <w:szCs w:val="20"/>
          <w:lang w:eastAsia="ko-KR"/>
        </w:rPr>
        <w:t>318</w:t>
      </w:r>
      <w:r w:rsidR="00387688">
        <w:rPr>
          <w:rFonts w:cs="TimesNewRomanPSMT"/>
          <w:szCs w:val="20"/>
          <w:lang w:eastAsia="ko-KR"/>
        </w:rPr>
        <w:t> </w:t>
      </w:r>
      <w:r w:rsidRPr="00D22249">
        <w:rPr>
          <w:rFonts w:cs="TimesNewRomanPSMT"/>
          <w:szCs w:val="20"/>
          <w:lang w:eastAsia="ko-KR"/>
        </w:rPr>
        <w:t>ezer</w:t>
      </w:r>
      <w:r w:rsidR="00387688">
        <w:rPr>
          <w:rFonts w:cs="TimesNewRomanPSMT"/>
          <w:szCs w:val="20"/>
          <w:lang w:eastAsia="ko-KR"/>
        </w:rPr>
        <w:t> </w:t>
      </w:r>
      <w:r w:rsidRPr="00D22249">
        <w:rPr>
          <w:rFonts w:cs="TimesNewRomanPSMT"/>
          <w:szCs w:val="20"/>
          <w:lang w:eastAsia="ko-KR"/>
        </w:rPr>
        <w:t>fő jelent meg gazdaságilag aktívként (azaz foglalkoztatottként, illetve munkanélküliként) a munkaerőpiacon, 71</w:t>
      </w:r>
      <w:r w:rsidR="00387688">
        <w:rPr>
          <w:rFonts w:cs="TimesNewRomanPSMT"/>
          <w:szCs w:val="20"/>
          <w:lang w:eastAsia="ko-KR"/>
        </w:rPr>
        <w:t> </w:t>
      </w:r>
      <w:r w:rsidRPr="00D22249">
        <w:rPr>
          <w:rFonts w:cs="TimesNewRomanPSMT"/>
          <w:szCs w:val="20"/>
          <w:lang w:eastAsia="ko-KR"/>
        </w:rPr>
        <w:t>ezer</w:t>
      </w:r>
      <w:r w:rsidR="00387688">
        <w:rPr>
          <w:rFonts w:cs="TimesNewRomanPSMT"/>
          <w:szCs w:val="20"/>
          <w:lang w:eastAsia="ko-KR"/>
        </w:rPr>
        <w:t> </w:t>
      </w:r>
      <w:r w:rsidRPr="00D22249">
        <w:rPr>
          <w:rFonts w:cs="TimesNewRomanPSMT"/>
          <w:szCs w:val="20"/>
          <w:lang w:eastAsia="ko-KR"/>
        </w:rPr>
        <w:t>fővel több, mint egy évvel ezelőtt.</w:t>
      </w:r>
    </w:p>
    <w:p w:rsidR="00E3277F" w:rsidRPr="00D22249" w:rsidRDefault="00B452BF" w:rsidP="00D53DF7">
      <w:pPr>
        <w:rPr>
          <w:rFonts w:cs="TimesNewRomanPSMT"/>
          <w:szCs w:val="20"/>
          <w:lang w:eastAsia="ko-KR"/>
        </w:rPr>
      </w:pPr>
      <w:r>
        <w:rPr>
          <w:rFonts w:cs="TimesNewRomanPSMT"/>
          <w:noProof/>
          <w:szCs w:val="20"/>
        </w:rPr>
        <w:lastRenderedPageBreak/>
        <w:drawing>
          <wp:inline distT="0" distB="0" distL="0" distR="0" wp14:anchorId="42DB8C27" wp14:editId="7B9C9CB1">
            <wp:extent cx="5335270" cy="3488690"/>
            <wp:effectExtent l="0" t="0" r="17780" b="16510"/>
            <wp:docPr id="78"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7F01" w:rsidRPr="006F55E9" w:rsidRDefault="00E3277F" w:rsidP="009A7F01">
      <w:pPr>
        <w:rPr>
          <w:sz w:val="18"/>
          <w:szCs w:val="18"/>
        </w:rPr>
      </w:pPr>
      <w:r w:rsidRPr="006F55E9">
        <w:rPr>
          <w:sz w:val="18"/>
          <w:szCs w:val="18"/>
        </w:rPr>
        <w:t xml:space="preserve">Forrás:KSH </w:t>
      </w:r>
    </w:p>
    <w:p w:rsidR="00E3277F" w:rsidRPr="00D22249" w:rsidRDefault="00E3277F" w:rsidP="00634CDA">
      <w:r w:rsidRPr="00D22249">
        <w:rPr>
          <w:rFonts w:cs="TimesNewRomanPSMT"/>
          <w:lang w:eastAsia="ko-KR"/>
        </w:rPr>
        <w:t xml:space="preserve">A férfiakat jellemző 70,5%-os </w:t>
      </w:r>
      <w:r w:rsidRPr="00D22249">
        <w:rPr>
          <w:rFonts w:cs="TimesNewRomanPSMT"/>
          <w:b/>
          <w:lang w:eastAsia="ko-KR"/>
        </w:rPr>
        <w:t>aktivitási arány</w:t>
      </w:r>
      <w:r w:rsidRPr="00D22249">
        <w:rPr>
          <w:rFonts w:cs="TimesNewRomanPSMT"/>
          <w:lang w:eastAsia="ko-KR"/>
        </w:rPr>
        <w:t xml:space="preserve"> </w:t>
      </w:r>
      <w:r w:rsidRPr="00D22249">
        <w:rPr>
          <w:rFonts w:cs="TimesNewRomanPSMT"/>
          <w:szCs w:val="20"/>
          <w:lang w:eastAsia="ko-KR"/>
        </w:rPr>
        <w:t>1,7 százalékponttal</w:t>
      </w:r>
      <w:r w:rsidRPr="00D22249">
        <w:rPr>
          <w:rFonts w:cs="TimesNewRomanPSMT"/>
          <w:lang w:eastAsia="ko-KR"/>
        </w:rPr>
        <w:t>, a nők 59,5%-os értéke pedig 2,7 százalékponttal volt magasabb a 2011. évben mértnél. A gazdasági aktivitás növekedése elsősorban a foglalkoztatottak létszámbővülésének volt köszönhető, a munkanélküliség mindkét nem esetében 11% körül stagnált.</w:t>
      </w:r>
      <w:r w:rsidRPr="00D22249">
        <w:t xml:space="preserve"> </w:t>
      </w:r>
    </w:p>
    <w:p w:rsidR="00E3277F" w:rsidRPr="00580A68" w:rsidRDefault="00E3277F" w:rsidP="00634CDA">
      <w:pPr>
        <w:pStyle w:val="Jegyzetszveg"/>
        <w:rPr>
          <w:rFonts w:cs="TimesNewRomanPSMT"/>
          <w:sz w:val="22"/>
          <w:lang w:eastAsia="ko-KR"/>
        </w:rPr>
      </w:pPr>
      <w:r w:rsidRPr="00580A68">
        <w:rPr>
          <w:rFonts w:cs="TimesNewRomanPSMT"/>
          <w:sz w:val="22"/>
          <w:lang w:eastAsia="ko-KR"/>
        </w:rPr>
        <w:t xml:space="preserve">2012-ben </w:t>
      </w:r>
      <w:r w:rsidRPr="00580A68">
        <w:rPr>
          <w:rFonts w:cs="TimesNewRomanPSMT"/>
          <w:b/>
          <w:sz w:val="22"/>
          <w:lang w:eastAsia="ko-KR"/>
        </w:rPr>
        <w:t>a 15–64 éves foglalkoztatottak létszáma</w:t>
      </w:r>
      <w:r w:rsidRPr="00580A68">
        <w:rPr>
          <w:rFonts w:cs="TimesNewRomanPSMT"/>
          <w:sz w:val="22"/>
          <w:lang w:eastAsia="ko-KR"/>
        </w:rPr>
        <w:t xml:space="preserve"> 3</w:t>
      </w:r>
      <w:r w:rsidR="00387688">
        <w:rPr>
          <w:rFonts w:cs="TimesNewRomanPSMT"/>
          <w:sz w:val="22"/>
          <w:lang w:eastAsia="ko-KR"/>
        </w:rPr>
        <w:t> </w:t>
      </w:r>
      <w:r w:rsidRPr="00580A68">
        <w:rPr>
          <w:rFonts w:cs="TimesNewRomanPSMT"/>
          <w:sz w:val="22"/>
          <w:lang w:eastAsia="ko-KR"/>
        </w:rPr>
        <w:t>millió</w:t>
      </w:r>
      <w:r w:rsidR="00387688">
        <w:rPr>
          <w:rFonts w:cs="TimesNewRomanPSMT"/>
          <w:sz w:val="22"/>
          <w:lang w:eastAsia="ko-KR"/>
        </w:rPr>
        <w:t> </w:t>
      </w:r>
      <w:r w:rsidRPr="00580A68">
        <w:rPr>
          <w:rFonts w:cs="TimesNewRomanPSMT"/>
          <w:sz w:val="22"/>
          <w:lang w:eastAsia="ko-KR"/>
        </w:rPr>
        <w:t>843</w:t>
      </w:r>
      <w:r w:rsidR="00387688">
        <w:rPr>
          <w:rFonts w:cs="TimesNewRomanPSMT"/>
          <w:sz w:val="22"/>
          <w:lang w:eastAsia="ko-KR"/>
        </w:rPr>
        <w:t> </w:t>
      </w:r>
      <w:r w:rsidRPr="00580A68">
        <w:rPr>
          <w:rFonts w:cs="TimesNewRomanPSMT"/>
          <w:sz w:val="22"/>
          <w:lang w:eastAsia="ko-KR"/>
        </w:rPr>
        <w:t>ezer</w:t>
      </w:r>
      <w:r w:rsidR="00387688">
        <w:rPr>
          <w:rFonts w:cs="TimesNewRomanPSMT"/>
          <w:sz w:val="22"/>
          <w:lang w:eastAsia="ko-KR"/>
        </w:rPr>
        <w:t> </w:t>
      </w:r>
      <w:r w:rsidRPr="00580A68">
        <w:rPr>
          <w:rFonts w:cs="TimesNewRomanPSMT"/>
          <w:sz w:val="22"/>
          <w:lang w:eastAsia="ko-KR"/>
        </w:rPr>
        <w:t>fő volt, 64</w:t>
      </w:r>
      <w:r w:rsidR="00387688">
        <w:rPr>
          <w:rFonts w:cs="TimesNewRomanPSMT"/>
          <w:sz w:val="22"/>
          <w:lang w:eastAsia="ko-KR"/>
        </w:rPr>
        <w:t> </w:t>
      </w:r>
      <w:r w:rsidRPr="00580A68">
        <w:rPr>
          <w:rFonts w:cs="TimesNewRomanPSMT"/>
          <w:sz w:val="22"/>
          <w:lang w:eastAsia="ko-KR"/>
        </w:rPr>
        <w:t>ezer</w:t>
      </w:r>
      <w:r w:rsidR="00387688">
        <w:rPr>
          <w:rFonts w:cs="TimesNewRomanPSMT"/>
          <w:sz w:val="22"/>
          <w:lang w:eastAsia="ko-KR"/>
        </w:rPr>
        <w:t> </w:t>
      </w:r>
      <w:r w:rsidRPr="00580A68">
        <w:rPr>
          <w:rFonts w:cs="TimesNewRomanPSMT"/>
          <w:sz w:val="22"/>
          <w:lang w:eastAsia="ko-KR"/>
        </w:rPr>
        <w:t>fővel magasabb az egy évvel ezelőtti értéknél. Ezzel Magyarország az uniós átlagot meghaladó mértékben tudta növelni a foglalkoztatás szintjét. A 2012 évi 57,2%-os foglalkoztatási ráta nemek szerinti megoszlása alapján a 15–64 éves férfi foglalkoztatottak létszáma 2</w:t>
      </w:r>
      <w:r w:rsidR="00387688">
        <w:rPr>
          <w:rFonts w:cs="TimesNewRomanPSMT"/>
          <w:sz w:val="22"/>
          <w:lang w:eastAsia="ko-KR"/>
        </w:rPr>
        <w:t> </w:t>
      </w:r>
      <w:r w:rsidRPr="00580A68">
        <w:rPr>
          <w:rFonts w:cs="TimesNewRomanPSMT"/>
          <w:sz w:val="22"/>
          <w:lang w:eastAsia="ko-KR"/>
        </w:rPr>
        <w:t>millió</w:t>
      </w:r>
      <w:r w:rsidR="00387688">
        <w:rPr>
          <w:rFonts w:cs="TimesNewRomanPSMT"/>
          <w:sz w:val="22"/>
          <w:lang w:eastAsia="ko-KR"/>
        </w:rPr>
        <w:t> </w:t>
      </w:r>
      <w:r w:rsidRPr="00580A68">
        <w:rPr>
          <w:rFonts w:cs="TimesNewRomanPSMT"/>
          <w:sz w:val="22"/>
          <w:lang w:eastAsia="ko-KR"/>
        </w:rPr>
        <w:t>61</w:t>
      </w:r>
      <w:r w:rsidR="00387688">
        <w:rPr>
          <w:rFonts w:cs="TimesNewRomanPSMT"/>
          <w:sz w:val="22"/>
          <w:lang w:eastAsia="ko-KR"/>
        </w:rPr>
        <w:t> </w:t>
      </w:r>
      <w:r w:rsidRPr="00580A68">
        <w:rPr>
          <w:rFonts w:cs="TimesNewRomanPSMT"/>
          <w:sz w:val="22"/>
          <w:lang w:eastAsia="ko-KR"/>
        </w:rPr>
        <w:t>ezer</w:t>
      </w:r>
      <w:r w:rsidR="00387688">
        <w:rPr>
          <w:rFonts w:cs="TimesNewRomanPSMT"/>
          <w:sz w:val="22"/>
          <w:lang w:eastAsia="ko-KR"/>
        </w:rPr>
        <w:t> </w:t>
      </w:r>
      <w:r w:rsidRPr="00580A68">
        <w:rPr>
          <w:rFonts w:cs="TimesNewRomanPSMT"/>
          <w:sz w:val="22"/>
          <w:lang w:eastAsia="ko-KR"/>
        </w:rPr>
        <w:t>fő volt, 62,5%-os foglalkoztatási rátaértékkel; a nőket 1</w:t>
      </w:r>
      <w:r w:rsidR="00387688">
        <w:rPr>
          <w:rFonts w:cs="TimesNewRomanPSMT"/>
          <w:sz w:val="22"/>
          <w:lang w:eastAsia="ko-KR"/>
        </w:rPr>
        <w:t> </w:t>
      </w:r>
      <w:r w:rsidRPr="00580A68">
        <w:rPr>
          <w:rFonts w:cs="TimesNewRomanPSMT"/>
          <w:sz w:val="22"/>
          <w:lang w:eastAsia="ko-KR"/>
        </w:rPr>
        <w:t>millió</w:t>
      </w:r>
      <w:r w:rsidR="00387688">
        <w:rPr>
          <w:rFonts w:cs="TimesNewRomanPSMT"/>
          <w:sz w:val="22"/>
          <w:lang w:eastAsia="ko-KR"/>
        </w:rPr>
        <w:t> </w:t>
      </w:r>
      <w:r w:rsidRPr="00580A68">
        <w:rPr>
          <w:rFonts w:cs="TimesNewRomanPSMT"/>
          <w:sz w:val="22"/>
          <w:lang w:eastAsia="ko-KR"/>
        </w:rPr>
        <w:t>782</w:t>
      </w:r>
      <w:r w:rsidR="00387688">
        <w:rPr>
          <w:rFonts w:cs="TimesNewRomanPSMT"/>
          <w:sz w:val="22"/>
          <w:lang w:eastAsia="ko-KR"/>
        </w:rPr>
        <w:t> </w:t>
      </w:r>
      <w:r w:rsidRPr="00580A68">
        <w:rPr>
          <w:rFonts w:cs="TimesNewRomanPSMT"/>
          <w:sz w:val="22"/>
          <w:lang w:eastAsia="ko-KR"/>
        </w:rPr>
        <w:t>ezer</w:t>
      </w:r>
      <w:r w:rsidR="00387688">
        <w:rPr>
          <w:rFonts w:cs="TimesNewRomanPSMT"/>
          <w:sz w:val="22"/>
          <w:lang w:eastAsia="ko-KR"/>
        </w:rPr>
        <w:t> </w:t>
      </w:r>
      <w:r w:rsidRPr="00580A68">
        <w:rPr>
          <w:rFonts w:cs="TimesNewRomanPSMT"/>
          <w:sz w:val="22"/>
          <w:lang w:eastAsia="ko-KR"/>
        </w:rPr>
        <w:t>fős, 53,1%-os foglalkoztatottság jellemezte.</w:t>
      </w:r>
      <w:r w:rsidRPr="00580A68">
        <w:rPr>
          <w:sz w:val="22"/>
        </w:rPr>
        <w:t xml:space="preserve"> A foglalkoztatás szerkezetét vizsgálva a versenyszférában 2012-ben valamelyest (1,8%-kal) csökkent a foglalkoztatottak száma, míg a tavalyi 4,9%-os csökkenést követően újból bővült a költségvetési szférában alkalmazottak száma 2,3</w:t>
      </w:r>
      <w:r w:rsidR="00387688">
        <w:rPr>
          <w:sz w:val="22"/>
        </w:rPr>
        <w:t>%-</w:t>
      </w:r>
      <w:r w:rsidRPr="00580A68">
        <w:rPr>
          <w:sz w:val="22"/>
        </w:rPr>
        <w:t>al.</w:t>
      </w:r>
    </w:p>
    <w:p w:rsidR="00E3277F" w:rsidRPr="00D22249" w:rsidRDefault="00E3277F" w:rsidP="00634CDA">
      <w:pPr>
        <w:rPr>
          <w:rFonts w:cs="TimesNewRomanPSMT"/>
          <w:szCs w:val="20"/>
          <w:lang w:eastAsia="ko-KR"/>
        </w:rPr>
      </w:pPr>
      <w:r w:rsidRPr="00D22249">
        <w:rPr>
          <w:rFonts w:cs="TimesNewRomanPSMT"/>
          <w:szCs w:val="20"/>
          <w:lang w:eastAsia="ko-KR"/>
        </w:rPr>
        <w:t xml:space="preserve">2012-ben a </w:t>
      </w:r>
      <w:r w:rsidRPr="00D22249">
        <w:rPr>
          <w:rFonts w:cs="TimesNewRomanPSMT"/>
          <w:b/>
          <w:szCs w:val="20"/>
          <w:lang w:eastAsia="ko-KR"/>
        </w:rPr>
        <w:t>munkanélküliségi ráta</w:t>
      </w:r>
      <w:r w:rsidRPr="00D22249">
        <w:rPr>
          <w:rFonts w:cs="TimesNewRomanPSMT"/>
          <w:szCs w:val="20"/>
          <w:lang w:eastAsia="ko-KR"/>
        </w:rPr>
        <w:t xml:space="preserve"> szintje nem változott az előző évihez képest: a gazdaságilag aktív népesség átlagosan 11</w:t>
      </w:r>
      <w:r w:rsidR="00387688">
        <w:rPr>
          <w:rFonts w:cs="TimesNewRomanPSMT"/>
          <w:szCs w:val="20"/>
          <w:lang w:eastAsia="ko-KR"/>
        </w:rPr>
        <w:t>%-</w:t>
      </w:r>
      <w:r w:rsidRPr="00D22249">
        <w:rPr>
          <w:rFonts w:cs="TimesNewRomanPSMT"/>
          <w:szCs w:val="20"/>
          <w:lang w:eastAsia="ko-KR"/>
        </w:rPr>
        <w:t xml:space="preserve">a volt álláskereső az év folyamán. Ez még mindig mintegy </w:t>
      </w:r>
      <w:r>
        <w:rPr>
          <w:rFonts w:cs="TimesNewRomanPSMT"/>
          <w:szCs w:val="20"/>
          <w:lang w:eastAsia="ko-KR"/>
        </w:rPr>
        <w:t>3</w:t>
      </w:r>
      <w:r w:rsidR="00387688">
        <w:rPr>
          <w:rFonts w:cs="TimesNewRomanPSMT"/>
          <w:lang w:eastAsia="ko-KR"/>
        </w:rPr>
        <w:t> </w:t>
      </w:r>
      <w:r w:rsidRPr="00D22249">
        <w:rPr>
          <w:rFonts w:cs="TimesNewRomanPSMT"/>
          <w:szCs w:val="20"/>
          <w:lang w:eastAsia="ko-KR"/>
        </w:rPr>
        <w:t>százalékponttal magasabb a gazdasági válságot megelőző, 2008-ban mért értéknél.</w:t>
      </w:r>
    </w:p>
    <w:p w:rsidR="00E3277F" w:rsidRPr="00D22249" w:rsidRDefault="00E3277F" w:rsidP="00634CDA">
      <w:pPr>
        <w:rPr>
          <w:rFonts w:cs="TimesNewRomanPSMT"/>
          <w:szCs w:val="20"/>
          <w:lang w:eastAsia="ko-KR"/>
        </w:rPr>
      </w:pPr>
      <w:r w:rsidRPr="00D22249">
        <w:rPr>
          <w:rFonts w:cs="TimesNewRomanPSMT"/>
          <w:szCs w:val="20"/>
          <w:lang w:eastAsia="ko-KR"/>
        </w:rPr>
        <w:t>A munkanélküliek 17,8%-a a munkaerőpiacon csak kis létszámban jelenlévő 15–24 éves korosztályból került ki, a munkanélküliségi ráta erre a korcsoportra 28,1%-ot tett ki. A 25–54 évesek, azaz az ún. legjobb munkavállalási korúak munkanélküliségi rátája ennél jóval alacsonyabb szinten (10%) mozgott 2012-ben.</w:t>
      </w:r>
    </w:p>
    <w:p w:rsidR="00E3277F" w:rsidRDefault="00E3277F" w:rsidP="00634CDA">
      <w:pPr>
        <w:rPr>
          <w:rFonts w:cs="TimesNewRomanPSMT"/>
          <w:szCs w:val="20"/>
          <w:lang w:eastAsia="ko-KR"/>
        </w:rPr>
      </w:pPr>
      <w:r w:rsidRPr="00D22249">
        <w:rPr>
          <w:rFonts w:cs="TimesNewRomanPSMT"/>
          <w:szCs w:val="20"/>
          <w:lang w:eastAsia="ko-KR"/>
        </w:rPr>
        <w:t xml:space="preserve">A munkanélküliek 46,7%-a egy éve vagy annál régebben keresett állást. A </w:t>
      </w:r>
      <w:r w:rsidRPr="00D22249">
        <w:rPr>
          <w:rFonts w:cs="TimesNewRomanPSMT"/>
          <w:b/>
          <w:szCs w:val="20"/>
          <w:lang w:eastAsia="ko-KR"/>
        </w:rPr>
        <w:t>munkanélküliség átlagos időtartama</w:t>
      </w:r>
      <w:r w:rsidRPr="00D22249">
        <w:rPr>
          <w:rFonts w:cs="TimesNewRomanPSMT"/>
          <w:szCs w:val="20"/>
          <w:lang w:eastAsia="ko-KR"/>
        </w:rPr>
        <w:t xml:space="preserve"> 17</w:t>
      </w:r>
      <w:r w:rsidR="00387688">
        <w:rPr>
          <w:rFonts w:cs="TimesNewRomanPSMT"/>
          <w:lang w:eastAsia="ko-KR"/>
        </w:rPr>
        <w:t> </w:t>
      </w:r>
      <w:r w:rsidRPr="00D22249">
        <w:rPr>
          <w:rFonts w:cs="TimesNewRomanPSMT"/>
          <w:szCs w:val="20"/>
          <w:lang w:eastAsia="ko-KR"/>
        </w:rPr>
        <w:t>hónap körül volt.</w:t>
      </w:r>
    </w:p>
    <w:p w:rsidR="008B1EAE" w:rsidRPr="00715E86" w:rsidRDefault="008B1EAE" w:rsidP="00715E86">
      <w:pPr>
        <w:pStyle w:val="Cmsor4"/>
      </w:pPr>
      <w:r w:rsidRPr="00715E86">
        <w:t>Árak-bérek</w:t>
      </w:r>
    </w:p>
    <w:p w:rsidR="00E3277F" w:rsidRDefault="00E3277F" w:rsidP="00634CDA">
      <w:r>
        <w:t>Az infláció 2012-es éves alakulásában döntő</w:t>
      </w:r>
      <w:r w:rsidR="00387688">
        <w:t xml:space="preserve"> </w:t>
      </w:r>
      <w:r>
        <w:t>szerepet játszott a januári áfa emelés, illetve az élelmiszerárak növe</w:t>
      </w:r>
      <w:r w:rsidR="00387688">
        <w:t>kedése. Az előbbi következik a K</w:t>
      </w:r>
      <w:r>
        <w:t xml:space="preserve">ormány stratégiájából, amely szerint a költségvetés egyensúlyát a jövedelmet terhelő adók helyett a fogyasztást terhelő adókkal biztosítják. Az utóbbi a globálisan és Magyarországon egyaránt gyenge mezőgazdasági termés következménye. Az év utolsó hónapjaiban azonban rendre a várt szint alatt maradt az árak növekedése, a visszaeső </w:t>
      </w:r>
      <w:r>
        <w:lastRenderedPageBreak/>
        <w:t xml:space="preserve">lakossági fogyasztás által indukált dezinflációs folyamatok miatt. </w:t>
      </w:r>
      <w:r w:rsidRPr="00FC4834">
        <w:rPr>
          <w:b/>
        </w:rPr>
        <w:t>2012-ben az infláció átlagosan 5,7% volt</w:t>
      </w:r>
      <w:r>
        <w:t>.</w:t>
      </w:r>
    </w:p>
    <w:p w:rsidR="00E3277F" w:rsidRDefault="00E3277F" w:rsidP="00634CDA">
      <w:pPr>
        <w:rPr>
          <w:rFonts w:cs="TimesNewRomanPSMT"/>
          <w:szCs w:val="20"/>
          <w:lang w:eastAsia="ko-KR"/>
        </w:rPr>
      </w:pPr>
      <w:r w:rsidRPr="00A27667">
        <w:rPr>
          <w:rFonts w:cs="TimesNewRomanPSMT"/>
          <w:b/>
          <w:szCs w:val="20"/>
          <w:lang w:eastAsia="ko-KR"/>
        </w:rPr>
        <w:t xml:space="preserve">A teljes munkaidőben alkalmazásban állók átlagos </w:t>
      </w:r>
      <w:r w:rsidRPr="00A27667">
        <w:rPr>
          <w:rFonts w:cs="TimesNewRomanPSMT"/>
          <w:szCs w:val="20"/>
          <w:lang w:eastAsia="ko-KR"/>
        </w:rPr>
        <w:t>bruttó keresete</w:t>
      </w:r>
      <w:r>
        <w:rPr>
          <w:rFonts w:cs="TimesNewRomanPSMT"/>
          <w:szCs w:val="20"/>
          <w:lang w:eastAsia="ko-KR"/>
        </w:rPr>
        <w:t xml:space="preserve"> 222</w:t>
      </w:r>
      <w:r w:rsidR="00387688">
        <w:rPr>
          <w:rFonts w:cs="TimesNewRomanPSMT"/>
          <w:szCs w:val="20"/>
          <w:lang w:eastAsia="ko-KR"/>
        </w:rPr>
        <w:t> </w:t>
      </w:r>
      <w:r>
        <w:rPr>
          <w:rFonts w:cs="TimesNewRomanPSMT"/>
          <w:szCs w:val="20"/>
          <w:lang w:eastAsia="ko-KR"/>
        </w:rPr>
        <w:t>990</w:t>
      </w:r>
      <w:r w:rsidR="00387688">
        <w:rPr>
          <w:rFonts w:cs="TimesNewRomanPSMT"/>
          <w:lang w:eastAsia="ko-KR"/>
        </w:rPr>
        <w:t> </w:t>
      </w:r>
      <w:r w:rsidRPr="0072343D">
        <w:rPr>
          <w:rFonts w:cs="TimesNewRomanPSMT"/>
          <w:szCs w:val="20"/>
          <w:lang w:eastAsia="ko-KR"/>
        </w:rPr>
        <w:t>forint volt</w:t>
      </w:r>
      <w:r>
        <w:rPr>
          <w:rFonts w:cs="TimesNewRomanPSMT"/>
          <w:szCs w:val="20"/>
          <w:lang w:eastAsia="ko-KR"/>
        </w:rPr>
        <w:t xml:space="preserve"> 2012-ben</w:t>
      </w:r>
      <w:r w:rsidRPr="0072343D">
        <w:rPr>
          <w:rFonts w:cs="TimesNewRomanPSMT"/>
          <w:szCs w:val="20"/>
          <w:lang w:eastAsia="ko-KR"/>
        </w:rPr>
        <w:t xml:space="preserve">, ezen belül a </w:t>
      </w:r>
      <w:r w:rsidRPr="00A27667">
        <w:rPr>
          <w:rFonts w:cs="TimesNewRomanPSMT"/>
          <w:szCs w:val="20"/>
          <w:lang w:eastAsia="ko-KR"/>
        </w:rPr>
        <w:t>vállalkozások</w:t>
      </w:r>
      <w:r>
        <w:rPr>
          <w:rFonts w:cs="TimesNewRomanPSMT"/>
          <w:szCs w:val="20"/>
          <w:lang w:eastAsia="ko-KR"/>
        </w:rPr>
        <w:t>nál dolgozóké 233</w:t>
      </w:r>
      <w:r w:rsidR="00387688">
        <w:rPr>
          <w:rFonts w:cs="TimesNewRomanPSMT"/>
          <w:lang w:eastAsia="ko-KR"/>
        </w:rPr>
        <w:t> </w:t>
      </w:r>
      <w:r>
        <w:rPr>
          <w:rFonts w:cs="TimesNewRomanPSMT"/>
          <w:szCs w:val="20"/>
          <w:lang w:eastAsia="ko-KR"/>
        </w:rPr>
        <w:t>729</w:t>
      </w:r>
      <w:r w:rsidRPr="0072343D">
        <w:rPr>
          <w:rFonts w:cs="TimesNewRomanPSMT"/>
          <w:szCs w:val="20"/>
          <w:lang w:eastAsia="ko-KR"/>
        </w:rPr>
        <w:t xml:space="preserve">, a </w:t>
      </w:r>
      <w:r w:rsidRPr="00A27667">
        <w:rPr>
          <w:rFonts w:cs="TimesNewRomanPSMT"/>
          <w:szCs w:val="20"/>
          <w:lang w:eastAsia="ko-KR"/>
        </w:rPr>
        <w:t>költségvetési szervezetek</w:t>
      </w:r>
      <w:r>
        <w:rPr>
          <w:rFonts w:cs="TimesNewRomanPSMT"/>
          <w:szCs w:val="20"/>
          <w:lang w:eastAsia="ko-KR"/>
        </w:rPr>
        <w:t>nél alkalmazásban állóké 200</w:t>
      </w:r>
      <w:r w:rsidR="00387688">
        <w:rPr>
          <w:rFonts w:cs="TimesNewRomanPSMT"/>
          <w:lang w:eastAsia="ko-KR"/>
        </w:rPr>
        <w:t> </w:t>
      </w:r>
      <w:r>
        <w:rPr>
          <w:rFonts w:cs="TimesNewRomanPSMT"/>
          <w:szCs w:val="20"/>
          <w:lang w:eastAsia="ko-KR"/>
        </w:rPr>
        <w:t>024</w:t>
      </w:r>
      <w:r w:rsidRPr="0072343D">
        <w:rPr>
          <w:rFonts w:cs="TimesNewRomanPSMT"/>
          <w:szCs w:val="20"/>
          <w:lang w:eastAsia="ko-KR"/>
        </w:rPr>
        <w:t xml:space="preserve"> forint volt. </w:t>
      </w:r>
      <w:r w:rsidRPr="00283C19">
        <w:rPr>
          <w:rFonts w:cs="TimesNewRomanPSMT"/>
          <w:szCs w:val="20"/>
          <w:lang w:eastAsia="ko-KR"/>
        </w:rPr>
        <w:t xml:space="preserve">Nemzetgazdasági szinten a bruttó keresetek </w:t>
      </w:r>
      <w:r>
        <w:rPr>
          <w:rFonts w:cs="TimesNewRomanPSMT"/>
          <w:szCs w:val="20"/>
          <w:lang w:eastAsia="ko-KR"/>
        </w:rPr>
        <w:t>a 2012. év egészét tekintve 4,6</w:t>
      </w:r>
      <w:r w:rsidRPr="00283C19">
        <w:rPr>
          <w:rFonts w:cs="TimesNewRomanPSMT"/>
          <w:szCs w:val="20"/>
          <w:lang w:eastAsia="ko-KR"/>
        </w:rPr>
        <w:t xml:space="preserve">%-kal haladták meg az előző évi azonos időszakit. Az </w:t>
      </w:r>
      <w:r w:rsidRPr="00A27667">
        <w:rPr>
          <w:rFonts w:cs="TimesNewRomanPSMT"/>
          <w:szCs w:val="20"/>
          <w:lang w:eastAsia="ko-KR"/>
        </w:rPr>
        <w:t>átlagkeresetek</w:t>
      </w:r>
      <w:r w:rsidRPr="00283C19">
        <w:rPr>
          <w:rFonts w:cs="TimesNewRomanPSMT"/>
          <w:szCs w:val="20"/>
          <w:lang w:eastAsia="ko-KR"/>
        </w:rPr>
        <w:t xml:space="preserve"> </w:t>
      </w:r>
      <w:r w:rsidRPr="00A27667">
        <w:rPr>
          <w:rFonts w:cs="TimesNewRomanPSMT"/>
          <w:szCs w:val="20"/>
          <w:lang w:eastAsia="ko-KR"/>
        </w:rPr>
        <w:t>a versenyszférában</w:t>
      </w:r>
      <w:r w:rsidRPr="00283C19">
        <w:rPr>
          <w:rFonts w:cs="TimesNewRomanPSMT"/>
          <w:szCs w:val="20"/>
          <w:lang w:eastAsia="ko-KR"/>
        </w:rPr>
        <w:t xml:space="preserve"> </w:t>
      </w:r>
      <w:r>
        <w:rPr>
          <w:rFonts w:cs="TimesNewRomanPSMT"/>
          <w:szCs w:val="20"/>
          <w:lang w:eastAsia="ko-KR"/>
        </w:rPr>
        <w:t>7,2</w:t>
      </w:r>
      <w:r w:rsidRPr="00283C19">
        <w:rPr>
          <w:rFonts w:cs="TimesNewRomanPSMT"/>
          <w:szCs w:val="20"/>
          <w:lang w:eastAsia="ko-KR"/>
        </w:rPr>
        <w:t>%-kal</w:t>
      </w:r>
      <w:r>
        <w:rPr>
          <w:rFonts w:cs="TimesNewRomanPSMT"/>
          <w:szCs w:val="20"/>
          <w:lang w:eastAsia="ko-KR"/>
        </w:rPr>
        <w:t xml:space="preserve"> nőttek</w:t>
      </w:r>
      <w:r w:rsidRPr="00283C19">
        <w:rPr>
          <w:rFonts w:cs="TimesNewRomanPSMT"/>
          <w:szCs w:val="20"/>
          <w:lang w:eastAsia="ko-KR"/>
        </w:rPr>
        <w:t xml:space="preserve">, </w:t>
      </w:r>
      <w:r>
        <w:rPr>
          <w:rFonts w:cs="TimesNewRomanPSMT"/>
          <w:szCs w:val="20"/>
          <w:lang w:eastAsia="ko-KR"/>
        </w:rPr>
        <w:t xml:space="preserve">míg </w:t>
      </w:r>
      <w:r w:rsidRPr="00283C19">
        <w:rPr>
          <w:rFonts w:cs="TimesNewRomanPSMT"/>
          <w:szCs w:val="20"/>
          <w:lang w:eastAsia="ko-KR"/>
        </w:rPr>
        <w:t>a költségvetés</w:t>
      </w:r>
      <w:r>
        <w:rPr>
          <w:rFonts w:cs="TimesNewRomanPSMT"/>
          <w:szCs w:val="20"/>
          <w:lang w:eastAsia="ko-KR"/>
        </w:rPr>
        <w:t>i szférában 1,7</w:t>
      </w:r>
      <w:r w:rsidRPr="00283C19">
        <w:rPr>
          <w:rFonts w:cs="TimesNewRomanPSMT"/>
          <w:szCs w:val="20"/>
          <w:lang w:eastAsia="ko-KR"/>
        </w:rPr>
        <w:t xml:space="preserve">%-kal </w:t>
      </w:r>
      <w:r>
        <w:rPr>
          <w:rFonts w:cs="TimesNewRomanPSMT"/>
          <w:szCs w:val="20"/>
          <w:lang w:eastAsia="ko-KR"/>
        </w:rPr>
        <w:t>csökkentek</w:t>
      </w:r>
      <w:r w:rsidRPr="00283C19">
        <w:rPr>
          <w:rFonts w:cs="TimesNewRomanPSMT"/>
          <w:szCs w:val="20"/>
          <w:lang w:eastAsia="ko-KR"/>
        </w:rPr>
        <w:t xml:space="preserve"> </w:t>
      </w:r>
      <w:r>
        <w:rPr>
          <w:rFonts w:cs="TimesNewRomanPSMT"/>
          <w:szCs w:val="20"/>
          <w:lang w:eastAsia="ko-KR"/>
        </w:rPr>
        <w:t>egy év alatt</w:t>
      </w:r>
      <w:r w:rsidRPr="00283C19">
        <w:rPr>
          <w:rFonts w:cs="TimesNewRomanPSMT"/>
          <w:szCs w:val="20"/>
          <w:lang w:eastAsia="ko-KR"/>
        </w:rPr>
        <w:t xml:space="preserve">. Nemzetgazdasági szinten az átlagos (családi kedvezmény nélkül számított) </w:t>
      </w:r>
      <w:r w:rsidRPr="00A27667">
        <w:rPr>
          <w:rFonts w:cs="TimesNewRomanPSMT"/>
          <w:szCs w:val="20"/>
          <w:lang w:eastAsia="ko-KR"/>
        </w:rPr>
        <w:t xml:space="preserve">nettó kereset </w:t>
      </w:r>
      <w:r>
        <w:rPr>
          <w:rFonts w:cs="TimesNewRomanPSMT"/>
          <w:szCs w:val="20"/>
          <w:lang w:eastAsia="ko-KR"/>
        </w:rPr>
        <w:t>144</w:t>
      </w:r>
      <w:r w:rsidR="00387688">
        <w:rPr>
          <w:rFonts w:cs="TimesNewRomanPSMT"/>
          <w:lang w:eastAsia="ko-KR"/>
        </w:rPr>
        <w:t> </w:t>
      </w:r>
      <w:r>
        <w:rPr>
          <w:rFonts w:cs="TimesNewRomanPSMT"/>
          <w:szCs w:val="20"/>
          <w:lang w:eastAsia="ko-KR"/>
        </w:rPr>
        <w:t>040</w:t>
      </w:r>
      <w:r w:rsidR="00D12CAC">
        <w:rPr>
          <w:rFonts w:cs="TimesNewRomanPSMT"/>
          <w:lang w:eastAsia="ko-KR"/>
        </w:rPr>
        <w:t> </w:t>
      </w:r>
      <w:r w:rsidRPr="00283C19">
        <w:rPr>
          <w:rFonts w:cs="TimesNewRomanPSMT"/>
          <w:szCs w:val="20"/>
          <w:lang w:eastAsia="ko-KR"/>
        </w:rPr>
        <w:t>(ezen</w:t>
      </w:r>
      <w:r>
        <w:rPr>
          <w:rFonts w:cs="TimesNewRomanPSMT"/>
          <w:szCs w:val="20"/>
          <w:lang w:eastAsia="ko-KR"/>
        </w:rPr>
        <w:t xml:space="preserve"> </w:t>
      </w:r>
      <w:r w:rsidRPr="00283C19">
        <w:rPr>
          <w:rFonts w:cs="TimesNewRomanPSMT"/>
          <w:szCs w:val="20"/>
          <w:lang w:eastAsia="ko-KR"/>
        </w:rPr>
        <w:t xml:space="preserve">belül a fizikai foglalkozásúaké </w:t>
      </w:r>
      <w:r>
        <w:rPr>
          <w:rFonts w:cs="TimesNewRomanPSMT"/>
          <w:szCs w:val="20"/>
          <w:lang w:eastAsia="ko-KR"/>
        </w:rPr>
        <w:t>100</w:t>
      </w:r>
      <w:r w:rsidR="00387688">
        <w:rPr>
          <w:rFonts w:cs="TimesNewRomanPSMT"/>
          <w:lang w:eastAsia="ko-KR"/>
        </w:rPr>
        <w:t> </w:t>
      </w:r>
      <w:r>
        <w:rPr>
          <w:rFonts w:cs="TimesNewRomanPSMT"/>
          <w:szCs w:val="20"/>
          <w:lang w:eastAsia="ko-KR"/>
        </w:rPr>
        <w:t>316</w:t>
      </w:r>
      <w:r w:rsidRPr="00283C19">
        <w:rPr>
          <w:rFonts w:cs="TimesNewRomanPSMT"/>
          <w:szCs w:val="20"/>
          <w:lang w:eastAsia="ko-KR"/>
        </w:rPr>
        <w:t xml:space="preserve">, a szellemi </w:t>
      </w:r>
      <w:r>
        <w:rPr>
          <w:rFonts w:cs="TimesNewRomanPSMT"/>
          <w:szCs w:val="20"/>
          <w:lang w:eastAsia="ko-KR"/>
        </w:rPr>
        <w:t>foglalkozásúaké 190</w:t>
      </w:r>
      <w:r w:rsidR="00387688">
        <w:rPr>
          <w:rFonts w:cs="TimesNewRomanPSMT"/>
          <w:lang w:eastAsia="ko-KR"/>
        </w:rPr>
        <w:t> </w:t>
      </w:r>
      <w:r>
        <w:rPr>
          <w:rFonts w:cs="TimesNewRomanPSMT"/>
          <w:szCs w:val="20"/>
          <w:lang w:eastAsia="ko-KR"/>
        </w:rPr>
        <w:t>454</w:t>
      </w:r>
      <w:r w:rsidRPr="00283C19">
        <w:rPr>
          <w:rFonts w:cs="TimesNewRomanPSMT"/>
          <w:szCs w:val="20"/>
          <w:lang w:eastAsia="ko-KR"/>
        </w:rPr>
        <w:t>)</w:t>
      </w:r>
      <w:r w:rsidR="00387688">
        <w:rPr>
          <w:rFonts w:cs="TimesNewRomanPSMT"/>
          <w:lang w:eastAsia="ko-KR"/>
        </w:rPr>
        <w:t> </w:t>
      </w:r>
      <w:r w:rsidRPr="00283C19">
        <w:rPr>
          <w:rFonts w:cs="TimesNewRomanPSMT"/>
          <w:szCs w:val="20"/>
          <w:lang w:eastAsia="ko-KR"/>
        </w:rPr>
        <w:t xml:space="preserve">forint volt, átlagosan </w:t>
      </w:r>
      <w:r>
        <w:rPr>
          <w:rFonts w:cs="TimesNewRomanPSMT"/>
          <w:szCs w:val="20"/>
          <w:lang w:eastAsia="ko-KR"/>
        </w:rPr>
        <w:t>2,0</w:t>
      </w:r>
      <w:r w:rsidRPr="00283C19">
        <w:rPr>
          <w:rFonts w:cs="TimesNewRomanPSMT"/>
          <w:szCs w:val="20"/>
          <w:lang w:eastAsia="ko-KR"/>
        </w:rPr>
        <w:t>%-kal</w:t>
      </w:r>
      <w:r>
        <w:rPr>
          <w:rFonts w:cs="TimesNewRomanPSMT"/>
          <w:szCs w:val="20"/>
          <w:lang w:eastAsia="ko-KR"/>
        </w:rPr>
        <w:t xml:space="preserve"> </w:t>
      </w:r>
      <w:r w:rsidRPr="00283C19">
        <w:rPr>
          <w:rFonts w:cs="TimesNewRomanPSMT"/>
          <w:szCs w:val="20"/>
          <w:lang w:eastAsia="ko-KR"/>
        </w:rPr>
        <w:t xml:space="preserve">magasabb az előző évinél. </w:t>
      </w:r>
    </w:p>
    <w:p w:rsidR="00A258C0" w:rsidRPr="00896E03" w:rsidRDefault="00A258C0" w:rsidP="00DB48A3">
      <w:pPr>
        <w:pStyle w:val="Cmsor3"/>
      </w:pPr>
      <w:bookmarkStart w:id="18" w:name="_Toc232860144"/>
      <w:bookmarkStart w:id="19" w:name="_Toc360176784"/>
      <w:r w:rsidRPr="00896E03">
        <w:t>A magyar mezőgazdaság működés</w:t>
      </w:r>
      <w:r w:rsidR="00FE2FB1" w:rsidRPr="00896E03">
        <w:t>ének keretfeltételei 201</w:t>
      </w:r>
      <w:r w:rsidR="0076629D" w:rsidRPr="00896E03">
        <w:t>2</w:t>
      </w:r>
      <w:r w:rsidRPr="00896E03">
        <w:t>-b</w:t>
      </w:r>
      <w:r w:rsidR="0057097C" w:rsidRPr="00896E03">
        <w:t>e</w:t>
      </w:r>
      <w:r w:rsidRPr="00896E03">
        <w:t>n</w:t>
      </w:r>
      <w:bookmarkEnd w:id="18"/>
      <w:bookmarkEnd w:id="19"/>
    </w:p>
    <w:p w:rsidR="008060FE" w:rsidRPr="00715E86" w:rsidRDefault="008060FE" w:rsidP="00715E86">
      <w:pPr>
        <w:pStyle w:val="Cmsor4"/>
      </w:pPr>
      <w:r w:rsidRPr="00715E86">
        <w:t>A mezőgazdaság nemzetgazdasági súlya</w:t>
      </w:r>
    </w:p>
    <w:p w:rsidR="009E00C3" w:rsidRPr="009E00C3" w:rsidRDefault="009E00C3" w:rsidP="00634CDA">
      <w:pPr>
        <w:rPr>
          <w:rFonts w:cs="TimesNewRomanPSMT"/>
          <w:szCs w:val="20"/>
          <w:lang w:eastAsia="ko-KR"/>
        </w:rPr>
      </w:pPr>
      <w:r w:rsidRPr="009E00C3">
        <w:rPr>
          <w:rFonts w:cs="TimesNewRomanPSMT"/>
          <w:b/>
          <w:szCs w:val="20"/>
          <w:lang w:eastAsia="ko-KR"/>
        </w:rPr>
        <w:t>A mezőgazdaság a bruttó hazai termék (GDP) termeléséhez 3,2%-os aránnyal, a bruttó hozzáadott értékhez 3,8%-kal járult hozzá 2012-ben.</w:t>
      </w:r>
      <w:r w:rsidRPr="009E00C3">
        <w:rPr>
          <w:rFonts w:cs="TimesNewRomanPSMT"/>
          <w:szCs w:val="20"/>
          <w:lang w:eastAsia="ko-KR"/>
        </w:rPr>
        <w:t xml:space="preserve"> Az agrárgazdaság aránya a beruházásokban</w:t>
      </w:r>
      <w:r>
        <w:rPr>
          <w:rFonts w:cs="TimesNewRomanPSMT"/>
          <w:szCs w:val="20"/>
          <w:lang w:eastAsia="ko-KR"/>
        </w:rPr>
        <w:t xml:space="preserve"> </w:t>
      </w:r>
      <w:r w:rsidRPr="009E00C3">
        <w:rPr>
          <w:rFonts w:cs="TimesNewRomanPSMT"/>
          <w:szCs w:val="20"/>
          <w:lang w:eastAsia="ko-KR"/>
        </w:rPr>
        <w:t>5,8</w:t>
      </w:r>
      <w:r w:rsidR="004E206F">
        <w:rPr>
          <w:rFonts w:cs="TimesNewRomanPSMT"/>
          <w:szCs w:val="20"/>
          <w:lang w:eastAsia="ko-KR"/>
        </w:rPr>
        <w:t>%</w:t>
      </w:r>
      <w:r w:rsidRPr="009E00C3">
        <w:rPr>
          <w:rFonts w:cs="TimesNewRomanPSMT"/>
          <w:szCs w:val="20"/>
          <w:lang w:eastAsia="ko-KR"/>
        </w:rPr>
        <w:t>, a foglalkoztatásban 5,2% volt. 2012-ben az aszálykárok visszavetették a mezőgazdaság teljesítményét, ami a GDP előállításában betöltött súly</w:t>
      </w:r>
      <w:r w:rsidR="00874468">
        <w:rPr>
          <w:rFonts w:cs="TimesNewRomanPSMT"/>
          <w:szCs w:val="20"/>
          <w:lang w:eastAsia="ko-KR"/>
        </w:rPr>
        <w:t>á</w:t>
      </w:r>
      <w:r w:rsidRPr="009E00C3">
        <w:rPr>
          <w:rFonts w:cs="TimesNewRomanPSMT"/>
          <w:szCs w:val="20"/>
          <w:lang w:eastAsia="ko-KR"/>
        </w:rPr>
        <w:t xml:space="preserve">t is mérsékelte. Az elmúlt </w:t>
      </w:r>
      <w:r w:rsidR="00874468">
        <w:rPr>
          <w:rFonts w:cs="TimesNewRomanPSMT"/>
          <w:szCs w:val="20"/>
          <w:lang w:eastAsia="ko-KR"/>
        </w:rPr>
        <w:t>két</w:t>
      </w:r>
      <w:r w:rsidRPr="009E00C3">
        <w:rPr>
          <w:rFonts w:cs="TimesNewRomanPSMT"/>
          <w:szCs w:val="20"/>
          <w:lang w:eastAsia="ko-KR"/>
        </w:rPr>
        <w:t xml:space="preserve"> évben a mezőgazdaság évi teljesítménye a GDP előjelét is befolyásolta, a 2011-es növekedés és az elmúlt évi csökkenés magyarázó változói között egyaránt hangsúlyosan szerepelt az agrárium.</w:t>
      </w:r>
    </w:p>
    <w:p w:rsidR="009E00C3" w:rsidRPr="009E00C3" w:rsidRDefault="009E00C3" w:rsidP="00634CDA">
      <w:pPr>
        <w:rPr>
          <w:rFonts w:cs="TimesNewRomanPSMT"/>
          <w:szCs w:val="20"/>
          <w:lang w:eastAsia="ko-KR"/>
        </w:rPr>
      </w:pPr>
      <w:r w:rsidRPr="009E00C3">
        <w:rPr>
          <w:rFonts w:cs="TimesNewRomanPSMT"/>
          <w:szCs w:val="20"/>
          <w:lang w:eastAsia="ko-KR"/>
        </w:rPr>
        <w:t>Az elmúlt években a mezőgazdaságban foglalkoztatottak száma és aránya mérséklődött, 2009 óta azonban egy mérsékelten növekvő tendencia figyelhető meg a lakossági munkaerő felmérés adatai alapján.</w:t>
      </w:r>
    </w:p>
    <w:p w:rsidR="009E00C3" w:rsidRPr="008C183D" w:rsidRDefault="009E00C3" w:rsidP="00634CDA">
      <w:pPr>
        <w:rPr>
          <w:rFonts w:cs="TimesNewRomanPSMT"/>
          <w:szCs w:val="20"/>
          <w:lang w:eastAsia="ko-KR"/>
        </w:rPr>
      </w:pPr>
      <w:r w:rsidRPr="008C183D">
        <w:rPr>
          <w:rFonts w:cs="TimesNewRomanPSMT"/>
          <w:szCs w:val="20"/>
          <w:lang w:eastAsia="ko-KR"/>
        </w:rPr>
        <w:t xml:space="preserve">Az élelmiszeripar a GDP előállításából 1,9%-kal részesedett 2011-ben, az ágazat bruttó </w:t>
      </w:r>
      <w:r w:rsidR="00446E21" w:rsidRPr="008C183D">
        <w:rPr>
          <w:rFonts w:cs="TimesNewRomanPSMT"/>
          <w:szCs w:val="20"/>
          <w:lang w:eastAsia="ko-KR"/>
        </w:rPr>
        <w:t>hoz</w:t>
      </w:r>
      <w:r w:rsidRPr="008C183D">
        <w:rPr>
          <w:rFonts w:cs="TimesNewRomanPSMT"/>
          <w:szCs w:val="20"/>
          <w:lang w:eastAsia="ko-KR"/>
        </w:rPr>
        <w:t>záadott értéke 2,3%-a volt a teljes nemzetgazdaságénak. A foglalkoztatottak aránya</w:t>
      </w:r>
      <w:r w:rsidR="00446E21" w:rsidRPr="008C183D">
        <w:rPr>
          <w:rFonts w:cs="TimesNewRomanPSMT"/>
          <w:szCs w:val="20"/>
          <w:lang w:eastAsia="ko-KR"/>
        </w:rPr>
        <w:t xml:space="preserve"> </w:t>
      </w:r>
      <w:r w:rsidRPr="008C183D">
        <w:rPr>
          <w:rFonts w:cs="TimesNewRomanPSMT"/>
          <w:szCs w:val="20"/>
          <w:lang w:eastAsia="ko-KR"/>
        </w:rPr>
        <w:t>2008 és 2012 között lényegében stagnált, 3,3% volt, egyedül 2009-ben emelkedett kettő százalékponttal az érték.</w:t>
      </w:r>
    </w:p>
    <w:p w:rsidR="004B713B" w:rsidRPr="008C183D" w:rsidRDefault="004B713B" w:rsidP="00715E86">
      <w:pPr>
        <w:pStyle w:val="Cmsor4"/>
      </w:pPr>
      <w:bookmarkStart w:id="20" w:name="_Toc220462898"/>
      <w:r w:rsidRPr="008C183D">
        <w:t>Gazdaságstruktúr</w:t>
      </w:r>
      <w:bookmarkEnd w:id="20"/>
      <w:r w:rsidR="00450250" w:rsidRPr="008C183D">
        <w:t xml:space="preserve">a </w:t>
      </w:r>
    </w:p>
    <w:p w:rsidR="004A79FC" w:rsidRPr="008C183D" w:rsidRDefault="004A79FC" w:rsidP="00634CDA">
      <w:pPr>
        <w:rPr>
          <w:rFonts w:cs="TimesNewRomanPSMT"/>
          <w:szCs w:val="20"/>
          <w:lang w:eastAsia="ko-KR"/>
        </w:rPr>
      </w:pPr>
      <w:r w:rsidRPr="008C183D">
        <w:rPr>
          <w:rFonts w:cs="TimesNewRomanPSMT"/>
          <w:b/>
          <w:szCs w:val="20"/>
          <w:lang w:eastAsia="ko-KR"/>
        </w:rPr>
        <w:t>A mezőgazdaságban, erdőgazdálkodásban és a halászatban regisztrált vállalkozások száma 2012 végén megközelítette a 434</w:t>
      </w:r>
      <w:r w:rsidR="00874468" w:rsidRPr="008C183D">
        <w:rPr>
          <w:rFonts w:cs="TimesNewRomanPSMT"/>
          <w:lang w:eastAsia="ko-KR"/>
        </w:rPr>
        <w:t> </w:t>
      </w:r>
      <w:r w:rsidRPr="008C183D">
        <w:rPr>
          <w:rFonts w:cs="TimesNewRomanPSMT"/>
          <w:b/>
          <w:szCs w:val="20"/>
          <w:lang w:eastAsia="ko-KR"/>
        </w:rPr>
        <w:t>ezret, ami közel 4%-kal nagyobb az előző évinél.</w:t>
      </w:r>
      <w:r w:rsidRPr="008C183D">
        <w:rPr>
          <w:rFonts w:cs="TimesNewRomanPSMT"/>
          <w:szCs w:val="20"/>
          <w:lang w:eastAsia="ko-KR"/>
        </w:rPr>
        <w:t xml:space="preserve"> Ezen belül az egyéni vállalkozások</w:t>
      </w:r>
      <w:r w:rsidR="00874468" w:rsidRPr="008C183D">
        <w:rPr>
          <w:rFonts w:cs="TimesNewRomanPSMT"/>
          <w:szCs w:val="20"/>
          <w:lang w:eastAsia="ko-KR"/>
        </w:rPr>
        <w:t xml:space="preserve"> </w:t>
      </w:r>
      <w:r w:rsidRPr="008C183D">
        <w:rPr>
          <w:rFonts w:cs="TimesNewRomanPSMT"/>
          <w:szCs w:val="20"/>
          <w:lang w:eastAsia="ko-KR"/>
        </w:rPr>
        <w:t>nyilvántartott száma 4</w:t>
      </w:r>
      <w:r w:rsidR="003E7649" w:rsidRPr="008C183D">
        <w:rPr>
          <w:rFonts w:cs="TimesNewRomanPSMT"/>
          <w:szCs w:val="20"/>
          <w:lang w:eastAsia="ko-KR"/>
        </w:rPr>
        <w:t>%-kal</w:t>
      </w:r>
      <w:r w:rsidRPr="008C183D">
        <w:rPr>
          <w:rFonts w:cs="TimesNewRomanPSMT"/>
          <w:szCs w:val="20"/>
          <w:lang w:eastAsia="ko-KR"/>
        </w:rPr>
        <w:t>, a társas vállalkozásoké közel 1%-kal növekedett.</w:t>
      </w:r>
    </w:p>
    <w:p w:rsidR="004A79FC" w:rsidRPr="008C183D" w:rsidRDefault="004A79FC" w:rsidP="00634CDA">
      <w:pPr>
        <w:rPr>
          <w:rFonts w:cs="TimesNewRomanPSMT"/>
          <w:szCs w:val="20"/>
          <w:lang w:eastAsia="ko-KR"/>
        </w:rPr>
      </w:pPr>
      <w:r w:rsidRPr="008C183D">
        <w:rPr>
          <w:rFonts w:cs="TimesNewRomanPSMT"/>
          <w:szCs w:val="20"/>
          <w:lang w:eastAsia="ko-KR"/>
        </w:rPr>
        <w:t>A társas vállalkozások létszám szerinti megoszlása a 10 fő alattiak döntő – 88%-os – súlyát mu</w:t>
      </w:r>
      <w:r w:rsidR="008D60FB" w:rsidRPr="008C183D">
        <w:rPr>
          <w:rFonts w:cs="TimesNewRomanPSMT"/>
          <w:szCs w:val="20"/>
          <w:lang w:eastAsia="ko-KR"/>
        </w:rPr>
        <w:t xml:space="preserve">tatja. </w:t>
      </w:r>
      <w:r w:rsidRPr="008C183D">
        <w:rPr>
          <w:rFonts w:cs="TimesNewRomanPSMT"/>
          <w:szCs w:val="20"/>
          <w:lang w:eastAsia="ko-KR"/>
        </w:rPr>
        <w:t>A közel 14</w:t>
      </w:r>
      <w:r w:rsidR="00874468" w:rsidRPr="008C183D">
        <w:rPr>
          <w:rFonts w:cs="TimesNewRomanPSMT"/>
          <w:lang w:eastAsia="ko-KR"/>
        </w:rPr>
        <w:t> </w:t>
      </w:r>
      <w:r w:rsidRPr="008C183D">
        <w:rPr>
          <w:rFonts w:cs="TimesNewRomanPSMT"/>
          <w:szCs w:val="20"/>
          <w:lang w:eastAsia="ko-KR"/>
        </w:rPr>
        <w:t>ezer társas vállalkozásból mindössze 10-ben foglalkoztattak 500</w:t>
      </w:r>
      <w:r w:rsidR="00874468" w:rsidRPr="008C183D">
        <w:rPr>
          <w:rFonts w:cs="TimesNewRomanPSMT"/>
          <w:lang w:eastAsia="ko-KR"/>
        </w:rPr>
        <w:t> </w:t>
      </w:r>
      <w:r w:rsidRPr="008C183D">
        <w:rPr>
          <w:rFonts w:cs="TimesNewRomanPSMT"/>
          <w:szCs w:val="20"/>
          <w:lang w:eastAsia="ko-KR"/>
        </w:rPr>
        <w:t>főnél többet</w:t>
      </w:r>
      <w:r w:rsidR="003E7649" w:rsidRPr="008C183D">
        <w:rPr>
          <w:rFonts w:cs="TimesNewRomanPSMT"/>
          <w:szCs w:val="20"/>
          <w:lang w:eastAsia="ko-KR"/>
        </w:rPr>
        <w:t>.</w:t>
      </w:r>
      <w:r w:rsidR="008D60FB" w:rsidRPr="008C183D">
        <w:rPr>
          <w:rFonts w:cs="TimesNewRomanPSMT"/>
          <w:szCs w:val="20"/>
          <w:lang w:eastAsia="ko-KR"/>
        </w:rPr>
        <w:t xml:space="preserve"> </w:t>
      </w:r>
      <w:r w:rsidRPr="008C183D">
        <w:rPr>
          <w:rFonts w:cs="TimesNewRomanPSMT"/>
          <w:szCs w:val="20"/>
          <w:lang w:eastAsia="ko-KR"/>
        </w:rPr>
        <w:t>A 2010-es Általános Mezőgazdasági Összeírás adatai szerint 2010-ben összesen 8,6</w:t>
      </w:r>
      <w:r w:rsidR="00874468" w:rsidRPr="008C183D">
        <w:rPr>
          <w:rFonts w:cs="TimesNewRomanPSMT"/>
          <w:lang w:eastAsia="ko-KR"/>
        </w:rPr>
        <w:t> </w:t>
      </w:r>
      <w:r w:rsidRPr="008C183D">
        <w:rPr>
          <w:rFonts w:cs="TimesNewRomanPSMT"/>
          <w:szCs w:val="20"/>
          <w:lang w:eastAsia="ko-KR"/>
        </w:rPr>
        <w:t>ezer gazdasági szervezet és 567</w:t>
      </w:r>
      <w:r w:rsidR="00874468" w:rsidRPr="008C183D">
        <w:rPr>
          <w:rFonts w:cs="TimesNewRomanPSMT"/>
          <w:lang w:eastAsia="ko-KR"/>
        </w:rPr>
        <w:t> </w:t>
      </w:r>
      <w:r w:rsidRPr="008C183D">
        <w:rPr>
          <w:rFonts w:cs="TimesNewRomanPSMT"/>
          <w:szCs w:val="20"/>
          <w:lang w:eastAsia="ko-KR"/>
        </w:rPr>
        <w:t>ezer egyéni gazdaság végzett mezőgazdasági tevékenységet. A gazdasági szerve</w:t>
      </w:r>
      <w:r w:rsidR="003E7649" w:rsidRPr="008C183D">
        <w:rPr>
          <w:rFonts w:cs="TimesNewRomanPSMT"/>
          <w:szCs w:val="20"/>
          <w:lang w:eastAsia="ko-KR"/>
        </w:rPr>
        <w:t xml:space="preserve">zetek </w:t>
      </w:r>
      <w:r w:rsidRPr="008C183D">
        <w:rPr>
          <w:rFonts w:cs="TimesNewRomanPSMT"/>
          <w:szCs w:val="20"/>
          <w:lang w:eastAsia="ko-KR"/>
        </w:rPr>
        <w:t>száma</w:t>
      </w:r>
      <w:r w:rsidR="00874468" w:rsidRPr="008C183D">
        <w:rPr>
          <w:rFonts w:cs="TimesNewRomanPSMT"/>
          <w:szCs w:val="20"/>
          <w:lang w:eastAsia="ko-KR"/>
        </w:rPr>
        <w:t xml:space="preserve"> </w:t>
      </w:r>
      <w:r w:rsidRPr="008C183D">
        <w:rPr>
          <w:rFonts w:cs="TimesNewRomanPSMT"/>
          <w:szCs w:val="20"/>
          <w:lang w:eastAsia="ko-KR"/>
        </w:rPr>
        <w:t>– a 2000 és 2007 közötti években megfigyelt csökkenést követően – kismértékben meghaladta a 2000. évit. Az egyéni gazdaságok száma – változó ütemben – folyamatosan csökkent, 40%-kal kisebb a tíz évvel korábbinál.</w:t>
      </w:r>
    </w:p>
    <w:p w:rsidR="004A79FC" w:rsidRPr="004A79FC" w:rsidRDefault="004A79FC" w:rsidP="00634CDA">
      <w:pPr>
        <w:rPr>
          <w:rFonts w:cs="TimesNewRomanPSMT"/>
          <w:szCs w:val="20"/>
          <w:lang w:eastAsia="ko-KR"/>
        </w:rPr>
      </w:pPr>
      <w:r w:rsidRPr="008C183D">
        <w:rPr>
          <w:rFonts w:cs="TimesNewRomanPSMT"/>
          <w:szCs w:val="20"/>
          <w:lang w:eastAsia="ko-KR"/>
        </w:rPr>
        <w:t>A gazdasági szervezetek 54%-a kizárólag növénytermesztéssel foglalkozik, a csak állatot tartó gazdasági szervezetek aránya csupán 6%, míg a vegyes gazdálkodást folytatóké közel 40%. 2000 és 2010 között a csak növénytermesztők aránya emelkedett az állattartók rovására.</w:t>
      </w:r>
      <w:r w:rsidR="003E7649" w:rsidRPr="008C183D">
        <w:rPr>
          <w:rFonts w:cs="TimesNewRomanPSMT"/>
          <w:szCs w:val="20"/>
          <w:lang w:eastAsia="ko-KR"/>
        </w:rPr>
        <w:t xml:space="preserve"> </w:t>
      </w:r>
      <w:r w:rsidRPr="008C183D">
        <w:rPr>
          <w:rFonts w:cs="TimesNewRomanPSMT"/>
          <w:szCs w:val="20"/>
          <w:lang w:eastAsia="ko-KR"/>
        </w:rPr>
        <w:t xml:space="preserve">Az egyéni </w:t>
      </w:r>
      <w:r w:rsidR="00450250" w:rsidRPr="008C183D">
        <w:rPr>
          <w:rFonts w:cs="TimesNewRomanPSMT"/>
          <w:szCs w:val="20"/>
          <w:lang w:eastAsia="ko-KR"/>
        </w:rPr>
        <w:t>gazdaságok 49</w:t>
      </w:r>
      <w:r w:rsidRPr="008C183D">
        <w:rPr>
          <w:rFonts w:cs="TimesNewRomanPSMT"/>
          <w:szCs w:val="20"/>
          <w:lang w:eastAsia="ko-KR"/>
        </w:rPr>
        <w:t>%-</w:t>
      </w:r>
      <w:r w:rsidR="00450250" w:rsidRPr="008C183D">
        <w:rPr>
          <w:rFonts w:cs="TimesNewRomanPSMT"/>
          <w:szCs w:val="20"/>
          <w:lang w:eastAsia="ko-KR"/>
        </w:rPr>
        <w:t>a kizárólag növénytermesztéssel, 22</w:t>
      </w:r>
      <w:r w:rsidRPr="008C183D">
        <w:rPr>
          <w:rFonts w:cs="TimesNewRomanPSMT"/>
          <w:szCs w:val="20"/>
          <w:lang w:eastAsia="ko-KR"/>
        </w:rPr>
        <w:t>%-</w:t>
      </w:r>
      <w:r w:rsidR="00450250" w:rsidRPr="008C183D">
        <w:rPr>
          <w:rFonts w:cs="TimesNewRomanPSMT"/>
          <w:szCs w:val="20"/>
          <w:lang w:eastAsia="ko-KR"/>
        </w:rPr>
        <w:t>a csak állattartással</w:t>
      </w:r>
      <w:r w:rsidRPr="008C183D">
        <w:rPr>
          <w:rFonts w:cs="TimesNewRomanPSMT"/>
          <w:szCs w:val="20"/>
          <w:lang w:eastAsia="ko-KR"/>
        </w:rPr>
        <w:t>,</w:t>
      </w:r>
      <w:r w:rsidR="003E7649" w:rsidRPr="008C183D">
        <w:rPr>
          <w:rFonts w:cs="TimesNewRomanPSMT"/>
          <w:szCs w:val="20"/>
          <w:lang w:eastAsia="ko-KR"/>
        </w:rPr>
        <w:t xml:space="preserve"> </w:t>
      </w:r>
      <w:r w:rsidRPr="008C183D">
        <w:rPr>
          <w:rFonts w:cs="TimesNewRomanPSMT"/>
          <w:szCs w:val="20"/>
          <w:lang w:eastAsia="ko-KR"/>
        </w:rPr>
        <w:t>29%-a mindkettővel foglalkozott 2010-ben.</w:t>
      </w:r>
      <w:r w:rsidRPr="004A79FC">
        <w:rPr>
          <w:rFonts w:cs="TimesNewRomanPSMT"/>
          <w:szCs w:val="20"/>
          <w:lang w:eastAsia="ko-KR"/>
        </w:rPr>
        <w:t xml:space="preserve"> </w:t>
      </w:r>
    </w:p>
    <w:p w:rsidR="00E548D5" w:rsidRPr="00715E86" w:rsidRDefault="00E548D5" w:rsidP="00715E86">
      <w:pPr>
        <w:pStyle w:val="Cmsor4"/>
      </w:pPr>
      <w:r w:rsidRPr="00715E86">
        <w:lastRenderedPageBreak/>
        <w:t>Növénytermesztés</w:t>
      </w:r>
    </w:p>
    <w:p w:rsidR="009C0055" w:rsidRPr="00715E86" w:rsidRDefault="009C0055" w:rsidP="00715E86">
      <w:pPr>
        <w:pStyle w:val="Cmsor6"/>
      </w:pPr>
      <w:bookmarkStart w:id="21" w:name="_Toc220462905"/>
      <w:r w:rsidRPr="00715E86">
        <w:t>Vetésszerkezet</w:t>
      </w:r>
    </w:p>
    <w:p w:rsidR="003E7649" w:rsidRPr="004F51A0" w:rsidRDefault="003E7649" w:rsidP="00634CDA">
      <w:pPr>
        <w:rPr>
          <w:rFonts w:cs="TimesNewRomanPSMT"/>
          <w:szCs w:val="20"/>
          <w:lang w:eastAsia="ko-KR"/>
        </w:rPr>
      </w:pPr>
      <w:r w:rsidRPr="004F51A0">
        <w:rPr>
          <w:rFonts w:cs="TimesNewRomanPSMT"/>
          <w:szCs w:val="20"/>
          <w:lang w:eastAsia="ko-KR"/>
        </w:rPr>
        <w:t>A szántóföldi vetésszerkezetben a gabonafélék részaránya 2012-ben meghaladta a 68%-ot. Ezen belül a búzával és a kukoricával vetett terület a szántók 26, illetve 31%-át tette ki. A stabil keresletű olajos magvú növények aránya az elmúlt években folyamatosan növekedett. 2012-ben a napraforgó aránya tovább nőtt (közel 15%-os volt az aránya), a repce részesedése viszont 2011-ben és 2012-ben is csökkent. A vetést 2010-ben a belvíz, 2011-ben a szárazság nehezítette meg, a gazdák egy része még ősszel kiszántotta a teljes vetést. E két ipari növény együttes aránya a</w:t>
      </w:r>
      <w:r w:rsidR="004F51A0">
        <w:rPr>
          <w:rFonts w:cs="TimesNewRomanPSMT"/>
          <w:szCs w:val="20"/>
          <w:lang w:eastAsia="ko-KR"/>
        </w:rPr>
        <w:t xml:space="preserve"> </w:t>
      </w:r>
      <w:r w:rsidRPr="004F51A0">
        <w:rPr>
          <w:rFonts w:cs="TimesNewRomanPSMT"/>
          <w:szCs w:val="20"/>
          <w:lang w:eastAsia="ko-KR"/>
        </w:rPr>
        <w:t>2004. évi vetésszerkezetben 14%, 2012-ben viszont már 19% volt. Az EU-nak a cukortúltermelés mérséklését célzó intézkedéseit követően hazánkban 2008 óta a cukorrépa vetésállománya csökkent a legjelentősebben. 2012-ben, az előző évhez hasonlóan mindössze 0,4%-kal részesedett az összes vetésterületből.</w:t>
      </w:r>
    </w:p>
    <w:p w:rsidR="003E7649" w:rsidRPr="00715E86" w:rsidRDefault="00682970" w:rsidP="00715E86">
      <w:pPr>
        <w:pStyle w:val="Cmsor6"/>
      </w:pPr>
      <w:r w:rsidRPr="00715E86">
        <w:t>V</w:t>
      </w:r>
      <w:r w:rsidR="004F51A0" w:rsidRPr="00715E86">
        <w:t>etésterület</w:t>
      </w:r>
    </w:p>
    <w:p w:rsidR="003E7649" w:rsidRDefault="00682970" w:rsidP="00634CDA">
      <w:r>
        <w:t>A 2012. évi föld és vetésterületi jelentés adatai alapján az ország területének 79%-a termő, 21%-ka pedig művelés alól kivett terület. A termőterület közel 3/4-e (5,3</w:t>
      </w:r>
      <w:r w:rsidR="00874468">
        <w:rPr>
          <w:rFonts w:cs="TimesNewRomanPSMT"/>
          <w:lang w:eastAsia="ko-KR"/>
        </w:rPr>
        <w:t> </w:t>
      </w:r>
      <w:r>
        <w:t>millió</w:t>
      </w:r>
      <w:r w:rsidR="00874468">
        <w:rPr>
          <w:rFonts w:cs="TimesNewRomanPSMT"/>
          <w:lang w:eastAsia="ko-KR"/>
        </w:rPr>
        <w:t> </w:t>
      </w:r>
      <w:r>
        <w:t xml:space="preserve">hektár) szűkebb értelemben vett mezőgazdasági terület, 26%-át erdő borítja, a maradék több mint 1%-ot nádasként, illetve halastóként hasznosítják. </w:t>
      </w:r>
    </w:p>
    <w:p w:rsidR="00682970" w:rsidRPr="00CE0C4F" w:rsidRDefault="00682970" w:rsidP="00634CDA">
      <w:r>
        <w:t xml:space="preserve">2012-ben a mezőgazdasági terület 54%-át egyéni gazdaságok, 46%-át gazdasági szervezetek művelték. </w:t>
      </w:r>
    </w:p>
    <w:p w:rsidR="00A17D55" w:rsidRPr="00715E86" w:rsidRDefault="00A17D55" w:rsidP="00715E86">
      <w:pPr>
        <w:pStyle w:val="Cmsor6"/>
      </w:pPr>
      <w:r w:rsidRPr="00715E86">
        <w:t>Szántóföldi növénytermelés</w:t>
      </w:r>
      <w:bookmarkEnd w:id="21"/>
    </w:p>
    <w:p w:rsidR="003169BA" w:rsidRDefault="003169BA" w:rsidP="00634CDA">
      <w:pPr>
        <w:rPr>
          <w:rFonts w:eastAsia="Times New Roman" w:cs="Times New Roman"/>
          <w:color w:val="000000"/>
          <w:kern w:val="0"/>
          <w:szCs w:val="22"/>
        </w:rPr>
      </w:pPr>
      <w:bookmarkStart w:id="22" w:name="_Toc220462906"/>
      <w:r w:rsidRPr="003169BA">
        <w:rPr>
          <w:rFonts w:eastAsia="Times New Roman" w:cs="Times New Roman"/>
          <w:b/>
          <w:color w:val="000000"/>
          <w:kern w:val="0"/>
          <w:szCs w:val="22"/>
        </w:rPr>
        <w:t xml:space="preserve">Gabonából </w:t>
      </w:r>
      <w:r w:rsidRPr="003169BA">
        <w:rPr>
          <w:rFonts w:eastAsia="Times New Roman" w:cs="Times New Roman"/>
          <w:color w:val="000000"/>
          <w:kern w:val="0"/>
          <w:szCs w:val="22"/>
        </w:rPr>
        <w:t xml:space="preserve">2012-ben valamivel </w:t>
      </w:r>
      <w:r w:rsidR="00450250" w:rsidRPr="003169BA">
        <w:rPr>
          <w:rFonts w:eastAsia="Times New Roman" w:cs="Times New Roman"/>
          <w:color w:val="000000"/>
          <w:kern w:val="0"/>
          <w:szCs w:val="22"/>
        </w:rPr>
        <w:t>több,</w:t>
      </w:r>
      <w:r w:rsidRPr="003169BA">
        <w:rPr>
          <w:rFonts w:eastAsia="Times New Roman" w:cs="Times New Roman"/>
          <w:color w:val="000000"/>
          <w:kern w:val="0"/>
          <w:szCs w:val="22"/>
        </w:rPr>
        <w:t xml:space="preserve"> mint 2,7</w:t>
      </w:r>
      <w:r w:rsidR="00874468">
        <w:rPr>
          <w:rFonts w:cs="TimesNewRomanPSMT"/>
          <w:lang w:eastAsia="ko-KR"/>
        </w:rPr>
        <w:t> </w:t>
      </w:r>
      <w:r w:rsidRPr="003169BA">
        <w:rPr>
          <w:rFonts w:eastAsia="Times New Roman" w:cs="Times New Roman"/>
          <w:color w:val="000000"/>
          <w:kern w:val="0"/>
          <w:szCs w:val="22"/>
        </w:rPr>
        <w:t>millió</w:t>
      </w:r>
      <w:r w:rsidR="00874468">
        <w:rPr>
          <w:rFonts w:cs="TimesNewRomanPSMT"/>
          <w:lang w:eastAsia="ko-KR"/>
        </w:rPr>
        <w:t> </w:t>
      </w:r>
      <w:r w:rsidRPr="003169BA">
        <w:rPr>
          <w:rFonts w:eastAsia="Times New Roman" w:cs="Times New Roman"/>
          <w:color w:val="000000"/>
          <w:kern w:val="0"/>
          <w:szCs w:val="22"/>
        </w:rPr>
        <w:t>hektárról összesen 10,3</w:t>
      </w:r>
      <w:r w:rsidR="00874468">
        <w:rPr>
          <w:rFonts w:cs="TimesNewRomanPSMT"/>
          <w:lang w:eastAsia="ko-KR"/>
        </w:rPr>
        <w:t> </w:t>
      </w:r>
      <w:r w:rsidRPr="003169BA">
        <w:rPr>
          <w:rFonts w:eastAsia="Times New Roman" w:cs="Times New Roman"/>
          <w:color w:val="000000"/>
          <w:kern w:val="0"/>
          <w:szCs w:val="22"/>
        </w:rPr>
        <w:t>millió</w:t>
      </w:r>
      <w:r w:rsidR="00874468">
        <w:rPr>
          <w:rFonts w:cs="TimesNewRomanPSMT"/>
          <w:lang w:eastAsia="ko-KR"/>
        </w:rPr>
        <w:t> </w:t>
      </w:r>
      <w:r w:rsidRPr="003169BA">
        <w:rPr>
          <w:rFonts w:eastAsia="Times New Roman" w:cs="Times New Roman"/>
          <w:color w:val="000000"/>
          <w:kern w:val="0"/>
          <w:szCs w:val="22"/>
        </w:rPr>
        <w:t>tonnát takarítottak be. A betakarított terület 2%-kal nagyobb, mint 2011-ben, a megelőző öt év átlagától is alig marad el. A termésmennyiség a rendkívül száraz időjárás következtében 24%-kal esett vissza az előző évhez</w:t>
      </w:r>
      <w:r w:rsidR="00874468">
        <w:rPr>
          <w:rFonts w:eastAsia="Times New Roman" w:cs="Times New Roman"/>
          <w:color w:val="000000"/>
          <w:kern w:val="0"/>
          <w:szCs w:val="22"/>
        </w:rPr>
        <w:t xml:space="preserve"> képest</w:t>
      </w:r>
      <w:r w:rsidRPr="003169BA">
        <w:rPr>
          <w:rFonts w:eastAsia="Times New Roman" w:cs="Times New Roman"/>
          <w:color w:val="000000"/>
          <w:kern w:val="0"/>
          <w:szCs w:val="22"/>
        </w:rPr>
        <w:t xml:space="preserve">. </w:t>
      </w:r>
    </w:p>
    <w:p w:rsidR="003169BA" w:rsidRDefault="003169BA" w:rsidP="00634CDA">
      <w:pPr>
        <w:rPr>
          <w:rFonts w:eastAsia="Times New Roman" w:cs="Times New Roman"/>
          <w:color w:val="000000"/>
          <w:kern w:val="0"/>
          <w:szCs w:val="22"/>
        </w:rPr>
      </w:pPr>
      <w:r w:rsidRPr="003169BA">
        <w:rPr>
          <w:rFonts w:eastAsia="Times New Roman" w:cs="Times New Roman"/>
          <w:b/>
          <w:color w:val="000000"/>
          <w:kern w:val="0"/>
          <w:szCs w:val="22"/>
        </w:rPr>
        <w:t>Kalászos gabonából</w:t>
      </w:r>
      <w:r w:rsidRPr="003169BA">
        <w:rPr>
          <w:rFonts w:eastAsia="Times New Roman" w:cs="Times New Roman"/>
          <w:color w:val="000000"/>
          <w:kern w:val="0"/>
          <w:szCs w:val="22"/>
        </w:rPr>
        <w:t xml:space="preserve"> összesen 5,5</w:t>
      </w:r>
      <w:r w:rsidR="00874468">
        <w:rPr>
          <w:rFonts w:cs="TimesNewRomanPSMT"/>
          <w:lang w:eastAsia="ko-KR"/>
        </w:rPr>
        <w:t> </w:t>
      </w:r>
      <w:r w:rsidRPr="003169BA">
        <w:rPr>
          <w:rFonts w:eastAsia="Times New Roman" w:cs="Times New Roman"/>
          <w:color w:val="000000"/>
          <w:kern w:val="0"/>
          <w:szCs w:val="22"/>
        </w:rPr>
        <w:t>millió</w:t>
      </w:r>
      <w:r w:rsidR="00874468">
        <w:rPr>
          <w:rFonts w:cs="TimesNewRomanPSMT"/>
          <w:lang w:eastAsia="ko-KR"/>
        </w:rPr>
        <w:t> </w:t>
      </w:r>
      <w:r w:rsidRPr="003169BA">
        <w:rPr>
          <w:rFonts w:eastAsia="Times New Roman" w:cs="Times New Roman"/>
          <w:color w:val="000000"/>
          <w:kern w:val="0"/>
          <w:szCs w:val="22"/>
        </w:rPr>
        <w:t xml:space="preserve">tonna termett, 2%-kal kevesebb, mint 2011-ben. A legnagyobb veszteség a kukorica </w:t>
      </w:r>
      <w:r w:rsidR="00450250" w:rsidRPr="003169BA">
        <w:rPr>
          <w:rFonts w:eastAsia="Times New Roman" w:cs="Times New Roman"/>
          <w:color w:val="000000"/>
          <w:kern w:val="0"/>
          <w:szCs w:val="22"/>
        </w:rPr>
        <w:t>termesztésében keletkezett</w:t>
      </w:r>
      <w:r w:rsidRPr="003169BA">
        <w:rPr>
          <w:rFonts w:eastAsia="Times New Roman" w:cs="Times New Roman"/>
          <w:color w:val="000000"/>
          <w:kern w:val="0"/>
          <w:szCs w:val="22"/>
        </w:rPr>
        <w:t>, a 4,7</w:t>
      </w:r>
      <w:r w:rsidR="00874468">
        <w:rPr>
          <w:rFonts w:cs="TimesNewRomanPSMT"/>
          <w:lang w:eastAsia="ko-KR"/>
        </w:rPr>
        <w:t> </w:t>
      </w:r>
      <w:r w:rsidRPr="003169BA">
        <w:rPr>
          <w:rFonts w:eastAsia="Times New Roman" w:cs="Times New Roman"/>
          <w:color w:val="000000"/>
          <w:kern w:val="0"/>
          <w:szCs w:val="22"/>
        </w:rPr>
        <w:t>millió</w:t>
      </w:r>
      <w:r w:rsidR="00874468">
        <w:rPr>
          <w:rFonts w:cs="TimesNewRomanPSMT"/>
          <w:lang w:eastAsia="ko-KR"/>
        </w:rPr>
        <w:t> </w:t>
      </w:r>
      <w:r w:rsidRPr="003169BA">
        <w:rPr>
          <w:rFonts w:eastAsia="Times New Roman" w:cs="Times New Roman"/>
          <w:color w:val="000000"/>
          <w:kern w:val="0"/>
          <w:szCs w:val="22"/>
        </w:rPr>
        <w:t xml:space="preserve">tonnás termés az előző évinek csupán 59%-a. A </w:t>
      </w:r>
      <w:r w:rsidRPr="003169BA">
        <w:rPr>
          <w:rFonts w:eastAsia="Times New Roman" w:cs="Times New Roman"/>
          <w:b/>
          <w:color w:val="000000"/>
          <w:kern w:val="0"/>
          <w:szCs w:val="22"/>
        </w:rPr>
        <w:t>búza</w:t>
      </w:r>
      <w:r w:rsidRPr="003169BA">
        <w:rPr>
          <w:rFonts w:eastAsia="Times New Roman" w:cs="Times New Roman"/>
          <w:color w:val="000000"/>
          <w:kern w:val="0"/>
          <w:szCs w:val="22"/>
        </w:rPr>
        <w:t xml:space="preserve"> termésátlaga 11, </w:t>
      </w:r>
      <w:r w:rsidRPr="003169BA">
        <w:rPr>
          <w:rFonts w:eastAsia="Times New Roman" w:cs="Times New Roman"/>
          <w:b/>
          <w:color w:val="000000"/>
          <w:kern w:val="0"/>
          <w:szCs w:val="22"/>
        </w:rPr>
        <w:t>a kukoricáé</w:t>
      </w:r>
      <w:r w:rsidRPr="003169BA">
        <w:rPr>
          <w:rFonts w:eastAsia="Times New Roman" w:cs="Times New Roman"/>
          <w:color w:val="000000"/>
          <w:kern w:val="0"/>
          <w:szCs w:val="22"/>
        </w:rPr>
        <w:t xml:space="preserve"> 39%-kal csökkent</w:t>
      </w:r>
      <w:r>
        <w:rPr>
          <w:rFonts w:eastAsia="Times New Roman" w:cs="Times New Roman"/>
          <w:color w:val="000000"/>
          <w:kern w:val="0"/>
          <w:szCs w:val="22"/>
        </w:rPr>
        <w:t xml:space="preserve">. </w:t>
      </w:r>
    </w:p>
    <w:p w:rsidR="003169BA" w:rsidRDefault="003169BA" w:rsidP="00634CDA">
      <w:pPr>
        <w:rPr>
          <w:rFonts w:eastAsia="Times New Roman" w:cs="Times New Roman"/>
          <w:b/>
          <w:color w:val="000000"/>
          <w:kern w:val="0"/>
          <w:szCs w:val="22"/>
        </w:rPr>
      </w:pPr>
      <w:r>
        <w:rPr>
          <w:rFonts w:eastAsia="Times New Roman" w:cs="Times New Roman"/>
          <w:b/>
          <w:color w:val="000000"/>
          <w:kern w:val="0"/>
          <w:szCs w:val="22"/>
        </w:rPr>
        <w:t xml:space="preserve">Rozsot </w:t>
      </w:r>
      <w:r w:rsidRPr="003169BA">
        <w:rPr>
          <w:rFonts w:eastAsia="Times New Roman" w:cs="Times New Roman"/>
          <w:color w:val="000000"/>
          <w:kern w:val="0"/>
          <w:szCs w:val="22"/>
        </w:rPr>
        <w:t>a tavalyinál</w:t>
      </w:r>
      <w:r w:rsidR="00874468">
        <w:rPr>
          <w:rFonts w:eastAsia="Times New Roman" w:cs="Times New Roman"/>
          <w:color w:val="000000"/>
          <w:kern w:val="0"/>
          <w:szCs w:val="22"/>
        </w:rPr>
        <w:t xml:space="preserve"> </w:t>
      </w:r>
      <w:r w:rsidRPr="003169BA">
        <w:rPr>
          <w:rFonts w:eastAsia="Times New Roman" w:cs="Times New Roman"/>
          <w:color w:val="000000"/>
          <w:kern w:val="0"/>
          <w:szCs w:val="22"/>
        </w:rPr>
        <w:t>7%-kal nagyobb területen termeltek, a 78</w:t>
      </w:r>
      <w:r w:rsidR="00874468">
        <w:rPr>
          <w:rFonts w:cs="TimesNewRomanPSMT"/>
          <w:lang w:eastAsia="ko-KR"/>
        </w:rPr>
        <w:t> </w:t>
      </w:r>
      <w:r w:rsidRPr="003169BA">
        <w:rPr>
          <w:rFonts w:eastAsia="Times New Roman" w:cs="Times New Roman"/>
          <w:color w:val="000000"/>
          <w:kern w:val="0"/>
          <w:szCs w:val="22"/>
        </w:rPr>
        <w:t>ezer</w:t>
      </w:r>
      <w:r w:rsidR="00874468">
        <w:rPr>
          <w:rFonts w:cs="TimesNewRomanPSMT"/>
          <w:lang w:eastAsia="ko-KR"/>
        </w:rPr>
        <w:t> </w:t>
      </w:r>
      <w:r w:rsidRPr="003169BA">
        <w:rPr>
          <w:rFonts w:eastAsia="Times New Roman" w:cs="Times New Roman"/>
          <w:color w:val="000000"/>
          <w:kern w:val="0"/>
          <w:szCs w:val="22"/>
        </w:rPr>
        <w:t>tonnás termés a 2011. évihez képest 4%-kal emelkedett, miközben a termésátlag (2240</w:t>
      </w:r>
      <w:r w:rsidR="00874468">
        <w:rPr>
          <w:rFonts w:cs="TimesNewRomanPSMT"/>
          <w:lang w:eastAsia="ko-KR"/>
        </w:rPr>
        <w:t> </w:t>
      </w:r>
      <w:r w:rsidRPr="003169BA">
        <w:rPr>
          <w:rFonts w:eastAsia="Times New Roman" w:cs="Times New Roman"/>
          <w:color w:val="000000"/>
          <w:kern w:val="0"/>
          <w:szCs w:val="22"/>
        </w:rPr>
        <w:t>kg/ha) 3%-kal csökkent</w:t>
      </w:r>
      <w:r w:rsidR="00450250">
        <w:rPr>
          <w:rFonts w:eastAsia="Times New Roman" w:cs="Times New Roman"/>
          <w:color w:val="000000"/>
          <w:kern w:val="0"/>
          <w:szCs w:val="22"/>
        </w:rPr>
        <w:t xml:space="preserve">. </w:t>
      </w:r>
      <w:r>
        <w:rPr>
          <w:rFonts w:eastAsia="Times New Roman" w:cs="Times New Roman"/>
          <w:b/>
          <w:color w:val="000000"/>
          <w:kern w:val="0"/>
          <w:szCs w:val="22"/>
        </w:rPr>
        <w:t xml:space="preserve"> </w:t>
      </w:r>
    </w:p>
    <w:p w:rsidR="003169BA" w:rsidRDefault="003169BA" w:rsidP="00634CDA">
      <w:pPr>
        <w:rPr>
          <w:rFonts w:eastAsia="Times New Roman" w:cs="Times New Roman"/>
          <w:b/>
          <w:color w:val="000000"/>
          <w:kern w:val="0"/>
          <w:szCs w:val="22"/>
        </w:rPr>
      </w:pPr>
      <w:r>
        <w:rPr>
          <w:rFonts w:eastAsia="Times New Roman" w:cs="Times New Roman"/>
          <w:b/>
          <w:color w:val="000000"/>
          <w:kern w:val="0"/>
          <w:szCs w:val="22"/>
        </w:rPr>
        <w:t xml:space="preserve">Árpából </w:t>
      </w:r>
      <w:r w:rsidRPr="003169BA">
        <w:rPr>
          <w:rFonts w:eastAsia="Times New Roman" w:cs="Times New Roman"/>
          <w:color w:val="000000"/>
          <w:kern w:val="0"/>
          <w:szCs w:val="22"/>
        </w:rPr>
        <w:t>az előző évinél 6%-kal nagyobb betakarított területen 5%-kal alacsonyabb termésátlag mellett a tavalyival azonos mennyiségű termést</w:t>
      </w:r>
      <w:r w:rsidR="00450250">
        <w:rPr>
          <w:rFonts w:eastAsia="Times New Roman" w:cs="Times New Roman"/>
          <w:color w:val="000000"/>
          <w:kern w:val="0"/>
          <w:szCs w:val="22"/>
        </w:rPr>
        <w:t xml:space="preserve"> –</w:t>
      </w:r>
      <w:r w:rsidRPr="003169BA">
        <w:rPr>
          <w:rFonts w:eastAsia="Times New Roman" w:cs="Times New Roman"/>
          <w:color w:val="000000"/>
          <w:kern w:val="0"/>
          <w:szCs w:val="22"/>
        </w:rPr>
        <w:t xml:space="preserve"> 996</w:t>
      </w:r>
      <w:r w:rsidR="00874468">
        <w:rPr>
          <w:rFonts w:cs="TimesNewRomanPSMT"/>
          <w:lang w:eastAsia="ko-KR"/>
        </w:rPr>
        <w:t> </w:t>
      </w:r>
      <w:r w:rsidRPr="003169BA">
        <w:rPr>
          <w:rFonts w:eastAsia="Times New Roman" w:cs="Times New Roman"/>
          <w:color w:val="000000"/>
          <w:kern w:val="0"/>
          <w:szCs w:val="22"/>
        </w:rPr>
        <w:t>ezer</w:t>
      </w:r>
      <w:r w:rsidR="00874468">
        <w:rPr>
          <w:rFonts w:cs="TimesNewRomanPSMT"/>
          <w:lang w:eastAsia="ko-KR"/>
        </w:rPr>
        <w:t> </w:t>
      </w:r>
      <w:r w:rsidRPr="003169BA">
        <w:rPr>
          <w:rFonts w:eastAsia="Times New Roman" w:cs="Times New Roman"/>
          <w:color w:val="000000"/>
          <w:kern w:val="0"/>
          <w:szCs w:val="22"/>
        </w:rPr>
        <w:t>tonnát</w:t>
      </w:r>
      <w:r w:rsidR="00450250">
        <w:rPr>
          <w:rFonts w:eastAsia="Times New Roman" w:cs="Times New Roman"/>
          <w:color w:val="000000"/>
          <w:kern w:val="0"/>
          <w:szCs w:val="22"/>
        </w:rPr>
        <w:t xml:space="preserve"> –</w:t>
      </w:r>
      <w:r w:rsidRPr="003169BA">
        <w:rPr>
          <w:rFonts w:eastAsia="Times New Roman" w:cs="Times New Roman"/>
          <w:color w:val="000000"/>
          <w:kern w:val="0"/>
          <w:szCs w:val="22"/>
        </w:rPr>
        <w:t xml:space="preserve"> takarítottak be.</w:t>
      </w:r>
      <w:r>
        <w:rPr>
          <w:rFonts w:eastAsia="Times New Roman" w:cs="Times New Roman"/>
          <w:b/>
          <w:color w:val="000000"/>
          <w:kern w:val="0"/>
          <w:szCs w:val="22"/>
        </w:rPr>
        <w:t xml:space="preserve"> </w:t>
      </w:r>
    </w:p>
    <w:p w:rsidR="003169BA" w:rsidRPr="003169BA" w:rsidRDefault="003169BA" w:rsidP="00634CDA">
      <w:pPr>
        <w:rPr>
          <w:rFonts w:eastAsia="Times New Roman" w:cs="Times New Roman"/>
          <w:color w:val="000000"/>
          <w:kern w:val="0"/>
          <w:szCs w:val="22"/>
        </w:rPr>
      </w:pPr>
      <w:r>
        <w:rPr>
          <w:rFonts w:eastAsia="Times New Roman" w:cs="Times New Roman"/>
          <w:b/>
          <w:color w:val="000000"/>
          <w:kern w:val="0"/>
          <w:szCs w:val="22"/>
        </w:rPr>
        <w:t xml:space="preserve">A zab </w:t>
      </w:r>
      <w:r w:rsidRPr="003169BA">
        <w:rPr>
          <w:rFonts w:eastAsia="Times New Roman" w:cs="Times New Roman"/>
          <w:color w:val="000000"/>
          <w:kern w:val="0"/>
          <w:szCs w:val="22"/>
        </w:rPr>
        <w:t>esetében a 2011. évinél 1%-kal kisebb szántóföldi területről (53</w:t>
      </w:r>
      <w:r w:rsidR="00874468">
        <w:rPr>
          <w:rFonts w:cs="TimesNewRomanPSMT"/>
          <w:lang w:eastAsia="ko-KR"/>
        </w:rPr>
        <w:t> </w:t>
      </w:r>
      <w:r w:rsidRPr="003169BA">
        <w:rPr>
          <w:rFonts w:eastAsia="Times New Roman" w:cs="Times New Roman"/>
          <w:color w:val="000000"/>
          <w:kern w:val="0"/>
          <w:szCs w:val="22"/>
        </w:rPr>
        <w:t>ezer</w:t>
      </w:r>
      <w:r w:rsidR="00874468">
        <w:rPr>
          <w:rFonts w:cs="TimesNewRomanPSMT"/>
          <w:lang w:eastAsia="ko-KR"/>
        </w:rPr>
        <w:t> </w:t>
      </w:r>
      <w:r w:rsidRPr="003169BA">
        <w:rPr>
          <w:rFonts w:eastAsia="Times New Roman" w:cs="Times New Roman"/>
          <w:color w:val="000000"/>
          <w:kern w:val="0"/>
          <w:szCs w:val="22"/>
        </w:rPr>
        <w:t>hektár) összesen 140</w:t>
      </w:r>
      <w:r w:rsidR="00874468">
        <w:rPr>
          <w:rFonts w:cs="TimesNewRomanPSMT"/>
          <w:lang w:eastAsia="ko-KR"/>
        </w:rPr>
        <w:t> </w:t>
      </w:r>
      <w:r w:rsidRPr="003169BA">
        <w:rPr>
          <w:rFonts w:eastAsia="Times New Roman" w:cs="Times New Roman"/>
          <w:color w:val="000000"/>
          <w:kern w:val="0"/>
          <w:szCs w:val="22"/>
        </w:rPr>
        <w:t>ezer</w:t>
      </w:r>
      <w:r w:rsidR="00874468">
        <w:rPr>
          <w:rFonts w:cs="TimesNewRomanPSMT"/>
          <w:lang w:eastAsia="ko-KR"/>
        </w:rPr>
        <w:t> </w:t>
      </w:r>
      <w:r w:rsidRPr="003169BA">
        <w:rPr>
          <w:rFonts w:eastAsia="Times New Roman" w:cs="Times New Roman"/>
          <w:color w:val="000000"/>
          <w:kern w:val="0"/>
          <w:szCs w:val="22"/>
        </w:rPr>
        <w:t xml:space="preserve">tonnát, az </w:t>
      </w:r>
      <w:r>
        <w:rPr>
          <w:rFonts w:eastAsia="Times New Roman" w:cs="Times New Roman"/>
          <w:color w:val="000000"/>
          <w:kern w:val="0"/>
          <w:szCs w:val="22"/>
        </w:rPr>
        <w:t xml:space="preserve">előző évinél 9%-kal több termést takarítottak be, az átlagos hozam 10%-kal emelkedett. </w:t>
      </w:r>
      <w:r>
        <w:rPr>
          <w:rFonts w:eastAsia="Times New Roman" w:cs="Times New Roman"/>
          <w:b/>
          <w:color w:val="000000"/>
          <w:kern w:val="0"/>
          <w:szCs w:val="22"/>
        </w:rPr>
        <w:t xml:space="preserve">A tritikálé </w:t>
      </w:r>
      <w:r w:rsidRPr="003169BA">
        <w:rPr>
          <w:rFonts w:eastAsia="Times New Roman" w:cs="Times New Roman"/>
          <w:color w:val="000000"/>
          <w:kern w:val="0"/>
          <w:szCs w:val="22"/>
        </w:rPr>
        <w:t>betakarított területe 111</w:t>
      </w:r>
      <w:r w:rsidR="00874468">
        <w:rPr>
          <w:rFonts w:cs="TimesNewRomanPSMT"/>
          <w:lang w:eastAsia="ko-KR"/>
        </w:rPr>
        <w:t> </w:t>
      </w:r>
      <w:r w:rsidRPr="003169BA">
        <w:rPr>
          <w:rFonts w:eastAsia="Times New Roman" w:cs="Times New Roman"/>
          <w:color w:val="000000"/>
          <w:kern w:val="0"/>
          <w:szCs w:val="22"/>
        </w:rPr>
        <w:t>ezer</w:t>
      </w:r>
      <w:r w:rsidR="00874468">
        <w:rPr>
          <w:rFonts w:cs="TimesNewRomanPSMT"/>
          <w:lang w:eastAsia="ko-KR"/>
        </w:rPr>
        <w:t> </w:t>
      </w:r>
      <w:r w:rsidRPr="003169BA">
        <w:rPr>
          <w:rFonts w:eastAsia="Times New Roman" w:cs="Times New Roman"/>
          <w:color w:val="000000"/>
          <w:kern w:val="0"/>
          <w:szCs w:val="22"/>
        </w:rPr>
        <w:t xml:space="preserve">hektár volt, ami 11%-kal meghaladta az előző évit. </w:t>
      </w:r>
    </w:p>
    <w:p w:rsidR="002E5D27" w:rsidRPr="00715E86" w:rsidRDefault="002E5D27" w:rsidP="00715E86">
      <w:pPr>
        <w:pStyle w:val="Cmsor6"/>
      </w:pPr>
      <w:r w:rsidRPr="00715E86">
        <w:t xml:space="preserve">Ipari növények termesztése </w:t>
      </w:r>
    </w:p>
    <w:p w:rsidR="004F51A0" w:rsidRPr="0097270B" w:rsidRDefault="004F51A0" w:rsidP="00634CDA">
      <w:pPr>
        <w:rPr>
          <w:rFonts w:eastAsia="Times New Roman" w:cs="Times New Roman"/>
          <w:color w:val="000000"/>
          <w:kern w:val="0"/>
          <w:szCs w:val="22"/>
        </w:rPr>
      </w:pPr>
      <w:r w:rsidRPr="0097270B">
        <w:rPr>
          <w:rFonts w:eastAsia="Times New Roman" w:cs="Times New Roman"/>
          <w:color w:val="000000"/>
          <w:kern w:val="0"/>
          <w:szCs w:val="22"/>
        </w:rPr>
        <w:t>A</w:t>
      </w:r>
      <w:r w:rsidRPr="0097270B">
        <w:rPr>
          <w:rFonts w:eastAsia="Times New Roman" w:cs="Times New Roman"/>
          <w:color w:val="000000"/>
          <w:spacing w:val="-19"/>
          <w:kern w:val="0"/>
          <w:szCs w:val="22"/>
        </w:rPr>
        <w:t xml:space="preserve"> </w:t>
      </w:r>
      <w:r w:rsidRPr="0097270B">
        <w:rPr>
          <w:rFonts w:eastAsia="Times New Roman" w:cs="Times New Roman"/>
          <w:b/>
          <w:bCs/>
          <w:color w:val="000000"/>
          <w:kern w:val="0"/>
          <w:szCs w:val="22"/>
        </w:rPr>
        <w:t>főbb</w:t>
      </w:r>
      <w:r w:rsidRPr="0097270B">
        <w:rPr>
          <w:rFonts w:eastAsia="Times New Roman" w:cs="Times New Roman"/>
          <w:b/>
          <w:bCs/>
          <w:color w:val="000000"/>
          <w:spacing w:val="-6"/>
          <w:kern w:val="0"/>
          <w:szCs w:val="22"/>
        </w:rPr>
        <w:t xml:space="preserve"> </w:t>
      </w:r>
      <w:r w:rsidRPr="0097270B">
        <w:rPr>
          <w:rFonts w:eastAsia="Times New Roman" w:cs="Times New Roman"/>
          <w:b/>
          <w:bCs/>
          <w:color w:val="000000"/>
          <w:kern w:val="0"/>
          <w:szCs w:val="22"/>
        </w:rPr>
        <w:t>olajos</w:t>
      </w:r>
      <w:r w:rsidRPr="0097270B">
        <w:rPr>
          <w:rFonts w:eastAsia="Times New Roman" w:cs="Times New Roman"/>
          <w:b/>
          <w:bCs/>
          <w:color w:val="000000"/>
          <w:spacing w:val="-6"/>
          <w:kern w:val="0"/>
          <w:szCs w:val="22"/>
        </w:rPr>
        <w:t xml:space="preserve"> </w:t>
      </w:r>
      <w:r w:rsidRPr="0097270B">
        <w:rPr>
          <w:rFonts w:eastAsia="Times New Roman" w:cs="Times New Roman"/>
          <w:b/>
          <w:bCs/>
          <w:color w:val="000000"/>
          <w:kern w:val="0"/>
          <w:szCs w:val="22"/>
        </w:rPr>
        <w:t>magvak</w:t>
      </w:r>
      <w:r w:rsidRPr="0097270B">
        <w:rPr>
          <w:rFonts w:eastAsia="Times New Roman" w:cs="Times New Roman"/>
          <w:b/>
          <w:bCs/>
          <w:color w:val="000000"/>
          <w:spacing w:val="-6"/>
          <w:kern w:val="0"/>
          <w:szCs w:val="22"/>
        </w:rPr>
        <w:t xml:space="preserve"> </w:t>
      </w:r>
      <w:r w:rsidRPr="0097270B">
        <w:rPr>
          <w:rFonts w:eastAsia="Times New Roman" w:cs="Times New Roman"/>
          <w:color w:val="000000"/>
          <w:kern w:val="0"/>
          <w:szCs w:val="22"/>
        </w:rPr>
        <w:t>közül</w:t>
      </w:r>
      <w:r w:rsidRPr="0097270B">
        <w:rPr>
          <w:rFonts w:eastAsia="Times New Roman" w:cs="Times New Roman"/>
          <w:color w:val="000000"/>
          <w:spacing w:val="-6"/>
          <w:kern w:val="0"/>
          <w:szCs w:val="22"/>
        </w:rPr>
        <w:t xml:space="preserve"> </w:t>
      </w:r>
      <w:r w:rsidRPr="0097270B">
        <w:rPr>
          <w:rFonts w:eastAsia="Times New Roman" w:cs="Times New Roman"/>
          <w:color w:val="000000"/>
          <w:kern w:val="0"/>
          <w:szCs w:val="22"/>
        </w:rPr>
        <w:t>a</w:t>
      </w:r>
      <w:r w:rsidRPr="0097270B">
        <w:rPr>
          <w:rFonts w:eastAsia="Times New Roman" w:cs="Times New Roman"/>
          <w:color w:val="000000"/>
          <w:spacing w:val="-6"/>
          <w:kern w:val="0"/>
          <w:szCs w:val="22"/>
        </w:rPr>
        <w:t xml:space="preserve"> </w:t>
      </w:r>
      <w:r w:rsidRPr="0097270B">
        <w:rPr>
          <w:rFonts w:eastAsia="Times New Roman" w:cs="Times New Roman"/>
          <w:color w:val="000000"/>
          <w:kern w:val="0"/>
          <w:szCs w:val="22"/>
        </w:rPr>
        <w:t>napraforgónak</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nőtt,</w:t>
      </w:r>
      <w:r w:rsidRPr="0097270B">
        <w:rPr>
          <w:rFonts w:eastAsia="Times New Roman" w:cs="Times New Roman"/>
          <w:color w:val="000000"/>
          <w:spacing w:val="-6"/>
          <w:kern w:val="0"/>
          <w:szCs w:val="22"/>
        </w:rPr>
        <w:t xml:space="preserve"> </w:t>
      </w:r>
      <w:r w:rsidRPr="0097270B">
        <w:rPr>
          <w:rFonts w:eastAsia="Times New Roman" w:cs="Times New Roman"/>
          <w:color w:val="000000"/>
          <w:kern w:val="0"/>
          <w:szCs w:val="22"/>
        </w:rPr>
        <w:t>a</w:t>
      </w:r>
      <w:r w:rsidRPr="0097270B">
        <w:rPr>
          <w:rFonts w:eastAsia="Times New Roman" w:cs="Times New Roman"/>
          <w:color w:val="000000"/>
          <w:spacing w:val="-6"/>
          <w:kern w:val="0"/>
          <w:szCs w:val="22"/>
        </w:rPr>
        <w:t xml:space="preserve"> </w:t>
      </w:r>
      <w:r w:rsidRPr="0097270B">
        <w:rPr>
          <w:rFonts w:eastAsia="Times New Roman" w:cs="Times New Roman"/>
          <w:color w:val="000000"/>
          <w:kern w:val="0"/>
          <w:szCs w:val="22"/>
        </w:rPr>
        <w:t>repcének</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jelentősen</w:t>
      </w:r>
      <w:r w:rsidRPr="0097270B">
        <w:rPr>
          <w:rFonts w:eastAsia="Times New Roman" w:cs="Times New Roman"/>
          <w:color w:val="000000"/>
          <w:spacing w:val="-6"/>
          <w:kern w:val="0"/>
          <w:szCs w:val="22"/>
        </w:rPr>
        <w:t xml:space="preserve"> </w:t>
      </w:r>
      <w:r w:rsidRPr="0097270B">
        <w:rPr>
          <w:rFonts w:eastAsia="Times New Roman" w:cs="Times New Roman"/>
          <w:color w:val="000000"/>
          <w:kern w:val="0"/>
          <w:szCs w:val="22"/>
        </w:rPr>
        <w:t>visszaesett</w:t>
      </w:r>
      <w:r w:rsidRPr="0097270B">
        <w:rPr>
          <w:rFonts w:eastAsia="Times New Roman" w:cs="Times New Roman"/>
          <w:color w:val="000000"/>
          <w:spacing w:val="-6"/>
          <w:kern w:val="0"/>
          <w:szCs w:val="22"/>
        </w:rPr>
        <w:t xml:space="preserve"> </w:t>
      </w:r>
      <w:r w:rsidRPr="0097270B">
        <w:rPr>
          <w:rFonts w:eastAsia="Times New Roman" w:cs="Times New Roman"/>
          <w:color w:val="000000"/>
          <w:kern w:val="0"/>
          <w:szCs w:val="22"/>
        </w:rPr>
        <w:t>a</w:t>
      </w:r>
      <w:r w:rsidRPr="0097270B">
        <w:rPr>
          <w:rFonts w:eastAsia="Times New Roman" w:cs="Times New Roman"/>
          <w:color w:val="000000"/>
          <w:spacing w:val="-6"/>
          <w:kern w:val="0"/>
          <w:szCs w:val="22"/>
        </w:rPr>
        <w:t xml:space="preserve"> </w:t>
      </w:r>
      <w:r w:rsidRPr="0097270B">
        <w:rPr>
          <w:rFonts w:eastAsia="Times New Roman" w:cs="Times New Roman"/>
          <w:color w:val="000000"/>
          <w:kern w:val="0"/>
          <w:szCs w:val="22"/>
        </w:rPr>
        <w:t>betaka</w:t>
      </w:r>
      <w:r w:rsidR="00305CFE" w:rsidRPr="0097270B">
        <w:rPr>
          <w:rFonts w:eastAsia="Times New Roman" w:cs="Times New Roman"/>
          <w:color w:val="000000"/>
          <w:kern w:val="0"/>
          <w:szCs w:val="22"/>
        </w:rPr>
        <w:t xml:space="preserve">rított </w:t>
      </w:r>
      <w:r w:rsidRPr="0097270B">
        <w:rPr>
          <w:rFonts w:eastAsia="Times New Roman" w:cs="Times New Roman"/>
          <w:color w:val="000000"/>
          <w:kern w:val="0"/>
          <w:szCs w:val="22"/>
        </w:rPr>
        <w:t>területe 2012-ben. Napraforgóból 5%-kal nagyobb területen, 5%-kal kevesebb, összesen 1,3</w:t>
      </w:r>
      <w:r w:rsidR="00874468">
        <w:rPr>
          <w:rFonts w:cs="TimesNewRomanPSMT"/>
          <w:lang w:eastAsia="ko-KR"/>
        </w:rPr>
        <w:t> </w:t>
      </w:r>
      <w:r w:rsidRPr="0097270B">
        <w:rPr>
          <w:rFonts w:eastAsia="Times New Roman" w:cs="Times New Roman"/>
          <w:color w:val="000000"/>
          <w:kern w:val="0"/>
          <w:szCs w:val="22"/>
        </w:rPr>
        <w:t>millió</w:t>
      </w:r>
      <w:r w:rsidR="00874468">
        <w:rPr>
          <w:rFonts w:cs="TimesNewRomanPSMT"/>
          <w:lang w:eastAsia="ko-KR"/>
        </w:rPr>
        <w:t> </w:t>
      </w:r>
      <w:r w:rsidRPr="0097270B">
        <w:rPr>
          <w:rFonts w:eastAsia="Times New Roman" w:cs="Times New Roman"/>
          <w:color w:val="000000"/>
          <w:kern w:val="0"/>
          <w:szCs w:val="22"/>
        </w:rPr>
        <w:t>tonna</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termett.</w:t>
      </w:r>
      <w:r w:rsidRPr="0097270B">
        <w:rPr>
          <w:rFonts w:eastAsia="Times New Roman" w:cs="Times New Roman"/>
          <w:color w:val="000000"/>
          <w:spacing w:val="-9"/>
          <w:kern w:val="0"/>
          <w:szCs w:val="22"/>
        </w:rPr>
        <w:t xml:space="preserve"> </w:t>
      </w:r>
      <w:r w:rsidRPr="0097270B">
        <w:rPr>
          <w:rFonts w:eastAsia="Times New Roman" w:cs="Times New Roman"/>
          <w:color w:val="000000"/>
          <w:kern w:val="0"/>
          <w:szCs w:val="22"/>
        </w:rPr>
        <w:t>A</w:t>
      </w:r>
      <w:r w:rsidRPr="0097270B">
        <w:rPr>
          <w:rFonts w:eastAsia="Times New Roman" w:cs="Times New Roman"/>
          <w:color w:val="000000"/>
          <w:spacing w:val="-8"/>
          <w:kern w:val="0"/>
          <w:szCs w:val="22"/>
        </w:rPr>
        <w:t xml:space="preserve"> </w:t>
      </w:r>
      <w:r w:rsidRPr="0097270B">
        <w:rPr>
          <w:rFonts w:eastAsia="Times New Roman" w:cs="Times New Roman"/>
          <w:color w:val="000000"/>
          <w:kern w:val="0"/>
          <w:szCs w:val="22"/>
        </w:rPr>
        <w:t>repce</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betakarított</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területe</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(233</w:t>
      </w:r>
      <w:r w:rsidR="00874468">
        <w:rPr>
          <w:rFonts w:cs="TimesNewRomanPSMT"/>
          <w:lang w:eastAsia="ko-KR"/>
        </w:rPr>
        <w:t> </w:t>
      </w:r>
      <w:r w:rsidRPr="0097270B">
        <w:rPr>
          <w:rFonts w:eastAsia="Times New Roman" w:cs="Times New Roman"/>
          <w:color w:val="000000"/>
          <w:kern w:val="0"/>
          <w:szCs w:val="22"/>
        </w:rPr>
        <w:t>ezer</w:t>
      </w:r>
      <w:r w:rsidR="00874468">
        <w:rPr>
          <w:rFonts w:cs="TimesNewRomanPSMT"/>
          <w:lang w:eastAsia="ko-KR"/>
        </w:rPr>
        <w:t> </w:t>
      </w:r>
      <w:r w:rsidRPr="0097270B">
        <w:rPr>
          <w:rFonts w:eastAsia="Times New Roman" w:cs="Times New Roman"/>
          <w:color w:val="000000"/>
          <w:kern w:val="0"/>
          <w:szCs w:val="22"/>
        </w:rPr>
        <w:t>hektár)</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28%-kal</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esett</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vissza,</w:t>
      </w:r>
      <w:r w:rsidRPr="0097270B">
        <w:rPr>
          <w:rFonts w:eastAsia="Times New Roman" w:cs="Times New Roman"/>
          <w:color w:val="000000"/>
          <w:spacing w:val="5"/>
          <w:kern w:val="0"/>
          <w:szCs w:val="22"/>
        </w:rPr>
        <w:t xml:space="preserve"> </w:t>
      </w:r>
      <w:r w:rsidRPr="0097270B">
        <w:rPr>
          <w:rFonts w:eastAsia="Times New Roman" w:cs="Times New Roman"/>
          <w:color w:val="000000"/>
          <w:kern w:val="0"/>
          <w:szCs w:val="22"/>
        </w:rPr>
        <w:t>401</w:t>
      </w:r>
      <w:r w:rsidR="00874468">
        <w:rPr>
          <w:rFonts w:cs="TimesNewRomanPSMT"/>
          <w:lang w:eastAsia="ko-KR"/>
        </w:rPr>
        <w:t> </w:t>
      </w:r>
      <w:r w:rsidRPr="0097270B">
        <w:rPr>
          <w:rFonts w:eastAsia="Times New Roman" w:cs="Times New Roman"/>
          <w:color w:val="000000"/>
          <w:kern w:val="0"/>
          <w:szCs w:val="22"/>
        </w:rPr>
        <w:t>ezer</w:t>
      </w:r>
      <w:r w:rsidR="00874468">
        <w:rPr>
          <w:rFonts w:cs="TimesNewRomanPSMT"/>
          <w:lang w:eastAsia="ko-KR"/>
        </w:rPr>
        <w:t> </w:t>
      </w:r>
      <w:r w:rsidRPr="0097270B">
        <w:rPr>
          <w:rFonts w:eastAsia="Times New Roman" w:cs="Times New Roman"/>
          <w:color w:val="000000"/>
          <w:kern w:val="0"/>
          <w:szCs w:val="22"/>
        </w:rPr>
        <w:t>tonnás termésmennyisége 24%-kal maradt el 20</w:t>
      </w:r>
      <w:r w:rsidRPr="0097270B">
        <w:rPr>
          <w:rFonts w:eastAsia="Times New Roman" w:cs="Times New Roman"/>
          <w:color w:val="000000"/>
          <w:spacing w:val="-17"/>
          <w:kern w:val="0"/>
          <w:szCs w:val="22"/>
        </w:rPr>
        <w:t>1</w:t>
      </w:r>
      <w:r w:rsidRPr="0097270B">
        <w:rPr>
          <w:rFonts w:eastAsia="Times New Roman" w:cs="Times New Roman"/>
          <w:color w:val="000000"/>
          <w:kern w:val="0"/>
          <w:szCs w:val="22"/>
        </w:rPr>
        <w:t>1-hez viszonyítva.</w:t>
      </w:r>
    </w:p>
    <w:p w:rsidR="004F51A0" w:rsidRDefault="004F51A0" w:rsidP="00634CDA">
      <w:pPr>
        <w:rPr>
          <w:rFonts w:eastAsia="Times New Roman" w:cs="Times New Roman"/>
          <w:color w:val="000000"/>
          <w:kern w:val="0"/>
          <w:szCs w:val="22"/>
        </w:rPr>
      </w:pPr>
      <w:r w:rsidRPr="0097270B">
        <w:rPr>
          <w:rFonts w:eastAsia="Times New Roman" w:cs="Times New Roman"/>
          <w:b/>
          <w:bCs/>
          <w:color w:val="000000"/>
          <w:kern w:val="0"/>
          <w:szCs w:val="22"/>
        </w:rPr>
        <w:t xml:space="preserve">Cukorrépából </w:t>
      </w:r>
      <w:r w:rsidRPr="0097270B">
        <w:rPr>
          <w:rFonts w:eastAsia="Times New Roman" w:cs="Times New Roman"/>
          <w:color w:val="000000"/>
          <w:kern w:val="0"/>
          <w:szCs w:val="22"/>
        </w:rPr>
        <w:t>2012-ben</w:t>
      </w:r>
      <w:r w:rsidRPr="0097270B">
        <w:rPr>
          <w:rFonts w:eastAsia="Times New Roman" w:cs="Times New Roman"/>
          <w:color w:val="000000"/>
          <w:spacing w:val="1"/>
          <w:kern w:val="0"/>
          <w:szCs w:val="22"/>
        </w:rPr>
        <w:t xml:space="preserve"> </w:t>
      </w:r>
      <w:r w:rsidRPr="0097270B">
        <w:rPr>
          <w:rFonts w:eastAsia="Times New Roman" w:cs="Times New Roman"/>
          <w:color w:val="000000"/>
          <w:kern w:val="0"/>
          <w:szCs w:val="22"/>
        </w:rPr>
        <w:t>17</w:t>
      </w:r>
      <w:r w:rsidR="00C279A4">
        <w:rPr>
          <w:rFonts w:cs="TimesNewRomanPSMT"/>
          <w:lang w:eastAsia="ko-KR"/>
        </w:rPr>
        <w:t> </w:t>
      </w:r>
      <w:r w:rsidRPr="0097270B">
        <w:rPr>
          <w:rFonts w:eastAsia="Times New Roman" w:cs="Times New Roman"/>
          <w:color w:val="000000"/>
          <w:kern w:val="0"/>
          <w:szCs w:val="22"/>
        </w:rPr>
        <w:t>ezer hektáron 759</w:t>
      </w:r>
      <w:r w:rsidR="00C279A4">
        <w:rPr>
          <w:rFonts w:cs="TimesNewRomanPSMT"/>
          <w:lang w:eastAsia="ko-KR"/>
        </w:rPr>
        <w:t> </w:t>
      </w:r>
      <w:r w:rsidRPr="0097270B">
        <w:rPr>
          <w:rFonts w:eastAsia="Times New Roman" w:cs="Times New Roman"/>
          <w:color w:val="000000"/>
          <w:kern w:val="0"/>
          <w:szCs w:val="22"/>
        </w:rPr>
        <w:t>ezer</w:t>
      </w:r>
      <w:r w:rsidR="00C279A4">
        <w:rPr>
          <w:rFonts w:cs="TimesNewRomanPSMT"/>
          <w:lang w:eastAsia="ko-KR"/>
        </w:rPr>
        <w:t> </w:t>
      </w:r>
      <w:r w:rsidRPr="0097270B">
        <w:rPr>
          <w:rFonts w:eastAsia="Times New Roman" w:cs="Times New Roman"/>
          <w:color w:val="000000"/>
          <w:kern w:val="0"/>
          <w:szCs w:val="22"/>
        </w:rPr>
        <w:t>tonnát, az előző</w:t>
      </w:r>
      <w:r w:rsidRPr="0097270B">
        <w:rPr>
          <w:rFonts w:eastAsia="Times New Roman" w:cs="Times New Roman"/>
          <w:color w:val="000000"/>
          <w:spacing w:val="1"/>
          <w:kern w:val="0"/>
          <w:szCs w:val="22"/>
        </w:rPr>
        <w:t xml:space="preserve"> </w:t>
      </w:r>
      <w:r w:rsidRPr="0097270B">
        <w:rPr>
          <w:rFonts w:eastAsia="Times New Roman" w:cs="Times New Roman"/>
          <w:color w:val="000000"/>
          <w:kern w:val="0"/>
          <w:szCs w:val="22"/>
        </w:rPr>
        <w:t>évinél</w:t>
      </w:r>
      <w:r w:rsidRPr="0097270B">
        <w:rPr>
          <w:rFonts w:eastAsia="Times New Roman" w:cs="Times New Roman"/>
          <w:color w:val="000000"/>
          <w:spacing w:val="1"/>
          <w:kern w:val="0"/>
          <w:szCs w:val="22"/>
        </w:rPr>
        <w:t xml:space="preserve"> </w:t>
      </w:r>
      <w:r w:rsidRPr="0097270B">
        <w:rPr>
          <w:rFonts w:eastAsia="Times New Roman" w:cs="Times New Roman"/>
          <w:color w:val="000000"/>
          <w:spacing w:val="-18"/>
          <w:kern w:val="0"/>
          <w:szCs w:val="22"/>
        </w:rPr>
        <w:t>1</w:t>
      </w:r>
      <w:r w:rsidRPr="0097270B">
        <w:rPr>
          <w:rFonts w:eastAsia="Times New Roman" w:cs="Times New Roman"/>
          <w:color w:val="000000"/>
          <w:kern w:val="0"/>
          <w:szCs w:val="22"/>
        </w:rPr>
        <w:t>1%-kal</w:t>
      </w:r>
      <w:r w:rsidRPr="0097270B">
        <w:rPr>
          <w:rFonts w:eastAsia="Times New Roman" w:cs="Times New Roman"/>
          <w:color w:val="000000"/>
          <w:spacing w:val="1"/>
          <w:kern w:val="0"/>
          <w:szCs w:val="22"/>
        </w:rPr>
        <w:t xml:space="preserve"> </w:t>
      </w:r>
      <w:r w:rsidRPr="0097270B">
        <w:rPr>
          <w:rFonts w:eastAsia="Times New Roman" w:cs="Times New Roman"/>
          <w:color w:val="000000"/>
          <w:kern w:val="0"/>
          <w:szCs w:val="22"/>
        </w:rPr>
        <w:t>kevesebbet termeltek a gazdaságok.</w:t>
      </w:r>
    </w:p>
    <w:bookmarkEnd w:id="22"/>
    <w:p w:rsidR="00055AFA" w:rsidRPr="00715E86" w:rsidRDefault="00055AFA" w:rsidP="00715E86">
      <w:pPr>
        <w:pStyle w:val="Cmsor6"/>
      </w:pPr>
      <w:r w:rsidRPr="00715E86">
        <w:lastRenderedPageBreak/>
        <w:t>Egyéb növények termesztése</w:t>
      </w:r>
    </w:p>
    <w:p w:rsidR="00FA7F76" w:rsidRDefault="004F51A0" w:rsidP="00D53DF7">
      <w:pPr>
        <w:rPr>
          <w:lang w:eastAsia="ko-KR"/>
        </w:rPr>
      </w:pPr>
      <w:r w:rsidRPr="0097270B">
        <w:rPr>
          <w:b/>
          <w:lang w:eastAsia="ko-KR"/>
        </w:rPr>
        <w:t>Burgonyából</w:t>
      </w:r>
      <w:r w:rsidRPr="0097270B">
        <w:rPr>
          <w:lang w:eastAsia="ko-KR"/>
        </w:rPr>
        <w:t xml:space="preserve"> 2012-ben 497</w:t>
      </w:r>
      <w:r w:rsidR="00C279A4">
        <w:rPr>
          <w:lang w:eastAsia="ko-KR"/>
        </w:rPr>
        <w:t> </w:t>
      </w:r>
      <w:r w:rsidRPr="0097270B">
        <w:rPr>
          <w:lang w:eastAsia="ko-KR"/>
        </w:rPr>
        <w:t>ezer</w:t>
      </w:r>
      <w:r w:rsidR="00C279A4">
        <w:rPr>
          <w:lang w:eastAsia="ko-KR"/>
        </w:rPr>
        <w:t> </w:t>
      </w:r>
      <w:r w:rsidRPr="0097270B">
        <w:rPr>
          <w:lang w:eastAsia="ko-KR"/>
        </w:rPr>
        <w:t xml:space="preserve">tonna, az előző évinél 18%-kal kevesebb termett. </w:t>
      </w:r>
      <w:r w:rsidRPr="0097270B">
        <w:rPr>
          <w:b/>
          <w:lang w:eastAsia="ko-KR"/>
        </w:rPr>
        <w:t>A zöldségfélék</w:t>
      </w:r>
      <w:r w:rsidRPr="0097270B">
        <w:rPr>
          <w:lang w:eastAsia="ko-KR"/>
        </w:rPr>
        <w:t xml:space="preserve"> termésmennyisége is visszaesett, 14%-kal kevesebbet, 1,3</w:t>
      </w:r>
      <w:r w:rsidR="00C279A4">
        <w:rPr>
          <w:lang w:eastAsia="ko-KR"/>
        </w:rPr>
        <w:t> </w:t>
      </w:r>
      <w:r w:rsidRPr="0097270B">
        <w:rPr>
          <w:lang w:eastAsia="ko-KR"/>
        </w:rPr>
        <w:t>millió</w:t>
      </w:r>
      <w:r w:rsidR="00C279A4">
        <w:rPr>
          <w:lang w:eastAsia="ko-KR"/>
        </w:rPr>
        <w:t> </w:t>
      </w:r>
      <w:r w:rsidRPr="0097270B">
        <w:rPr>
          <w:lang w:eastAsia="ko-KR"/>
        </w:rPr>
        <w:t>tonnát takarítottak be.</w:t>
      </w:r>
      <w:r w:rsidR="00FA7F76">
        <w:rPr>
          <w:lang w:eastAsia="ko-KR"/>
        </w:rPr>
        <w:t xml:space="preserve"> </w:t>
      </w:r>
    </w:p>
    <w:p w:rsidR="0097270B" w:rsidRDefault="004F51A0" w:rsidP="00D53DF7">
      <w:pPr>
        <w:rPr>
          <w:lang w:eastAsia="ko-KR"/>
        </w:rPr>
      </w:pPr>
      <w:r w:rsidRPr="0097270B">
        <w:rPr>
          <w:lang w:eastAsia="ko-KR"/>
        </w:rPr>
        <w:t xml:space="preserve">A </w:t>
      </w:r>
      <w:r w:rsidRPr="0097270B">
        <w:rPr>
          <w:b/>
          <w:lang w:eastAsia="ko-KR"/>
        </w:rPr>
        <w:t xml:space="preserve">gyümölcs </w:t>
      </w:r>
      <w:r w:rsidRPr="0097270B">
        <w:rPr>
          <w:lang w:eastAsia="ko-KR"/>
        </w:rPr>
        <w:t>mennyisége (810</w:t>
      </w:r>
      <w:r w:rsidR="00C279A4">
        <w:rPr>
          <w:lang w:eastAsia="ko-KR"/>
        </w:rPr>
        <w:t> </w:t>
      </w:r>
      <w:r w:rsidRPr="0097270B">
        <w:rPr>
          <w:lang w:eastAsia="ko-KR"/>
        </w:rPr>
        <w:t>ezer</w:t>
      </w:r>
      <w:r w:rsidR="00C279A4">
        <w:rPr>
          <w:lang w:eastAsia="ko-KR"/>
        </w:rPr>
        <w:t> </w:t>
      </w:r>
      <w:r w:rsidRPr="0097270B">
        <w:rPr>
          <w:lang w:eastAsia="ko-KR"/>
        </w:rPr>
        <w:t xml:space="preserve">tonna) 58%-kal haladta meg a 2011. évit, amikor az almatermést drasztikusan visszavetette a tavaszi fagykár. A </w:t>
      </w:r>
      <w:r w:rsidRPr="0097270B">
        <w:rPr>
          <w:b/>
          <w:lang w:eastAsia="ko-KR"/>
        </w:rPr>
        <w:t>szőlőtermés</w:t>
      </w:r>
      <w:r w:rsidRPr="0097270B">
        <w:rPr>
          <w:lang w:eastAsia="ko-KR"/>
        </w:rPr>
        <w:t xml:space="preserve"> 2012-ben az előzetes adatok szerint mintegy 379</w:t>
      </w:r>
      <w:r w:rsidR="00C279A4">
        <w:rPr>
          <w:lang w:eastAsia="ko-KR"/>
        </w:rPr>
        <w:t> </w:t>
      </w:r>
      <w:r w:rsidRPr="0097270B">
        <w:rPr>
          <w:lang w:eastAsia="ko-KR"/>
        </w:rPr>
        <w:t>ezer</w:t>
      </w:r>
      <w:r w:rsidR="00C279A4">
        <w:rPr>
          <w:lang w:eastAsia="ko-KR"/>
        </w:rPr>
        <w:t> </w:t>
      </w:r>
      <w:r w:rsidRPr="0097270B">
        <w:rPr>
          <w:lang w:eastAsia="ko-KR"/>
        </w:rPr>
        <w:t xml:space="preserve">tonna volt, 16%-kal kevesebb, mint egy évvel korábban. </w:t>
      </w:r>
    </w:p>
    <w:p w:rsidR="00055AFA" w:rsidRPr="0097270B" w:rsidRDefault="004F51A0" w:rsidP="00D53DF7">
      <w:pPr>
        <w:rPr>
          <w:lang w:eastAsia="ko-KR"/>
        </w:rPr>
      </w:pPr>
      <w:r w:rsidRPr="0097270B">
        <w:rPr>
          <w:lang w:eastAsia="ko-KR"/>
        </w:rPr>
        <w:t>A felsorolt termékek termésmennyisége évről-évre jelentősen ingadozik, hosszútávon csökkenő trend érvényesül</w:t>
      </w:r>
      <w:r w:rsidR="0097270B">
        <w:rPr>
          <w:lang w:eastAsia="ko-KR"/>
        </w:rPr>
        <w:t>.</w:t>
      </w:r>
    </w:p>
    <w:p w:rsidR="00E548D5" w:rsidRPr="00715E86" w:rsidRDefault="00E548D5" w:rsidP="00715E86">
      <w:pPr>
        <w:pStyle w:val="Cmsor4"/>
      </w:pPr>
      <w:r w:rsidRPr="00715E86">
        <w:t>Állattenyésztés</w:t>
      </w:r>
    </w:p>
    <w:p w:rsidR="004F51A0" w:rsidRPr="00D53DF7" w:rsidRDefault="004F51A0" w:rsidP="00634CDA">
      <w:r w:rsidRPr="00D53DF7">
        <w:t>Az állatállomány nagysága az elmúlt években jelentősen csökkent, 2012-ben egyedül a szarvasmarha-állomány haladta meg a 2004-es szintet. A 2012. évi decemberi adatok szerint az előző évi szint alá süllyedt a sertés</w:t>
      </w:r>
      <w:r w:rsidR="00A71D2E" w:rsidRPr="00D53DF7">
        <w:t>-</w:t>
      </w:r>
      <w:r w:rsidRPr="00D53DF7">
        <w:t xml:space="preserve"> és a baromfiállomány, míg a szarvasmarhák és a juhok száma emelkedett.</w:t>
      </w:r>
    </w:p>
    <w:p w:rsidR="00C279A4" w:rsidRDefault="004F51A0" w:rsidP="00634CDA">
      <w:pPr>
        <w:rPr>
          <w:bCs/>
          <w:iCs/>
          <w:color w:val="000000"/>
          <w:kern w:val="2"/>
          <w:szCs w:val="22"/>
        </w:rPr>
      </w:pPr>
      <w:r w:rsidRPr="00F12C19">
        <w:rPr>
          <w:bCs/>
          <w:iCs/>
          <w:color w:val="000000"/>
          <w:kern w:val="2"/>
          <w:szCs w:val="22"/>
        </w:rPr>
        <w:t xml:space="preserve">A </w:t>
      </w:r>
      <w:r w:rsidRPr="00F12C19">
        <w:rPr>
          <w:b/>
          <w:bCs/>
          <w:iCs/>
          <w:color w:val="000000"/>
          <w:kern w:val="2"/>
          <w:szCs w:val="22"/>
        </w:rPr>
        <w:t>szarvasmarhák</w:t>
      </w:r>
      <w:r w:rsidRPr="00F12C19">
        <w:rPr>
          <w:bCs/>
          <w:iCs/>
          <w:color w:val="000000"/>
          <w:kern w:val="2"/>
          <w:szCs w:val="22"/>
        </w:rPr>
        <w:t xml:space="preserve"> száma (2012-ben 753</w:t>
      </w:r>
      <w:r w:rsidR="00C279A4">
        <w:rPr>
          <w:rFonts w:cs="TimesNewRomanPSMT"/>
          <w:lang w:eastAsia="ko-KR"/>
        </w:rPr>
        <w:t> </w:t>
      </w:r>
      <w:r w:rsidRPr="00F12C19">
        <w:rPr>
          <w:bCs/>
          <w:iCs/>
          <w:color w:val="000000"/>
          <w:kern w:val="2"/>
          <w:szCs w:val="22"/>
        </w:rPr>
        <w:t>ezer</w:t>
      </w:r>
      <w:r w:rsidR="00C279A4">
        <w:rPr>
          <w:rFonts w:cs="TimesNewRomanPSMT"/>
          <w:lang w:eastAsia="ko-KR"/>
        </w:rPr>
        <w:t> </w:t>
      </w:r>
      <w:r w:rsidRPr="00F12C19">
        <w:rPr>
          <w:bCs/>
          <w:iCs/>
          <w:color w:val="000000"/>
          <w:kern w:val="2"/>
          <w:szCs w:val="22"/>
        </w:rPr>
        <w:t>darab) az elmúlt</w:t>
      </w:r>
      <w:r w:rsidR="00C279A4">
        <w:rPr>
          <w:bCs/>
          <w:iCs/>
          <w:color w:val="000000"/>
          <w:kern w:val="2"/>
          <w:szCs w:val="22"/>
        </w:rPr>
        <w:t xml:space="preserve"> </w:t>
      </w:r>
      <w:r w:rsidRPr="00F12C19">
        <w:rPr>
          <w:bCs/>
          <w:iCs/>
          <w:color w:val="000000"/>
          <w:kern w:val="2"/>
          <w:szCs w:val="22"/>
        </w:rPr>
        <w:t>két évtizedben megfigyelt erőteljes fogyást követően 2011 óta emelkedésnek indult. A külföldi (főként törökországi) tenyész-</w:t>
      </w:r>
      <w:r w:rsidR="009C1E86" w:rsidRPr="00F12C19">
        <w:rPr>
          <w:bCs/>
          <w:iCs/>
          <w:color w:val="000000"/>
          <w:kern w:val="2"/>
          <w:szCs w:val="22"/>
        </w:rPr>
        <w:t xml:space="preserve"> </w:t>
      </w:r>
      <w:r w:rsidRPr="00F12C19">
        <w:rPr>
          <w:bCs/>
          <w:iCs/>
          <w:color w:val="000000"/>
          <w:kern w:val="2"/>
          <w:szCs w:val="22"/>
        </w:rPr>
        <w:t xml:space="preserve">és vágóállat-kereslet, </w:t>
      </w:r>
      <w:r w:rsidR="00C279A4">
        <w:rPr>
          <w:bCs/>
          <w:iCs/>
          <w:color w:val="000000"/>
          <w:kern w:val="2"/>
          <w:szCs w:val="22"/>
        </w:rPr>
        <w:t xml:space="preserve">ill. </w:t>
      </w:r>
      <w:r w:rsidRPr="00F12C19">
        <w:rPr>
          <w:bCs/>
          <w:iCs/>
          <w:color w:val="000000"/>
          <w:kern w:val="2"/>
          <w:szCs w:val="22"/>
        </w:rPr>
        <w:t>a piaci ár növekedése kedvezett az állatlétszám növekedésének. A tehénállomány (336</w:t>
      </w:r>
      <w:r w:rsidR="00C279A4">
        <w:rPr>
          <w:rFonts w:cs="TimesNewRomanPSMT"/>
          <w:lang w:eastAsia="ko-KR"/>
        </w:rPr>
        <w:t> </w:t>
      </w:r>
      <w:r w:rsidRPr="00F12C19">
        <w:rPr>
          <w:bCs/>
          <w:iCs/>
          <w:color w:val="000000"/>
          <w:kern w:val="2"/>
          <w:szCs w:val="22"/>
        </w:rPr>
        <w:t>ezer) egy év alatt 9</w:t>
      </w:r>
      <w:r w:rsidR="00C279A4">
        <w:rPr>
          <w:rFonts w:cs="TimesNewRomanPSMT"/>
          <w:lang w:eastAsia="ko-KR"/>
        </w:rPr>
        <w:t> </w:t>
      </w:r>
      <w:r w:rsidRPr="00F12C19">
        <w:rPr>
          <w:bCs/>
          <w:iCs/>
          <w:color w:val="000000"/>
          <w:kern w:val="2"/>
          <w:szCs w:val="22"/>
        </w:rPr>
        <w:t>ezerrel gyarapodott. A szarvasmarha-állomány 63</w:t>
      </w:r>
      <w:r w:rsidR="00C279A4">
        <w:rPr>
          <w:bCs/>
          <w:iCs/>
          <w:color w:val="000000"/>
          <w:kern w:val="2"/>
          <w:szCs w:val="22"/>
        </w:rPr>
        <w:t>%-</w:t>
      </w:r>
      <w:r w:rsidRPr="00F12C19">
        <w:rPr>
          <w:bCs/>
          <w:iCs/>
          <w:color w:val="000000"/>
          <w:kern w:val="2"/>
          <w:szCs w:val="22"/>
        </w:rPr>
        <w:t>át gazdasági szervezetek, 37</w:t>
      </w:r>
      <w:r w:rsidR="00C279A4">
        <w:rPr>
          <w:bCs/>
          <w:iCs/>
          <w:color w:val="000000"/>
          <w:kern w:val="2"/>
          <w:szCs w:val="22"/>
        </w:rPr>
        <w:t>%-</w:t>
      </w:r>
      <w:r w:rsidRPr="00F12C19">
        <w:rPr>
          <w:bCs/>
          <w:iCs/>
          <w:color w:val="000000"/>
          <w:kern w:val="2"/>
          <w:szCs w:val="22"/>
        </w:rPr>
        <w:t>át egyéni gazdaságok tartják. Ez a megoszlási arány az elmúlt évekhez képest az egyéni gazdaságok kismértékű térnyerését mutatja (2010-ben 66 és 34% volt). A tejhasznú és húshasznú tehenek száma 1, illetve 5</w:t>
      </w:r>
      <w:r w:rsidR="00C279A4">
        <w:rPr>
          <w:rFonts w:cs="TimesNewRomanPSMT"/>
          <w:lang w:eastAsia="ko-KR"/>
        </w:rPr>
        <w:t> </w:t>
      </w:r>
      <w:r w:rsidRPr="00F12C19">
        <w:rPr>
          <w:bCs/>
          <w:iCs/>
          <w:color w:val="000000"/>
          <w:kern w:val="2"/>
          <w:szCs w:val="22"/>
        </w:rPr>
        <w:t>ezerrel emelkedett az előző összeírás óta.</w:t>
      </w:r>
    </w:p>
    <w:p w:rsidR="004F51A0" w:rsidRPr="00F12C19" w:rsidRDefault="004F51A0" w:rsidP="00634CDA">
      <w:pPr>
        <w:rPr>
          <w:bCs/>
          <w:iCs/>
          <w:color w:val="000000"/>
          <w:kern w:val="2"/>
          <w:szCs w:val="22"/>
        </w:rPr>
      </w:pPr>
      <w:r w:rsidRPr="00F12C19">
        <w:rPr>
          <w:bCs/>
          <w:iCs/>
          <w:color w:val="000000"/>
          <w:kern w:val="2"/>
          <w:szCs w:val="22"/>
        </w:rPr>
        <w:t xml:space="preserve">A </w:t>
      </w:r>
      <w:r w:rsidRPr="00F12C19">
        <w:rPr>
          <w:b/>
          <w:bCs/>
          <w:iCs/>
          <w:color w:val="000000"/>
          <w:kern w:val="2"/>
          <w:szCs w:val="22"/>
        </w:rPr>
        <w:t>sertésállomány</w:t>
      </w:r>
      <w:r w:rsidRPr="00F12C19">
        <w:rPr>
          <w:bCs/>
          <w:iCs/>
          <w:color w:val="000000"/>
          <w:kern w:val="2"/>
          <w:szCs w:val="22"/>
        </w:rPr>
        <w:t xml:space="preserve"> az elmúlt évek tendenciáját követve továb</w:t>
      </w:r>
      <w:r w:rsidR="0097270B" w:rsidRPr="00F12C19">
        <w:rPr>
          <w:bCs/>
          <w:iCs/>
          <w:color w:val="000000"/>
          <w:kern w:val="2"/>
          <w:szCs w:val="22"/>
        </w:rPr>
        <w:t>b csökkent, az állomány 2012 vég</w:t>
      </w:r>
      <w:r w:rsidRPr="00F12C19">
        <w:rPr>
          <w:bCs/>
          <w:iCs/>
          <w:color w:val="000000"/>
          <w:kern w:val="2"/>
          <w:szCs w:val="22"/>
        </w:rPr>
        <w:t>ére 3</w:t>
      </w:r>
      <w:r w:rsidR="00C279A4">
        <w:rPr>
          <w:rFonts w:cs="TimesNewRomanPSMT"/>
          <w:lang w:eastAsia="ko-KR"/>
        </w:rPr>
        <w:t> </w:t>
      </w:r>
      <w:r w:rsidRPr="00F12C19">
        <w:rPr>
          <w:bCs/>
          <w:iCs/>
          <w:color w:val="000000"/>
          <w:kern w:val="2"/>
          <w:szCs w:val="22"/>
        </w:rPr>
        <w:t>millió alá esett, ez 2%-kal kevesebb az előző évinél. Az állomány csökkenése 2004 óta meghaladja a 27%-ot. A gazdasági szervezetek sertésállománya alig változott az előző évhez képest, az egyéni gazdaságoké viszont 70</w:t>
      </w:r>
      <w:r w:rsidR="00C279A4">
        <w:rPr>
          <w:rFonts w:cs="TimesNewRomanPSMT"/>
          <w:lang w:eastAsia="ko-KR"/>
        </w:rPr>
        <w:t> </w:t>
      </w:r>
      <w:r w:rsidRPr="00F12C19">
        <w:rPr>
          <w:bCs/>
          <w:iCs/>
          <w:color w:val="000000"/>
          <w:kern w:val="2"/>
          <w:szCs w:val="22"/>
        </w:rPr>
        <w:t>ezerrel (8%-kal) lett kevese</w:t>
      </w:r>
      <w:r w:rsidR="00090B7E" w:rsidRPr="00F12C19">
        <w:rPr>
          <w:bCs/>
          <w:iCs/>
          <w:color w:val="000000"/>
          <w:kern w:val="2"/>
          <w:szCs w:val="22"/>
        </w:rPr>
        <w:t>bb. Az anyakocák száma 2011 dec</w:t>
      </w:r>
      <w:r w:rsidRPr="00F12C19">
        <w:rPr>
          <w:bCs/>
          <w:iCs/>
          <w:color w:val="000000"/>
          <w:kern w:val="2"/>
          <w:szCs w:val="22"/>
        </w:rPr>
        <w:t>embere óta a gazdasági szervezeteknél 4, az egyéni gazdasá</w:t>
      </w:r>
      <w:r w:rsidR="0097270B" w:rsidRPr="00F12C19">
        <w:rPr>
          <w:bCs/>
          <w:iCs/>
          <w:color w:val="000000"/>
          <w:kern w:val="2"/>
          <w:szCs w:val="22"/>
        </w:rPr>
        <w:t>goknál 10%-kal csökkent, összes</w:t>
      </w:r>
      <w:r w:rsidRPr="00F12C19">
        <w:rPr>
          <w:bCs/>
          <w:iCs/>
          <w:color w:val="000000"/>
          <w:kern w:val="2"/>
          <w:szCs w:val="22"/>
        </w:rPr>
        <w:t>ségében nem érte el a 200</w:t>
      </w:r>
      <w:r w:rsidR="00C279A4">
        <w:rPr>
          <w:rFonts w:cs="TimesNewRomanPSMT"/>
          <w:lang w:eastAsia="ko-KR"/>
        </w:rPr>
        <w:t> </w:t>
      </w:r>
      <w:r w:rsidRPr="00F12C19">
        <w:rPr>
          <w:bCs/>
          <w:iCs/>
          <w:color w:val="000000"/>
          <w:kern w:val="2"/>
          <w:szCs w:val="22"/>
        </w:rPr>
        <w:t xml:space="preserve">ezer darabot. </w:t>
      </w:r>
      <w:r w:rsidR="009C1E86" w:rsidRPr="00F12C19">
        <w:rPr>
          <w:bCs/>
          <w:iCs/>
          <w:color w:val="000000"/>
          <w:kern w:val="2"/>
          <w:szCs w:val="22"/>
        </w:rPr>
        <w:t>A</w:t>
      </w:r>
      <w:r w:rsidRPr="00F12C19">
        <w:rPr>
          <w:bCs/>
          <w:iCs/>
          <w:color w:val="000000"/>
          <w:kern w:val="2"/>
          <w:szCs w:val="22"/>
        </w:rPr>
        <w:t>z egyéni gazdaságokban az állomány drasztikusan csökkent az elmúlt években. A 2004</w:t>
      </w:r>
      <w:r w:rsidR="009C1E86" w:rsidRPr="00F12C19">
        <w:rPr>
          <w:bCs/>
          <w:iCs/>
          <w:color w:val="000000"/>
          <w:kern w:val="2"/>
          <w:szCs w:val="22"/>
        </w:rPr>
        <w:t>-</w:t>
      </w:r>
      <w:r w:rsidRPr="00F12C19">
        <w:rPr>
          <w:bCs/>
          <w:iCs/>
          <w:color w:val="000000"/>
          <w:kern w:val="2"/>
          <w:szCs w:val="22"/>
        </w:rPr>
        <w:t xml:space="preserve">ben megfigyelt állomány 47%-ára esett vissza az állatlétszám 2012-ben, miközben a gazdasági társaságoknál a jelentős ingadozások mellett is mérsékeltebb, 9%-os volt a csökkenés. </w:t>
      </w:r>
    </w:p>
    <w:p w:rsidR="00C279A4" w:rsidRDefault="004F51A0" w:rsidP="00634CDA">
      <w:pPr>
        <w:rPr>
          <w:bCs/>
          <w:iCs/>
          <w:color w:val="000000"/>
          <w:kern w:val="2"/>
          <w:szCs w:val="22"/>
        </w:rPr>
      </w:pPr>
      <w:r w:rsidRPr="00F12C19">
        <w:rPr>
          <w:bCs/>
          <w:iCs/>
          <w:color w:val="000000"/>
          <w:kern w:val="2"/>
          <w:szCs w:val="22"/>
        </w:rPr>
        <w:t xml:space="preserve">A </w:t>
      </w:r>
      <w:r w:rsidRPr="00F12C19">
        <w:rPr>
          <w:b/>
          <w:bCs/>
          <w:iCs/>
          <w:color w:val="000000"/>
          <w:kern w:val="2"/>
          <w:szCs w:val="22"/>
        </w:rPr>
        <w:t xml:space="preserve">juhállomány </w:t>
      </w:r>
      <w:r w:rsidRPr="00F12C19">
        <w:rPr>
          <w:bCs/>
          <w:iCs/>
          <w:color w:val="000000"/>
          <w:kern w:val="2"/>
          <w:szCs w:val="22"/>
        </w:rPr>
        <w:t>az évek óta tartó csökkenés után 2012-ben 6%-kal emelkedett, 1,1</w:t>
      </w:r>
      <w:r w:rsidR="00C279A4">
        <w:rPr>
          <w:rFonts w:cs="TimesNewRomanPSMT"/>
          <w:lang w:eastAsia="ko-KR"/>
        </w:rPr>
        <w:t> </w:t>
      </w:r>
      <w:r w:rsidRPr="00F12C19">
        <w:rPr>
          <w:bCs/>
          <w:iCs/>
          <w:color w:val="000000"/>
          <w:kern w:val="2"/>
          <w:szCs w:val="22"/>
        </w:rPr>
        <w:t>milliót tartottak a gazdák. Az anyaállatok száma 2%-kal nőtt 2011-hez képest. Az állatlétszám az elmúlt évtized közepéig növekedett, majd 2006</w:t>
      </w:r>
      <w:r w:rsidR="00C279A4">
        <w:rPr>
          <w:bCs/>
          <w:iCs/>
          <w:color w:val="000000"/>
          <w:kern w:val="2"/>
          <w:szCs w:val="22"/>
        </w:rPr>
        <w:t>-ban</w:t>
      </w:r>
      <w:r w:rsidRPr="00F12C19">
        <w:rPr>
          <w:bCs/>
          <w:iCs/>
          <w:color w:val="000000"/>
          <w:kern w:val="2"/>
          <w:szCs w:val="22"/>
        </w:rPr>
        <w:t xml:space="preserve"> erőteljesen visszaesett. A hazai mérsékelt kereslet mellett az ágazat jelentős kivitellel bír.</w:t>
      </w:r>
    </w:p>
    <w:p w:rsidR="009C1E86" w:rsidRPr="00F12C19" w:rsidRDefault="009C1E86" w:rsidP="00634CDA">
      <w:pPr>
        <w:rPr>
          <w:bCs/>
          <w:iCs/>
          <w:color w:val="000000"/>
          <w:kern w:val="2"/>
          <w:szCs w:val="22"/>
        </w:rPr>
      </w:pPr>
      <w:r w:rsidRPr="00F12C19">
        <w:rPr>
          <w:bCs/>
          <w:iCs/>
          <w:color w:val="000000"/>
          <w:kern w:val="2"/>
          <w:szCs w:val="22"/>
        </w:rPr>
        <w:t xml:space="preserve">A </w:t>
      </w:r>
      <w:r w:rsidRPr="00F12C19">
        <w:rPr>
          <w:b/>
          <w:bCs/>
          <w:iCs/>
          <w:color w:val="000000"/>
          <w:kern w:val="2"/>
          <w:szCs w:val="22"/>
        </w:rPr>
        <w:t>tyúkok száma</w:t>
      </w:r>
      <w:r w:rsidRPr="00F12C19">
        <w:rPr>
          <w:bCs/>
          <w:iCs/>
          <w:color w:val="000000"/>
          <w:kern w:val="2"/>
          <w:szCs w:val="22"/>
        </w:rPr>
        <w:t xml:space="preserve"> 2012 decemberében 30</w:t>
      </w:r>
      <w:r w:rsidR="00C279A4">
        <w:rPr>
          <w:rFonts w:cs="TimesNewRomanPSMT"/>
          <w:lang w:eastAsia="ko-KR"/>
        </w:rPr>
        <w:t> </w:t>
      </w:r>
      <w:r w:rsidRPr="00F12C19">
        <w:rPr>
          <w:bCs/>
          <w:iCs/>
          <w:color w:val="000000"/>
          <w:kern w:val="2"/>
          <w:szCs w:val="22"/>
        </w:rPr>
        <w:t>millió volt, 2,8</w:t>
      </w:r>
      <w:r w:rsidR="00C279A4">
        <w:rPr>
          <w:rFonts w:cs="TimesNewRomanPSMT"/>
          <w:lang w:eastAsia="ko-KR"/>
        </w:rPr>
        <w:t> </w:t>
      </w:r>
      <w:r w:rsidRPr="00F12C19">
        <w:rPr>
          <w:bCs/>
          <w:iCs/>
          <w:color w:val="000000"/>
          <w:kern w:val="2"/>
          <w:szCs w:val="22"/>
        </w:rPr>
        <w:t xml:space="preserve">millióval (8%) kevesebb az egy évvel korábbinál. A tyúkállomány 63%-át a gazdasági szervezetek, 37%-át az egyéni gazdaságok tartották. </w:t>
      </w:r>
    </w:p>
    <w:p w:rsidR="009C1E86" w:rsidRPr="00F12C19" w:rsidRDefault="009C1E86" w:rsidP="00634CDA">
      <w:pPr>
        <w:rPr>
          <w:bCs/>
          <w:iCs/>
          <w:color w:val="000000"/>
          <w:kern w:val="2"/>
          <w:szCs w:val="22"/>
        </w:rPr>
      </w:pPr>
      <w:r w:rsidRPr="00F12C19">
        <w:rPr>
          <w:bCs/>
          <w:iCs/>
          <w:color w:val="000000"/>
          <w:kern w:val="2"/>
          <w:szCs w:val="22"/>
        </w:rPr>
        <w:t xml:space="preserve">A </w:t>
      </w:r>
      <w:r w:rsidRPr="00F12C19">
        <w:rPr>
          <w:b/>
          <w:bCs/>
          <w:iCs/>
          <w:color w:val="000000"/>
          <w:kern w:val="2"/>
          <w:szCs w:val="22"/>
        </w:rPr>
        <w:t>lúdállomány</w:t>
      </w:r>
      <w:r w:rsidR="009E6D89" w:rsidRPr="00F12C19">
        <w:rPr>
          <w:bCs/>
          <w:iCs/>
          <w:color w:val="000000"/>
          <w:kern w:val="2"/>
          <w:szCs w:val="22"/>
        </w:rPr>
        <w:t xml:space="preserve"> 2012. december elején 1,1</w:t>
      </w:r>
      <w:r w:rsidR="00C279A4">
        <w:rPr>
          <w:rFonts w:cs="TimesNewRomanPSMT"/>
          <w:lang w:eastAsia="ko-KR"/>
        </w:rPr>
        <w:t> </w:t>
      </w:r>
      <w:r w:rsidRPr="00F12C19">
        <w:rPr>
          <w:bCs/>
          <w:iCs/>
          <w:color w:val="000000"/>
          <w:kern w:val="2"/>
          <w:szCs w:val="22"/>
        </w:rPr>
        <w:t>millió volt, 105</w:t>
      </w:r>
      <w:r w:rsidR="00C279A4">
        <w:rPr>
          <w:rFonts w:cs="TimesNewRomanPSMT"/>
          <w:lang w:eastAsia="ko-KR"/>
        </w:rPr>
        <w:t> </w:t>
      </w:r>
      <w:r w:rsidRPr="00F12C19">
        <w:rPr>
          <w:bCs/>
          <w:iCs/>
          <w:color w:val="000000"/>
          <w:kern w:val="2"/>
          <w:szCs w:val="22"/>
        </w:rPr>
        <w:t>ezerrel (9%) kevesebb, mint egy évvel korábban. A 4,2</w:t>
      </w:r>
      <w:r w:rsidR="00C279A4">
        <w:rPr>
          <w:rFonts w:cs="TimesNewRomanPSMT"/>
          <w:lang w:eastAsia="ko-KR"/>
        </w:rPr>
        <w:t> </w:t>
      </w:r>
      <w:r w:rsidRPr="00F12C19">
        <w:rPr>
          <w:bCs/>
          <w:iCs/>
          <w:color w:val="000000"/>
          <w:kern w:val="2"/>
          <w:szCs w:val="22"/>
        </w:rPr>
        <w:t xml:space="preserve">milliós </w:t>
      </w:r>
      <w:r w:rsidRPr="00F12C19">
        <w:rPr>
          <w:b/>
          <w:bCs/>
          <w:iCs/>
          <w:color w:val="000000"/>
          <w:kern w:val="2"/>
          <w:szCs w:val="22"/>
        </w:rPr>
        <w:t>kacsaállomány</w:t>
      </w:r>
      <w:r w:rsidRPr="00F12C19">
        <w:rPr>
          <w:bCs/>
          <w:iCs/>
          <w:color w:val="000000"/>
          <w:kern w:val="2"/>
          <w:szCs w:val="22"/>
        </w:rPr>
        <w:t xml:space="preserve"> 194</w:t>
      </w:r>
      <w:r w:rsidR="00C279A4">
        <w:rPr>
          <w:rFonts w:cs="TimesNewRomanPSMT"/>
          <w:lang w:eastAsia="ko-KR"/>
        </w:rPr>
        <w:t> </w:t>
      </w:r>
      <w:r w:rsidRPr="00F12C19">
        <w:rPr>
          <w:bCs/>
          <w:iCs/>
          <w:color w:val="000000"/>
          <w:kern w:val="2"/>
          <w:szCs w:val="22"/>
        </w:rPr>
        <w:t xml:space="preserve">ezerrel (4%) volt alacsonyabb, a </w:t>
      </w:r>
      <w:r w:rsidRPr="00F12C19">
        <w:rPr>
          <w:b/>
          <w:bCs/>
          <w:iCs/>
          <w:color w:val="000000"/>
          <w:kern w:val="2"/>
          <w:szCs w:val="22"/>
        </w:rPr>
        <w:t>pulykaállomány</w:t>
      </w:r>
      <w:r w:rsidRPr="00F12C19">
        <w:rPr>
          <w:bCs/>
          <w:iCs/>
          <w:color w:val="000000"/>
          <w:kern w:val="2"/>
          <w:szCs w:val="22"/>
        </w:rPr>
        <w:t>- 2,8</w:t>
      </w:r>
      <w:r w:rsidR="00C279A4">
        <w:rPr>
          <w:rFonts w:cs="TimesNewRomanPSMT"/>
          <w:lang w:eastAsia="ko-KR"/>
        </w:rPr>
        <w:t> </w:t>
      </w:r>
      <w:r w:rsidRPr="00F12C19">
        <w:rPr>
          <w:bCs/>
          <w:iCs/>
          <w:color w:val="000000"/>
          <w:kern w:val="2"/>
          <w:szCs w:val="22"/>
        </w:rPr>
        <w:t>millió- pedig 200</w:t>
      </w:r>
      <w:r w:rsidR="00C279A4">
        <w:rPr>
          <w:rFonts w:cs="TimesNewRomanPSMT"/>
          <w:lang w:eastAsia="ko-KR"/>
        </w:rPr>
        <w:t> </w:t>
      </w:r>
      <w:r w:rsidRPr="00F12C19">
        <w:rPr>
          <w:bCs/>
          <w:iCs/>
          <w:color w:val="000000"/>
          <w:kern w:val="2"/>
          <w:szCs w:val="22"/>
        </w:rPr>
        <w:t xml:space="preserve">ezerrel (7%) volt alacsonyabb, mint 2011 decemberében. </w:t>
      </w:r>
    </w:p>
    <w:p w:rsidR="00A17D55" w:rsidRPr="00715E86" w:rsidRDefault="00A17D55" w:rsidP="00715E86">
      <w:pPr>
        <w:pStyle w:val="Cmsor4"/>
      </w:pPr>
      <w:bookmarkStart w:id="23" w:name="_Toc220462908"/>
      <w:r w:rsidRPr="00715E86">
        <w:t>Erdő- és vadgazdálkodás, halásza</w:t>
      </w:r>
      <w:bookmarkEnd w:id="23"/>
      <w:r w:rsidR="00A431C3" w:rsidRPr="00715E86">
        <w:t>t</w:t>
      </w:r>
    </w:p>
    <w:p w:rsidR="007A3671" w:rsidRPr="00715E86" w:rsidRDefault="000E7AF5" w:rsidP="00715E86">
      <w:pPr>
        <w:pStyle w:val="Cmsor6"/>
      </w:pPr>
      <w:r w:rsidRPr="00715E86">
        <w:t>Erdőgazdálkodás</w:t>
      </w:r>
    </w:p>
    <w:p w:rsidR="004E206F" w:rsidRPr="00634CDA" w:rsidRDefault="004E206F" w:rsidP="00634CDA">
      <w:r w:rsidRPr="00634CDA">
        <w:t>Magyarország összes földterületének több mint egyötöde (2</w:t>
      </w:r>
      <w:r w:rsidR="00ED15CE" w:rsidRPr="00634CDA">
        <w:t> </w:t>
      </w:r>
      <w:r w:rsidRPr="00634CDA">
        <w:t>054</w:t>
      </w:r>
      <w:r w:rsidR="00C279A4" w:rsidRPr="00634CDA">
        <w:t> </w:t>
      </w:r>
      <w:r w:rsidRPr="00634CDA">
        <w:t>ezer</w:t>
      </w:r>
      <w:r w:rsidR="00C279A4" w:rsidRPr="00634CDA">
        <w:t> </w:t>
      </w:r>
      <w:r w:rsidRPr="00634CDA">
        <w:t>hektár) az erdőgazdálkodásba vont terület, amelynek 94%-át (1</w:t>
      </w:r>
      <w:r w:rsidR="00ED15CE" w:rsidRPr="00634CDA">
        <w:t> </w:t>
      </w:r>
      <w:r w:rsidRPr="00634CDA">
        <w:t>932</w:t>
      </w:r>
      <w:r w:rsidR="00C279A4" w:rsidRPr="00634CDA">
        <w:t> </w:t>
      </w:r>
      <w:r w:rsidRPr="00634CDA">
        <w:t>ezer</w:t>
      </w:r>
      <w:r w:rsidR="00C279A4" w:rsidRPr="00634CDA">
        <w:t> </w:t>
      </w:r>
      <w:r w:rsidRPr="00634CDA">
        <w:t xml:space="preserve">hektár) borítja faállomány. A faállománnyal borított területet alapul véve </w:t>
      </w:r>
      <w:r w:rsidRPr="00634CDA">
        <w:rPr>
          <w:b/>
        </w:rPr>
        <w:t>az ország erdősültsége 20,7%.</w:t>
      </w:r>
      <w:r w:rsidRPr="00634CDA">
        <w:t xml:space="preserve"> Ez alapján a szántó után az erdő a második legnagyobb területű művelési ág az országban.</w:t>
      </w:r>
    </w:p>
    <w:p w:rsidR="004E206F" w:rsidRPr="00634CDA" w:rsidRDefault="004E206F" w:rsidP="00634CDA">
      <w:r w:rsidRPr="00634CDA">
        <w:lastRenderedPageBreak/>
        <w:t>A magas területi részarány ellenére az erdőgazdálkodás éves teljesítménye – ha csak a közvetlen megtermelt értéket tekintjük – a nemzetgazdaság egészében (GDP) mindössze 0,1%-ot képvisel.</w:t>
      </w:r>
    </w:p>
    <w:p w:rsidR="004E206F" w:rsidRPr="00634CDA" w:rsidRDefault="004E206F" w:rsidP="00634CDA">
      <w:r w:rsidRPr="00634CDA">
        <w:t>Az ország erdőterületein nagyobbrészt</w:t>
      </w:r>
      <w:r w:rsidRPr="004E206F">
        <w:rPr>
          <w:kern w:val="2"/>
          <w:sz w:val="24"/>
        </w:rPr>
        <w:t xml:space="preserve"> </w:t>
      </w:r>
      <w:r w:rsidRPr="00634CDA">
        <w:rPr>
          <w:b/>
        </w:rPr>
        <w:t>lombos fafajokból álló elegyes erdőtársulások</w:t>
      </w:r>
      <w:r w:rsidRPr="00634CDA">
        <w:t xml:space="preserve"> találhatók. A lombos erdőállományok részaránya 88,8%, a fenyőerdők területe csupán 11,2%. Az őshonosnak tekinthető főfafajú erdőállományok aránya meghaladja az 57%-ot. Az idegenhonos erdőállományok közül az akácosok (24%) és a nemes nyarasok (6,4%) foglalják el a legnagyobb erdőterületet. </w:t>
      </w:r>
    </w:p>
    <w:p w:rsidR="004E206F" w:rsidRPr="002229D7" w:rsidRDefault="004E206F" w:rsidP="002229D7">
      <w:r w:rsidRPr="002229D7">
        <w:rPr>
          <w:b/>
        </w:rPr>
        <w:t>A faállományok összesített fakészlete</w:t>
      </w:r>
      <w:r w:rsidRPr="002229D7">
        <w:t xml:space="preserve"> a 2013. május 7-i adatok szerint </w:t>
      </w:r>
      <w:r w:rsidRPr="002229D7">
        <w:rPr>
          <w:b/>
        </w:rPr>
        <w:t>354</w:t>
      </w:r>
      <w:r w:rsidR="00ED15CE" w:rsidRPr="002229D7">
        <w:rPr>
          <w:b/>
        </w:rPr>
        <w:t> </w:t>
      </w:r>
      <w:r w:rsidRPr="002229D7">
        <w:rPr>
          <w:b/>
        </w:rPr>
        <w:t>millió</w:t>
      </w:r>
      <w:r w:rsidR="00ED15CE" w:rsidRPr="002229D7">
        <w:rPr>
          <w:b/>
        </w:rPr>
        <w:t> </w:t>
      </w:r>
      <w:r w:rsidRPr="002229D7">
        <w:rPr>
          <w:b/>
        </w:rPr>
        <w:t>köbmétert</w:t>
      </w:r>
      <w:r w:rsidRPr="002229D7">
        <w:t xml:space="preserve"> tett ki.</w:t>
      </w:r>
    </w:p>
    <w:p w:rsidR="004E206F" w:rsidRPr="002229D7" w:rsidRDefault="004E206F" w:rsidP="002229D7">
      <w:pPr>
        <w:rPr>
          <w:b/>
        </w:rPr>
      </w:pPr>
      <w:r w:rsidRPr="002229D7">
        <w:t>Az un</w:t>
      </w:r>
      <w:r w:rsidR="0058037D" w:rsidRPr="002229D7">
        <w:t xml:space="preserve">iós támogatásokra alapozottan a DIT </w:t>
      </w:r>
      <w:r w:rsidRPr="002229D7">
        <w:t>Új Magyarország Vidékfejlesztési Program a 2007-2013 közötti időszakban 70</w:t>
      </w:r>
      <w:r w:rsidR="00ED15CE" w:rsidRPr="002229D7">
        <w:t> </w:t>
      </w:r>
      <w:r w:rsidRPr="002229D7">
        <w:t>ezer hektár, a Nemzeti Erdőtelepítési Program pedig hosszabb távon – 35-50 év alatt – 683</w:t>
      </w:r>
      <w:r w:rsidR="00ED15CE" w:rsidRPr="002229D7">
        <w:t> </w:t>
      </w:r>
      <w:r w:rsidRPr="002229D7">
        <w:t xml:space="preserve">ezer hektár erdőtelepítéssel számol. A 2011-2012-ben </w:t>
      </w:r>
      <w:r w:rsidRPr="002229D7">
        <w:rPr>
          <w:b/>
        </w:rPr>
        <w:t>4,5</w:t>
      </w:r>
      <w:r w:rsidR="00ED15CE" w:rsidRPr="002229D7">
        <w:rPr>
          <w:b/>
        </w:rPr>
        <w:t> </w:t>
      </w:r>
      <w:r w:rsidRPr="002229D7">
        <w:rPr>
          <w:b/>
        </w:rPr>
        <w:t>ezer</w:t>
      </w:r>
      <w:r w:rsidR="00ED15CE" w:rsidRPr="002229D7">
        <w:rPr>
          <w:b/>
        </w:rPr>
        <w:t> </w:t>
      </w:r>
      <w:r w:rsidRPr="002229D7">
        <w:rPr>
          <w:b/>
        </w:rPr>
        <w:t xml:space="preserve">hektár új erdő telepítésére került sor.  </w:t>
      </w:r>
    </w:p>
    <w:p w:rsidR="0031672B" w:rsidRPr="00715E86" w:rsidRDefault="0031672B" w:rsidP="00715E86">
      <w:pPr>
        <w:pStyle w:val="Cmsor6"/>
      </w:pPr>
      <w:r w:rsidRPr="00715E86">
        <w:t>Vadgazdálkodás és vadászat</w:t>
      </w:r>
    </w:p>
    <w:p w:rsidR="00ED15CE" w:rsidRPr="00634CDA" w:rsidRDefault="004E206F" w:rsidP="00634CDA">
      <w:r w:rsidRPr="00634CDA">
        <w:t>Nagyvadállományunk létszáma és terítéke tovább növekedett, a hasznosítás meghaladta a 300</w:t>
      </w:r>
      <w:r w:rsidR="00ED15CE" w:rsidRPr="00634CDA">
        <w:t> </w:t>
      </w:r>
      <w:r w:rsidRPr="00634CDA">
        <w:t>ezer</w:t>
      </w:r>
      <w:r w:rsidR="00ED15CE" w:rsidRPr="00634CDA">
        <w:t> </w:t>
      </w:r>
      <w:r w:rsidRPr="00634CDA">
        <w:t>darabot. A növekedési tendencia folytatódik, különösen a vaddisznó létszáma emelkedik aggasztó mértékben, olyan élőhelyeken is megjelenik az Alföldön, ahol jelenléte korábban nem volt jellemző. A vaddisznó hasznosítás a hat évvel ezelőttinek mintegy duplája, mégsem torpan meg a növekedés, még drasztikusabb mértékű vadászati hasznosításra van szükség, főként a nőivarú egyedek tekintetében.</w:t>
      </w:r>
    </w:p>
    <w:p w:rsidR="004E206F" w:rsidRPr="00634CDA" w:rsidRDefault="004E206F" w:rsidP="00634CDA">
      <w:r w:rsidRPr="00634CDA">
        <w:t>Az apróvad állomány helyzete jórészt változatlan, kedvezőtlen státusza állandósulni látszik. A mezei nyúl állományt a 2010-es csapadékos esztendő – várttal ellentétben - nem vetette vissza, hasznosítása 100</w:t>
      </w:r>
      <w:r w:rsidR="00ED15CE" w:rsidRPr="00634CDA">
        <w:t> </w:t>
      </w:r>
      <w:r w:rsidRPr="00634CDA">
        <w:t>ezer db körül alakul. A fácánhasznosítás főként a tenyésztett szárnyasvadra alapul, a lőtt fácán szezononkénti mennyisége 300-400</w:t>
      </w:r>
      <w:r w:rsidR="00ED15CE" w:rsidRPr="00634CDA">
        <w:t> </w:t>
      </w:r>
      <w:r w:rsidRPr="00634CDA">
        <w:t>ezer</w:t>
      </w:r>
      <w:r w:rsidR="00ED15CE" w:rsidRPr="00634CDA">
        <w:t> </w:t>
      </w:r>
      <w:r w:rsidRPr="00634CDA">
        <w:t>db között ingadozik.</w:t>
      </w:r>
    </w:p>
    <w:p w:rsidR="00273161" w:rsidRPr="00715E86" w:rsidRDefault="00273161" w:rsidP="00715E86">
      <w:pPr>
        <w:pStyle w:val="Cmsor6"/>
      </w:pPr>
      <w:r w:rsidRPr="00715E86">
        <w:t>Halászat</w:t>
      </w:r>
    </w:p>
    <w:p w:rsidR="004E206F" w:rsidRPr="00634CDA" w:rsidRDefault="004E206F" w:rsidP="00634CDA">
      <w:r w:rsidRPr="00634CDA">
        <w:t>2011-től a tógazdasági haltermelők az agrár-környezetgazdálkodás programhoz hasonló támogatási konstrukció, a Halastavi Környezetgazdálkodási Program (HKP) keretében igényelhettek támogatást a környezeti értékek megóvásához, élőhelyek védelméhez és megőrzéséhez, így ösztönözve az extenzív halgazdaságokat környezettudatos gazdálkodásra. A támogatási kérelmeket első körben 2011-ben, második körben 2012-ben lehetett benyújtani. A kifizetések 2012 során megtörténtek, az utolsó részlet 2013-ban kerül kifizetésre. A támogatás, mely a számos természetvédelmi korlátozással és jelentős madárkárral sújtott szektor jövedelmezőségét javította olyan sikeresnek</w:t>
      </w:r>
      <w:r w:rsidR="00F15C8C" w:rsidRPr="00634CDA">
        <w:t xml:space="preserve"> bizonyult, hogy a Magyarországon</w:t>
      </w:r>
      <w:r w:rsidRPr="00634CDA">
        <w:t xml:space="preserve"> üzemelő mintegy 24</w:t>
      </w:r>
      <w:r w:rsidR="00F15C8C" w:rsidRPr="00634CDA">
        <w:t> </w:t>
      </w:r>
      <w:r w:rsidRPr="00634CDA">
        <w:t>ezer hektár halastóterületből kb. 17</w:t>
      </w:r>
      <w:r w:rsidR="00F15C8C" w:rsidRPr="00634CDA">
        <w:t> </w:t>
      </w:r>
      <w:r w:rsidRPr="00634CDA">
        <w:t>ezer hektár üzemeltetői csatlakoztak a programhoz.</w:t>
      </w:r>
    </w:p>
    <w:p w:rsidR="00F4770E" w:rsidRPr="00634CDA" w:rsidRDefault="004E206F" w:rsidP="00634CDA">
      <w:r w:rsidRPr="00634CDA">
        <w:t>Az Országos Halászati Adattár nyilvántartásában 2012-ben 141</w:t>
      </w:r>
      <w:r w:rsidR="00F15C8C" w:rsidRPr="00634CDA">
        <w:t> </w:t>
      </w:r>
      <w:r w:rsidRPr="00634CDA">
        <w:t>ezer hektár halászati vízterület szerepelt. A halászati vízterületek hasznosítása a következőképpen oszlott meg: horgászhasznosításban a halászati vízterületek csupán 23%-a van, ami mintegy 33</w:t>
      </w:r>
      <w:r w:rsidR="00F15C8C" w:rsidRPr="00634CDA">
        <w:t> </w:t>
      </w:r>
      <w:r w:rsidRPr="00634CDA">
        <w:t xml:space="preserve">ezer hektár kiterjedésű vízterületet jelent. Az egyéb </w:t>
      </w:r>
      <w:r w:rsidR="00F15C8C" w:rsidRPr="00634CDA">
        <w:t>szervezeteknek (szövetkezetek, Kft.-k, B</w:t>
      </w:r>
      <w:r w:rsidRPr="00634CDA">
        <w:t>t.-k, magánszemélyek, önkormányzatok stb.) által hasznosított halászati vízterületek 108</w:t>
      </w:r>
      <w:r w:rsidR="00F15C8C" w:rsidRPr="00634CDA">
        <w:t> </w:t>
      </w:r>
      <w:r w:rsidRPr="00634CDA">
        <w:t xml:space="preserve">ezer hektárt (77%) tesznek ki. </w:t>
      </w:r>
    </w:p>
    <w:p w:rsidR="00E548D5" w:rsidRPr="00715E86" w:rsidRDefault="00E548D5" w:rsidP="00715E86">
      <w:pPr>
        <w:pStyle w:val="Cmsor4"/>
      </w:pPr>
      <w:r w:rsidRPr="00715E86">
        <w:t>Mezőgazdasági árak</w:t>
      </w:r>
    </w:p>
    <w:p w:rsidR="00A17D55" w:rsidRPr="00715E86" w:rsidRDefault="00072DBB" w:rsidP="00715E86">
      <w:pPr>
        <w:pStyle w:val="Cmsor6"/>
      </w:pPr>
      <w:r w:rsidRPr="00715E86">
        <w:t xml:space="preserve">Fogyasztói árak: </w:t>
      </w:r>
    </w:p>
    <w:p w:rsidR="002A7382" w:rsidRPr="00634CDA" w:rsidRDefault="002A7382" w:rsidP="00634CDA">
      <w:r w:rsidRPr="00634CDA">
        <w:t>Az EU 27 tagországában az éves átlagos fogyasztóiár-növekedés 2012-ben 2,6% volt. A legtöbb uniós országban 2012-ben lassú infláció volt megfigyelhető, azonban Magyarországon gyorsuló ütemben növekedtek az árak egy év alatt (5,7%)</w:t>
      </w:r>
      <w:r w:rsidR="008D7218" w:rsidRPr="00634CDA">
        <w:t xml:space="preserve">, melynek alakulására több tényező is hatással volt, mint pl. a forint árfolyamának, az olajárak világpiaci alakulása, a mezőgazdasági eredmények, </w:t>
      </w:r>
      <w:r w:rsidR="008D7218" w:rsidRPr="00634CDA">
        <w:lastRenderedPageBreak/>
        <w:t>hatósági, illetve kormányzati árintézkedések.</w:t>
      </w:r>
      <w:r w:rsidRPr="00634CDA">
        <w:t xml:space="preserve"> Hazánkban az éves átlagos fogyasztóiár-növekedés továbbra is jelentősen</w:t>
      </w:r>
      <w:r w:rsidR="00A71D2E" w:rsidRPr="00634CDA">
        <w:t xml:space="preserve"> –</w:t>
      </w:r>
      <w:r w:rsidRPr="00634CDA">
        <w:t xml:space="preserve"> 3,1 százalékponttal</w:t>
      </w:r>
      <w:r w:rsidR="00A71D2E" w:rsidRPr="00634CDA">
        <w:t xml:space="preserve"> –</w:t>
      </w:r>
      <w:r w:rsidRPr="00634CDA">
        <w:t xml:space="preserve">meghaladja az uniós átlagot. </w:t>
      </w:r>
    </w:p>
    <w:p w:rsidR="0038373C" w:rsidRPr="00634CDA" w:rsidRDefault="002A7382" w:rsidP="00634CDA">
      <w:r w:rsidRPr="00634CDA">
        <w:t xml:space="preserve">Magyarországon kívül a legnagyobb áremelkedés 2012-ben Észtországban (4,2%), valamint Szlovákiában és Lengyelországban (3,7%-3,7%) volt. </w:t>
      </w:r>
    </w:p>
    <w:p w:rsidR="007D6E55" w:rsidRPr="00634CDA" w:rsidRDefault="00822FF2" w:rsidP="00634CDA">
      <w:r w:rsidRPr="00634CDA">
        <w:t>Az élelmiszerek éves átlagos 5,9%-os fogyasztóiár-növekedése 2012-en némileg alacsonyabb volt</w:t>
      </w:r>
      <w:r w:rsidR="00A71D2E" w:rsidRPr="00634CDA">
        <w:t>,</w:t>
      </w:r>
      <w:r w:rsidRPr="00634CDA">
        <w:t xml:space="preserve"> a korábbi évekhez viszonyítva azonban még mindig meghaladta a teljes fogyasz</w:t>
      </w:r>
      <w:r w:rsidR="00626F2F" w:rsidRPr="00634CDA">
        <w:softHyphen/>
      </w:r>
      <w:r w:rsidRPr="00634CDA">
        <w:t>tóiár-index mértékét.</w:t>
      </w:r>
      <w:r w:rsidR="007D6E55" w:rsidRPr="00634CDA">
        <w:t xml:space="preserve"> 2012-ben az átlagos fogyasztóiár-index szeptemberben érte el az éves c</w:t>
      </w:r>
      <w:r w:rsidR="00A71D2E" w:rsidRPr="00634CDA">
        <w:t>s</w:t>
      </w:r>
      <w:r w:rsidR="007D6E55" w:rsidRPr="00634CDA">
        <w:t>úcsát (6,6%), az élelmiszerek esetében azonban ennél magasabb szinten</w:t>
      </w:r>
      <w:r w:rsidR="00F15C8C" w:rsidRPr="00634CDA">
        <w:t xml:space="preserve"> </w:t>
      </w:r>
      <w:r w:rsidR="007D6E55" w:rsidRPr="00634CDA">
        <w:t>-</w:t>
      </w:r>
      <w:r w:rsidR="00F15C8C" w:rsidRPr="00634CDA">
        <w:t xml:space="preserve"> </w:t>
      </w:r>
      <w:r w:rsidR="007D6E55" w:rsidRPr="00634CDA">
        <w:t>7,6%-on</w:t>
      </w:r>
      <w:r w:rsidR="00F15C8C" w:rsidRPr="00634CDA">
        <w:t xml:space="preserve"> </w:t>
      </w:r>
      <w:r w:rsidR="007D6E55" w:rsidRPr="00634CDA">
        <w:t xml:space="preserve">- októberben állt meg a drágulás. </w:t>
      </w:r>
    </w:p>
    <w:p w:rsidR="002A7382" w:rsidRPr="005F4D5E" w:rsidRDefault="007D6E55" w:rsidP="00F15C8C">
      <w:pPr>
        <w:suppressAutoHyphens w:val="0"/>
        <w:spacing w:line="276" w:lineRule="auto"/>
      </w:pPr>
      <w:r w:rsidRPr="005F4D5E">
        <w:t>A 2</w:t>
      </w:r>
      <w:r w:rsidR="00F15C8C" w:rsidRPr="005F4D5E">
        <w:t>0</w:t>
      </w:r>
      <w:r w:rsidRPr="005F4D5E">
        <w:t>12. január 1-től megemelt általános áfa</w:t>
      </w:r>
      <w:r w:rsidR="00F15C8C" w:rsidRPr="005F4D5E">
        <w:t>-</w:t>
      </w:r>
      <w:r w:rsidRPr="005F4D5E">
        <w:t xml:space="preserve">kulcs (25%-ról 27%-ra) hatása az élelmiszerek csoportjában is érezhető volt: 2012-ben 2011-hez képest a legnagyobb mértékben a tojás ára emelkedett, de kimagasló volt a drágulás a sertészsiradék és a csokoládé, kakaó esetében is. Az átlagot jelentősen meghaladóan emelkedett a sertéshús, a kávé, a párizsi és a kolbász ára. </w:t>
      </w:r>
    </w:p>
    <w:p w:rsidR="0006151C" w:rsidRPr="00715E86" w:rsidRDefault="009311C2" w:rsidP="00715E86">
      <w:pPr>
        <w:pStyle w:val="Cmsor6"/>
      </w:pPr>
      <w:r w:rsidRPr="00715E86">
        <w:t>Mezőgazdasági termelői árak</w:t>
      </w:r>
    </w:p>
    <w:p w:rsidR="007F5A73" w:rsidRPr="005F4D5E" w:rsidRDefault="007F5A73" w:rsidP="00F15C8C">
      <w:pPr>
        <w:suppressAutoHyphens w:val="0"/>
        <w:spacing w:line="276" w:lineRule="auto"/>
      </w:pPr>
      <w:r w:rsidRPr="005F4D5E">
        <w:t xml:space="preserve">A mezőgazdasági termelői árak 2012-ben 15,4%-kal </w:t>
      </w:r>
      <w:r w:rsidR="00652918" w:rsidRPr="005F4D5E">
        <w:t>emelkedtek a 2011. évi termelői árszinthez viszonyítva.</w:t>
      </w:r>
      <w:r w:rsidR="0058037D" w:rsidRPr="005F4D5E">
        <w:t xml:space="preserve"> </w:t>
      </w:r>
      <w:r w:rsidR="00652918" w:rsidRPr="005F4D5E">
        <w:t xml:space="preserve">A gabonafélék árindexe 19,4%-kal, az olajos növényeké 19,2%-kal emelkedett. A friss zöldségfélék és a gyümölcsök árai 21%-kal, illetve 9,6%-kal haladták meg az előző szintet. A burgonya ára átlagosan 8,1%-kal maradt az előző évi szint alatt. </w:t>
      </w:r>
      <w:r w:rsidR="009603F9" w:rsidRPr="005F4D5E">
        <w:t>Az élő állatok és állati termékek ára 2012-ben további 11%-os emelkedést mutatott, amely főleg a magasabb tojás-</w:t>
      </w:r>
      <w:r w:rsidR="004D1A7C" w:rsidRPr="005F4D5E">
        <w:t xml:space="preserve"> </w:t>
      </w:r>
      <w:r w:rsidR="009603F9" w:rsidRPr="005F4D5E">
        <w:t xml:space="preserve">és sertésár következménye. </w:t>
      </w:r>
    </w:p>
    <w:p w:rsidR="009603F9" w:rsidRPr="00634CDA" w:rsidRDefault="009603F9" w:rsidP="005F4D5E">
      <w:r w:rsidRPr="00634CDA">
        <w:t xml:space="preserve">2012-ben a mezőgazdasági termelés ráfordítási árai az előző évhez viszonyítva 6,8%-kal nőttek. </w:t>
      </w:r>
      <w:r w:rsidR="00CB14AD" w:rsidRPr="00634CDA">
        <w:t xml:space="preserve">A takarmányok ára további 9,2 %-kal nőtt. A vetőmagok 5,9%-os áremelkedésére főként az őszi kalászos vetőmagok áremelkedése volt hatással, míg a tavaszi vetésűeknél inkább stagnálás volt megfigyelhető. A mezőgazdasági felhasználású energia ára átlagosan 6,5%-kal nőtt, ezen belül az üzemanyagok ára 8,5%-kal, míg a fűtőanyagoké 4,1%-kal emelkedett. </w:t>
      </w:r>
    </w:p>
    <w:p w:rsidR="00CB14AD" w:rsidRPr="00634CDA" w:rsidRDefault="00CB14AD" w:rsidP="005F4D5E">
      <w:r w:rsidRPr="00634CDA">
        <w:t>A mezőgazdasági beruházásokon belül a mezőgazdaságigép-beruházások árának 2,9%, illetve az épület</w:t>
      </w:r>
      <w:r w:rsidR="004D1A7C" w:rsidRPr="00634CDA">
        <w:t xml:space="preserve"> </w:t>
      </w:r>
      <w:r w:rsidRPr="00634CDA">
        <w:t xml:space="preserve">beruházások árának 1,8%-os emelkedése figyelhető meg. </w:t>
      </w:r>
    </w:p>
    <w:p w:rsidR="00E548D5" w:rsidRPr="00715E86" w:rsidRDefault="00E548D5" w:rsidP="00715E86">
      <w:pPr>
        <w:pStyle w:val="Cmsor4"/>
      </w:pPr>
      <w:r w:rsidRPr="00715E86">
        <w:t>Időjárás</w:t>
      </w:r>
    </w:p>
    <w:p w:rsidR="00607CE0" w:rsidRPr="00634CDA" w:rsidRDefault="00607CE0" w:rsidP="005F4D5E">
      <w:r w:rsidRPr="00634CDA">
        <w:t>A 2011-es rekord száraz év után ismét egy igen aszályos év következett hazánkban. A szélsőséges időjárás megviselte a mezőgazdaságot</w:t>
      </w:r>
      <w:r w:rsidR="004D1A7C" w:rsidRPr="00634CDA">
        <w:t xml:space="preserve">, </w:t>
      </w:r>
      <w:r w:rsidRPr="00634CDA">
        <w:t xml:space="preserve">mind a növénytermesztőket (szárazság, forróság), mind az állattartókat (drága takarmányárak, télen a zord hideg, nyáron a nagy meleg veszélyeztette az állatokat). Az aszály a halgazdaságokat is sújtotta, ahol a jövedelem-kiesést elsősorban a forróság miatt elpárolgott víz pótlásának költsége, illetve az alacsony hozamok miatti magas takarmányárak okozták. Júliusban két komolyabb jégverés is bekövetkezett hazánkban. A jégeső letarolta a búzaföldeket, súlyos károkat okozott a napraforgó- és kukoricatáblákban, </w:t>
      </w:r>
      <w:r w:rsidR="00F15C8C" w:rsidRPr="00634CDA">
        <w:t>é</w:t>
      </w:r>
      <w:r w:rsidRPr="00634CDA">
        <w:t>s a gyümölcsösöket sem kímélte, a szőlő- és almaültetvények termésének nagy részét elpusztította. Mindezek hatására a mezőgazdaság még a 2011-es évnél is súlyosabb veszteségeket szenvedett. Folyóink és állóvizeink is veszélybe kerültek a rendkívül alacsony vízállások miatt, nyár végére - ősz elejére a Tisza több pontján, illetve mellékfolyóin is rekord alacsony vízállásokat mért</w:t>
      </w:r>
      <w:r w:rsidR="0076338F" w:rsidRPr="00634CDA">
        <w:t>ek.</w:t>
      </w:r>
    </w:p>
    <w:p w:rsidR="0070632F" w:rsidRPr="00715E86" w:rsidRDefault="0070632F" w:rsidP="00715E86">
      <w:pPr>
        <w:pStyle w:val="Cmsor6"/>
      </w:pPr>
      <w:r w:rsidRPr="00715E86">
        <w:t>Hőmérséklet</w:t>
      </w:r>
    </w:p>
    <w:p w:rsidR="0076338F" w:rsidRPr="00634CDA" w:rsidRDefault="0076338F" w:rsidP="005F4D5E">
      <w:r w:rsidRPr="00634CDA">
        <w:t xml:space="preserve">Az országos </w:t>
      </w:r>
      <w:r w:rsidRPr="005F4D5E">
        <w:t>átlaghőmérséklet</w:t>
      </w:r>
      <w:r w:rsidRPr="00634CDA">
        <w:t xml:space="preserve"> a 2012-es évben két hónap – a február és a december – kivételével mindegyik hónapban jóval a sokévi átlag felett alakult, a 2012-es nyár pedig az elmúlt 112 év 2. legmelegebb nyara volt. Emellett a február viszont különösen hidegnek bizonyult, orsz</w:t>
      </w:r>
      <w:r w:rsidR="00F15C8C" w:rsidRPr="00634CDA">
        <w:t>ágos átlagban 4,</w:t>
      </w:r>
      <w:r w:rsidRPr="00634CDA">
        <w:t xml:space="preserve">6°C-kal volt hidegebb a megszokottnál, ezzel 1901 óta ez volt a 12. leghidegebb február. </w:t>
      </w:r>
    </w:p>
    <w:p w:rsidR="00253CD4" w:rsidRPr="00715E86" w:rsidRDefault="00253CD4" w:rsidP="00715E86">
      <w:pPr>
        <w:pStyle w:val="Cmsor6"/>
      </w:pPr>
      <w:r w:rsidRPr="00715E86">
        <w:lastRenderedPageBreak/>
        <w:t>Csapadék</w:t>
      </w:r>
    </w:p>
    <w:p w:rsidR="00607CE0" w:rsidRPr="00634CDA" w:rsidRDefault="00607CE0" w:rsidP="00634CDA">
      <w:r w:rsidRPr="00634CDA">
        <w:t>A 2012-es év első kilenc hónapját súlyos szárazsággal jellemezhetjük, az országos csapadékösszeg 470,4</w:t>
      </w:r>
      <w:r w:rsidR="00F15C8C" w:rsidRPr="00634CDA">
        <w:t> </w:t>
      </w:r>
      <w:r w:rsidRPr="00634CDA">
        <w:t>mm volt, amely 17%-kal kevesebb a harmincéves átlagnál. Az éves csapadékösszeg</w:t>
      </w:r>
      <w:r w:rsidR="00F15C8C" w:rsidRPr="00634CDA">
        <w:t xml:space="preserve"> </w:t>
      </w:r>
      <w:r w:rsidRPr="00634CDA">
        <w:t>térbeli eloszlását tekintve igen nagy különbségek adódtak az országon belül. Hazánk középső és keleti felében kevesebb csapadék hullott az év folyamán (400-450</w:t>
      </w:r>
      <w:r w:rsidR="00065572" w:rsidRPr="00634CDA">
        <w:t> </w:t>
      </w:r>
      <w:r w:rsidRPr="00634CDA">
        <w:t>mm, sőt egyes területeken 400</w:t>
      </w:r>
      <w:r w:rsidR="00065572" w:rsidRPr="00634CDA">
        <w:t> </w:t>
      </w:r>
      <w:r w:rsidRPr="00634CDA">
        <w:t>mm-nél kevesebb is), míg a nyugati, délnyugati határvidékeken jóval nagyobb csapadékösszegeket mértek (600-700</w:t>
      </w:r>
      <w:r w:rsidR="00065572" w:rsidRPr="00634CDA">
        <w:t> </w:t>
      </w:r>
      <w:r w:rsidRPr="00634CDA">
        <w:t xml:space="preserve"> mm feletti értékek is előfordultak).</w:t>
      </w:r>
    </w:p>
    <w:p w:rsidR="00D85C56" w:rsidRPr="000842E9" w:rsidRDefault="00D85C56" w:rsidP="00D85C56">
      <w:pPr>
        <w:pStyle w:val="bra-cmebra"/>
      </w:pPr>
      <w:r w:rsidRPr="000842E9">
        <w:t>ábra: a 2012. évi csapadékösszeg</w:t>
      </w:r>
    </w:p>
    <w:p w:rsidR="0070632F" w:rsidRDefault="00B452BF" w:rsidP="00253CD4">
      <w:pPr>
        <w:jc w:val="center"/>
      </w:pPr>
      <w:r>
        <w:rPr>
          <w:rFonts w:eastAsia="Times New Roman" w:cs="Times New Roman"/>
          <w:noProof/>
          <w:sz w:val="24"/>
        </w:rPr>
        <w:drawing>
          <wp:inline distT="0" distB="0" distL="0" distR="0" wp14:anchorId="42341B0D" wp14:editId="63FE9903">
            <wp:extent cx="3965944" cy="2373006"/>
            <wp:effectExtent l="0" t="0" r="0" b="8255"/>
            <wp:docPr id="77" name="Kép 3" descr="Leírás: http://www.met.hu/eghajlat/magyarorszag_eghajlata/eghajlati_visszatekinto/elmult_evek_idojarasa/images/yRst/yRst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Leírás: http://www.met.hu/eghajlat/magyarorszag_eghajlata/eghajlati_visszatekinto/elmult_evek_idojarasa/images/yRst/yRst201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224" cy="2373173"/>
                    </a:xfrm>
                    <a:prstGeom prst="rect">
                      <a:avLst/>
                    </a:prstGeom>
                    <a:noFill/>
                    <a:ln>
                      <a:noFill/>
                    </a:ln>
                  </pic:spPr>
                </pic:pic>
              </a:graphicData>
            </a:graphic>
          </wp:inline>
        </w:drawing>
      </w:r>
    </w:p>
    <w:p w:rsidR="00607CE0" w:rsidRPr="00607CE0" w:rsidRDefault="00607CE0" w:rsidP="00607CE0">
      <w:pPr>
        <w:suppressAutoHyphens w:val="0"/>
        <w:spacing w:after="0"/>
        <w:ind w:firstLine="0"/>
        <w:jc w:val="left"/>
        <w:rPr>
          <w:rFonts w:eastAsia="Times New Roman" w:cs="Times New Roman"/>
          <w:kern w:val="0"/>
          <w:sz w:val="20"/>
          <w:szCs w:val="20"/>
        </w:rPr>
      </w:pPr>
      <w:r w:rsidRPr="000842E9">
        <w:rPr>
          <w:sz w:val="20"/>
          <w:szCs w:val="20"/>
        </w:rPr>
        <w:t>Forrás: OMSZ</w:t>
      </w:r>
      <w:r w:rsidRPr="00607CE0">
        <w:rPr>
          <w:sz w:val="20"/>
          <w:szCs w:val="20"/>
        </w:rPr>
        <w:t xml:space="preserve"> </w:t>
      </w:r>
    </w:p>
    <w:p w:rsidR="00253CD4" w:rsidRPr="005F4D5E" w:rsidRDefault="00253CD4" w:rsidP="005F4D5E">
      <w:pPr>
        <w:pStyle w:val="Cmsor6"/>
      </w:pPr>
      <w:r w:rsidRPr="005F4D5E">
        <w:t>Napfény</w:t>
      </w:r>
    </w:p>
    <w:p w:rsidR="0076338F" w:rsidRPr="002229D7" w:rsidRDefault="00607CE0" w:rsidP="00634CDA">
      <w:r w:rsidRPr="002229D7">
        <w:t xml:space="preserve">A 2012-es év napfénytartam szempontjából rekordot döntött, 1901 óta a napsütésben leggazdagabb év volt. Országos átlagban mintegy 2404 órát sütött a nap, ami a sokéves átlagnak 124%-a. </w:t>
      </w:r>
    </w:p>
    <w:p w:rsidR="0076338F" w:rsidRDefault="0076338F" w:rsidP="00253CD4"/>
    <w:p w:rsidR="00D85C56" w:rsidRPr="000842E9" w:rsidRDefault="00D85C56" w:rsidP="00D85C56">
      <w:pPr>
        <w:pStyle w:val="bra-cmebra"/>
      </w:pPr>
      <w:r w:rsidRPr="000842E9">
        <w:t xml:space="preserve">ábra: napsütéses órák száma 2012-ben </w:t>
      </w:r>
    </w:p>
    <w:p w:rsidR="00253CD4" w:rsidRDefault="00B452BF" w:rsidP="0076338F">
      <w:pPr>
        <w:jc w:val="center"/>
      </w:pPr>
      <w:r>
        <w:rPr>
          <w:rFonts w:eastAsia="Times New Roman" w:cs="Times New Roman"/>
          <w:noProof/>
          <w:sz w:val="24"/>
        </w:rPr>
        <w:drawing>
          <wp:inline distT="0" distB="0" distL="0" distR="0" wp14:anchorId="3940F962" wp14:editId="0CABF0A8">
            <wp:extent cx="4078348" cy="2732567"/>
            <wp:effectExtent l="0" t="0" r="0" b="0"/>
            <wp:docPr id="76" name="Kép 4" descr="Leírás: http://www.met.hu/eghajlat/magyarorszag_eghajlata/eghajlati_visszatekinto/elmult_evek_idojarasa/images/ySst/ySst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eírás: http://www.met.hu/eghajlat/magyarorszag_eghajlata/eghajlati_visszatekinto/elmult_evek_idojarasa/images/ySst/ySst201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1681" cy="2734800"/>
                    </a:xfrm>
                    <a:prstGeom prst="rect">
                      <a:avLst/>
                    </a:prstGeom>
                    <a:noFill/>
                    <a:ln>
                      <a:noFill/>
                    </a:ln>
                  </pic:spPr>
                </pic:pic>
              </a:graphicData>
            </a:graphic>
          </wp:inline>
        </w:drawing>
      </w:r>
    </w:p>
    <w:p w:rsidR="00607CE0" w:rsidRPr="00607CE0" w:rsidRDefault="00607CE0" w:rsidP="00253CD4">
      <w:pPr>
        <w:rPr>
          <w:sz w:val="20"/>
          <w:szCs w:val="20"/>
        </w:rPr>
      </w:pPr>
      <w:r w:rsidRPr="000842E9">
        <w:rPr>
          <w:sz w:val="20"/>
          <w:szCs w:val="20"/>
        </w:rPr>
        <w:t>Forrás: OMSZ</w:t>
      </w:r>
    </w:p>
    <w:p w:rsidR="00E548D5" w:rsidRPr="00715E86" w:rsidRDefault="00AD5A1D" w:rsidP="00715E86">
      <w:pPr>
        <w:pStyle w:val="Cmsor4"/>
      </w:pPr>
      <w:r w:rsidRPr="00715E86">
        <w:lastRenderedPageBreak/>
        <w:t>Környezetvédelem</w:t>
      </w:r>
    </w:p>
    <w:p w:rsidR="00E548D5" w:rsidRPr="00AA6631" w:rsidRDefault="00E548D5" w:rsidP="00AA6631">
      <w:pPr>
        <w:pStyle w:val="Cmsor6"/>
      </w:pPr>
      <w:r w:rsidRPr="00AA6631">
        <w:t>A Nitrát direktíva teljesítése</w:t>
      </w:r>
      <w:r w:rsidR="004D1F0D" w:rsidRPr="00AA6631">
        <w:t xml:space="preserve"> </w:t>
      </w:r>
    </w:p>
    <w:p w:rsidR="00406688" w:rsidRPr="00065572" w:rsidRDefault="00406688" w:rsidP="00634CDA">
      <w:r w:rsidRPr="00065572">
        <w:t xml:space="preserve">Magyarországon a Nitrát direktíva előírásai alapján a nitrátérzékeny területek lehatárolásra kerültek, és 2001-ben elindult az első cselekvési program. Jelenleg a direktíva végrehajtását a 27/2006. (II.7.) Korm. Rendelet szolgálja. A vizek mezőgazdasági eredetű nitrátszennyezéssel szembeni védelméhez szükséges cselekvési program részletes szabályairól, valamint az adatszolgáltatás és nyilvántartás rendjéről szóló 59/2008. (IV.29.) FVM rendelet tartalmazza a 2011-ig érvényes akcióprogramot, valamint a Helyes Mezőgazdasági Gyakorlat szabályait a vizek védelme érdekében. Az akcióprogram </w:t>
      </w:r>
      <w:r w:rsidR="00065572">
        <w:t>négy</w:t>
      </w:r>
      <w:r w:rsidRPr="00065572">
        <w:t xml:space="preserve"> évenkénti felülvizsgálata a gazdálkodók folyamatos adatszolgáltatása és a helyszíni ellenőrzések során nyert tapasztalatok alapján módosítható. </w:t>
      </w:r>
    </w:p>
    <w:p w:rsidR="00406688" w:rsidRDefault="00406688" w:rsidP="00634CDA">
      <w:r w:rsidRPr="00065572">
        <w:t>A nitrát-érzékeny területek lehatárolása a MePAR szerinti blokkok szintjén 43/2007.</w:t>
      </w:r>
      <w:r w:rsidR="00065572" w:rsidRPr="00065572">
        <w:t> </w:t>
      </w:r>
      <w:r w:rsidRPr="00065572">
        <w:t>(VI.1.) FVM rendelet szerint a felszíni és felszín alatti vízminőség figyelembe vételével történt a Nitrát direktívában megadott szempontok alapján. A vizek tápanyag (nitrogén, foszfor) szennyezettsége részben pontszerű forrásból (települési szennyvíztisztító telepek), részben diffúz forrásból (mezőgazdaság illetve csatornázatlan települések) származik. A mezőgazdaság elsősorban a nem megfelelő trágyatárolás és a nem megfelelő trágya felhasználás következtében, a csapadékkal a felszíni vizekbe bemosódó illetve a felszín alatti vizekbe beszivárgó tápanyag többlettel okoz szennyezést a vizekben</w:t>
      </w:r>
      <w:r w:rsidR="00065572">
        <w:t>.</w:t>
      </w:r>
    </w:p>
    <w:p w:rsidR="00406688" w:rsidRPr="00065572" w:rsidRDefault="00406688" w:rsidP="00634CDA">
      <w:r w:rsidRPr="00065572">
        <w:t>Az I. intézkedéscsoport intézkedéseivel összhangban a tárgya- tároláshoz kötődő problémák kezelése folyamatban van.</w:t>
      </w:r>
    </w:p>
    <w:p w:rsidR="00406688" w:rsidRPr="00065572" w:rsidRDefault="00406688" w:rsidP="00634CDA">
      <w:r w:rsidRPr="00065572">
        <w:t xml:space="preserve">Az irányelv végrehajtására vonatkozó nemzeti jelentést </w:t>
      </w:r>
      <w:r w:rsidR="00065572">
        <w:t>négy</w:t>
      </w:r>
      <w:r w:rsidRPr="00065572">
        <w:t xml:space="preserve">évente kell elkészíteni és megküldeni a Bizottság részére. </w:t>
      </w:r>
    </w:p>
    <w:p w:rsidR="00406688" w:rsidRPr="00065572" w:rsidRDefault="00406688" w:rsidP="00634CDA">
      <w:r w:rsidRPr="00065572">
        <w:t>Az irányelv előírásainak megfelelően 2012-ben megtörtént a vizek állapotértékelése, az akcióprogram felülvizsgálata és a 3. nemzeti jelentést 2012. novemberben megküldtük a Bizottság részére. A vizek állapotértékelését követően felülvizsgáljuk a nitrát érzékenyterület kijelölést, továbbá az akcióprogram felülvizsgálata után módosításra került a cselekvési program részletes szabályairól szóló miniszteri rendelet.</w:t>
      </w:r>
    </w:p>
    <w:p w:rsidR="00E548D5" w:rsidRPr="00AA6631" w:rsidRDefault="00E548D5" w:rsidP="00AA6631">
      <w:pPr>
        <w:pStyle w:val="Cmsor6"/>
      </w:pPr>
      <w:bookmarkStart w:id="24" w:name="_Toc156004072"/>
      <w:r w:rsidRPr="00AA6631">
        <w:t>Klímaváltozás</w:t>
      </w:r>
      <w:bookmarkEnd w:id="24"/>
    </w:p>
    <w:p w:rsidR="00406688" w:rsidRPr="00065572" w:rsidRDefault="00406688" w:rsidP="00634CDA">
      <w:r w:rsidRPr="00065572">
        <w:t>Magyarországon a 2006-ban elkészült globális éghajlatváltozás hatásaival foglalkozó tanulmány megállapításai alapján az elmúlt harminc évben gyorsult a felmelegedés, nőtt a szélsőséges időjárási elemek előfordulásának gyakorisága, és csökkent az évi csapadékmennyiség. A globális felmelegedés hatásai jelentős mértékben függnek az időjárási viszonyoktól, valamint a földrajzi elhelyezkedéstől. A globális felmelegedéssel összhangban a csapadékmennyiség – különösen a nyári időszakban – jelentős mértékben csökken. Ez eredményezheti az aszályos időszakok gyakoribbá válását (60%-kal). A globális felmelegedés másik hatása a szélsőséges időjárási jelenségek növekvő előfordulása lehet, amely jellemzően szélsőséges mennyiségű csapadékban, valamint növekvő hőmérséklet-ingadozásban nyilvánul meg. A hazai speciális talajadottságok mellett a belvizek és aszályok gyakorisága növekedni fog. Az erdők a klímaváltozás elleni küzdelem mellett jelentős szerepet töltenek be az erózió és a defláció elleni védelemben, a vízgazdálkodás javításával a klímaváltozás hatásait is enyhítik.</w:t>
      </w:r>
    </w:p>
    <w:p w:rsidR="00406688" w:rsidRPr="00065572" w:rsidRDefault="00406688" w:rsidP="00634CDA">
      <w:r w:rsidRPr="00065572">
        <w:t>Az üvegházhatást okozó gázok légköri kibocsátásának csökkentése és az abszorpciójuk növelése mellett elengedhetetlen a megváltozott időjárási és éghajlati körülményekhez való alkalmazkodás is. A megfelelő szintű környezeti intézkedések (erdősítés, AKG, gyepesítés, nem termelő mezőgazdasági beruházások létesítése) hiányában nehezen teljesíthetők a Kiotói Egyezményben rögzített, az éghajlatváltozás enyhítését szolgáló kötelezettségek. A megújuló energiaforrások (biomassza) térnyerésén kívül a mezőgazdasági területek erdősítése is létfontosságú a CO2, SO2, és különös tekintettel az NO3 kibocsátás csökkentésében. A jelenlegi szén-dioxid kibocsátás a Kiotói Egyezményben előírt mértéknél 24</w:t>
      </w:r>
      <w:r w:rsidR="00F66EA2">
        <w:t>%-</w:t>
      </w:r>
      <w:r w:rsidRPr="00065572">
        <w:t>al keveseb</w:t>
      </w:r>
      <w:r w:rsidR="00F66EA2">
        <w:t>b, amely 25-28</w:t>
      </w:r>
      <w:r w:rsidR="00F66EA2">
        <w:rPr>
          <w:rFonts w:cs="TimesNewRomanPSMT"/>
          <w:lang w:eastAsia="ko-KR"/>
        </w:rPr>
        <w:t> </w:t>
      </w:r>
      <w:r w:rsidR="00F66EA2">
        <w:t>millió</w:t>
      </w:r>
      <w:r w:rsidR="00F66EA2">
        <w:rPr>
          <w:rFonts w:cs="TimesNewRomanPSMT"/>
          <w:lang w:eastAsia="ko-KR"/>
        </w:rPr>
        <w:t> </w:t>
      </w:r>
      <w:r w:rsidR="00F66EA2">
        <w:t>tonna GWP</w:t>
      </w:r>
      <w:r w:rsidRPr="00065572">
        <w:t>-t jelent évente.</w:t>
      </w:r>
    </w:p>
    <w:p w:rsidR="00406688" w:rsidRPr="00065572" w:rsidRDefault="00406688" w:rsidP="00634CDA">
      <w:r w:rsidRPr="00065572">
        <w:t xml:space="preserve">A megújuló energiatermelésben hasznosíthatóak a mezőgazdasági és az erdészeti melléktermékek is. A főként mezőgazdasági eredetű anyagok (biomassza) tüzelőanyagként való felhasználása egyben a </w:t>
      </w:r>
      <w:r w:rsidRPr="00065572">
        <w:lastRenderedPageBreak/>
        <w:t xml:space="preserve">klímaváltozás elleni küzdelem részét is képezi. Az ilyen típusú fejlesztések összhangban vannak a biomassza energetikai hasznosításának uniós stratégiai célkitűzéseivel is (Biomass Action Plan, EU Strategy for Biofuels, 77/2001/EK Irányelv a megújuló energiaforrásokból előállított villamos energia támogatásáról a belső piacon; 30/2003/EK Irányelv a bio-üzemanyagok közlekedési célú felhasználásának támogatásáról), továbbá hozzájárulnak a 2020-ra tervezett 3 x 20 célkitűzés megvalósításához. </w:t>
      </w:r>
    </w:p>
    <w:p w:rsidR="00406688" w:rsidRPr="00065572" w:rsidRDefault="00406688" w:rsidP="00634CDA">
      <w:r w:rsidRPr="00065572">
        <w:t xml:space="preserve">Ez utóbbi irányelvvel összhangban a tagállamoknak 5,75%-ra kell növelniük a bio-üzemanyagok részesedését a közúti közlekedés energiafelhasználásán belül. </w:t>
      </w:r>
    </w:p>
    <w:p w:rsidR="00406688" w:rsidRPr="00634CDA" w:rsidRDefault="00406688" w:rsidP="00634CDA">
      <w:r w:rsidRPr="00634CDA">
        <w:t>A biomassza termelés szempontjából Magyarország jó adottságokkal rendelkezik. Ez egyrészt hazánk kiváló mezőgazdasági adottságainak, másrészt a több évszázados agrártermelési hagyományoknak köszönhető. Magyarország éves biomassza energiapotenciálja közel 60</w:t>
      </w:r>
      <w:r w:rsidR="00F66EA2" w:rsidRPr="00634CDA">
        <w:t> </w:t>
      </w:r>
      <w:r w:rsidRPr="00634CDA">
        <w:t xml:space="preserve">petajoule. Magyarországon a megújuló energiaforrások az összes energiaigény mindössze 5,1%-át biztosítják 2007. évi adatok szerint. A környezetbiztonság növelése, fenntartható térségi rendszerek kialakítása egyre fokozottabb mértékben követeli meg a megújuló energiaforrások feltárását és alkalmazásának kiterjesztését. A környezetvédelem szempontjai az energiatakarékosság mellett a megújuló forrásokból származó energia arányának növelését követelik meg. </w:t>
      </w:r>
    </w:p>
    <w:p w:rsidR="00406688" w:rsidRPr="00634CDA" w:rsidRDefault="00406688" w:rsidP="00634CDA">
      <w:r w:rsidRPr="00634CDA">
        <w:t>A bio-üzemanyagok növekvő jelentősége eredményeképp a káros kibocsátás csökken, ami jelentős mértékben hozzájárul az éghajlatváltozás káros hatásainak csökkentéséhez</w:t>
      </w:r>
      <w:r w:rsidR="00F66EA2" w:rsidRPr="00634CDA">
        <w:t>.</w:t>
      </w:r>
      <w:r w:rsidRPr="00634CDA">
        <w:t xml:space="preserve"> Jelenleg Magyarországon a bio-üzemanyagok részaránya csak körülbelül 0,4% az összes felhasznált üzemanyagon belül, ami egytizede a megfelelő EU-s adatnak. A 2058/2006. (III.27.) Korm. határozatban meghatározott célok elérése érdekében összehangolt intézkedések és akciók végrehajtása szükséges. Az ország csak minimális feldolgozó-kapacitással rendelkezik a megújuló energiatermelés szempontjából. Az összes megtermelt biomassza mindössze 8-10%-a kerül energetikai felhasználásra. A biomasszára aktívan alapozó, decentralizált energiastruktúra kialakítása nagyban hozzájárulhat országunk jelenleg igen magas, 70% feletti energia importfüggőségének csökkentéséhez.</w:t>
      </w:r>
    </w:p>
    <w:p w:rsidR="008271FB" w:rsidRPr="00715E86" w:rsidRDefault="008271FB" w:rsidP="00715E86">
      <w:pPr>
        <w:pStyle w:val="Cmsor4"/>
      </w:pPr>
      <w:r w:rsidRPr="00715E86">
        <w:t xml:space="preserve">NATURA 2000 és </w:t>
      </w:r>
      <w:r w:rsidR="00471D06" w:rsidRPr="00715E86">
        <w:t>a Víz Keretirányelv teljesülése</w:t>
      </w:r>
    </w:p>
    <w:p w:rsidR="00BA53BD" w:rsidRPr="00634CDA" w:rsidRDefault="00BA53BD" w:rsidP="00634CDA">
      <w:r w:rsidRPr="00634CDA">
        <w:t>Magyarországon a Natura 2000 hálózat területeinek javasolt jegyzékét a 275/2004.</w:t>
      </w:r>
      <w:r w:rsidR="00F66EA2" w:rsidRPr="00634CDA">
        <w:t> </w:t>
      </w:r>
      <w:r w:rsidRPr="00634CDA">
        <w:t>(X.8.)</w:t>
      </w:r>
      <w:r w:rsidR="00F66EA2" w:rsidRPr="00634CDA">
        <w:t> </w:t>
      </w:r>
      <w:r w:rsidRPr="00634CDA">
        <w:t>Korm. rendelet tartalmazza. A kijelölt Natura 2000 területek aránya az ország területének közel 21,4%-a. A 275/2004. (X.8.) Korm. rendelet mellékletében kihirdetett területek kiterjedése 1,99</w:t>
      </w:r>
      <w:r w:rsidR="00F66EA2" w:rsidRPr="00634CDA">
        <w:t> </w:t>
      </w:r>
      <w:r w:rsidRPr="00634CDA">
        <w:t>millió</w:t>
      </w:r>
      <w:r w:rsidR="00F66EA2" w:rsidRPr="00634CDA">
        <w:t> </w:t>
      </w:r>
      <w:r w:rsidRPr="00634CDA">
        <w:t>hektár. A már jelenleg is védett természeti területek több mint 90%-a bekerült a Natura 2000 hálózatba. A Natura 2000 hálózat csaknem 40%-át adják a már korábban is természetvédelmi oltalom alatt álló területek. A helyrajzi számos listát az európai közösségi jelentőségű természetvédelmi rendeltetésű területekkel érintett földrészletekről szóló 14/2010. (V.11.) KvVM rendelet tartalmazza. A 2004 óta bővítésre, azaz újabb kijelölésre javasolt területek – mind a madárvédelmi direktíva, mind az élőhelyvédelmi direktíva szerinti jegyzéke alapján - az Európai Bizottsághoz benyújtásra kerültek. 2007-ben az EU Bizottság Környezetvédelmi Főigazgatósága a kijelölést szakmailag elfogadta, így Magyarországon a „jelölt Natura 2000 területek”</w:t>
      </w:r>
      <w:r w:rsidR="00F66EA2" w:rsidRPr="00634CDA">
        <w:t>,</w:t>
      </w:r>
      <w:r w:rsidRPr="00634CDA">
        <w:t xml:space="preserve"> „jóváhagyott Natura 2000 területekké” váltak. A Natura 2000 területek Mezőgazdasági Parcella Azonosító Rendszerbe (M</w:t>
      </w:r>
      <w:r w:rsidR="00F66EA2" w:rsidRPr="00634CDA">
        <w:t>e</w:t>
      </w:r>
      <w:r w:rsidRPr="00634CDA">
        <w:t>PAR) történő illesztése is megtörtént, amely alapját képezi a benyújtható mezőgazdasági támogatási kérelmeknek. A Natura</w:t>
      </w:r>
      <w:r w:rsidR="00F66EA2" w:rsidRPr="00634CDA">
        <w:t> </w:t>
      </w:r>
      <w:r w:rsidRPr="00634CDA">
        <w:t>2000 gyepterületeken a kompenzációs kifizetés a N</w:t>
      </w:r>
      <w:r w:rsidR="00F66EA2" w:rsidRPr="00634CDA">
        <w:t>atura</w:t>
      </w:r>
      <w:r w:rsidRPr="00634CDA">
        <w:t xml:space="preserve"> 2000 gyepterületek fenntartásának földhasználati szabályairól szóló 269/2007. (X.18.) Korm. rendeletben foglalt előírások betartásának ellentételezése céljából, a 128/2007. (X.31.) FVM rendelet alapján Natura 2000 gyepterületekre kompenzációs támogatás vehető igénybe. A Natura 2000 szántóföldi területek környezetkímélő művelését, a gazdálkodási módok átalakítását a 2009-ben indult agrár-környezetgazdálkodási kifizetések teszik lehetővé, ugyanakkor ezek a támogatások önkéntesen vállalhatóak, az eddigieken túlmutatnak és a többlet kötelezettségért járnak.</w:t>
      </w:r>
    </w:p>
    <w:p w:rsidR="00BA53BD" w:rsidRPr="00634CDA" w:rsidRDefault="00BA53BD" w:rsidP="00634CDA">
      <w:r w:rsidRPr="00634CDA">
        <w:t xml:space="preserve">A Tanács és az Európai Parlament által 2000. december 22-én hatályba léptetett 2000/60/EK Víz Keretirányelv célja szerint a vizek állapotának romlását meg kell akadályozni, illetve el kell érni az európai vizek „jó állapotát” 2015-ig. Magyarország teljes területe a Duna vízgyűjtőterület része. A kapcsolódó fejlesztések Magyarország területén a négy nagyobb részvízgyűjtőt (Duna, Tisza, Dráva és </w:t>
      </w:r>
      <w:r w:rsidRPr="00634CDA">
        <w:lastRenderedPageBreak/>
        <w:t xml:space="preserve">a Balaton vízgyűjtők) és annak 42 alegységét érintik. Mind az agrár-környezetgazdálkodási, mind a Natura 2000 intézkedések tartalmaznak olyan előírásokat, melyek betartatásával biztosítható a nevezett vízgyűjtők területén a vizek jó állapota. A jogharmonizációs feladatok tekintetében 2003 végén két törvény módosítása történt meg (az 1995. évi LVII. tv. a vízgazdálkodásról, és az 1995. évi LIII. tv. a környezetvédelméről), továbbá </w:t>
      </w:r>
      <w:r w:rsidR="00F66EA2" w:rsidRPr="00634CDA">
        <w:t>három</w:t>
      </w:r>
      <w:r w:rsidRPr="00634CDA">
        <w:t xml:space="preserve"> Korm. rendelet került elfogadásra a felszíni vizek minőségének és a vízgyűjtő-gazdálkodás szabályairól.</w:t>
      </w:r>
    </w:p>
    <w:p w:rsidR="00BA53BD" w:rsidRPr="00634CDA" w:rsidRDefault="00BA53BD" w:rsidP="00634CDA">
      <w:r w:rsidRPr="00634CDA">
        <w:t>Az irányelv 5. cikkében foglaltak szerint 2005 márciusában benyújtásra került az Európai Bizottság felé a Duna vízgyűjtőterület magyarországi területének jellemzőiről, az emberi tevékenységek környezeti hatásairól és a vízhasználatok gazdasági elemzéséről szóló jelentés. 2005-ben a vízfolyások esetében megtörtént a víztestek kijelölése, típusok szerinti elkülönítése, az erősen módosított és mesterséges víztestek előzetes kijelölése. Lezáródott a felszín alatti víztestek jellemzése, az emberi tevékenységek környezeti hatásainak áttekintése.</w:t>
      </w:r>
    </w:p>
    <w:p w:rsidR="00406688" w:rsidRPr="00634CDA" w:rsidRDefault="00BA53BD" w:rsidP="00634CDA">
      <w:r w:rsidRPr="00634CDA">
        <w:t>A 2007. évben társadalmi konzultáció zajlott le az Európai Unió Víz Keretirányelve szerinti vízgyűjtő-gazdálkodási tervezés folyamatában az országos jelentőségű jelentős vízgazdálkodási kérdésekről. Erre alapozva készült el 2008 novemberében a Magyarország jelentős vízgazdálkodási kérdéseiről készült jelentés, mely megalapozta a 2009. december 22-éig elkészült országos vízgyűjtő-gazdálkodási tervben (VGT) célkitűzés elérése érdekében meghatározott intézkedési programokat.</w:t>
      </w:r>
    </w:p>
    <w:p w:rsidR="00BA53BD" w:rsidRPr="00634CDA" w:rsidRDefault="00BA53BD" w:rsidP="00634CDA">
      <w:r w:rsidRPr="00634CDA">
        <w:t>2009-ben elkészültek a vízgyűjtő-gazdálkodási tervek első változatai, melyek újabb széleskörű társadalmi egyeztetés után 2009. év végére véglegesítésre kerültek és elkészült az Országos Vízgyűjtő-gazdálkodási Terv is és 2010. június 3-án megküldésre került a Bizottságnak. A Tervet a Kormány kormányhatározattal fogadta el és a 1042/2012.(II.23.) számon jelent meg.</w:t>
      </w:r>
    </w:p>
    <w:p w:rsidR="00BA53BD" w:rsidRPr="00634CDA" w:rsidRDefault="00BA53BD" w:rsidP="00634CDA">
      <w:r w:rsidRPr="00634CDA">
        <w:t xml:space="preserve">A tervben megfogalmazott intézkedési programok végrehajtását 2010-2012 között meg kellett kezdeni. A Víz keretirányelv szerint alapintézkedés minden, a vízhez kapcsolódó, közösségi irányelv így mezőgazdaságot </w:t>
      </w:r>
      <w:r w:rsidR="004D1A7C" w:rsidRPr="00634CDA">
        <w:t>érintő un</w:t>
      </w:r>
      <w:r w:rsidRPr="00634CDA">
        <w:t>. nitrát irányelv és a peszticid irányelv is. Az alapintézkedéseken kívül minden ország kiegészítő intézkedéseket hozhat a vizek jó állapotának eléréséhez, amennyiben az alapintézkedések nem bizonyulnak elegendőnek.</w:t>
      </w:r>
    </w:p>
    <w:p w:rsidR="00BA53BD" w:rsidRPr="00634CDA" w:rsidRDefault="00BA53BD" w:rsidP="00634CDA">
      <w:r w:rsidRPr="00634CDA">
        <w:t xml:space="preserve">A kiegészítő intézkedéseket segíti elő az agrár-környezetgazdálkodási előírások teljesítése és további önkéntes, a vizek jó állapotának elérését támogató tevékenységek.  </w:t>
      </w:r>
    </w:p>
    <w:p w:rsidR="0024276F" w:rsidRDefault="0024276F" w:rsidP="00BA53BD">
      <w:pPr>
        <w:suppressAutoHyphens w:val="0"/>
        <w:spacing w:after="200" w:line="276" w:lineRule="auto"/>
        <w:ind w:firstLine="0"/>
        <w:sectPr w:rsidR="0024276F" w:rsidSect="00AB4ACA">
          <w:footerReference w:type="even" r:id="rId19"/>
          <w:headerReference w:type="first" r:id="rId20"/>
          <w:footerReference w:type="first" r:id="rId21"/>
          <w:pgSz w:w="11906" w:h="16838"/>
          <w:pgMar w:top="1418" w:right="1418" w:bottom="1418" w:left="1418" w:header="709" w:footer="709" w:gutter="0"/>
          <w:cols w:space="708"/>
          <w:docGrid w:linePitch="360"/>
        </w:sectPr>
      </w:pPr>
    </w:p>
    <w:p w:rsidR="0024276F" w:rsidRPr="00BA53BD" w:rsidRDefault="0024276F" w:rsidP="00BA53BD">
      <w:pPr>
        <w:suppressAutoHyphens w:val="0"/>
        <w:spacing w:after="200" w:line="276" w:lineRule="auto"/>
        <w:ind w:firstLine="0"/>
      </w:pPr>
    </w:p>
    <w:p w:rsidR="00E548D5" w:rsidRPr="00715E86" w:rsidRDefault="00E548D5" w:rsidP="00715E86">
      <w:pPr>
        <w:pStyle w:val="Cmsor4"/>
      </w:pPr>
      <w:r w:rsidRPr="00715E86">
        <w:t>Vidéki térségek</w:t>
      </w:r>
    </w:p>
    <w:p w:rsidR="00BB3615" w:rsidRPr="00634CDA" w:rsidRDefault="00BB3615" w:rsidP="00634CDA">
      <w:r w:rsidRPr="00634CDA">
        <w:t>A vidéki térségek jelentős része gazdag természeti és kulturális értékekben, hagyományokban, és igen sokszínű kulturális és épített örökséggel rendelkezik. Ugyanakkor az ország fejlett, dinamikus térségei, városai, illetve a vidéki térségek közötti különbség az elmúlt másfél évtizedben a terület- és vidékfejlesztési politika törekvései ellenére növekedett. Fejletlen a gazdaság, nehéz munkát találni, hiányos az infrastruktúra és számos más területen is érzékelhetők a különbségek. Az is látszik, hogy a vidéki térségek is differenciálódnak, kirajzolódnak azok a kistérségek, melyek társadalmi-gazdasági helyzete egyre nehezebb.</w:t>
      </w:r>
    </w:p>
    <w:p w:rsidR="00720621" w:rsidRPr="00634CDA" w:rsidRDefault="00720621" w:rsidP="00634CDA">
      <w:r w:rsidRPr="00634CDA">
        <w:t>Az ÚMVP vidéki térség térkategóriája település szinten lett definiálva. Vidéki településnek számítanak azok, amelyek népsűrűsége nem haladja meg a 100 fő/km2-t vagy állandó népessége nem haladja meg az 5000 főt. A Budapest agglomerációhoz tartozó települések szintén nem tartoznak a vidéki térség kategóriájába.</w:t>
      </w:r>
    </w:p>
    <w:p w:rsidR="00E96DDB" w:rsidRPr="00AA6631" w:rsidRDefault="007E5FDF" w:rsidP="002B6CB3">
      <w:pPr>
        <w:pStyle w:val="bra-cmetbla"/>
      </w:pPr>
      <w:fldSimple w:instr=" SEQ táblázat \* ARABIC ">
        <w:r w:rsidR="00E5031F">
          <w:rPr>
            <w:noProof/>
          </w:rPr>
          <w:t>2</w:t>
        </w:r>
      </w:fldSimple>
      <w:r w:rsidR="002B6CB3" w:rsidRPr="000842E9">
        <w:t xml:space="preserve">. táblázat: </w:t>
      </w:r>
      <w:r w:rsidR="00E96DDB" w:rsidRPr="000842E9">
        <w:t>Vándorlási egyenleg a vidéki - nem vidéki térségekben (2001, 2005, 2011)</w:t>
      </w:r>
    </w:p>
    <w:tbl>
      <w:tblPr>
        <w:tblW w:w="9211" w:type="dxa"/>
        <w:tblInd w:w="55" w:type="dxa"/>
        <w:tblLayout w:type="fixed"/>
        <w:tblCellMar>
          <w:left w:w="70" w:type="dxa"/>
          <w:right w:w="70" w:type="dxa"/>
        </w:tblCellMar>
        <w:tblLook w:val="0000" w:firstRow="0" w:lastRow="0" w:firstColumn="0" w:lastColumn="0" w:noHBand="0" w:noVBand="0"/>
      </w:tblPr>
      <w:tblGrid>
        <w:gridCol w:w="964"/>
        <w:gridCol w:w="1030"/>
        <w:gridCol w:w="1031"/>
        <w:gridCol w:w="1031"/>
        <w:gridCol w:w="1031"/>
        <w:gridCol w:w="1031"/>
        <w:gridCol w:w="1031"/>
        <w:gridCol w:w="1031"/>
        <w:gridCol w:w="1031"/>
      </w:tblGrid>
      <w:tr w:rsidR="00F90F37" w:rsidRPr="00F309A2" w:rsidTr="00F90F37">
        <w:trPr>
          <w:cantSplit/>
        </w:trPr>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90F37" w:rsidRPr="00EC13F1" w:rsidRDefault="00F90F37" w:rsidP="002B6CB3">
            <w:pPr>
              <w:keepNext/>
              <w:ind w:firstLine="0"/>
              <w:jc w:val="center"/>
              <w:rPr>
                <w:sz w:val="16"/>
                <w:szCs w:val="16"/>
              </w:rPr>
            </w:pPr>
            <w:r w:rsidRPr="00EC13F1">
              <w:rPr>
                <w:sz w:val="16"/>
                <w:szCs w:val="16"/>
              </w:rPr>
              <w:t>Megnevezés</w:t>
            </w:r>
          </w:p>
        </w:tc>
        <w:tc>
          <w:tcPr>
            <w:tcW w:w="1030"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Elvándorlá</w:t>
            </w:r>
            <w:r w:rsidR="002B6CB3">
              <w:rPr>
                <w:sz w:val="16"/>
                <w:szCs w:val="16"/>
              </w:rPr>
              <w:softHyphen/>
            </w:r>
            <w:r w:rsidRPr="00EC13F1">
              <w:rPr>
                <w:sz w:val="16"/>
                <w:szCs w:val="16"/>
              </w:rPr>
              <w:t>sok száma (állandó és ideiglenes vándorlások száma összesen)</w:t>
            </w:r>
            <w:r>
              <w:rPr>
                <w:sz w:val="16"/>
                <w:szCs w:val="16"/>
              </w:rPr>
              <w:t xml:space="preserve"> 2001</w:t>
            </w:r>
          </w:p>
        </w:tc>
        <w:tc>
          <w:tcPr>
            <w:tcW w:w="1031"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Odavándorlá</w:t>
            </w:r>
            <w:r w:rsidR="002B6CB3">
              <w:rPr>
                <w:sz w:val="16"/>
                <w:szCs w:val="16"/>
              </w:rPr>
              <w:softHyphen/>
            </w:r>
            <w:r w:rsidRPr="00EC13F1">
              <w:rPr>
                <w:sz w:val="16"/>
                <w:szCs w:val="16"/>
              </w:rPr>
              <w:t>sok száma (állandó és ideiglenes vándorlások száma összesen)</w:t>
            </w:r>
            <w:r>
              <w:rPr>
                <w:sz w:val="16"/>
                <w:szCs w:val="16"/>
              </w:rPr>
              <w:t xml:space="preserve"> 2001</w:t>
            </w:r>
          </w:p>
        </w:tc>
        <w:tc>
          <w:tcPr>
            <w:tcW w:w="1031"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Ezer főre jutó vándorlási különbözet*</w:t>
            </w:r>
            <w:r>
              <w:rPr>
                <w:sz w:val="16"/>
                <w:szCs w:val="16"/>
              </w:rPr>
              <w:t xml:space="preserve"> 2001</w:t>
            </w:r>
          </w:p>
        </w:tc>
        <w:tc>
          <w:tcPr>
            <w:tcW w:w="1031"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Elvándorlá</w:t>
            </w:r>
            <w:r w:rsidR="002B6CB3">
              <w:rPr>
                <w:sz w:val="16"/>
                <w:szCs w:val="16"/>
              </w:rPr>
              <w:softHyphen/>
            </w:r>
            <w:r w:rsidRPr="00EC13F1">
              <w:rPr>
                <w:sz w:val="16"/>
                <w:szCs w:val="16"/>
              </w:rPr>
              <w:t>sok száma (állandó és ideiglenes vándorlások száma összesen)</w:t>
            </w:r>
            <w:r>
              <w:rPr>
                <w:sz w:val="16"/>
                <w:szCs w:val="16"/>
              </w:rPr>
              <w:t xml:space="preserve"> 2005</w:t>
            </w:r>
          </w:p>
        </w:tc>
        <w:tc>
          <w:tcPr>
            <w:tcW w:w="1031"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Odaván</w:t>
            </w:r>
            <w:r w:rsidRPr="00EC13F1">
              <w:rPr>
                <w:sz w:val="16"/>
                <w:szCs w:val="16"/>
              </w:rPr>
              <w:softHyphen/>
              <w:t>dorlások száma (állandó és ideiglenes vándorlások száma összesen)</w:t>
            </w:r>
            <w:r>
              <w:rPr>
                <w:sz w:val="16"/>
                <w:szCs w:val="16"/>
              </w:rPr>
              <w:t xml:space="preserve"> 2005</w:t>
            </w:r>
          </w:p>
        </w:tc>
        <w:tc>
          <w:tcPr>
            <w:tcW w:w="1031"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Elvándorlá</w:t>
            </w:r>
            <w:r w:rsidR="002B6CB3">
              <w:rPr>
                <w:sz w:val="16"/>
                <w:szCs w:val="16"/>
              </w:rPr>
              <w:softHyphen/>
            </w:r>
            <w:r w:rsidRPr="00EC13F1">
              <w:rPr>
                <w:sz w:val="16"/>
                <w:szCs w:val="16"/>
              </w:rPr>
              <w:t>sok száma (állandó és ideiglenes vándorlások száma össze</w:t>
            </w:r>
            <w:r w:rsidRPr="00EC13F1">
              <w:rPr>
                <w:sz w:val="16"/>
                <w:szCs w:val="16"/>
              </w:rPr>
              <w:softHyphen/>
              <w:t>sen)</w:t>
            </w:r>
            <w:r>
              <w:rPr>
                <w:sz w:val="16"/>
                <w:szCs w:val="16"/>
              </w:rPr>
              <w:t xml:space="preserve"> 2011</w:t>
            </w:r>
          </w:p>
        </w:tc>
        <w:tc>
          <w:tcPr>
            <w:tcW w:w="1031" w:type="dxa"/>
            <w:tcBorders>
              <w:top w:val="single" w:sz="4" w:space="0" w:color="auto"/>
              <w:left w:val="single" w:sz="4" w:space="0" w:color="auto"/>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Odavándor</w:t>
            </w:r>
            <w:r w:rsidR="002B6CB3">
              <w:rPr>
                <w:sz w:val="16"/>
                <w:szCs w:val="16"/>
              </w:rPr>
              <w:softHyphen/>
            </w:r>
            <w:r w:rsidRPr="00EC13F1">
              <w:rPr>
                <w:sz w:val="16"/>
                <w:szCs w:val="16"/>
              </w:rPr>
              <w:t>lások száma (állandó és ideiglenes vándorlások száma össze</w:t>
            </w:r>
            <w:r w:rsidRPr="00EC13F1">
              <w:rPr>
                <w:sz w:val="16"/>
                <w:szCs w:val="16"/>
              </w:rPr>
              <w:softHyphen/>
              <w:t>sen)</w:t>
            </w:r>
            <w:r>
              <w:rPr>
                <w:sz w:val="16"/>
                <w:szCs w:val="16"/>
              </w:rPr>
              <w:t xml:space="preserve"> 2011</w:t>
            </w:r>
          </w:p>
        </w:tc>
        <w:tc>
          <w:tcPr>
            <w:tcW w:w="1031" w:type="dxa"/>
            <w:tcBorders>
              <w:top w:val="single" w:sz="4" w:space="0" w:color="auto"/>
              <w:left w:val="single" w:sz="4" w:space="0" w:color="auto"/>
              <w:bottom w:val="single" w:sz="4" w:space="0" w:color="auto"/>
              <w:right w:val="single" w:sz="4" w:space="0" w:color="auto"/>
            </w:tcBorders>
            <w:shd w:val="clear" w:color="auto" w:fill="D9D9D9"/>
            <w:vAlign w:val="center"/>
          </w:tcPr>
          <w:p w:rsidR="00F90F37" w:rsidRPr="00EC13F1" w:rsidRDefault="00F90F37" w:rsidP="002B6CB3">
            <w:pPr>
              <w:keepNext/>
              <w:ind w:firstLine="0"/>
              <w:jc w:val="center"/>
              <w:rPr>
                <w:sz w:val="16"/>
                <w:szCs w:val="16"/>
              </w:rPr>
            </w:pPr>
            <w:r w:rsidRPr="00EC13F1">
              <w:rPr>
                <w:sz w:val="16"/>
                <w:szCs w:val="16"/>
              </w:rPr>
              <w:t>Ezer főre jutó vándorlási külön</w:t>
            </w:r>
            <w:r w:rsidRPr="00EC13F1">
              <w:rPr>
                <w:sz w:val="16"/>
                <w:szCs w:val="16"/>
              </w:rPr>
              <w:softHyphen/>
              <w:t>bözet*</w:t>
            </w:r>
            <w:r>
              <w:rPr>
                <w:sz w:val="16"/>
                <w:szCs w:val="16"/>
              </w:rPr>
              <w:t xml:space="preserve"> 2011</w:t>
            </w:r>
          </w:p>
        </w:tc>
      </w:tr>
      <w:tr w:rsidR="00F90F37" w:rsidRPr="00F309A2" w:rsidTr="00F90F37">
        <w:trPr>
          <w:cantSplit/>
        </w:trPr>
        <w:tc>
          <w:tcPr>
            <w:tcW w:w="964" w:type="dxa"/>
            <w:tcBorders>
              <w:top w:val="nil"/>
              <w:left w:val="single" w:sz="8" w:space="0" w:color="auto"/>
              <w:bottom w:val="single" w:sz="4" w:space="0" w:color="auto"/>
              <w:right w:val="single" w:sz="4" w:space="0" w:color="auto"/>
            </w:tcBorders>
            <w:noWrap/>
            <w:vAlign w:val="center"/>
          </w:tcPr>
          <w:p w:rsidR="00F90F37" w:rsidRPr="00EC13F1" w:rsidRDefault="00F90F37" w:rsidP="002B6CB3">
            <w:pPr>
              <w:keepNext/>
              <w:ind w:firstLine="0"/>
              <w:rPr>
                <w:sz w:val="16"/>
                <w:szCs w:val="16"/>
              </w:rPr>
            </w:pPr>
            <w:r w:rsidRPr="00EC13F1">
              <w:rPr>
                <w:sz w:val="16"/>
                <w:szCs w:val="16"/>
              </w:rPr>
              <w:t>Vidéki térség</w:t>
            </w:r>
          </w:p>
        </w:tc>
        <w:tc>
          <w:tcPr>
            <w:tcW w:w="1030"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158 595</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171 368</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3,28</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185 312</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181 383</w:t>
            </w:r>
          </w:p>
        </w:tc>
        <w:tc>
          <w:tcPr>
            <w:tcW w:w="1031" w:type="dxa"/>
            <w:tcBorders>
              <w:top w:val="single" w:sz="4" w:space="0" w:color="auto"/>
              <w:left w:val="nil"/>
              <w:bottom w:val="single" w:sz="4" w:space="0" w:color="auto"/>
              <w:right w:val="single" w:sz="4" w:space="0" w:color="auto"/>
            </w:tcBorders>
            <w:vAlign w:val="bottom"/>
          </w:tcPr>
          <w:p w:rsidR="00F90F37" w:rsidRPr="00B939DD" w:rsidRDefault="00F90F37" w:rsidP="002B6CB3">
            <w:pPr>
              <w:ind w:firstLine="0"/>
              <w:jc w:val="right"/>
              <w:rPr>
                <w:sz w:val="16"/>
                <w:szCs w:val="16"/>
              </w:rPr>
            </w:pPr>
            <w:r w:rsidRPr="00B939DD">
              <w:rPr>
                <w:sz w:val="16"/>
                <w:szCs w:val="16"/>
              </w:rPr>
              <w:t>196 572</w:t>
            </w:r>
          </w:p>
        </w:tc>
        <w:tc>
          <w:tcPr>
            <w:tcW w:w="1031" w:type="dxa"/>
            <w:tcBorders>
              <w:top w:val="single" w:sz="4" w:space="0" w:color="auto"/>
              <w:left w:val="single" w:sz="4" w:space="0" w:color="auto"/>
              <w:bottom w:val="single" w:sz="4" w:space="0" w:color="auto"/>
              <w:right w:val="single" w:sz="4" w:space="0" w:color="auto"/>
            </w:tcBorders>
            <w:vAlign w:val="bottom"/>
          </w:tcPr>
          <w:p w:rsidR="00F90F37" w:rsidRPr="00B939DD" w:rsidRDefault="00F90F37" w:rsidP="002B6CB3">
            <w:pPr>
              <w:ind w:firstLine="0"/>
              <w:jc w:val="right"/>
              <w:rPr>
                <w:sz w:val="16"/>
                <w:szCs w:val="16"/>
              </w:rPr>
            </w:pPr>
            <w:r w:rsidRPr="00B939DD">
              <w:rPr>
                <w:sz w:val="16"/>
                <w:szCs w:val="16"/>
              </w:rPr>
              <w:t>188 273</w:t>
            </w:r>
          </w:p>
        </w:tc>
        <w:tc>
          <w:tcPr>
            <w:tcW w:w="1031" w:type="dxa"/>
            <w:tcBorders>
              <w:top w:val="single" w:sz="4" w:space="0" w:color="auto"/>
              <w:left w:val="single" w:sz="4" w:space="0" w:color="auto"/>
              <w:bottom w:val="single" w:sz="4" w:space="0" w:color="auto"/>
              <w:right w:val="single" w:sz="4" w:space="0" w:color="auto"/>
            </w:tcBorders>
            <w:vAlign w:val="bottom"/>
          </w:tcPr>
          <w:p w:rsidR="00F90F37" w:rsidRPr="00413572" w:rsidRDefault="00F90F37" w:rsidP="002B6CB3">
            <w:pPr>
              <w:ind w:firstLine="0"/>
              <w:jc w:val="center"/>
              <w:rPr>
                <w:sz w:val="16"/>
                <w:szCs w:val="16"/>
              </w:rPr>
            </w:pPr>
            <w:r w:rsidRPr="00413572">
              <w:rPr>
                <w:sz w:val="16"/>
                <w:szCs w:val="16"/>
              </w:rPr>
              <w:t>-2,</w:t>
            </w:r>
            <w:r>
              <w:rPr>
                <w:sz w:val="16"/>
                <w:szCs w:val="16"/>
              </w:rPr>
              <w:t>21</w:t>
            </w:r>
          </w:p>
        </w:tc>
      </w:tr>
      <w:tr w:rsidR="00F90F37" w:rsidRPr="00F309A2" w:rsidTr="00F90F37">
        <w:trPr>
          <w:cantSplit/>
        </w:trPr>
        <w:tc>
          <w:tcPr>
            <w:tcW w:w="964" w:type="dxa"/>
            <w:tcBorders>
              <w:top w:val="nil"/>
              <w:left w:val="single" w:sz="8" w:space="0" w:color="auto"/>
              <w:bottom w:val="single" w:sz="4" w:space="0" w:color="auto"/>
              <w:right w:val="single" w:sz="4" w:space="0" w:color="auto"/>
            </w:tcBorders>
            <w:noWrap/>
            <w:vAlign w:val="center"/>
          </w:tcPr>
          <w:p w:rsidR="00F90F37" w:rsidRPr="00EC13F1" w:rsidRDefault="00F90F37" w:rsidP="002B6CB3">
            <w:pPr>
              <w:ind w:firstLine="0"/>
              <w:rPr>
                <w:sz w:val="16"/>
                <w:szCs w:val="16"/>
              </w:rPr>
            </w:pPr>
            <w:r w:rsidRPr="00EC13F1">
              <w:rPr>
                <w:sz w:val="16"/>
                <w:szCs w:val="16"/>
              </w:rPr>
              <w:t>Nem vidéki térség</w:t>
            </w:r>
          </w:p>
        </w:tc>
        <w:tc>
          <w:tcPr>
            <w:tcW w:w="1030"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241 282</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228 509</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-2,03</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247 841</w:t>
            </w:r>
          </w:p>
        </w:tc>
        <w:tc>
          <w:tcPr>
            <w:tcW w:w="1031" w:type="dxa"/>
            <w:tcBorders>
              <w:top w:val="nil"/>
              <w:left w:val="nil"/>
              <w:bottom w:val="single" w:sz="4" w:space="0" w:color="auto"/>
              <w:right w:val="single" w:sz="4" w:space="0" w:color="auto"/>
            </w:tcBorders>
            <w:noWrap/>
            <w:vAlign w:val="bottom"/>
          </w:tcPr>
          <w:p w:rsidR="00F90F37" w:rsidRPr="00EC13F1" w:rsidRDefault="00F90F37" w:rsidP="002B6CB3">
            <w:pPr>
              <w:ind w:firstLine="0"/>
              <w:jc w:val="right"/>
              <w:rPr>
                <w:sz w:val="16"/>
                <w:szCs w:val="16"/>
              </w:rPr>
            </w:pPr>
            <w:r w:rsidRPr="00EC13F1">
              <w:rPr>
                <w:sz w:val="16"/>
                <w:szCs w:val="16"/>
              </w:rPr>
              <w:t>251 770</w:t>
            </w:r>
          </w:p>
        </w:tc>
        <w:tc>
          <w:tcPr>
            <w:tcW w:w="1031" w:type="dxa"/>
            <w:tcBorders>
              <w:top w:val="single" w:sz="4" w:space="0" w:color="auto"/>
              <w:left w:val="nil"/>
              <w:bottom w:val="single" w:sz="4" w:space="0" w:color="auto"/>
              <w:right w:val="single" w:sz="4" w:space="0" w:color="auto"/>
            </w:tcBorders>
            <w:vAlign w:val="bottom"/>
          </w:tcPr>
          <w:p w:rsidR="00F90F37" w:rsidRPr="00B939DD" w:rsidRDefault="00F90F37" w:rsidP="002B6CB3">
            <w:pPr>
              <w:ind w:firstLine="0"/>
              <w:jc w:val="right"/>
              <w:rPr>
                <w:sz w:val="16"/>
                <w:szCs w:val="16"/>
              </w:rPr>
            </w:pPr>
            <w:r w:rsidRPr="00B939DD">
              <w:rPr>
                <w:sz w:val="16"/>
                <w:szCs w:val="16"/>
              </w:rPr>
              <w:t>264 229</w:t>
            </w:r>
          </w:p>
        </w:tc>
        <w:tc>
          <w:tcPr>
            <w:tcW w:w="1031" w:type="dxa"/>
            <w:tcBorders>
              <w:top w:val="single" w:sz="4" w:space="0" w:color="auto"/>
              <w:left w:val="single" w:sz="4" w:space="0" w:color="auto"/>
              <w:bottom w:val="single" w:sz="4" w:space="0" w:color="auto"/>
              <w:right w:val="single" w:sz="4" w:space="0" w:color="auto"/>
            </w:tcBorders>
            <w:vAlign w:val="bottom"/>
          </w:tcPr>
          <w:p w:rsidR="00F90F37" w:rsidRPr="00B939DD" w:rsidRDefault="00F90F37" w:rsidP="002B6CB3">
            <w:pPr>
              <w:ind w:firstLine="0"/>
              <w:jc w:val="right"/>
              <w:rPr>
                <w:sz w:val="16"/>
                <w:szCs w:val="16"/>
              </w:rPr>
            </w:pPr>
            <w:r w:rsidRPr="00B939DD">
              <w:rPr>
                <w:sz w:val="16"/>
                <w:szCs w:val="16"/>
              </w:rPr>
              <w:t>272 528</w:t>
            </w:r>
          </w:p>
        </w:tc>
        <w:tc>
          <w:tcPr>
            <w:tcW w:w="1031" w:type="dxa"/>
            <w:tcBorders>
              <w:top w:val="single" w:sz="4" w:space="0" w:color="auto"/>
              <w:left w:val="single" w:sz="4" w:space="0" w:color="auto"/>
              <w:bottom w:val="single" w:sz="4" w:space="0" w:color="auto"/>
              <w:right w:val="single" w:sz="4" w:space="0" w:color="auto"/>
            </w:tcBorders>
            <w:vAlign w:val="bottom"/>
          </w:tcPr>
          <w:p w:rsidR="00F90F37" w:rsidRPr="00413572" w:rsidRDefault="00F90F37" w:rsidP="002B6CB3">
            <w:pPr>
              <w:ind w:firstLine="0"/>
              <w:jc w:val="center"/>
              <w:rPr>
                <w:sz w:val="16"/>
                <w:szCs w:val="16"/>
              </w:rPr>
            </w:pPr>
            <w:r w:rsidRPr="00413572">
              <w:rPr>
                <w:sz w:val="16"/>
                <w:szCs w:val="16"/>
              </w:rPr>
              <w:t>1,3</w:t>
            </w:r>
            <w:r>
              <w:rPr>
                <w:sz w:val="16"/>
                <w:szCs w:val="16"/>
              </w:rPr>
              <w:t>4</w:t>
            </w:r>
          </w:p>
        </w:tc>
      </w:tr>
    </w:tbl>
    <w:p w:rsidR="00E96DDB" w:rsidRPr="00EC13F1" w:rsidRDefault="00E96DDB" w:rsidP="00E96DDB">
      <w:pPr>
        <w:spacing w:after="0"/>
        <w:rPr>
          <w:sz w:val="20"/>
          <w:szCs w:val="20"/>
        </w:rPr>
      </w:pPr>
      <w:r w:rsidRPr="00EC13F1">
        <w:rPr>
          <w:sz w:val="20"/>
          <w:szCs w:val="20"/>
        </w:rPr>
        <w:t>Forrás: KSH, TSTAR</w:t>
      </w:r>
    </w:p>
    <w:p w:rsidR="00E96DDB" w:rsidRPr="00EC13F1" w:rsidRDefault="00E96DDB" w:rsidP="00E96DDB">
      <w:pPr>
        <w:spacing w:after="0"/>
        <w:rPr>
          <w:sz w:val="20"/>
          <w:szCs w:val="20"/>
        </w:rPr>
      </w:pPr>
      <w:r w:rsidRPr="00EC13F1">
        <w:rPr>
          <w:sz w:val="20"/>
          <w:szCs w:val="20"/>
        </w:rPr>
        <w:t>*Számítás: (odavándorlás – elvándorlás) / lakónépesség *1000</w:t>
      </w:r>
    </w:p>
    <w:p w:rsidR="00D85C56" w:rsidRDefault="00D85C56" w:rsidP="00634CDA"/>
    <w:p w:rsidR="000C655C" w:rsidRPr="00634CDA" w:rsidRDefault="000C655C" w:rsidP="00634CDA">
      <w:r w:rsidRPr="00634CDA">
        <w:t>A migrációs adatok azt mutatják, hogy a 2001 környékén tapasztalható vidéki településekre történő odavándorlás (főként közép és nyugat Magyarország nagyvárosainak vonzáskörzeteibe történő kiköltözésről van szó) 2005-re megfordult, 20</w:t>
      </w:r>
      <w:r w:rsidR="00760CC1" w:rsidRPr="00634CDA">
        <w:t>11</w:t>
      </w:r>
      <w:r w:rsidRPr="00634CDA">
        <w:t>-re pedig a vidékinek minősülő településekről történő elvándorlások száma</w:t>
      </w:r>
      <w:r w:rsidR="00760CC1" w:rsidRPr="00634CDA">
        <w:t xml:space="preserve"> közel 8</w:t>
      </w:r>
      <w:r w:rsidR="00F66EA2" w:rsidRPr="00634CDA">
        <w:t> </w:t>
      </w:r>
      <w:r w:rsidR="00760CC1" w:rsidRPr="00634CDA">
        <w:t xml:space="preserve">300-al </w:t>
      </w:r>
      <w:r w:rsidRPr="00634CDA">
        <w:t xml:space="preserve">haladta </w:t>
      </w:r>
      <w:r w:rsidR="00760CC1" w:rsidRPr="00634CDA">
        <w:t xml:space="preserve">meg az odavándorlást. </w:t>
      </w:r>
      <w:r w:rsidRPr="00634CDA">
        <w:t xml:space="preserve">Ezer főre vetítve </w:t>
      </w:r>
      <w:r w:rsidR="00760CC1" w:rsidRPr="00634CDA">
        <w:t>2,21</w:t>
      </w:r>
      <w:r w:rsidR="007D0430" w:rsidRPr="00634CDA">
        <w:t xml:space="preserve"> </w:t>
      </w:r>
      <w:r w:rsidRPr="00634CDA">
        <w:t>fő hagyta el 20</w:t>
      </w:r>
      <w:r w:rsidR="00760CC1" w:rsidRPr="00634CDA">
        <w:t>11</w:t>
      </w:r>
      <w:r w:rsidRPr="00634CDA">
        <w:t xml:space="preserve">-ben a vidéki településeket, </w:t>
      </w:r>
      <w:r w:rsidR="00760CC1" w:rsidRPr="00634CDA">
        <w:t>mely érték kedvezőbb képet mutat a korábbi évekhez képest, mint pl. a 2001-es 3,28 fős odavándorlásnál. Á</w:t>
      </w:r>
      <w:r w:rsidRPr="00634CDA">
        <w:t>ltalánosságban elmondható, hogy a vidéki térségekből történő elvándorlás főként az aprófalvas perifériákat és a keleti országrészt érinti súlyosabban. Ez a kedvezőtlen demográfia folyamat a vidéki településeken, a fent említett perifériákon és leszakadó térségekben fokozottabb súlyossággal megjelenő foglalkoztatási problémákkal magyarázható. Jellemző a fiatalok vidéki térségekből történő elvándorlása, ezért a fogyó népességű vidéki településekre az elöregedés jellemző.</w:t>
      </w:r>
    </w:p>
    <w:p w:rsidR="00E96DDB" w:rsidRPr="00AA6631" w:rsidRDefault="007E5FDF" w:rsidP="002B6CB3">
      <w:pPr>
        <w:pStyle w:val="bra-cmetbla"/>
      </w:pPr>
      <w:fldSimple w:instr=" SEQ táblázat \* ARABIC ">
        <w:r w:rsidR="00E5031F">
          <w:rPr>
            <w:noProof/>
          </w:rPr>
          <w:t>3</w:t>
        </w:r>
      </w:fldSimple>
      <w:r w:rsidR="002B6CB3" w:rsidRPr="000842E9">
        <w:t xml:space="preserve">. táblázat: </w:t>
      </w:r>
      <w:r w:rsidR="00E96DDB" w:rsidRPr="000842E9">
        <w:t>Vándorlási egyenleg regionális megoszlása (2001, 2005, 2011)</w:t>
      </w:r>
    </w:p>
    <w:tbl>
      <w:tblPr>
        <w:tblW w:w="10410" w:type="dxa"/>
        <w:jc w:val="center"/>
        <w:tblLayout w:type="fixed"/>
        <w:tblCellMar>
          <w:left w:w="70" w:type="dxa"/>
          <w:right w:w="70" w:type="dxa"/>
        </w:tblCellMar>
        <w:tblLook w:val="0000" w:firstRow="0" w:lastRow="0" w:firstColumn="0" w:lastColumn="0" w:noHBand="0" w:noVBand="0"/>
      </w:tblPr>
      <w:tblGrid>
        <w:gridCol w:w="1635"/>
        <w:gridCol w:w="975"/>
        <w:gridCol w:w="975"/>
        <w:gridCol w:w="975"/>
        <w:gridCol w:w="975"/>
        <w:gridCol w:w="975"/>
        <w:gridCol w:w="975"/>
        <w:gridCol w:w="975"/>
        <w:gridCol w:w="975"/>
        <w:gridCol w:w="975"/>
      </w:tblGrid>
      <w:tr w:rsidR="00F90F37" w:rsidRPr="00F309A2" w:rsidTr="00011C3B">
        <w:trPr>
          <w:cantSplit/>
          <w:jc w:val="center"/>
        </w:trPr>
        <w:tc>
          <w:tcPr>
            <w:tcW w:w="1635" w:type="dxa"/>
            <w:tcBorders>
              <w:top w:val="single" w:sz="4" w:space="0" w:color="auto"/>
              <w:left w:val="single" w:sz="4" w:space="0" w:color="auto"/>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Megnevezés</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Elvándorlások száma (állandó és ideiglenes vándorlások száma összesen) 2001</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Odavándorlások száma (állandó és ideiglenes vándorlások száma összesen) 2001</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Ezer főre jutó vándorlási külön</w:t>
            </w:r>
            <w:r w:rsidRPr="00EC13F1">
              <w:rPr>
                <w:sz w:val="16"/>
                <w:szCs w:val="16"/>
              </w:rPr>
              <w:softHyphen/>
              <w:t>bözet*, 2001</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Elvándorlások száma (állandó és ideiglenes vándorlások száma összesen) 2005</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Odavándorlások száma (állandó és ideiglenes vándorlások száma összesen) 2005</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Ezer főre jutó vándorlási különbözet*, 2005</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Elvándorlások száma (állandó és ideiglenes vándorlások száma összesen) 20</w:t>
            </w:r>
            <w:r>
              <w:rPr>
                <w:sz w:val="16"/>
                <w:szCs w:val="16"/>
              </w:rPr>
              <w:t>11</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Odavándorlások száma (állandó és ideiglenes vándorlások száma összesen) 20</w:t>
            </w:r>
            <w:r>
              <w:rPr>
                <w:sz w:val="16"/>
                <w:szCs w:val="16"/>
              </w:rPr>
              <w:t>11</w:t>
            </w:r>
          </w:p>
        </w:tc>
        <w:tc>
          <w:tcPr>
            <w:tcW w:w="975" w:type="dxa"/>
            <w:tcBorders>
              <w:top w:val="single" w:sz="4" w:space="0" w:color="auto"/>
              <w:left w:val="nil"/>
              <w:bottom w:val="single" w:sz="4" w:space="0" w:color="auto"/>
              <w:right w:val="single" w:sz="4" w:space="0" w:color="auto"/>
            </w:tcBorders>
            <w:shd w:val="clear" w:color="auto" w:fill="D9D9D9"/>
            <w:vAlign w:val="center"/>
          </w:tcPr>
          <w:p w:rsidR="00F90F37" w:rsidRPr="00EC13F1" w:rsidRDefault="00F90F37" w:rsidP="002B6CB3">
            <w:pPr>
              <w:keepNext/>
              <w:keepLines/>
              <w:ind w:firstLine="0"/>
              <w:jc w:val="center"/>
              <w:rPr>
                <w:sz w:val="16"/>
                <w:szCs w:val="16"/>
              </w:rPr>
            </w:pPr>
            <w:r w:rsidRPr="00EC13F1">
              <w:rPr>
                <w:sz w:val="16"/>
                <w:szCs w:val="16"/>
              </w:rPr>
              <w:t>Ezer főre jutó vándorlási különbözet* , 20</w:t>
            </w:r>
            <w:r>
              <w:rPr>
                <w:sz w:val="16"/>
                <w:szCs w:val="16"/>
              </w:rPr>
              <w:t>11</w:t>
            </w:r>
          </w:p>
        </w:tc>
      </w:tr>
      <w:tr w:rsidR="00F90F37" w:rsidRPr="00F309A2" w:rsidTr="00011C3B">
        <w:trPr>
          <w:cantSplit/>
          <w:jc w:val="center"/>
        </w:trPr>
        <w:tc>
          <w:tcPr>
            <w:tcW w:w="1635" w:type="dxa"/>
            <w:tcBorders>
              <w:top w:val="single" w:sz="4" w:space="0" w:color="auto"/>
              <w:left w:val="single" w:sz="8" w:space="0" w:color="auto"/>
              <w:bottom w:val="single" w:sz="4" w:space="0" w:color="auto"/>
              <w:right w:val="single" w:sz="4" w:space="0" w:color="auto"/>
            </w:tcBorders>
            <w:vAlign w:val="bottom"/>
          </w:tcPr>
          <w:p w:rsidR="00F90F37" w:rsidRPr="00EC13F1" w:rsidRDefault="00F90F37" w:rsidP="002B6CB3">
            <w:pPr>
              <w:keepNext/>
              <w:keepLines/>
              <w:ind w:firstLine="0"/>
              <w:rPr>
                <w:sz w:val="16"/>
                <w:szCs w:val="16"/>
              </w:rPr>
            </w:pPr>
            <w:r w:rsidRPr="00EC13F1">
              <w:rPr>
                <w:sz w:val="16"/>
                <w:szCs w:val="16"/>
              </w:rPr>
              <w:t>Dél-Alföld</w:t>
            </w:r>
          </w:p>
        </w:tc>
        <w:tc>
          <w:tcPr>
            <w:tcW w:w="975" w:type="dxa"/>
            <w:tcBorders>
              <w:top w:val="single" w:sz="4" w:space="0" w:color="auto"/>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47 994</w:t>
            </w:r>
          </w:p>
        </w:tc>
        <w:tc>
          <w:tcPr>
            <w:tcW w:w="975" w:type="dxa"/>
            <w:tcBorders>
              <w:top w:val="single" w:sz="4" w:space="0" w:color="auto"/>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46 960</w:t>
            </w:r>
          </w:p>
        </w:tc>
        <w:tc>
          <w:tcPr>
            <w:tcW w:w="975" w:type="dxa"/>
            <w:tcBorders>
              <w:top w:val="single" w:sz="4" w:space="0" w:color="auto"/>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-0,75</w:t>
            </w:r>
          </w:p>
        </w:tc>
        <w:tc>
          <w:tcPr>
            <w:tcW w:w="975" w:type="dxa"/>
            <w:tcBorders>
              <w:top w:val="single" w:sz="4" w:space="0" w:color="auto"/>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52 155</w:t>
            </w:r>
          </w:p>
        </w:tc>
        <w:tc>
          <w:tcPr>
            <w:tcW w:w="975" w:type="dxa"/>
            <w:tcBorders>
              <w:top w:val="single" w:sz="4" w:space="0" w:color="auto"/>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50 845</w:t>
            </w:r>
          </w:p>
        </w:tc>
        <w:tc>
          <w:tcPr>
            <w:tcW w:w="975" w:type="dxa"/>
            <w:tcBorders>
              <w:top w:val="single" w:sz="4" w:space="0" w:color="auto"/>
              <w:left w:val="nil"/>
              <w:bottom w:val="single" w:sz="4" w:space="0" w:color="auto"/>
              <w:right w:val="single" w:sz="8"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-0,97</w:t>
            </w:r>
          </w:p>
        </w:tc>
        <w:tc>
          <w:tcPr>
            <w:tcW w:w="975" w:type="dxa"/>
            <w:tcBorders>
              <w:top w:val="single" w:sz="4" w:space="0" w:color="auto"/>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55 805</w:t>
            </w:r>
          </w:p>
        </w:tc>
        <w:tc>
          <w:tcPr>
            <w:tcW w:w="975" w:type="dxa"/>
            <w:tcBorders>
              <w:top w:val="single" w:sz="4" w:space="0" w:color="auto"/>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53 635</w:t>
            </w:r>
          </w:p>
        </w:tc>
        <w:tc>
          <w:tcPr>
            <w:tcW w:w="975" w:type="dxa"/>
            <w:tcBorders>
              <w:top w:val="single" w:sz="4" w:space="0" w:color="auto"/>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-1,67</w:t>
            </w:r>
          </w:p>
        </w:tc>
      </w:tr>
      <w:tr w:rsidR="00F90F37" w:rsidRPr="00F309A2" w:rsidTr="00011C3B">
        <w:trPr>
          <w:cantSplit/>
          <w:jc w:val="center"/>
        </w:trPr>
        <w:tc>
          <w:tcPr>
            <w:tcW w:w="1635" w:type="dxa"/>
            <w:tcBorders>
              <w:top w:val="nil"/>
              <w:left w:val="single" w:sz="8" w:space="0" w:color="auto"/>
              <w:bottom w:val="single" w:sz="4" w:space="0" w:color="auto"/>
              <w:right w:val="single" w:sz="4" w:space="0" w:color="auto"/>
            </w:tcBorders>
            <w:vAlign w:val="bottom"/>
          </w:tcPr>
          <w:p w:rsidR="00F90F37" w:rsidRPr="00EC13F1" w:rsidRDefault="00F90F37" w:rsidP="002B6CB3">
            <w:pPr>
              <w:keepNext/>
              <w:keepLines/>
              <w:ind w:firstLine="0"/>
              <w:rPr>
                <w:sz w:val="16"/>
                <w:szCs w:val="16"/>
              </w:rPr>
            </w:pPr>
            <w:r w:rsidRPr="00EC13F1">
              <w:rPr>
                <w:sz w:val="16"/>
                <w:szCs w:val="16"/>
              </w:rPr>
              <w:t>Dél-Dunántúl</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45 324</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45 097</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-0,23</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49 720</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47 923</w:t>
            </w:r>
          </w:p>
        </w:tc>
        <w:tc>
          <w:tcPr>
            <w:tcW w:w="975" w:type="dxa"/>
            <w:tcBorders>
              <w:top w:val="nil"/>
              <w:left w:val="nil"/>
              <w:bottom w:val="single" w:sz="4" w:space="0" w:color="auto"/>
              <w:right w:val="single" w:sz="8"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-1,85</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51 020</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48 439</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-2,76</w:t>
            </w:r>
          </w:p>
        </w:tc>
      </w:tr>
      <w:tr w:rsidR="00F90F37" w:rsidRPr="00F309A2" w:rsidTr="00011C3B">
        <w:trPr>
          <w:cantSplit/>
          <w:jc w:val="center"/>
        </w:trPr>
        <w:tc>
          <w:tcPr>
            <w:tcW w:w="1635" w:type="dxa"/>
            <w:tcBorders>
              <w:top w:val="nil"/>
              <w:left w:val="single" w:sz="8" w:space="0" w:color="auto"/>
              <w:bottom w:val="single" w:sz="4" w:space="0" w:color="auto"/>
              <w:right w:val="single" w:sz="4" w:space="0" w:color="auto"/>
            </w:tcBorders>
            <w:vAlign w:val="bottom"/>
          </w:tcPr>
          <w:p w:rsidR="00F90F37" w:rsidRPr="00EC13F1" w:rsidRDefault="00F90F37" w:rsidP="002B6CB3">
            <w:pPr>
              <w:keepNext/>
              <w:keepLines/>
              <w:ind w:firstLine="0"/>
              <w:rPr>
                <w:sz w:val="16"/>
                <w:szCs w:val="16"/>
              </w:rPr>
            </w:pPr>
            <w:r w:rsidRPr="00EC13F1">
              <w:rPr>
                <w:sz w:val="16"/>
                <w:szCs w:val="16"/>
              </w:rPr>
              <w:t>Észak-Alföld</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59 927</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57 757</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-1,39</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64 795</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60 242</w:t>
            </w:r>
          </w:p>
        </w:tc>
        <w:tc>
          <w:tcPr>
            <w:tcW w:w="975" w:type="dxa"/>
            <w:tcBorders>
              <w:top w:val="nil"/>
              <w:left w:val="nil"/>
              <w:bottom w:val="single" w:sz="4" w:space="0" w:color="auto"/>
              <w:right w:val="single" w:sz="8"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-2,97</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68 402</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62 006</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-4,34</w:t>
            </w:r>
          </w:p>
        </w:tc>
      </w:tr>
      <w:tr w:rsidR="00F90F37" w:rsidRPr="00F309A2" w:rsidTr="00011C3B">
        <w:trPr>
          <w:cantSplit/>
          <w:jc w:val="center"/>
        </w:trPr>
        <w:tc>
          <w:tcPr>
            <w:tcW w:w="1635" w:type="dxa"/>
            <w:tcBorders>
              <w:top w:val="nil"/>
              <w:left w:val="single" w:sz="8" w:space="0" w:color="auto"/>
              <w:bottom w:val="single" w:sz="4" w:space="0" w:color="auto"/>
              <w:right w:val="single" w:sz="4" w:space="0" w:color="auto"/>
            </w:tcBorders>
            <w:vAlign w:val="bottom"/>
          </w:tcPr>
          <w:p w:rsidR="00F90F37" w:rsidRPr="00EC13F1" w:rsidRDefault="00F90F37" w:rsidP="002B6CB3">
            <w:pPr>
              <w:keepNext/>
              <w:keepLines/>
              <w:ind w:firstLine="0"/>
              <w:rPr>
                <w:sz w:val="16"/>
                <w:szCs w:val="16"/>
              </w:rPr>
            </w:pPr>
            <w:r w:rsidRPr="00EC13F1">
              <w:rPr>
                <w:sz w:val="16"/>
                <w:szCs w:val="16"/>
              </w:rPr>
              <w:t>Észak-Magyarország</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55 114</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53 067</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-1,58</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62 492</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58 706</w:t>
            </w:r>
          </w:p>
        </w:tc>
        <w:tc>
          <w:tcPr>
            <w:tcW w:w="975" w:type="dxa"/>
            <w:tcBorders>
              <w:top w:val="nil"/>
              <w:left w:val="nil"/>
              <w:bottom w:val="single" w:sz="4" w:space="0" w:color="auto"/>
              <w:right w:val="single" w:sz="8"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-3,00</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63 698</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57 537</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-5,21</w:t>
            </w:r>
          </w:p>
        </w:tc>
      </w:tr>
      <w:tr w:rsidR="00F90F37" w:rsidRPr="00F309A2" w:rsidTr="00011C3B">
        <w:trPr>
          <w:cantSplit/>
          <w:jc w:val="center"/>
        </w:trPr>
        <w:tc>
          <w:tcPr>
            <w:tcW w:w="1635" w:type="dxa"/>
            <w:tcBorders>
              <w:top w:val="nil"/>
              <w:left w:val="single" w:sz="8" w:space="0" w:color="auto"/>
              <w:bottom w:val="single" w:sz="4" w:space="0" w:color="auto"/>
              <w:right w:val="single" w:sz="4" w:space="0" w:color="auto"/>
            </w:tcBorders>
            <w:vAlign w:val="bottom"/>
          </w:tcPr>
          <w:p w:rsidR="00F90F37" w:rsidRPr="00EC13F1" w:rsidRDefault="00F90F37" w:rsidP="002B6CB3">
            <w:pPr>
              <w:keepNext/>
              <w:keepLines/>
              <w:ind w:firstLine="0"/>
              <w:rPr>
                <w:sz w:val="16"/>
                <w:szCs w:val="16"/>
              </w:rPr>
            </w:pPr>
            <w:r w:rsidRPr="00EC13F1">
              <w:rPr>
                <w:sz w:val="16"/>
                <w:szCs w:val="16"/>
              </w:rPr>
              <w:t>Közép-Dunántúl</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48 430</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50 616</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1,95</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52 644</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53 420</w:t>
            </w:r>
          </w:p>
        </w:tc>
        <w:tc>
          <w:tcPr>
            <w:tcW w:w="975" w:type="dxa"/>
            <w:tcBorders>
              <w:top w:val="nil"/>
              <w:left w:val="nil"/>
              <w:bottom w:val="single" w:sz="4" w:space="0" w:color="auto"/>
              <w:right w:val="single" w:sz="8"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0,68</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57 118</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57 218</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0,09</w:t>
            </w:r>
          </w:p>
        </w:tc>
      </w:tr>
      <w:tr w:rsidR="00F90F37" w:rsidRPr="00F309A2" w:rsidTr="00011C3B">
        <w:trPr>
          <w:cantSplit/>
          <w:jc w:val="center"/>
        </w:trPr>
        <w:tc>
          <w:tcPr>
            <w:tcW w:w="1635" w:type="dxa"/>
            <w:tcBorders>
              <w:top w:val="nil"/>
              <w:left w:val="single" w:sz="8" w:space="0" w:color="auto"/>
              <w:bottom w:val="single" w:sz="4" w:space="0" w:color="auto"/>
              <w:right w:val="single" w:sz="4" w:space="0" w:color="auto"/>
            </w:tcBorders>
            <w:vAlign w:val="bottom"/>
          </w:tcPr>
          <w:p w:rsidR="00F90F37" w:rsidRPr="00EC13F1" w:rsidRDefault="00F90F37" w:rsidP="002B6CB3">
            <w:pPr>
              <w:keepNext/>
              <w:keepLines/>
              <w:ind w:firstLine="0"/>
              <w:rPr>
                <w:sz w:val="16"/>
                <w:szCs w:val="16"/>
              </w:rPr>
            </w:pPr>
            <w:r w:rsidRPr="00EC13F1">
              <w:rPr>
                <w:sz w:val="16"/>
                <w:szCs w:val="16"/>
              </w:rPr>
              <w:t>Közép-Magyarország</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105 078</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106 711</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0,58</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108 833</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118 281</w:t>
            </w:r>
          </w:p>
        </w:tc>
        <w:tc>
          <w:tcPr>
            <w:tcW w:w="975" w:type="dxa"/>
            <w:tcBorders>
              <w:top w:val="nil"/>
              <w:left w:val="nil"/>
              <w:bottom w:val="single" w:sz="4" w:space="0" w:color="auto"/>
              <w:right w:val="single" w:sz="8"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3,31</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118 997</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133 293</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4,79</w:t>
            </w:r>
          </w:p>
        </w:tc>
      </w:tr>
      <w:tr w:rsidR="00F90F37" w:rsidRPr="00F309A2" w:rsidTr="00011C3B">
        <w:trPr>
          <w:cantSplit/>
          <w:jc w:val="center"/>
        </w:trPr>
        <w:tc>
          <w:tcPr>
            <w:tcW w:w="1635" w:type="dxa"/>
            <w:tcBorders>
              <w:top w:val="nil"/>
              <w:left w:val="single" w:sz="8" w:space="0" w:color="auto"/>
              <w:bottom w:val="single" w:sz="4" w:space="0" w:color="auto"/>
              <w:right w:val="single" w:sz="4" w:space="0" w:color="auto"/>
            </w:tcBorders>
            <w:vAlign w:val="bottom"/>
          </w:tcPr>
          <w:p w:rsidR="00F90F37" w:rsidRPr="00EC13F1" w:rsidRDefault="00F90F37" w:rsidP="002B6CB3">
            <w:pPr>
              <w:keepNext/>
              <w:keepLines/>
              <w:ind w:firstLine="0"/>
              <w:rPr>
                <w:sz w:val="16"/>
                <w:szCs w:val="16"/>
              </w:rPr>
            </w:pPr>
            <w:r w:rsidRPr="00EC13F1">
              <w:rPr>
                <w:sz w:val="16"/>
                <w:szCs w:val="16"/>
              </w:rPr>
              <w:t>Nyugat-Dunántúl</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38 010</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39 669</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1,65</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42 514</w:t>
            </w:r>
          </w:p>
        </w:tc>
        <w:tc>
          <w:tcPr>
            <w:tcW w:w="975" w:type="dxa"/>
            <w:tcBorders>
              <w:top w:val="nil"/>
              <w:left w:val="nil"/>
              <w:bottom w:val="single" w:sz="4" w:space="0" w:color="auto"/>
              <w:right w:val="single" w:sz="4"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43 736</w:t>
            </w:r>
          </w:p>
        </w:tc>
        <w:tc>
          <w:tcPr>
            <w:tcW w:w="975" w:type="dxa"/>
            <w:tcBorders>
              <w:top w:val="nil"/>
              <w:left w:val="nil"/>
              <w:bottom w:val="single" w:sz="4" w:space="0" w:color="auto"/>
              <w:right w:val="single" w:sz="8" w:space="0" w:color="auto"/>
            </w:tcBorders>
            <w:noWrap/>
            <w:vAlign w:val="bottom"/>
          </w:tcPr>
          <w:p w:rsidR="00F90F37" w:rsidRPr="00EC13F1" w:rsidRDefault="00F90F37" w:rsidP="002B6CB3">
            <w:pPr>
              <w:keepNext/>
              <w:keepLines/>
              <w:ind w:firstLine="0"/>
              <w:jc w:val="right"/>
              <w:rPr>
                <w:sz w:val="16"/>
                <w:szCs w:val="16"/>
              </w:rPr>
            </w:pPr>
            <w:r w:rsidRPr="00EC13F1">
              <w:rPr>
                <w:sz w:val="16"/>
                <w:szCs w:val="16"/>
              </w:rPr>
              <w:t>1,25</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45 761</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48 673</w:t>
            </w:r>
          </w:p>
        </w:tc>
        <w:tc>
          <w:tcPr>
            <w:tcW w:w="975" w:type="dxa"/>
            <w:tcBorders>
              <w:top w:val="nil"/>
              <w:left w:val="nil"/>
              <w:bottom w:val="single" w:sz="4" w:space="0" w:color="auto"/>
              <w:right w:val="single" w:sz="8" w:space="0" w:color="auto"/>
            </w:tcBorders>
            <w:vAlign w:val="bottom"/>
          </w:tcPr>
          <w:p w:rsidR="00F90F37" w:rsidRPr="00727B66" w:rsidRDefault="00F90F37" w:rsidP="002B6CB3">
            <w:pPr>
              <w:keepNext/>
              <w:keepLines/>
              <w:ind w:firstLine="0"/>
              <w:jc w:val="right"/>
              <w:rPr>
                <w:sz w:val="16"/>
                <w:szCs w:val="16"/>
              </w:rPr>
            </w:pPr>
            <w:r w:rsidRPr="00727B66">
              <w:rPr>
                <w:sz w:val="16"/>
                <w:szCs w:val="16"/>
              </w:rPr>
              <w:t>2,93</w:t>
            </w:r>
          </w:p>
        </w:tc>
      </w:tr>
    </w:tbl>
    <w:p w:rsidR="00E96DDB" w:rsidRPr="00EC13F1" w:rsidRDefault="00E96DDB" w:rsidP="00E96DDB">
      <w:pPr>
        <w:spacing w:after="0"/>
        <w:rPr>
          <w:sz w:val="20"/>
          <w:szCs w:val="20"/>
        </w:rPr>
      </w:pPr>
      <w:r w:rsidRPr="00EC13F1">
        <w:rPr>
          <w:sz w:val="20"/>
          <w:szCs w:val="20"/>
        </w:rPr>
        <w:t>Forrás: KSH, TSTAR</w:t>
      </w:r>
    </w:p>
    <w:p w:rsidR="00E96DDB" w:rsidRPr="00EC13F1" w:rsidRDefault="00E96DDB" w:rsidP="00E96DDB">
      <w:pPr>
        <w:spacing w:after="0"/>
        <w:rPr>
          <w:sz w:val="20"/>
          <w:szCs w:val="20"/>
        </w:rPr>
      </w:pPr>
      <w:r w:rsidRPr="00EC13F1">
        <w:rPr>
          <w:sz w:val="20"/>
          <w:szCs w:val="20"/>
        </w:rPr>
        <w:t>*Számítás: (odavándorlás – elvándorlás) / régió lakónépesség * 1000</w:t>
      </w:r>
    </w:p>
    <w:p w:rsidR="0024276F" w:rsidRDefault="0024276F" w:rsidP="0091373B">
      <w:pPr>
        <w:rPr>
          <w:szCs w:val="22"/>
        </w:rPr>
      </w:pPr>
    </w:p>
    <w:p w:rsidR="007724AB" w:rsidRPr="00634CDA" w:rsidRDefault="007724AB" w:rsidP="00634CDA">
      <w:r w:rsidRPr="00634CDA">
        <w:t>A régiós bontásból jól látszik, hogy 2001-től folyamatos volt a keleti régiókból a középső és nyugati országrészbe történő migráció. A legnagyobb arányú elvándorlás 2001-ben és 2011-ben is az Észak-Alföldi és az Észak-Magyarországi régiót jellemezte.</w:t>
      </w:r>
    </w:p>
    <w:p w:rsidR="007724AB" w:rsidRDefault="007724AB" w:rsidP="0091373B">
      <w:pPr>
        <w:rPr>
          <w:szCs w:val="22"/>
        </w:rPr>
      </w:pPr>
    </w:p>
    <w:p w:rsidR="007724AB" w:rsidRPr="00F71EE3" w:rsidRDefault="00F71EE3" w:rsidP="0091373B">
      <w:pPr>
        <w:rPr>
          <w:i/>
          <w:szCs w:val="22"/>
        </w:rPr>
      </w:pPr>
      <w:r w:rsidRPr="00F71EE3">
        <w:rPr>
          <w:i/>
          <w:szCs w:val="22"/>
        </w:rPr>
        <w:t xml:space="preserve">Foglalkoztatás, gazdasági aktivitás </w:t>
      </w:r>
    </w:p>
    <w:p w:rsidR="00E96DDB" w:rsidRPr="00AA6631" w:rsidRDefault="007E5FDF" w:rsidP="002B6CB3">
      <w:pPr>
        <w:pStyle w:val="bra-cmetbla"/>
      </w:pPr>
      <w:fldSimple w:instr=" SEQ táblázat \* ARABIC ">
        <w:r w:rsidR="00E5031F">
          <w:rPr>
            <w:noProof/>
          </w:rPr>
          <w:t>4</w:t>
        </w:r>
      </w:fldSimple>
      <w:r w:rsidR="002B6CB3" w:rsidRPr="000842E9">
        <w:t xml:space="preserve">. táblázat: </w:t>
      </w:r>
      <w:r w:rsidR="00E96DDB" w:rsidRPr="000842E9">
        <w:t>Foglalkoztatás a vidéki - nem vidé</w:t>
      </w:r>
      <w:r w:rsidR="00F90F37" w:rsidRPr="000842E9">
        <w:t>ki térségekben (2001, 2005,</w:t>
      </w:r>
      <w:r w:rsidR="00E96DDB" w:rsidRPr="000842E9">
        <w:t xml:space="preserve"> 2011)</w:t>
      </w:r>
    </w:p>
    <w:tbl>
      <w:tblPr>
        <w:tblW w:w="9555" w:type="dxa"/>
        <w:tblInd w:w="55" w:type="dxa"/>
        <w:tblLayout w:type="fixed"/>
        <w:tblCellMar>
          <w:left w:w="70" w:type="dxa"/>
          <w:right w:w="70" w:type="dxa"/>
        </w:tblCellMar>
        <w:tblLook w:val="0000" w:firstRow="0" w:lastRow="0" w:firstColumn="0" w:lastColumn="0" w:noHBand="0" w:noVBand="0"/>
      </w:tblPr>
      <w:tblGrid>
        <w:gridCol w:w="1815"/>
        <w:gridCol w:w="1290"/>
        <w:gridCol w:w="1290"/>
        <w:gridCol w:w="1290"/>
        <w:gridCol w:w="1290"/>
        <w:gridCol w:w="1290"/>
        <w:gridCol w:w="1290"/>
      </w:tblGrid>
      <w:tr w:rsidR="00E96DDB" w:rsidRPr="00F309A2" w:rsidTr="00720621">
        <w:trPr>
          <w:cantSplit/>
          <w:tblHeader/>
        </w:trPr>
        <w:tc>
          <w:tcPr>
            <w:tcW w:w="181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96DDB" w:rsidRPr="00EC13F1" w:rsidRDefault="00E96DDB" w:rsidP="00720621">
            <w:pPr>
              <w:jc w:val="center"/>
              <w:rPr>
                <w:sz w:val="16"/>
                <w:szCs w:val="16"/>
              </w:rPr>
            </w:pPr>
            <w:r w:rsidRPr="00EC13F1">
              <w:rPr>
                <w:sz w:val="16"/>
                <w:szCs w:val="16"/>
              </w:rPr>
              <w:t>Megnevezés</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Foglalkoztatottak száma a mezőgazdaságban (15-74 évesek)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Mezőgazdasági foglalkoztatottak aránya a 15-74 éves foglalkoztatottak között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Foglalkoztatottak száma az iparban (15-74 évesek)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Ipari foglalkoztatottak aránya a 15-74 éves foglalkoztatottak között</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Foglalkoztatottak száma a szolgáltatásokban (15-74 évesek)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A szolgáltatási ágazatban foglalkoztatottak aránya a 15-74 éves foglalkoztatottak között</w:t>
            </w:r>
          </w:p>
        </w:tc>
      </w:tr>
      <w:tr w:rsidR="00E96DDB" w:rsidRPr="00F309A2" w:rsidTr="00720621">
        <w:trPr>
          <w:cantSplit/>
        </w:trPr>
        <w:tc>
          <w:tcPr>
            <w:tcW w:w="9555" w:type="dxa"/>
            <w:gridSpan w:val="7"/>
            <w:tcBorders>
              <w:top w:val="single" w:sz="4" w:space="0" w:color="auto"/>
              <w:left w:val="single" w:sz="8" w:space="0" w:color="auto"/>
              <w:bottom w:val="single" w:sz="4" w:space="0" w:color="auto"/>
              <w:right w:val="nil"/>
            </w:tcBorders>
            <w:noWrap/>
            <w:vAlign w:val="center"/>
          </w:tcPr>
          <w:p w:rsidR="00E96DDB" w:rsidRPr="00EC13F1" w:rsidRDefault="00E96DDB" w:rsidP="00720621">
            <w:pPr>
              <w:jc w:val="center"/>
              <w:rPr>
                <w:b/>
                <w:bCs/>
                <w:sz w:val="16"/>
                <w:szCs w:val="16"/>
              </w:rPr>
            </w:pPr>
            <w:r w:rsidRPr="00EC13F1">
              <w:rPr>
                <w:b/>
                <w:bCs/>
                <w:sz w:val="16"/>
                <w:szCs w:val="16"/>
              </w:rPr>
              <w:t>2001</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noWrap/>
            <w:vAlign w:val="bottom"/>
          </w:tcPr>
          <w:p w:rsidR="00E96DDB" w:rsidRPr="00EC13F1" w:rsidRDefault="00E96DDB" w:rsidP="00720621">
            <w:pPr>
              <w:rPr>
                <w:sz w:val="16"/>
                <w:szCs w:val="16"/>
              </w:rPr>
            </w:pPr>
            <w:r w:rsidRPr="00EC13F1">
              <w:rPr>
                <w:sz w:val="16"/>
                <w:szCs w:val="16"/>
              </w:rPr>
              <w:t>Magyarország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243 449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6,29%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1 325 786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34,27%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2 299 046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59,43%</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noWrap/>
            <w:vAlign w:val="bottom"/>
          </w:tcPr>
          <w:p w:rsidR="00E96DDB" w:rsidRPr="00EC13F1" w:rsidRDefault="00E96DDB" w:rsidP="00720621">
            <w:pPr>
              <w:rPr>
                <w:sz w:val="16"/>
                <w:szCs w:val="16"/>
              </w:rPr>
            </w:pPr>
            <w:r w:rsidRPr="00EC13F1">
              <w:rPr>
                <w:sz w:val="16"/>
                <w:szCs w:val="16"/>
              </w:rPr>
              <w:t>Vidéki térség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139 422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8,92%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583 612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37,35%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839 406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53,72%</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noWrap/>
            <w:vAlign w:val="bottom"/>
          </w:tcPr>
          <w:p w:rsidR="00E96DDB" w:rsidRPr="00EC13F1" w:rsidRDefault="00E96DDB" w:rsidP="00720621">
            <w:pPr>
              <w:rPr>
                <w:sz w:val="16"/>
                <w:szCs w:val="16"/>
              </w:rPr>
            </w:pPr>
            <w:r w:rsidRPr="00EC13F1">
              <w:rPr>
                <w:sz w:val="16"/>
                <w:szCs w:val="16"/>
              </w:rPr>
              <w:t>Nem vidéki térség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104 027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4,51%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742 174</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32,19%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1 459 640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63,30%</w:t>
            </w:r>
          </w:p>
        </w:tc>
      </w:tr>
      <w:tr w:rsidR="00E96DDB" w:rsidRPr="00F309A2" w:rsidTr="00720621">
        <w:trPr>
          <w:cantSplit/>
        </w:trPr>
        <w:tc>
          <w:tcPr>
            <w:tcW w:w="9555" w:type="dxa"/>
            <w:gridSpan w:val="7"/>
            <w:tcBorders>
              <w:top w:val="single" w:sz="4" w:space="0" w:color="auto"/>
              <w:left w:val="single" w:sz="8" w:space="0" w:color="auto"/>
              <w:bottom w:val="single" w:sz="4" w:space="0" w:color="auto"/>
              <w:right w:val="nil"/>
            </w:tcBorders>
            <w:noWrap/>
            <w:vAlign w:val="center"/>
          </w:tcPr>
          <w:p w:rsidR="00E96DDB" w:rsidRPr="00EC13F1" w:rsidRDefault="00E96DDB" w:rsidP="00720621">
            <w:pPr>
              <w:jc w:val="center"/>
              <w:rPr>
                <w:b/>
                <w:bCs/>
                <w:sz w:val="16"/>
                <w:szCs w:val="16"/>
              </w:rPr>
            </w:pPr>
            <w:r w:rsidRPr="00EC13F1">
              <w:rPr>
                <w:b/>
                <w:bCs/>
                <w:sz w:val="16"/>
                <w:szCs w:val="16"/>
              </w:rPr>
              <w:t>2005</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Magyarország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193 928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4,97%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1 264 022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32,40%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2 443 550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62,63%</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Vidéki térség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107 337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6,95%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545 391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35,33%</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890 898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57,71%</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Nem vidéki térség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86 591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3,67%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718 631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30,48%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1 552 652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16"/>
                <w:szCs w:val="16"/>
              </w:rPr>
            </w:pPr>
            <w:r w:rsidRPr="00EC13F1">
              <w:rPr>
                <w:sz w:val="16"/>
                <w:szCs w:val="16"/>
              </w:rPr>
              <w:t>65,85%</w:t>
            </w:r>
          </w:p>
        </w:tc>
      </w:tr>
      <w:tr w:rsidR="00E96DDB" w:rsidRPr="00EC13F1" w:rsidTr="00720621">
        <w:trPr>
          <w:cantSplit/>
        </w:trPr>
        <w:tc>
          <w:tcPr>
            <w:tcW w:w="9555" w:type="dxa"/>
            <w:gridSpan w:val="7"/>
            <w:tcBorders>
              <w:top w:val="single" w:sz="4" w:space="0" w:color="auto"/>
              <w:left w:val="single" w:sz="8" w:space="0" w:color="auto"/>
              <w:bottom w:val="single" w:sz="4" w:space="0" w:color="auto"/>
              <w:right w:val="nil"/>
            </w:tcBorders>
            <w:noWrap/>
            <w:vAlign w:val="center"/>
          </w:tcPr>
          <w:p w:rsidR="00E96DDB" w:rsidRPr="00EC13F1" w:rsidRDefault="00E96DDB" w:rsidP="00720621">
            <w:pPr>
              <w:keepNext/>
              <w:jc w:val="center"/>
              <w:rPr>
                <w:b/>
                <w:bCs/>
                <w:sz w:val="16"/>
                <w:szCs w:val="16"/>
              </w:rPr>
            </w:pPr>
            <w:r w:rsidRPr="00EC13F1">
              <w:rPr>
                <w:b/>
                <w:bCs/>
                <w:sz w:val="16"/>
                <w:szCs w:val="16"/>
              </w:rPr>
              <w:t>201</w:t>
            </w:r>
            <w:r>
              <w:rPr>
                <w:b/>
                <w:bCs/>
                <w:sz w:val="16"/>
                <w:szCs w:val="16"/>
              </w:rPr>
              <w:t>1</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Magyarország</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185 120</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4,86%</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1 173 782</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30,79%</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2 453 046</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64,35%</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Vidéki térség</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109 287</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7,39%</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503 435</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34,04%</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866 283</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58,57%</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Nem vidéki térség</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75 833</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3,25%</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670 347</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28,73%</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1 586 763</w:t>
            </w:r>
          </w:p>
        </w:tc>
        <w:tc>
          <w:tcPr>
            <w:tcW w:w="1290" w:type="dxa"/>
            <w:tcBorders>
              <w:top w:val="nil"/>
              <w:left w:val="nil"/>
              <w:bottom w:val="single" w:sz="4" w:space="0" w:color="auto"/>
              <w:right w:val="single" w:sz="4" w:space="0" w:color="auto"/>
            </w:tcBorders>
            <w:noWrap/>
            <w:vAlign w:val="bottom"/>
          </w:tcPr>
          <w:p w:rsidR="00E96DDB" w:rsidRPr="002A55C5" w:rsidRDefault="00E96DDB" w:rsidP="00720621">
            <w:pPr>
              <w:jc w:val="right"/>
              <w:rPr>
                <w:sz w:val="16"/>
                <w:szCs w:val="16"/>
              </w:rPr>
            </w:pPr>
            <w:r w:rsidRPr="002A55C5">
              <w:rPr>
                <w:sz w:val="16"/>
                <w:szCs w:val="16"/>
              </w:rPr>
              <w:t>68,02%</w:t>
            </w:r>
          </w:p>
        </w:tc>
      </w:tr>
    </w:tbl>
    <w:p w:rsidR="00E96DDB" w:rsidRDefault="00E96DDB" w:rsidP="00E96DDB">
      <w:r w:rsidRPr="00EC13F1">
        <w:t>Forrás: Munkaerő felmérés 2001, 2005, 201</w:t>
      </w:r>
      <w:r>
        <w:t>1</w:t>
      </w:r>
    </w:p>
    <w:p w:rsidR="00A426DD" w:rsidRPr="002229D7" w:rsidRDefault="00A426DD" w:rsidP="002229D7">
      <w:r w:rsidRPr="002229D7">
        <w:t xml:space="preserve">Mivel a címben szereplő adatok települési szinten nem állnak rendelkezésre, így az ÚMVP település szintű vidéki térséglehatárolása ebben az esetben nem alkalmazható. A CMEF vonatkozó rendelkezése alapján ezekben az esetekben azon a településihez legközelebb eső földrajzi szinten történik a lehatárolás, ahol már az adatok rendelkezésre állnak, jelen esetben ez a szint, a megye. </w:t>
      </w:r>
      <w:r w:rsidRPr="002229D7">
        <w:lastRenderedPageBreak/>
        <w:t>Vidékinek minősülnek azok a megyék, ahol azok a megyék, ahol az állandó lakosság kevesebb mint 50%-a él az ÚMVP által nem vidékinek minősülő településeken. A fenti lehatárolás alapján a vidéki térségek szektoronkénti adataiból elmondható, hogy a mezőgazdaságban foglalkoztatottak száma 2001 és 2005 között mind országosan, mind pedig a vidéki térségekben jelentősen csökkent. Ez a csökkenés azonban 2007-re a vidéki megyéket tekintve enyhe növekedésbe fordult át (0,29 százalékpont), amely többek között a csatlakozás után a területalapú támogatások bevezetése pozitív következményeinek is tekinthető. Ez a növekedés 2009-re megállt és 2011-ben csaknem visszasüllyedt a 2005-ös szintre. A mezőgazdasági foglalkoztatottak aránya országos szinten 2001-től folyamatosan csökkent.</w:t>
      </w:r>
    </w:p>
    <w:p w:rsidR="00E96DDB" w:rsidRPr="00AA6631" w:rsidRDefault="007E5FDF" w:rsidP="002B6CB3">
      <w:pPr>
        <w:pStyle w:val="bra-cmetbla"/>
      </w:pPr>
      <w:fldSimple w:instr=" SEQ táblázat \* ARABIC ">
        <w:r w:rsidR="00E5031F">
          <w:rPr>
            <w:noProof/>
          </w:rPr>
          <w:t>5</w:t>
        </w:r>
      </w:fldSimple>
      <w:r w:rsidR="002B6CB3" w:rsidRPr="000842E9">
        <w:t xml:space="preserve">. táblázat: </w:t>
      </w:r>
      <w:r w:rsidR="00E96DDB" w:rsidRPr="000842E9">
        <w:t>Foglalkoztatás regionális bontásban (2001, 2005, 2011)</w:t>
      </w:r>
    </w:p>
    <w:tbl>
      <w:tblPr>
        <w:tblW w:w="9555" w:type="dxa"/>
        <w:tblInd w:w="55" w:type="dxa"/>
        <w:tblLayout w:type="fixed"/>
        <w:tblCellMar>
          <w:left w:w="70" w:type="dxa"/>
          <w:right w:w="70" w:type="dxa"/>
        </w:tblCellMar>
        <w:tblLook w:val="0000" w:firstRow="0" w:lastRow="0" w:firstColumn="0" w:lastColumn="0" w:noHBand="0" w:noVBand="0"/>
      </w:tblPr>
      <w:tblGrid>
        <w:gridCol w:w="1815"/>
        <w:gridCol w:w="1290"/>
        <w:gridCol w:w="1290"/>
        <w:gridCol w:w="1290"/>
        <w:gridCol w:w="1290"/>
        <w:gridCol w:w="1290"/>
        <w:gridCol w:w="1290"/>
      </w:tblGrid>
      <w:tr w:rsidR="00E96DDB" w:rsidRPr="00F309A2" w:rsidTr="00720621">
        <w:trPr>
          <w:cantSplit/>
          <w:tblHeader/>
        </w:trPr>
        <w:tc>
          <w:tcPr>
            <w:tcW w:w="181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96DDB" w:rsidRPr="00EC13F1" w:rsidRDefault="00E96DDB" w:rsidP="00720621">
            <w:pPr>
              <w:jc w:val="center"/>
              <w:rPr>
                <w:sz w:val="16"/>
                <w:szCs w:val="16"/>
              </w:rPr>
            </w:pPr>
            <w:r w:rsidRPr="00EC13F1">
              <w:rPr>
                <w:sz w:val="16"/>
                <w:szCs w:val="16"/>
              </w:rPr>
              <w:t>Megnevezés</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Foglalkoztatottak száma a mezőgazdaságban (15-74 évesek)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Mezőgazdasági foglalkoztatottak (15-74 évesek) aránya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Foglalkoztatottak száma az iparban (15-74 évesek)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Ipari foglalkoztatottak (15-74 évesek) aránya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Foglalkoztatottak száma a szolgáltatásokban (15-74 évesek) </w:t>
            </w:r>
          </w:p>
        </w:tc>
        <w:tc>
          <w:tcPr>
            <w:tcW w:w="1290" w:type="dxa"/>
            <w:tcBorders>
              <w:top w:val="single" w:sz="4" w:space="0" w:color="auto"/>
              <w:left w:val="nil"/>
              <w:bottom w:val="single" w:sz="4" w:space="0" w:color="auto"/>
              <w:right w:val="single" w:sz="4" w:space="0" w:color="auto"/>
            </w:tcBorders>
            <w:shd w:val="clear" w:color="auto" w:fill="D9D9D9"/>
            <w:vAlign w:val="center"/>
          </w:tcPr>
          <w:p w:rsidR="00E96DDB" w:rsidRPr="00EC13F1" w:rsidRDefault="00E96DDB" w:rsidP="00720621">
            <w:pPr>
              <w:jc w:val="center"/>
              <w:rPr>
                <w:sz w:val="16"/>
                <w:szCs w:val="16"/>
              </w:rPr>
            </w:pPr>
            <w:r w:rsidRPr="00EC13F1">
              <w:rPr>
                <w:sz w:val="16"/>
                <w:szCs w:val="16"/>
              </w:rPr>
              <w:t xml:space="preserve">A szolgáltatási ágazatban foglalkoztatottak (15-74 évesek) aránya  </w:t>
            </w:r>
          </w:p>
        </w:tc>
      </w:tr>
      <w:tr w:rsidR="00E96DDB" w:rsidRPr="00F309A2" w:rsidTr="00720621">
        <w:trPr>
          <w:cantSplit/>
        </w:trPr>
        <w:tc>
          <w:tcPr>
            <w:tcW w:w="9555" w:type="dxa"/>
            <w:gridSpan w:val="7"/>
            <w:tcBorders>
              <w:top w:val="single" w:sz="4" w:space="0" w:color="auto"/>
              <w:left w:val="single" w:sz="8" w:space="0" w:color="auto"/>
              <w:bottom w:val="single" w:sz="4" w:space="0" w:color="auto"/>
              <w:right w:val="nil"/>
            </w:tcBorders>
            <w:noWrap/>
            <w:vAlign w:val="center"/>
          </w:tcPr>
          <w:p w:rsidR="00E96DDB" w:rsidRPr="00EC13F1" w:rsidRDefault="00E96DDB" w:rsidP="00720621">
            <w:pPr>
              <w:jc w:val="center"/>
              <w:rPr>
                <w:b/>
                <w:bCs/>
                <w:sz w:val="16"/>
                <w:szCs w:val="16"/>
              </w:rPr>
            </w:pPr>
            <w:r w:rsidRPr="00EC13F1">
              <w:rPr>
                <w:b/>
                <w:bCs/>
                <w:sz w:val="16"/>
                <w:szCs w:val="16"/>
              </w:rPr>
              <w:t>2001</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noWrap/>
            <w:vAlign w:val="bottom"/>
          </w:tcPr>
          <w:p w:rsidR="00E96DDB" w:rsidRPr="00EC13F1" w:rsidRDefault="00E96DDB" w:rsidP="00720621">
            <w:pPr>
              <w:rPr>
                <w:sz w:val="16"/>
                <w:szCs w:val="16"/>
              </w:rPr>
            </w:pPr>
            <w:r w:rsidRPr="00EC13F1">
              <w:rPr>
                <w:sz w:val="16"/>
                <w:szCs w:val="16"/>
              </w:rPr>
              <w:t>Dél-Alföld</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72 718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14,23%</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172 328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33,72%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265 974</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52,05%</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noWrap/>
            <w:vAlign w:val="bottom"/>
          </w:tcPr>
          <w:p w:rsidR="00E96DDB" w:rsidRPr="00EC13F1" w:rsidRDefault="00E96DDB" w:rsidP="00720621">
            <w:pPr>
              <w:rPr>
                <w:sz w:val="16"/>
                <w:szCs w:val="16"/>
              </w:rPr>
            </w:pPr>
            <w:r w:rsidRPr="00EC13F1">
              <w:rPr>
                <w:sz w:val="16"/>
                <w:szCs w:val="16"/>
              </w:rPr>
              <w:t>Dél-Dunántúl</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34 698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9,82%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119 458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33,81%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199 129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56,36%</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noWrap/>
            <w:vAlign w:val="bottom"/>
          </w:tcPr>
          <w:p w:rsidR="00E96DDB" w:rsidRPr="00EC13F1" w:rsidRDefault="00E96DDB" w:rsidP="00720621">
            <w:pPr>
              <w:rPr>
                <w:sz w:val="16"/>
                <w:szCs w:val="16"/>
              </w:rPr>
            </w:pPr>
            <w:r w:rsidRPr="00EC13F1">
              <w:rPr>
                <w:sz w:val="16"/>
                <w:szCs w:val="16"/>
              </w:rPr>
              <w:t>Észak-Alföld</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41 836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8,11%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175 566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34,02%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298 671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57,87%</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noWrap/>
            <w:vAlign w:val="bottom"/>
          </w:tcPr>
          <w:p w:rsidR="00E96DDB" w:rsidRPr="00EC13F1" w:rsidRDefault="00E96DDB" w:rsidP="00720621">
            <w:pPr>
              <w:rPr>
                <w:sz w:val="16"/>
                <w:szCs w:val="16"/>
              </w:rPr>
            </w:pPr>
            <w:r w:rsidRPr="00EC13F1">
              <w:rPr>
                <w:sz w:val="16"/>
                <w:szCs w:val="16"/>
              </w:rPr>
              <w:t>Észak-Magyarország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20 539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4,79%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166 100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38,73%</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242 250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56,48%</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Közép-Dunántúl</w:t>
            </w:r>
          </w:p>
        </w:tc>
        <w:tc>
          <w:tcPr>
            <w:tcW w:w="1290" w:type="dxa"/>
            <w:tcBorders>
              <w:top w:val="nil"/>
              <w:left w:val="nil"/>
              <w:bottom w:val="single" w:sz="4" w:space="0" w:color="auto"/>
              <w:right w:val="single" w:sz="4" w:space="0" w:color="auto"/>
            </w:tcBorders>
            <w:vAlign w:val="bottom"/>
          </w:tcPr>
          <w:p w:rsidR="00E96DDB" w:rsidRPr="00EC13F1" w:rsidRDefault="00E96DDB" w:rsidP="00720621">
            <w:pPr>
              <w:jc w:val="right"/>
              <w:rPr>
                <w:sz w:val="20"/>
              </w:rPr>
            </w:pPr>
            <w:r w:rsidRPr="00EC13F1">
              <w:rPr>
                <w:sz w:val="20"/>
              </w:rPr>
              <w:t>27 541</w:t>
            </w:r>
          </w:p>
        </w:tc>
        <w:tc>
          <w:tcPr>
            <w:tcW w:w="1290" w:type="dxa"/>
            <w:tcBorders>
              <w:top w:val="nil"/>
              <w:left w:val="nil"/>
              <w:bottom w:val="single" w:sz="4" w:space="0" w:color="auto"/>
              <w:right w:val="single" w:sz="4" w:space="0" w:color="auto"/>
            </w:tcBorders>
            <w:vAlign w:val="bottom"/>
          </w:tcPr>
          <w:p w:rsidR="00E96DDB" w:rsidRPr="00EC13F1" w:rsidRDefault="00E96DDB" w:rsidP="00720621">
            <w:pPr>
              <w:jc w:val="right"/>
              <w:rPr>
                <w:sz w:val="20"/>
              </w:rPr>
            </w:pPr>
            <w:r w:rsidRPr="00EC13F1">
              <w:rPr>
                <w:sz w:val="20"/>
              </w:rPr>
              <w:t>6,10%</w:t>
            </w:r>
          </w:p>
        </w:tc>
        <w:tc>
          <w:tcPr>
            <w:tcW w:w="1290" w:type="dxa"/>
            <w:tcBorders>
              <w:top w:val="nil"/>
              <w:left w:val="nil"/>
              <w:bottom w:val="single" w:sz="4" w:space="0" w:color="auto"/>
              <w:right w:val="single" w:sz="4" w:space="0" w:color="auto"/>
            </w:tcBorders>
            <w:vAlign w:val="bottom"/>
          </w:tcPr>
          <w:p w:rsidR="00E96DDB" w:rsidRPr="00EC13F1" w:rsidRDefault="00E96DDB" w:rsidP="00720621">
            <w:pPr>
              <w:jc w:val="right"/>
              <w:rPr>
                <w:sz w:val="20"/>
              </w:rPr>
            </w:pPr>
            <w:r w:rsidRPr="00EC13F1">
              <w:rPr>
                <w:sz w:val="20"/>
              </w:rPr>
              <w:t>199 603</w:t>
            </w:r>
          </w:p>
        </w:tc>
        <w:tc>
          <w:tcPr>
            <w:tcW w:w="1290" w:type="dxa"/>
            <w:tcBorders>
              <w:top w:val="nil"/>
              <w:left w:val="nil"/>
              <w:bottom w:val="single" w:sz="4" w:space="0" w:color="auto"/>
              <w:right w:val="single" w:sz="4" w:space="0" w:color="auto"/>
            </w:tcBorders>
            <w:vAlign w:val="bottom"/>
          </w:tcPr>
          <w:p w:rsidR="00E96DDB" w:rsidRPr="00EC13F1" w:rsidRDefault="00E96DDB" w:rsidP="00720621">
            <w:pPr>
              <w:jc w:val="right"/>
              <w:rPr>
                <w:sz w:val="20"/>
              </w:rPr>
            </w:pPr>
            <w:r w:rsidRPr="00EC13F1">
              <w:rPr>
                <w:sz w:val="20"/>
              </w:rPr>
              <w:t>44,22%</w:t>
            </w:r>
          </w:p>
        </w:tc>
        <w:tc>
          <w:tcPr>
            <w:tcW w:w="1290" w:type="dxa"/>
            <w:tcBorders>
              <w:top w:val="nil"/>
              <w:left w:val="nil"/>
              <w:bottom w:val="single" w:sz="4" w:space="0" w:color="auto"/>
              <w:right w:val="single" w:sz="4" w:space="0" w:color="auto"/>
            </w:tcBorders>
            <w:vAlign w:val="bottom"/>
          </w:tcPr>
          <w:p w:rsidR="00E96DDB" w:rsidRPr="00EC13F1" w:rsidRDefault="00E96DDB" w:rsidP="00720621">
            <w:pPr>
              <w:jc w:val="right"/>
              <w:rPr>
                <w:sz w:val="20"/>
              </w:rPr>
            </w:pPr>
            <w:r w:rsidRPr="00EC13F1">
              <w:rPr>
                <w:sz w:val="20"/>
              </w:rPr>
              <w:t>224 207</w:t>
            </w:r>
          </w:p>
        </w:tc>
        <w:tc>
          <w:tcPr>
            <w:tcW w:w="1290" w:type="dxa"/>
            <w:tcBorders>
              <w:top w:val="nil"/>
              <w:left w:val="nil"/>
              <w:bottom w:val="single" w:sz="4" w:space="0" w:color="auto"/>
              <w:right w:val="single" w:sz="4" w:space="0" w:color="auto"/>
            </w:tcBorders>
            <w:vAlign w:val="bottom"/>
          </w:tcPr>
          <w:p w:rsidR="00E96DDB" w:rsidRPr="00EC13F1" w:rsidRDefault="00E96DDB" w:rsidP="00720621">
            <w:pPr>
              <w:jc w:val="right"/>
              <w:rPr>
                <w:sz w:val="20"/>
              </w:rPr>
            </w:pPr>
            <w:r w:rsidRPr="00EC13F1">
              <w:rPr>
                <w:sz w:val="20"/>
              </w:rPr>
              <w:t>49,67%</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Közép-Magyarország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22 441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1,91%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312 707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26,56%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842 400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71,54%</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Nyugat-Dunántúl</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23 672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5,50%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180 022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41,85%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226 415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52,64%</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Magyarország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243 445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6,29%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1 325 784</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34,27%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2 299 046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59,43%</w:t>
            </w:r>
          </w:p>
        </w:tc>
      </w:tr>
      <w:tr w:rsidR="00E96DDB" w:rsidRPr="00F309A2" w:rsidTr="00720621">
        <w:trPr>
          <w:cantSplit/>
        </w:trPr>
        <w:tc>
          <w:tcPr>
            <w:tcW w:w="9555" w:type="dxa"/>
            <w:gridSpan w:val="7"/>
            <w:tcBorders>
              <w:top w:val="single" w:sz="4" w:space="0" w:color="auto"/>
              <w:left w:val="single" w:sz="8" w:space="0" w:color="auto"/>
              <w:bottom w:val="single" w:sz="4" w:space="0" w:color="auto"/>
              <w:right w:val="nil"/>
            </w:tcBorders>
            <w:noWrap/>
            <w:vAlign w:val="center"/>
          </w:tcPr>
          <w:p w:rsidR="00E96DDB" w:rsidRPr="00EC13F1" w:rsidRDefault="00E96DDB" w:rsidP="00720621">
            <w:pPr>
              <w:jc w:val="center"/>
              <w:rPr>
                <w:b/>
                <w:bCs/>
                <w:sz w:val="16"/>
                <w:szCs w:val="16"/>
              </w:rPr>
            </w:pPr>
            <w:r w:rsidRPr="00EC13F1">
              <w:rPr>
                <w:b/>
                <w:bCs/>
                <w:sz w:val="16"/>
                <w:szCs w:val="16"/>
              </w:rPr>
              <w:t>2005</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Dél-Alföld</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50 283</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10,31%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160 271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32,85%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277 286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56,84%</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Dél-Dunántúl</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28 311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8,01%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114 849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32,48%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210 464</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59,52%</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Észak-Alföld</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36 812</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7,11%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166 487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32,18%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314 123</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60,71%</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Észak-Magyarország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16 701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3,99%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156 053</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37,27%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245 920</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58,74%</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Közép-Dunántúl</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22 411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4,88%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198 078</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43,11%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238 987</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52,01%</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Közép-Magyarország</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16 671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1,35%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301 745</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24,36%</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920 501</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74,30%</w:t>
            </w:r>
          </w:p>
        </w:tc>
      </w:tr>
      <w:tr w:rsidR="00E96DDB" w:rsidRPr="00F309A2"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rPr>
                <w:sz w:val="16"/>
                <w:szCs w:val="16"/>
              </w:rPr>
            </w:pPr>
            <w:r w:rsidRPr="00EC13F1">
              <w:rPr>
                <w:sz w:val="16"/>
                <w:szCs w:val="16"/>
              </w:rPr>
              <w:t>Nyugat-Dunántúl</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22 739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5,34%</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166 539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39,14%</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236 269</w:t>
            </w:r>
          </w:p>
        </w:tc>
        <w:tc>
          <w:tcPr>
            <w:tcW w:w="1290" w:type="dxa"/>
            <w:tcBorders>
              <w:top w:val="nil"/>
              <w:left w:val="nil"/>
              <w:bottom w:val="single" w:sz="4" w:space="0" w:color="auto"/>
              <w:right w:val="single" w:sz="4" w:space="0" w:color="auto"/>
            </w:tcBorders>
            <w:noWrap/>
            <w:vAlign w:val="bottom"/>
          </w:tcPr>
          <w:p w:rsidR="00E96DDB" w:rsidRPr="00EC13F1" w:rsidRDefault="00E96DDB" w:rsidP="00720621">
            <w:pPr>
              <w:jc w:val="right"/>
              <w:rPr>
                <w:sz w:val="20"/>
              </w:rPr>
            </w:pPr>
            <w:r w:rsidRPr="00EC13F1">
              <w:rPr>
                <w:sz w:val="20"/>
              </w:rPr>
              <w:t>55,52%</w:t>
            </w:r>
          </w:p>
        </w:tc>
      </w:tr>
      <w:tr w:rsidR="00E96DDB" w:rsidRPr="00F309A2" w:rsidTr="00720621">
        <w:trPr>
          <w:cantSplit/>
        </w:trPr>
        <w:tc>
          <w:tcPr>
            <w:tcW w:w="1815" w:type="dxa"/>
            <w:tcBorders>
              <w:top w:val="nil"/>
              <w:left w:val="single" w:sz="8" w:space="0" w:color="auto"/>
              <w:bottom w:val="single" w:sz="8" w:space="0" w:color="auto"/>
              <w:right w:val="single" w:sz="4" w:space="0" w:color="auto"/>
            </w:tcBorders>
            <w:noWrap/>
            <w:vAlign w:val="bottom"/>
          </w:tcPr>
          <w:p w:rsidR="00E96DDB" w:rsidRPr="00EC13F1" w:rsidRDefault="00E96DDB" w:rsidP="00720621">
            <w:pPr>
              <w:rPr>
                <w:sz w:val="16"/>
                <w:szCs w:val="16"/>
              </w:rPr>
            </w:pPr>
            <w:r w:rsidRPr="00EC13F1">
              <w:rPr>
                <w:sz w:val="16"/>
                <w:szCs w:val="16"/>
              </w:rPr>
              <w:t>Magyarország</w:t>
            </w:r>
          </w:p>
        </w:tc>
        <w:tc>
          <w:tcPr>
            <w:tcW w:w="1290" w:type="dxa"/>
            <w:tcBorders>
              <w:top w:val="nil"/>
              <w:left w:val="nil"/>
              <w:bottom w:val="single" w:sz="8" w:space="0" w:color="auto"/>
              <w:right w:val="single" w:sz="4" w:space="0" w:color="auto"/>
            </w:tcBorders>
            <w:noWrap/>
            <w:vAlign w:val="bottom"/>
          </w:tcPr>
          <w:p w:rsidR="00E96DDB" w:rsidRPr="00EC13F1" w:rsidRDefault="00E96DDB" w:rsidP="00720621">
            <w:pPr>
              <w:jc w:val="right"/>
              <w:rPr>
                <w:sz w:val="20"/>
              </w:rPr>
            </w:pPr>
            <w:r w:rsidRPr="00EC13F1">
              <w:rPr>
                <w:sz w:val="20"/>
              </w:rPr>
              <w:t>193 928</w:t>
            </w:r>
          </w:p>
        </w:tc>
        <w:tc>
          <w:tcPr>
            <w:tcW w:w="1290" w:type="dxa"/>
            <w:tcBorders>
              <w:top w:val="nil"/>
              <w:left w:val="nil"/>
              <w:bottom w:val="single" w:sz="8" w:space="0" w:color="auto"/>
              <w:right w:val="single" w:sz="4" w:space="0" w:color="auto"/>
            </w:tcBorders>
            <w:noWrap/>
            <w:vAlign w:val="bottom"/>
          </w:tcPr>
          <w:p w:rsidR="00E96DDB" w:rsidRPr="00EC13F1" w:rsidRDefault="00E96DDB" w:rsidP="00720621">
            <w:pPr>
              <w:jc w:val="right"/>
              <w:rPr>
                <w:sz w:val="20"/>
              </w:rPr>
            </w:pPr>
            <w:r w:rsidRPr="00EC13F1">
              <w:rPr>
                <w:sz w:val="20"/>
              </w:rPr>
              <w:t>4,97%</w:t>
            </w:r>
          </w:p>
        </w:tc>
        <w:tc>
          <w:tcPr>
            <w:tcW w:w="1290" w:type="dxa"/>
            <w:tcBorders>
              <w:top w:val="nil"/>
              <w:left w:val="nil"/>
              <w:bottom w:val="single" w:sz="8" w:space="0" w:color="auto"/>
              <w:right w:val="single" w:sz="4" w:space="0" w:color="auto"/>
            </w:tcBorders>
            <w:noWrap/>
            <w:vAlign w:val="bottom"/>
          </w:tcPr>
          <w:p w:rsidR="00E96DDB" w:rsidRPr="00EC13F1" w:rsidRDefault="00E96DDB" w:rsidP="00720621">
            <w:pPr>
              <w:jc w:val="right"/>
              <w:rPr>
                <w:sz w:val="20"/>
              </w:rPr>
            </w:pPr>
            <w:r w:rsidRPr="00EC13F1">
              <w:rPr>
                <w:sz w:val="20"/>
              </w:rPr>
              <w:t>1 264 022</w:t>
            </w:r>
          </w:p>
        </w:tc>
        <w:tc>
          <w:tcPr>
            <w:tcW w:w="1290" w:type="dxa"/>
            <w:tcBorders>
              <w:top w:val="nil"/>
              <w:left w:val="nil"/>
              <w:bottom w:val="single" w:sz="8" w:space="0" w:color="auto"/>
              <w:right w:val="single" w:sz="4" w:space="0" w:color="auto"/>
            </w:tcBorders>
            <w:noWrap/>
            <w:vAlign w:val="bottom"/>
          </w:tcPr>
          <w:p w:rsidR="00E96DDB" w:rsidRPr="00EC13F1" w:rsidRDefault="00E96DDB" w:rsidP="00720621">
            <w:pPr>
              <w:jc w:val="right"/>
              <w:rPr>
                <w:sz w:val="20"/>
              </w:rPr>
            </w:pPr>
            <w:r w:rsidRPr="00EC13F1">
              <w:rPr>
                <w:sz w:val="20"/>
              </w:rPr>
              <w:t>32,40%</w:t>
            </w:r>
          </w:p>
        </w:tc>
        <w:tc>
          <w:tcPr>
            <w:tcW w:w="1290" w:type="dxa"/>
            <w:tcBorders>
              <w:top w:val="nil"/>
              <w:left w:val="nil"/>
              <w:bottom w:val="single" w:sz="8" w:space="0" w:color="auto"/>
              <w:right w:val="single" w:sz="4" w:space="0" w:color="auto"/>
            </w:tcBorders>
            <w:noWrap/>
            <w:vAlign w:val="bottom"/>
          </w:tcPr>
          <w:p w:rsidR="00E96DDB" w:rsidRPr="00EC13F1" w:rsidRDefault="00E96DDB" w:rsidP="00720621">
            <w:pPr>
              <w:jc w:val="right"/>
              <w:rPr>
                <w:sz w:val="20"/>
              </w:rPr>
            </w:pPr>
            <w:r w:rsidRPr="00EC13F1">
              <w:rPr>
                <w:sz w:val="20"/>
              </w:rPr>
              <w:t>2443 550</w:t>
            </w:r>
          </w:p>
        </w:tc>
        <w:tc>
          <w:tcPr>
            <w:tcW w:w="1290" w:type="dxa"/>
            <w:tcBorders>
              <w:top w:val="nil"/>
              <w:left w:val="nil"/>
              <w:bottom w:val="single" w:sz="8" w:space="0" w:color="auto"/>
              <w:right w:val="single" w:sz="4" w:space="0" w:color="auto"/>
            </w:tcBorders>
            <w:noWrap/>
            <w:vAlign w:val="bottom"/>
          </w:tcPr>
          <w:p w:rsidR="00E96DDB" w:rsidRPr="00EC13F1" w:rsidRDefault="00E96DDB" w:rsidP="00720621">
            <w:pPr>
              <w:jc w:val="right"/>
              <w:rPr>
                <w:sz w:val="20"/>
              </w:rPr>
            </w:pPr>
            <w:r w:rsidRPr="00EC13F1">
              <w:rPr>
                <w:sz w:val="20"/>
              </w:rPr>
              <w:t>62,63%</w:t>
            </w:r>
          </w:p>
        </w:tc>
      </w:tr>
      <w:tr w:rsidR="00E96DDB" w:rsidRPr="00EC13F1" w:rsidTr="00720621">
        <w:trPr>
          <w:cantSplit/>
        </w:trPr>
        <w:tc>
          <w:tcPr>
            <w:tcW w:w="9555" w:type="dxa"/>
            <w:gridSpan w:val="7"/>
            <w:tcBorders>
              <w:top w:val="single" w:sz="4" w:space="0" w:color="auto"/>
              <w:left w:val="single" w:sz="8" w:space="0" w:color="auto"/>
              <w:bottom w:val="single" w:sz="4" w:space="0" w:color="auto"/>
              <w:right w:val="nil"/>
            </w:tcBorders>
            <w:noWrap/>
            <w:vAlign w:val="center"/>
          </w:tcPr>
          <w:p w:rsidR="00E96DDB" w:rsidRPr="00EC13F1" w:rsidRDefault="00E96DDB" w:rsidP="00720621">
            <w:pPr>
              <w:keepNext/>
              <w:jc w:val="center"/>
              <w:rPr>
                <w:b/>
                <w:bCs/>
                <w:sz w:val="16"/>
                <w:szCs w:val="16"/>
              </w:rPr>
            </w:pPr>
            <w:r w:rsidRPr="00EC13F1">
              <w:rPr>
                <w:b/>
                <w:bCs/>
                <w:sz w:val="16"/>
                <w:szCs w:val="16"/>
              </w:rPr>
              <w:t>20</w:t>
            </w:r>
            <w:r>
              <w:rPr>
                <w:b/>
                <w:bCs/>
                <w:sz w:val="16"/>
                <w:szCs w:val="16"/>
              </w:rPr>
              <w:t>11</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keepNext/>
              <w:rPr>
                <w:sz w:val="16"/>
                <w:szCs w:val="16"/>
              </w:rPr>
            </w:pPr>
            <w:r w:rsidRPr="00EC13F1">
              <w:rPr>
                <w:sz w:val="16"/>
                <w:szCs w:val="16"/>
              </w:rPr>
              <w:t>Dél-Alföld</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47 546</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9,88%</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144 002</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29,93%</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289 598</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60,19%</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keepNext/>
              <w:rPr>
                <w:sz w:val="16"/>
                <w:szCs w:val="16"/>
              </w:rPr>
            </w:pPr>
            <w:r w:rsidRPr="00EC13F1">
              <w:rPr>
                <w:sz w:val="16"/>
                <w:szCs w:val="16"/>
              </w:rPr>
              <w:t>Dél-Dunántúl</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25 911</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7,76%</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105 855</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31,70%</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202 124</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60,54%</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keepNext/>
              <w:rPr>
                <w:sz w:val="16"/>
                <w:szCs w:val="16"/>
              </w:rPr>
            </w:pPr>
            <w:r w:rsidRPr="00EC13F1">
              <w:rPr>
                <w:sz w:val="16"/>
                <w:szCs w:val="16"/>
              </w:rPr>
              <w:t>Észak-Alföld</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37 479</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7,39%</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155 301</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30,61%</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314 541</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62,00%</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keepNext/>
              <w:rPr>
                <w:sz w:val="16"/>
                <w:szCs w:val="16"/>
              </w:rPr>
            </w:pPr>
            <w:r w:rsidRPr="00EC13F1">
              <w:rPr>
                <w:sz w:val="16"/>
                <w:szCs w:val="16"/>
              </w:rPr>
              <w:t>Észak-Magyarország</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17 167</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4,44%</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140 477</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36,30%</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229 347</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59,26%</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keepNext/>
              <w:rPr>
                <w:sz w:val="16"/>
                <w:szCs w:val="16"/>
              </w:rPr>
            </w:pPr>
            <w:r w:rsidRPr="00EC13F1">
              <w:rPr>
                <w:sz w:val="16"/>
                <w:szCs w:val="16"/>
              </w:rPr>
              <w:t>Közép-Dunántúl</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18 933</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4,23%</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190 545</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42,59%</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237 929</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53,18%</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keepNext/>
              <w:rPr>
                <w:sz w:val="16"/>
                <w:szCs w:val="16"/>
              </w:rPr>
            </w:pPr>
            <w:r w:rsidRPr="00EC13F1">
              <w:rPr>
                <w:sz w:val="16"/>
                <w:szCs w:val="16"/>
              </w:rPr>
              <w:t>Közép-Magyarország</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14 592</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1,17%</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274 532</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22,09%</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953 772</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76,74%</w:t>
            </w:r>
          </w:p>
        </w:tc>
      </w:tr>
      <w:tr w:rsidR="00E96DDB" w:rsidRPr="00EC13F1" w:rsidTr="00720621">
        <w:trPr>
          <w:cantSplit/>
        </w:trPr>
        <w:tc>
          <w:tcPr>
            <w:tcW w:w="1815" w:type="dxa"/>
            <w:tcBorders>
              <w:top w:val="nil"/>
              <w:left w:val="single" w:sz="8" w:space="0" w:color="auto"/>
              <w:bottom w:val="single" w:sz="4" w:space="0" w:color="auto"/>
              <w:right w:val="single" w:sz="4" w:space="0" w:color="auto"/>
            </w:tcBorders>
            <w:vAlign w:val="bottom"/>
          </w:tcPr>
          <w:p w:rsidR="00E96DDB" w:rsidRPr="00EC13F1" w:rsidRDefault="00E96DDB" w:rsidP="00720621">
            <w:pPr>
              <w:keepNext/>
              <w:rPr>
                <w:sz w:val="16"/>
                <w:szCs w:val="16"/>
              </w:rPr>
            </w:pPr>
            <w:r w:rsidRPr="00EC13F1">
              <w:rPr>
                <w:sz w:val="16"/>
                <w:szCs w:val="16"/>
              </w:rPr>
              <w:t>Nyugat-Dunántúl</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23 492</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5,70%</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163 070</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39,55%</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225 735</w:t>
            </w:r>
          </w:p>
        </w:tc>
        <w:tc>
          <w:tcPr>
            <w:tcW w:w="1290" w:type="dxa"/>
            <w:tcBorders>
              <w:top w:val="nil"/>
              <w:left w:val="nil"/>
              <w:bottom w:val="single" w:sz="4"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54,75%</w:t>
            </w:r>
          </w:p>
        </w:tc>
      </w:tr>
      <w:tr w:rsidR="00E96DDB" w:rsidRPr="00EC13F1" w:rsidTr="00720621">
        <w:trPr>
          <w:cantSplit/>
        </w:trPr>
        <w:tc>
          <w:tcPr>
            <w:tcW w:w="1815" w:type="dxa"/>
            <w:tcBorders>
              <w:top w:val="nil"/>
              <w:left w:val="single" w:sz="8" w:space="0" w:color="auto"/>
              <w:bottom w:val="single" w:sz="8" w:space="0" w:color="auto"/>
              <w:right w:val="single" w:sz="4" w:space="0" w:color="auto"/>
            </w:tcBorders>
            <w:noWrap/>
            <w:vAlign w:val="bottom"/>
          </w:tcPr>
          <w:p w:rsidR="00E96DDB" w:rsidRPr="00EC13F1" w:rsidRDefault="00E96DDB" w:rsidP="00720621">
            <w:pPr>
              <w:keepNext/>
              <w:rPr>
                <w:sz w:val="16"/>
                <w:szCs w:val="16"/>
              </w:rPr>
            </w:pPr>
            <w:r w:rsidRPr="00EC13F1">
              <w:rPr>
                <w:sz w:val="16"/>
                <w:szCs w:val="16"/>
              </w:rPr>
              <w:t>Magyarország</w:t>
            </w:r>
          </w:p>
        </w:tc>
        <w:tc>
          <w:tcPr>
            <w:tcW w:w="1290" w:type="dxa"/>
            <w:tcBorders>
              <w:top w:val="nil"/>
              <w:left w:val="nil"/>
              <w:bottom w:val="single" w:sz="8"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185 120</w:t>
            </w:r>
          </w:p>
        </w:tc>
        <w:tc>
          <w:tcPr>
            <w:tcW w:w="1290" w:type="dxa"/>
            <w:tcBorders>
              <w:top w:val="nil"/>
              <w:left w:val="nil"/>
              <w:bottom w:val="single" w:sz="8"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4,86%</w:t>
            </w:r>
          </w:p>
        </w:tc>
        <w:tc>
          <w:tcPr>
            <w:tcW w:w="1290" w:type="dxa"/>
            <w:tcBorders>
              <w:top w:val="nil"/>
              <w:left w:val="nil"/>
              <w:bottom w:val="single" w:sz="8"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1 173 782</w:t>
            </w:r>
          </w:p>
        </w:tc>
        <w:tc>
          <w:tcPr>
            <w:tcW w:w="1290" w:type="dxa"/>
            <w:tcBorders>
              <w:top w:val="nil"/>
              <w:left w:val="nil"/>
              <w:bottom w:val="single" w:sz="8"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30,79%</w:t>
            </w:r>
          </w:p>
        </w:tc>
        <w:tc>
          <w:tcPr>
            <w:tcW w:w="1290" w:type="dxa"/>
            <w:tcBorders>
              <w:top w:val="nil"/>
              <w:left w:val="nil"/>
              <w:bottom w:val="single" w:sz="8"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2 453 046</w:t>
            </w:r>
          </w:p>
        </w:tc>
        <w:tc>
          <w:tcPr>
            <w:tcW w:w="1290" w:type="dxa"/>
            <w:tcBorders>
              <w:top w:val="nil"/>
              <w:left w:val="nil"/>
              <w:bottom w:val="single" w:sz="8" w:space="0" w:color="auto"/>
              <w:right w:val="single" w:sz="4" w:space="0" w:color="auto"/>
            </w:tcBorders>
            <w:noWrap/>
            <w:vAlign w:val="bottom"/>
          </w:tcPr>
          <w:p w:rsidR="00E96DDB" w:rsidRPr="00946E68" w:rsidRDefault="00E96DDB" w:rsidP="00720621">
            <w:pPr>
              <w:jc w:val="right"/>
              <w:rPr>
                <w:sz w:val="20"/>
                <w:szCs w:val="20"/>
              </w:rPr>
            </w:pPr>
            <w:r w:rsidRPr="00946E68">
              <w:rPr>
                <w:sz w:val="20"/>
                <w:szCs w:val="20"/>
              </w:rPr>
              <w:t>64,35%</w:t>
            </w:r>
          </w:p>
        </w:tc>
      </w:tr>
    </w:tbl>
    <w:p w:rsidR="00E96DDB" w:rsidRPr="00EC13F1" w:rsidRDefault="00E96DDB" w:rsidP="00E96DDB">
      <w:pPr>
        <w:rPr>
          <w:sz w:val="20"/>
        </w:rPr>
      </w:pPr>
      <w:r w:rsidRPr="00EC13F1">
        <w:rPr>
          <w:sz w:val="20"/>
        </w:rPr>
        <w:t xml:space="preserve">Forrás: Munkaerő felmérés 2001, 2005, </w:t>
      </w:r>
      <w:r>
        <w:rPr>
          <w:sz w:val="20"/>
        </w:rPr>
        <w:t>2011</w:t>
      </w:r>
    </w:p>
    <w:p w:rsidR="00A426DD" w:rsidRPr="002229D7" w:rsidRDefault="00A426DD" w:rsidP="002229D7">
      <w:r w:rsidRPr="002229D7">
        <w:lastRenderedPageBreak/>
        <w:t>A foglalkoztatás szektoronkénti és regionális bontásából jól látható, hogy a mezőgazdaság foglalkoztatásban betöltött szerepe a vizsgált időszakban jól kivehetően a Dél-Alföldi, az Észak-Alföldi és a Dél-Dunántúli régióban a legjelentősebb, ugyanakkor a csökkenés is a Dél-Alföldi és a Dél-Dunántúli régiókban a legjelentősebb. A mezőgazdaság szerepe országos szinten is csökkent,</w:t>
      </w:r>
      <w:r w:rsidR="00C321A9" w:rsidRPr="002229D7">
        <w:t xml:space="preserve"> </w:t>
      </w:r>
      <w:r w:rsidRPr="002229D7">
        <w:t>helyét fokozatosan a szolgáltatási szektor vette át, amely a mezőgazdasággal ellentétben inkább a városokhoz kötődik. Ebből is eredeztethető a vidéki települések foglalkoztatási helyzetének romlása.</w:t>
      </w:r>
    </w:p>
    <w:p w:rsidR="00E96DDB" w:rsidRPr="00AA6631" w:rsidRDefault="007E5FDF" w:rsidP="002B6CB3">
      <w:pPr>
        <w:pStyle w:val="bra-cmetbla"/>
      </w:pPr>
      <w:fldSimple w:instr=" SEQ táblázat \* ARABIC ">
        <w:r w:rsidR="00E5031F">
          <w:rPr>
            <w:noProof/>
          </w:rPr>
          <w:t>6</w:t>
        </w:r>
      </w:fldSimple>
      <w:r w:rsidR="002B6CB3" w:rsidRPr="000842E9">
        <w:t xml:space="preserve">. táblázat: </w:t>
      </w:r>
      <w:r w:rsidR="00E96DDB" w:rsidRPr="000842E9">
        <w:t>Gazdasági aktivitás a vidéki - nem vidéki térségekben (2001, 2005, 2011)</w:t>
      </w:r>
    </w:p>
    <w:tbl>
      <w:tblPr>
        <w:tblW w:w="8835" w:type="dxa"/>
        <w:tblInd w:w="55" w:type="dxa"/>
        <w:tblCellMar>
          <w:left w:w="70" w:type="dxa"/>
          <w:right w:w="70" w:type="dxa"/>
        </w:tblCellMar>
        <w:tblLook w:val="0000" w:firstRow="0" w:lastRow="0" w:firstColumn="0" w:lastColumn="0" w:noHBand="0" w:noVBand="0"/>
      </w:tblPr>
      <w:tblGrid>
        <w:gridCol w:w="1815"/>
        <w:gridCol w:w="1620"/>
        <w:gridCol w:w="2160"/>
        <w:gridCol w:w="1620"/>
        <w:gridCol w:w="1620"/>
      </w:tblGrid>
      <w:tr w:rsidR="00E96DDB" w:rsidRPr="00F309A2" w:rsidTr="00720621">
        <w:trPr>
          <w:cantSplit/>
          <w:trHeight w:val="833"/>
        </w:trPr>
        <w:tc>
          <w:tcPr>
            <w:tcW w:w="181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96DDB" w:rsidRPr="00EC13F1" w:rsidRDefault="00E96DDB" w:rsidP="00720621">
            <w:pPr>
              <w:jc w:val="center"/>
              <w:rPr>
                <w:sz w:val="16"/>
                <w:szCs w:val="16"/>
              </w:rPr>
            </w:pPr>
            <w:r w:rsidRPr="00EC13F1">
              <w:rPr>
                <w:sz w:val="16"/>
                <w:szCs w:val="16"/>
              </w:rPr>
              <w:t>Megnevezés</w:t>
            </w:r>
          </w:p>
        </w:tc>
        <w:tc>
          <w:tcPr>
            <w:tcW w:w="1620"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EC13F1" w:rsidRDefault="00E96DDB" w:rsidP="00720621">
            <w:pPr>
              <w:jc w:val="center"/>
              <w:rPr>
                <w:sz w:val="16"/>
                <w:szCs w:val="16"/>
              </w:rPr>
            </w:pPr>
            <w:r w:rsidRPr="00EC13F1">
              <w:rPr>
                <w:sz w:val="16"/>
                <w:szCs w:val="16"/>
              </w:rPr>
              <w:t>Gazdaságilag aktív népesség</w:t>
            </w:r>
          </w:p>
          <w:p w:rsidR="00E96DDB" w:rsidRPr="00EC13F1" w:rsidRDefault="00E96DDB" w:rsidP="00720621">
            <w:pPr>
              <w:jc w:val="center"/>
              <w:rPr>
                <w:sz w:val="16"/>
                <w:szCs w:val="16"/>
              </w:rPr>
            </w:pPr>
            <w:r w:rsidRPr="00EC13F1">
              <w:rPr>
                <w:sz w:val="16"/>
                <w:szCs w:val="16"/>
              </w:rPr>
              <w:t>(15-74 évesek)</w:t>
            </w:r>
          </w:p>
        </w:tc>
        <w:tc>
          <w:tcPr>
            <w:tcW w:w="2160"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EC13F1" w:rsidRDefault="00E96DDB" w:rsidP="00720621">
            <w:pPr>
              <w:jc w:val="center"/>
              <w:rPr>
                <w:sz w:val="16"/>
                <w:szCs w:val="16"/>
              </w:rPr>
            </w:pPr>
            <w:r w:rsidRPr="00EC13F1">
              <w:rPr>
                <w:sz w:val="16"/>
                <w:szCs w:val="16"/>
              </w:rPr>
              <w:t>Gazdaságilag nem aktív népesség (15-74 évesek)</w:t>
            </w:r>
          </w:p>
        </w:tc>
        <w:tc>
          <w:tcPr>
            <w:tcW w:w="1620"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EC13F1" w:rsidRDefault="00E96DDB" w:rsidP="00720621">
            <w:pPr>
              <w:jc w:val="center"/>
              <w:rPr>
                <w:sz w:val="16"/>
                <w:szCs w:val="16"/>
              </w:rPr>
            </w:pPr>
            <w:r w:rsidRPr="00EC13F1">
              <w:rPr>
                <w:sz w:val="16"/>
                <w:szCs w:val="16"/>
              </w:rPr>
              <w:t>Gazdaságilag aktív népesség aránya</w:t>
            </w:r>
          </w:p>
          <w:p w:rsidR="00E96DDB" w:rsidRPr="00EC13F1" w:rsidRDefault="00E96DDB" w:rsidP="00720621">
            <w:pPr>
              <w:jc w:val="center"/>
              <w:rPr>
                <w:sz w:val="16"/>
                <w:szCs w:val="16"/>
              </w:rPr>
            </w:pPr>
            <w:r w:rsidRPr="00EC13F1">
              <w:rPr>
                <w:sz w:val="16"/>
                <w:szCs w:val="16"/>
              </w:rPr>
              <w:t>(15-74 évesek)</w:t>
            </w:r>
          </w:p>
        </w:tc>
        <w:tc>
          <w:tcPr>
            <w:tcW w:w="1620"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EC13F1" w:rsidRDefault="00E96DDB" w:rsidP="00720621">
            <w:pPr>
              <w:jc w:val="center"/>
              <w:rPr>
                <w:sz w:val="16"/>
                <w:szCs w:val="16"/>
              </w:rPr>
            </w:pPr>
            <w:r w:rsidRPr="00EC13F1">
              <w:rPr>
                <w:sz w:val="16"/>
                <w:szCs w:val="16"/>
              </w:rPr>
              <w:t>Foglalkoztatottak aránya a gazdaságilag aktív népességből %</w:t>
            </w:r>
          </w:p>
        </w:tc>
      </w:tr>
      <w:tr w:rsidR="00E96DDB" w:rsidRPr="00F309A2" w:rsidTr="00720621">
        <w:trPr>
          <w:cantSplit/>
          <w:trHeight w:val="270"/>
        </w:trPr>
        <w:tc>
          <w:tcPr>
            <w:tcW w:w="8835" w:type="dxa"/>
            <w:gridSpan w:val="5"/>
            <w:tcBorders>
              <w:top w:val="single" w:sz="4" w:space="0" w:color="auto"/>
              <w:left w:val="single" w:sz="8" w:space="0" w:color="auto"/>
              <w:bottom w:val="single" w:sz="8" w:space="0" w:color="auto"/>
              <w:right w:val="single" w:sz="8" w:space="0" w:color="000000"/>
            </w:tcBorders>
            <w:noWrap/>
            <w:vAlign w:val="bottom"/>
          </w:tcPr>
          <w:p w:rsidR="00E96DDB" w:rsidRPr="00EC13F1" w:rsidRDefault="00E96DDB" w:rsidP="00720621">
            <w:pPr>
              <w:jc w:val="center"/>
              <w:rPr>
                <w:b/>
                <w:bCs/>
                <w:sz w:val="16"/>
                <w:szCs w:val="16"/>
              </w:rPr>
            </w:pPr>
            <w:r w:rsidRPr="00EC13F1">
              <w:rPr>
                <w:b/>
                <w:bCs/>
                <w:sz w:val="16"/>
                <w:szCs w:val="16"/>
              </w:rPr>
              <w:t>2001.</w:t>
            </w:r>
          </w:p>
        </w:tc>
      </w:tr>
      <w:tr w:rsidR="00E96DDB" w:rsidRPr="00F309A2" w:rsidTr="00720621">
        <w:trPr>
          <w:cantSplit/>
          <w:trHeight w:val="244"/>
        </w:trPr>
        <w:tc>
          <w:tcPr>
            <w:tcW w:w="1815"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Magyarország</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4 102 387</w:t>
            </w:r>
          </w:p>
        </w:tc>
        <w:tc>
          <w:tcPr>
            <w:tcW w:w="21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3 669 970</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53%</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94%</w:t>
            </w:r>
          </w:p>
        </w:tc>
      </w:tr>
      <w:tr w:rsidR="00E96DDB" w:rsidRPr="00F309A2" w:rsidTr="00720621">
        <w:trPr>
          <w:cantSplit/>
          <w:trHeight w:val="158"/>
        </w:trPr>
        <w:tc>
          <w:tcPr>
            <w:tcW w:w="1815"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Vidéki térség</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1 677 098</w:t>
            </w:r>
          </w:p>
        </w:tc>
        <w:tc>
          <w:tcPr>
            <w:tcW w:w="21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1 630 434</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51%</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93%</w:t>
            </w:r>
          </w:p>
        </w:tc>
      </w:tr>
      <w:tr w:rsidR="00E96DDB" w:rsidRPr="00F309A2" w:rsidTr="00720621">
        <w:trPr>
          <w:cantSplit/>
          <w:trHeight w:val="128"/>
        </w:trPr>
        <w:tc>
          <w:tcPr>
            <w:tcW w:w="1815"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Nem vidéki térség</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2 425 289</w:t>
            </w:r>
          </w:p>
        </w:tc>
        <w:tc>
          <w:tcPr>
            <w:tcW w:w="21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2 039 536</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54%</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95%</w:t>
            </w:r>
          </w:p>
        </w:tc>
      </w:tr>
      <w:tr w:rsidR="00E96DDB" w:rsidRPr="00F309A2" w:rsidTr="00720621">
        <w:trPr>
          <w:cantSplit/>
          <w:trHeight w:val="270"/>
        </w:trPr>
        <w:tc>
          <w:tcPr>
            <w:tcW w:w="8835" w:type="dxa"/>
            <w:gridSpan w:val="5"/>
            <w:tcBorders>
              <w:top w:val="single" w:sz="8" w:space="0" w:color="auto"/>
              <w:left w:val="single" w:sz="8" w:space="0" w:color="auto"/>
              <w:bottom w:val="single" w:sz="8" w:space="0" w:color="auto"/>
              <w:right w:val="single" w:sz="8" w:space="0" w:color="000000"/>
            </w:tcBorders>
            <w:noWrap/>
            <w:vAlign w:val="bottom"/>
          </w:tcPr>
          <w:p w:rsidR="00E96DDB" w:rsidRPr="00EC13F1" w:rsidRDefault="00E96DDB" w:rsidP="00720621">
            <w:pPr>
              <w:jc w:val="center"/>
              <w:rPr>
                <w:b/>
                <w:bCs/>
                <w:sz w:val="16"/>
                <w:szCs w:val="16"/>
              </w:rPr>
            </w:pPr>
            <w:r w:rsidRPr="00EC13F1">
              <w:rPr>
                <w:b/>
                <w:bCs/>
                <w:sz w:val="16"/>
                <w:szCs w:val="16"/>
              </w:rPr>
              <w:t>2005.</w:t>
            </w:r>
          </w:p>
        </w:tc>
      </w:tr>
      <w:tr w:rsidR="00E96DDB" w:rsidRPr="00F309A2" w:rsidTr="00720621">
        <w:trPr>
          <w:cantSplit/>
          <w:trHeight w:val="178"/>
        </w:trPr>
        <w:tc>
          <w:tcPr>
            <w:tcW w:w="1815"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Magyarország</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4 205 354</w:t>
            </w:r>
          </w:p>
        </w:tc>
        <w:tc>
          <w:tcPr>
            <w:tcW w:w="21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3 517 117</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54%</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93%</w:t>
            </w:r>
          </w:p>
        </w:tc>
      </w:tr>
      <w:tr w:rsidR="00E96DDB" w:rsidRPr="00F309A2" w:rsidTr="00720621">
        <w:trPr>
          <w:cantSplit/>
          <w:trHeight w:val="148"/>
        </w:trPr>
        <w:tc>
          <w:tcPr>
            <w:tcW w:w="1815"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Vidéki térség</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1 684 874</w:t>
            </w:r>
          </w:p>
        </w:tc>
        <w:tc>
          <w:tcPr>
            <w:tcW w:w="21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1 590 410</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51%</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92%</w:t>
            </w:r>
          </w:p>
        </w:tc>
      </w:tr>
      <w:tr w:rsidR="00E96DDB" w:rsidRPr="00F309A2" w:rsidTr="00720621">
        <w:trPr>
          <w:cantSplit/>
          <w:trHeight w:val="132"/>
        </w:trPr>
        <w:tc>
          <w:tcPr>
            <w:tcW w:w="1815"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Nem vidéki térség</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2 520 480</w:t>
            </w:r>
          </w:p>
        </w:tc>
        <w:tc>
          <w:tcPr>
            <w:tcW w:w="21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1 926 707</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57%</w:t>
            </w:r>
          </w:p>
        </w:tc>
        <w:tc>
          <w:tcPr>
            <w:tcW w:w="162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94%</w:t>
            </w:r>
          </w:p>
        </w:tc>
      </w:tr>
      <w:tr w:rsidR="00E96DDB" w:rsidRPr="00EC13F1" w:rsidTr="00720621">
        <w:trPr>
          <w:cantSplit/>
          <w:trHeight w:val="270"/>
        </w:trPr>
        <w:tc>
          <w:tcPr>
            <w:tcW w:w="8835" w:type="dxa"/>
            <w:gridSpan w:val="5"/>
            <w:tcBorders>
              <w:top w:val="single" w:sz="8" w:space="0" w:color="auto"/>
              <w:left w:val="single" w:sz="8" w:space="0" w:color="auto"/>
              <w:bottom w:val="single" w:sz="8" w:space="0" w:color="auto"/>
              <w:right w:val="single" w:sz="8" w:space="0" w:color="000000"/>
            </w:tcBorders>
            <w:noWrap/>
            <w:vAlign w:val="bottom"/>
          </w:tcPr>
          <w:p w:rsidR="00E96DDB" w:rsidRPr="00946E68" w:rsidRDefault="00E96DDB" w:rsidP="00720621">
            <w:pPr>
              <w:jc w:val="center"/>
              <w:rPr>
                <w:b/>
                <w:bCs/>
                <w:sz w:val="16"/>
                <w:szCs w:val="16"/>
              </w:rPr>
            </w:pPr>
            <w:r w:rsidRPr="00946E68">
              <w:rPr>
                <w:b/>
                <w:bCs/>
                <w:sz w:val="16"/>
                <w:szCs w:val="16"/>
              </w:rPr>
              <w:t>2011.</w:t>
            </w:r>
          </w:p>
        </w:tc>
      </w:tr>
      <w:tr w:rsidR="00E96DDB" w:rsidRPr="00EC13F1" w:rsidTr="00720621">
        <w:trPr>
          <w:cantSplit/>
          <w:trHeight w:val="168"/>
        </w:trPr>
        <w:tc>
          <w:tcPr>
            <w:tcW w:w="1815"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Magyarország</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4 279 830</w:t>
            </w:r>
          </w:p>
        </w:tc>
        <w:tc>
          <w:tcPr>
            <w:tcW w:w="216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3 395 849</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56%</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90%</w:t>
            </w:r>
          </w:p>
        </w:tc>
      </w:tr>
      <w:tr w:rsidR="00E96DDB" w:rsidRPr="00EC13F1" w:rsidTr="00720621">
        <w:trPr>
          <w:cantSplit/>
          <w:trHeight w:val="139"/>
        </w:trPr>
        <w:tc>
          <w:tcPr>
            <w:tcW w:w="1815"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Vidéki térség</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1 690 820</w:t>
            </w:r>
          </w:p>
        </w:tc>
        <w:tc>
          <w:tcPr>
            <w:tcW w:w="216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1 474 824</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53%</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88%</w:t>
            </w:r>
          </w:p>
        </w:tc>
      </w:tr>
      <w:tr w:rsidR="00E96DDB" w:rsidRPr="00EC13F1" w:rsidTr="00720621">
        <w:trPr>
          <w:cantSplit/>
          <w:trHeight w:val="122"/>
        </w:trPr>
        <w:tc>
          <w:tcPr>
            <w:tcW w:w="1815"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Nem vidéki térség</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2 589 010</w:t>
            </w:r>
          </w:p>
        </w:tc>
        <w:tc>
          <w:tcPr>
            <w:tcW w:w="216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1 921 025</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57%</w:t>
            </w:r>
          </w:p>
        </w:tc>
        <w:tc>
          <w:tcPr>
            <w:tcW w:w="1620" w:type="dxa"/>
            <w:tcBorders>
              <w:top w:val="nil"/>
              <w:left w:val="nil"/>
              <w:bottom w:val="single" w:sz="8" w:space="0" w:color="auto"/>
              <w:right w:val="single" w:sz="8" w:space="0" w:color="auto"/>
            </w:tcBorders>
            <w:noWrap/>
            <w:vAlign w:val="bottom"/>
          </w:tcPr>
          <w:p w:rsidR="00E96DDB" w:rsidRPr="00F8371B" w:rsidRDefault="00E96DDB" w:rsidP="00720621">
            <w:pPr>
              <w:jc w:val="right"/>
              <w:rPr>
                <w:sz w:val="16"/>
                <w:szCs w:val="16"/>
              </w:rPr>
            </w:pPr>
            <w:r w:rsidRPr="00F8371B">
              <w:rPr>
                <w:sz w:val="16"/>
                <w:szCs w:val="16"/>
              </w:rPr>
              <w:t>90%</w:t>
            </w:r>
          </w:p>
        </w:tc>
      </w:tr>
    </w:tbl>
    <w:p w:rsidR="00E96DDB" w:rsidRPr="00EC13F1" w:rsidRDefault="00E96DDB" w:rsidP="00E96DDB">
      <w:pPr>
        <w:rPr>
          <w:sz w:val="20"/>
        </w:rPr>
      </w:pPr>
      <w:r w:rsidRPr="00EC13F1">
        <w:rPr>
          <w:sz w:val="20"/>
        </w:rPr>
        <w:t xml:space="preserve">Forrás: Munkaerő felmérés 2001, 2005, </w:t>
      </w:r>
      <w:r>
        <w:rPr>
          <w:sz w:val="20"/>
        </w:rPr>
        <w:t>2011</w:t>
      </w:r>
    </w:p>
    <w:p w:rsidR="00E96DDB" w:rsidRDefault="00E96DDB" w:rsidP="00E96DDB"/>
    <w:p w:rsidR="00A426DD" w:rsidRPr="002229D7" w:rsidRDefault="00A426DD" w:rsidP="002229D7">
      <w:r w:rsidRPr="002229D7">
        <w:t>A gazdaságilag aktív népesség száma és aránya 2001 és 2005 között csak a nem vidéki térségekben növekedett számottevően (3 százalékpont), a vidéki térségekben ez az érték 2005-ig stagnált, majd 2011-ig csupán 2 százalékpontos növekedést mutatott. A vidékinek minősülő megyék kedvezőtlenebb helyzetét mutatja az is, hogy a foglalkoztatottak aránya a gazdaságilag aktív népességen belül ezeken a területeken a legalacsonyabb.</w:t>
      </w:r>
    </w:p>
    <w:p w:rsidR="00E96DDB" w:rsidRPr="00AA6631" w:rsidRDefault="007E5FDF" w:rsidP="002B6CB3">
      <w:pPr>
        <w:pStyle w:val="bra-cmetbla"/>
      </w:pPr>
      <w:fldSimple w:instr=" SEQ táblázat \* ARABIC ">
        <w:r w:rsidR="00E5031F">
          <w:rPr>
            <w:noProof/>
          </w:rPr>
          <w:t>7</w:t>
        </w:r>
      </w:fldSimple>
      <w:r w:rsidR="002B6CB3" w:rsidRPr="000842E9">
        <w:t xml:space="preserve">. táblázat: </w:t>
      </w:r>
      <w:r w:rsidR="00E96DDB" w:rsidRPr="000842E9">
        <w:t>Gazdasági aktivitás regionális bontásban (2001, 2005, 2011)</w:t>
      </w:r>
    </w:p>
    <w:tbl>
      <w:tblPr>
        <w:tblW w:w="8940" w:type="dxa"/>
        <w:tblInd w:w="55" w:type="dxa"/>
        <w:tblCellMar>
          <w:left w:w="70" w:type="dxa"/>
          <w:right w:w="70" w:type="dxa"/>
        </w:tblCellMar>
        <w:tblLook w:val="0000" w:firstRow="0" w:lastRow="0" w:firstColumn="0" w:lastColumn="0" w:noHBand="0" w:noVBand="0"/>
      </w:tblPr>
      <w:tblGrid>
        <w:gridCol w:w="1860"/>
        <w:gridCol w:w="1600"/>
        <w:gridCol w:w="2080"/>
        <w:gridCol w:w="1740"/>
        <w:gridCol w:w="1660"/>
      </w:tblGrid>
      <w:tr w:rsidR="00E96DDB" w:rsidRPr="00F309A2" w:rsidTr="00720621">
        <w:trPr>
          <w:cantSplit/>
          <w:trHeight w:val="450"/>
        </w:trPr>
        <w:tc>
          <w:tcPr>
            <w:tcW w:w="1860"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rsidR="00E96DDB" w:rsidRPr="00EC13F1" w:rsidRDefault="00E96DDB" w:rsidP="00720621">
            <w:pPr>
              <w:jc w:val="center"/>
              <w:rPr>
                <w:sz w:val="16"/>
                <w:szCs w:val="16"/>
              </w:rPr>
            </w:pPr>
            <w:r w:rsidRPr="00EC13F1">
              <w:rPr>
                <w:sz w:val="16"/>
                <w:szCs w:val="16"/>
              </w:rPr>
              <w:t>Megnevezés</w:t>
            </w:r>
          </w:p>
        </w:tc>
        <w:tc>
          <w:tcPr>
            <w:tcW w:w="1600" w:type="dxa"/>
            <w:tcBorders>
              <w:top w:val="single" w:sz="4" w:space="0" w:color="auto"/>
              <w:left w:val="single" w:sz="4" w:space="0" w:color="auto"/>
              <w:bottom w:val="single" w:sz="4" w:space="0" w:color="auto"/>
              <w:right w:val="single" w:sz="4" w:space="0" w:color="auto"/>
            </w:tcBorders>
            <w:shd w:val="clear" w:color="auto" w:fill="C0C0C0"/>
            <w:vAlign w:val="bottom"/>
          </w:tcPr>
          <w:p w:rsidR="00E96DDB" w:rsidRPr="00EC13F1" w:rsidRDefault="00E96DDB" w:rsidP="00720621">
            <w:pPr>
              <w:jc w:val="center"/>
              <w:rPr>
                <w:sz w:val="16"/>
                <w:szCs w:val="16"/>
              </w:rPr>
            </w:pPr>
            <w:r w:rsidRPr="00EC13F1">
              <w:rPr>
                <w:sz w:val="16"/>
                <w:szCs w:val="16"/>
              </w:rPr>
              <w:t>Gazdaságilag aktív népesség</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rsidR="00E96DDB" w:rsidRPr="00EC13F1" w:rsidRDefault="00E96DDB" w:rsidP="00720621">
            <w:pPr>
              <w:jc w:val="center"/>
              <w:rPr>
                <w:sz w:val="16"/>
                <w:szCs w:val="16"/>
              </w:rPr>
            </w:pPr>
            <w:r w:rsidRPr="00EC13F1">
              <w:rPr>
                <w:sz w:val="16"/>
                <w:szCs w:val="16"/>
              </w:rPr>
              <w:t>Gazdaságilag nem aktív népesség (15-74 évesek)</w:t>
            </w:r>
          </w:p>
        </w:tc>
        <w:tc>
          <w:tcPr>
            <w:tcW w:w="1740" w:type="dxa"/>
            <w:tcBorders>
              <w:top w:val="single" w:sz="4" w:space="0" w:color="auto"/>
              <w:left w:val="single" w:sz="4" w:space="0" w:color="auto"/>
              <w:bottom w:val="single" w:sz="4" w:space="0" w:color="auto"/>
              <w:right w:val="single" w:sz="4" w:space="0" w:color="auto"/>
            </w:tcBorders>
            <w:shd w:val="clear" w:color="auto" w:fill="C0C0C0"/>
            <w:vAlign w:val="bottom"/>
          </w:tcPr>
          <w:p w:rsidR="00E96DDB" w:rsidRPr="00EC13F1" w:rsidRDefault="00E96DDB" w:rsidP="00720621">
            <w:pPr>
              <w:jc w:val="center"/>
              <w:rPr>
                <w:sz w:val="16"/>
                <w:szCs w:val="16"/>
              </w:rPr>
            </w:pPr>
            <w:r w:rsidRPr="00EC13F1">
              <w:rPr>
                <w:sz w:val="16"/>
                <w:szCs w:val="16"/>
              </w:rPr>
              <w:t>Gazdaságilag aktív népesség aránya</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rsidR="00E96DDB" w:rsidRPr="00EC13F1" w:rsidRDefault="00E96DDB" w:rsidP="00720621">
            <w:pPr>
              <w:jc w:val="center"/>
              <w:rPr>
                <w:sz w:val="16"/>
                <w:szCs w:val="16"/>
              </w:rPr>
            </w:pPr>
            <w:r w:rsidRPr="00EC13F1">
              <w:rPr>
                <w:sz w:val="16"/>
                <w:szCs w:val="16"/>
              </w:rPr>
              <w:t>Foglalkoztatottak aránya a gazdaságilag aktív népességből %</w:t>
            </w:r>
          </w:p>
        </w:tc>
      </w:tr>
      <w:tr w:rsidR="00E96DDB" w:rsidRPr="00F309A2" w:rsidTr="00720621">
        <w:trPr>
          <w:trHeight w:val="270"/>
        </w:trPr>
        <w:tc>
          <w:tcPr>
            <w:tcW w:w="1860" w:type="dxa"/>
            <w:vMerge/>
            <w:tcBorders>
              <w:top w:val="single" w:sz="4" w:space="0" w:color="auto"/>
              <w:left w:val="single" w:sz="8" w:space="0" w:color="auto"/>
              <w:bottom w:val="single" w:sz="8" w:space="0" w:color="000000"/>
              <w:right w:val="single" w:sz="8" w:space="0" w:color="auto"/>
            </w:tcBorders>
            <w:vAlign w:val="center"/>
          </w:tcPr>
          <w:p w:rsidR="00E96DDB" w:rsidRPr="00EC13F1" w:rsidRDefault="00E96DDB" w:rsidP="00720621">
            <w:pPr>
              <w:rPr>
                <w:sz w:val="16"/>
                <w:szCs w:val="16"/>
              </w:rPr>
            </w:pPr>
          </w:p>
        </w:tc>
        <w:tc>
          <w:tcPr>
            <w:tcW w:w="1600" w:type="dxa"/>
            <w:tcBorders>
              <w:top w:val="single" w:sz="4" w:space="0" w:color="auto"/>
              <w:left w:val="nil"/>
              <w:bottom w:val="single" w:sz="8" w:space="0" w:color="auto"/>
              <w:right w:val="single" w:sz="8" w:space="0" w:color="auto"/>
            </w:tcBorders>
            <w:shd w:val="clear" w:color="auto" w:fill="C0C0C0"/>
            <w:vAlign w:val="bottom"/>
          </w:tcPr>
          <w:p w:rsidR="00E96DDB" w:rsidRPr="00EC13F1" w:rsidRDefault="00E96DDB" w:rsidP="00720621">
            <w:pPr>
              <w:jc w:val="center"/>
              <w:rPr>
                <w:sz w:val="16"/>
                <w:szCs w:val="16"/>
              </w:rPr>
            </w:pPr>
            <w:r w:rsidRPr="00EC13F1">
              <w:rPr>
                <w:sz w:val="16"/>
                <w:szCs w:val="16"/>
              </w:rPr>
              <w:t>(15-74 évesek)</w:t>
            </w:r>
          </w:p>
        </w:tc>
        <w:tc>
          <w:tcPr>
            <w:tcW w:w="2080" w:type="dxa"/>
            <w:vMerge/>
            <w:tcBorders>
              <w:top w:val="single" w:sz="4" w:space="0" w:color="auto"/>
              <w:left w:val="single" w:sz="8" w:space="0" w:color="auto"/>
              <w:bottom w:val="single" w:sz="8" w:space="0" w:color="000000"/>
              <w:right w:val="single" w:sz="8" w:space="0" w:color="auto"/>
            </w:tcBorders>
            <w:vAlign w:val="center"/>
          </w:tcPr>
          <w:p w:rsidR="00E96DDB" w:rsidRPr="00EC13F1" w:rsidRDefault="00E96DDB" w:rsidP="00720621">
            <w:pPr>
              <w:rPr>
                <w:sz w:val="16"/>
                <w:szCs w:val="16"/>
              </w:rPr>
            </w:pPr>
          </w:p>
        </w:tc>
        <w:tc>
          <w:tcPr>
            <w:tcW w:w="1740" w:type="dxa"/>
            <w:tcBorders>
              <w:top w:val="single" w:sz="4" w:space="0" w:color="auto"/>
              <w:left w:val="nil"/>
              <w:bottom w:val="single" w:sz="8" w:space="0" w:color="auto"/>
              <w:right w:val="single" w:sz="8" w:space="0" w:color="auto"/>
            </w:tcBorders>
            <w:shd w:val="clear" w:color="auto" w:fill="C0C0C0"/>
            <w:vAlign w:val="bottom"/>
          </w:tcPr>
          <w:p w:rsidR="00E96DDB" w:rsidRPr="00EC13F1" w:rsidRDefault="00E96DDB" w:rsidP="00720621">
            <w:pPr>
              <w:jc w:val="center"/>
              <w:rPr>
                <w:sz w:val="16"/>
                <w:szCs w:val="16"/>
              </w:rPr>
            </w:pPr>
            <w:r w:rsidRPr="00EC13F1">
              <w:rPr>
                <w:sz w:val="16"/>
                <w:szCs w:val="16"/>
              </w:rPr>
              <w:t>(15-74 évesek)</w:t>
            </w:r>
          </w:p>
        </w:tc>
        <w:tc>
          <w:tcPr>
            <w:tcW w:w="1660" w:type="dxa"/>
            <w:vMerge/>
            <w:tcBorders>
              <w:top w:val="single" w:sz="4" w:space="0" w:color="auto"/>
              <w:left w:val="single" w:sz="8" w:space="0" w:color="auto"/>
              <w:bottom w:val="single" w:sz="8" w:space="0" w:color="000000"/>
              <w:right w:val="single" w:sz="8" w:space="0" w:color="auto"/>
            </w:tcBorders>
            <w:vAlign w:val="center"/>
          </w:tcPr>
          <w:p w:rsidR="00E96DDB" w:rsidRPr="00EC13F1" w:rsidRDefault="00E96DDB" w:rsidP="00720621">
            <w:pPr>
              <w:rPr>
                <w:sz w:val="16"/>
                <w:szCs w:val="16"/>
              </w:rPr>
            </w:pPr>
          </w:p>
        </w:tc>
      </w:tr>
      <w:tr w:rsidR="00E96DDB" w:rsidRPr="00F309A2" w:rsidTr="00720621">
        <w:trPr>
          <w:cantSplit/>
          <w:trHeight w:val="170"/>
        </w:trPr>
        <w:tc>
          <w:tcPr>
            <w:tcW w:w="8940" w:type="dxa"/>
            <w:gridSpan w:val="5"/>
            <w:tcBorders>
              <w:top w:val="single" w:sz="8" w:space="0" w:color="auto"/>
              <w:left w:val="single" w:sz="8" w:space="0" w:color="auto"/>
              <w:bottom w:val="single" w:sz="8" w:space="0" w:color="auto"/>
              <w:right w:val="single" w:sz="8" w:space="0" w:color="000000"/>
            </w:tcBorders>
            <w:noWrap/>
            <w:vAlign w:val="bottom"/>
          </w:tcPr>
          <w:p w:rsidR="00E96DDB" w:rsidRPr="00EC13F1" w:rsidRDefault="00E96DDB" w:rsidP="00720621">
            <w:pPr>
              <w:jc w:val="center"/>
              <w:rPr>
                <w:b/>
                <w:bCs/>
                <w:sz w:val="16"/>
                <w:szCs w:val="16"/>
              </w:rPr>
            </w:pPr>
            <w:r w:rsidRPr="00EC13F1">
              <w:rPr>
                <w:b/>
                <w:bCs/>
                <w:sz w:val="16"/>
                <w:szCs w:val="16"/>
              </w:rPr>
              <w:t>2001.</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Dél-Alföld</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540 190</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501 870</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52%</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95%</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Dél-Dunántúl</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382 915</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380 477</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50%</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92%</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Észak-Alföld</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559 582</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607 326</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48%</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92%</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Észak-Magyarország</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468 476</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511 820</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48%</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92%</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Közép-Dunántúl</w:t>
            </w:r>
          </w:p>
        </w:tc>
        <w:tc>
          <w:tcPr>
            <w:tcW w:w="1600" w:type="dxa"/>
            <w:tcBorders>
              <w:top w:val="nil"/>
              <w:left w:val="nil"/>
              <w:bottom w:val="single" w:sz="8" w:space="0" w:color="auto"/>
              <w:right w:val="single" w:sz="8" w:space="0" w:color="auto"/>
            </w:tcBorders>
            <w:vAlign w:val="bottom"/>
          </w:tcPr>
          <w:p w:rsidR="00E96DDB" w:rsidRPr="00EC13F1" w:rsidRDefault="00E96DDB" w:rsidP="00720621">
            <w:pPr>
              <w:jc w:val="right"/>
              <w:rPr>
                <w:sz w:val="16"/>
                <w:szCs w:val="16"/>
              </w:rPr>
            </w:pPr>
            <w:r w:rsidRPr="00EC13F1">
              <w:rPr>
                <w:sz w:val="16"/>
                <w:szCs w:val="16"/>
              </w:rPr>
              <w:t>471 823</w:t>
            </w:r>
          </w:p>
        </w:tc>
        <w:tc>
          <w:tcPr>
            <w:tcW w:w="2080" w:type="dxa"/>
            <w:tcBorders>
              <w:top w:val="nil"/>
              <w:left w:val="nil"/>
              <w:bottom w:val="single" w:sz="8" w:space="0" w:color="auto"/>
              <w:right w:val="single" w:sz="8" w:space="0" w:color="auto"/>
            </w:tcBorders>
            <w:vAlign w:val="bottom"/>
          </w:tcPr>
          <w:p w:rsidR="00E96DDB" w:rsidRPr="00EC13F1" w:rsidRDefault="00E96DDB" w:rsidP="00720621">
            <w:pPr>
              <w:jc w:val="right"/>
              <w:rPr>
                <w:sz w:val="16"/>
                <w:szCs w:val="16"/>
              </w:rPr>
            </w:pPr>
            <w:r w:rsidRPr="00EC13F1">
              <w:rPr>
                <w:sz w:val="16"/>
                <w:szCs w:val="16"/>
              </w:rPr>
              <w:t>385 174</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55%</w:t>
            </w:r>
          </w:p>
        </w:tc>
        <w:tc>
          <w:tcPr>
            <w:tcW w:w="1660" w:type="dxa"/>
            <w:tcBorders>
              <w:top w:val="nil"/>
              <w:left w:val="nil"/>
              <w:bottom w:val="single" w:sz="8" w:space="0" w:color="auto"/>
              <w:right w:val="single" w:sz="8" w:space="0" w:color="auto"/>
            </w:tcBorders>
            <w:vAlign w:val="bottom"/>
          </w:tcPr>
          <w:p w:rsidR="00E96DDB" w:rsidRPr="00EC13F1" w:rsidRDefault="00E96DDB" w:rsidP="00720621">
            <w:pPr>
              <w:jc w:val="right"/>
              <w:rPr>
                <w:sz w:val="16"/>
                <w:szCs w:val="16"/>
              </w:rPr>
            </w:pPr>
            <w:r w:rsidRPr="00EC13F1">
              <w:rPr>
                <w:sz w:val="16"/>
                <w:szCs w:val="16"/>
              </w:rPr>
              <w:t>96%</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Közép-Magyarország</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1 230 675</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959 374</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56%</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96%</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Nyugat-Dunántúl</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448 724</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323 928</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58%</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96%</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Magyarország</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4 102 385</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3 669 969</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53%</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94%</w:t>
            </w:r>
          </w:p>
        </w:tc>
      </w:tr>
      <w:tr w:rsidR="00E96DDB" w:rsidRPr="00F309A2" w:rsidTr="00720621">
        <w:trPr>
          <w:cantSplit/>
          <w:trHeight w:val="170"/>
        </w:trPr>
        <w:tc>
          <w:tcPr>
            <w:tcW w:w="8940" w:type="dxa"/>
            <w:gridSpan w:val="5"/>
            <w:tcBorders>
              <w:top w:val="single" w:sz="8" w:space="0" w:color="auto"/>
              <w:left w:val="single" w:sz="8" w:space="0" w:color="auto"/>
              <w:bottom w:val="single" w:sz="8" w:space="0" w:color="auto"/>
              <w:right w:val="single" w:sz="8" w:space="0" w:color="000000"/>
            </w:tcBorders>
            <w:noWrap/>
            <w:vAlign w:val="bottom"/>
          </w:tcPr>
          <w:p w:rsidR="00E96DDB" w:rsidRPr="00EC13F1" w:rsidRDefault="00E96DDB" w:rsidP="00720621">
            <w:pPr>
              <w:jc w:val="center"/>
              <w:rPr>
                <w:b/>
                <w:bCs/>
                <w:sz w:val="16"/>
                <w:szCs w:val="16"/>
              </w:rPr>
            </w:pPr>
            <w:r w:rsidRPr="00EC13F1">
              <w:rPr>
                <w:b/>
                <w:bCs/>
                <w:sz w:val="16"/>
                <w:szCs w:val="16"/>
              </w:rPr>
              <w:t>2005.</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Dél-Alföld</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531 291</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498 108</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52%</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92%</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lastRenderedPageBreak/>
              <w:t>Dél-Dunántúl</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387 736</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362 961</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52%</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91%</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Észak-Alföld</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569 004</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589 550</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49%</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91%</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Észak-Magyarország</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468 387</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492 007</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49%</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89%</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Közép-Dunántúl</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490 388</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366 176</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57%</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94%</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Közép-Magyarország</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1 306 242</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884 474</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60%</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95%</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Nyugat-Dunántúl</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452 306</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323 841</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58%</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94%</w:t>
            </w:r>
          </w:p>
        </w:tc>
      </w:tr>
      <w:tr w:rsidR="00E96DDB" w:rsidRPr="00F309A2" w:rsidTr="00720621">
        <w:trPr>
          <w:cantSplit/>
          <w:trHeight w:val="170"/>
        </w:trPr>
        <w:tc>
          <w:tcPr>
            <w:tcW w:w="1860"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Magyarország</w:t>
            </w:r>
          </w:p>
        </w:tc>
        <w:tc>
          <w:tcPr>
            <w:tcW w:w="160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4 205 354</w:t>
            </w:r>
          </w:p>
        </w:tc>
        <w:tc>
          <w:tcPr>
            <w:tcW w:w="208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3 517 117</w:t>
            </w:r>
          </w:p>
        </w:tc>
        <w:tc>
          <w:tcPr>
            <w:tcW w:w="174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54%</w:t>
            </w:r>
          </w:p>
        </w:tc>
        <w:tc>
          <w:tcPr>
            <w:tcW w:w="1660" w:type="dxa"/>
            <w:tcBorders>
              <w:top w:val="nil"/>
              <w:left w:val="nil"/>
              <w:bottom w:val="single" w:sz="8" w:space="0" w:color="auto"/>
              <w:right w:val="single" w:sz="8" w:space="0" w:color="auto"/>
            </w:tcBorders>
            <w:noWrap/>
            <w:vAlign w:val="bottom"/>
          </w:tcPr>
          <w:p w:rsidR="00E96DDB" w:rsidRPr="00EC13F1" w:rsidRDefault="00E96DDB" w:rsidP="00720621">
            <w:pPr>
              <w:jc w:val="right"/>
              <w:rPr>
                <w:sz w:val="16"/>
                <w:szCs w:val="16"/>
              </w:rPr>
            </w:pPr>
            <w:r w:rsidRPr="00EC13F1">
              <w:rPr>
                <w:sz w:val="16"/>
                <w:szCs w:val="16"/>
              </w:rPr>
              <w:t>93%</w:t>
            </w:r>
          </w:p>
        </w:tc>
      </w:tr>
      <w:tr w:rsidR="00E96DDB" w:rsidRPr="00EC13F1" w:rsidTr="00720621">
        <w:trPr>
          <w:cantSplit/>
          <w:trHeight w:val="170"/>
        </w:trPr>
        <w:tc>
          <w:tcPr>
            <w:tcW w:w="8940" w:type="dxa"/>
            <w:gridSpan w:val="5"/>
            <w:tcBorders>
              <w:top w:val="single" w:sz="8" w:space="0" w:color="auto"/>
              <w:left w:val="single" w:sz="8" w:space="0" w:color="auto"/>
              <w:bottom w:val="single" w:sz="8" w:space="0" w:color="auto"/>
              <w:right w:val="single" w:sz="8" w:space="0" w:color="000000"/>
            </w:tcBorders>
            <w:noWrap/>
            <w:vAlign w:val="bottom"/>
          </w:tcPr>
          <w:p w:rsidR="00E96DDB" w:rsidRPr="00EC13F1" w:rsidRDefault="00E96DDB" w:rsidP="00720621">
            <w:pPr>
              <w:jc w:val="center"/>
              <w:rPr>
                <w:b/>
                <w:bCs/>
                <w:sz w:val="16"/>
                <w:szCs w:val="16"/>
              </w:rPr>
            </w:pPr>
            <w:r w:rsidRPr="00EC13F1">
              <w:rPr>
                <w:b/>
                <w:bCs/>
                <w:sz w:val="16"/>
                <w:szCs w:val="16"/>
              </w:rPr>
              <w:t>2</w:t>
            </w:r>
            <w:r>
              <w:rPr>
                <w:b/>
                <w:bCs/>
                <w:sz w:val="16"/>
                <w:szCs w:val="16"/>
              </w:rPr>
              <w:t>011</w:t>
            </w:r>
            <w:r w:rsidRPr="00EC13F1">
              <w:rPr>
                <w:b/>
                <w:bCs/>
                <w:sz w:val="16"/>
                <w:szCs w:val="16"/>
              </w:rPr>
              <w:t>.</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Dél-Alföld</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538 423</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465 437</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53,64%</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89,36%</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Dél-Dunántúl</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382 368</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345 603</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52,53%</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87,32%</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Észak-Alföld</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593 688</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531 143</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52,78%</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85,45%</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Észak-Magyarország</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464 436</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438 233</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51,45%</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83,32%</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Közép-Dunántúl</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493 499</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348 529</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58,61%</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90,66%</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Közép-Magyarország</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1 362 330</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939 383</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59,19%</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91,23%</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Nyugat-Dunántúl</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445 086</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327 521</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57,61%</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92,63%</w:t>
            </w:r>
          </w:p>
        </w:tc>
      </w:tr>
      <w:tr w:rsidR="00E96DDB" w:rsidRPr="00EC13F1" w:rsidTr="00720621">
        <w:trPr>
          <w:cantSplit/>
          <w:trHeight w:val="170"/>
        </w:trPr>
        <w:tc>
          <w:tcPr>
            <w:tcW w:w="1860" w:type="dxa"/>
            <w:tcBorders>
              <w:top w:val="nil"/>
              <w:left w:val="single" w:sz="8" w:space="0" w:color="auto"/>
              <w:bottom w:val="single" w:sz="8" w:space="0" w:color="auto"/>
              <w:right w:val="single" w:sz="8" w:space="0" w:color="auto"/>
            </w:tcBorders>
            <w:noWrap/>
            <w:vAlign w:val="bottom"/>
          </w:tcPr>
          <w:p w:rsidR="00E96DDB" w:rsidRPr="00EC13F1" w:rsidRDefault="00E96DDB" w:rsidP="00720621">
            <w:pPr>
              <w:rPr>
                <w:sz w:val="16"/>
                <w:szCs w:val="16"/>
              </w:rPr>
            </w:pPr>
            <w:r w:rsidRPr="00EC13F1">
              <w:rPr>
                <w:sz w:val="16"/>
                <w:szCs w:val="16"/>
              </w:rPr>
              <w:t>Magyarország</w:t>
            </w:r>
          </w:p>
        </w:tc>
        <w:tc>
          <w:tcPr>
            <w:tcW w:w="160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4 279 830</w:t>
            </w:r>
          </w:p>
        </w:tc>
        <w:tc>
          <w:tcPr>
            <w:tcW w:w="208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3 395 849</w:t>
            </w:r>
          </w:p>
        </w:tc>
        <w:tc>
          <w:tcPr>
            <w:tcW w:w="174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55,76%</w:t>
            </w:r>
          </w:p>
        </w:tc>
        <w:tc>
          <w:tcPr>
            <w:tcW w:w="1660" w:type="dxa"/>
            <w:tcBorders>
              <w:top w:val="nil"/>
              <w:left w:val="nil"/>
              <w:bottom w:val="single" w:sz="8" w:space="0" w:color="auto"/>
              <w:right w:val="single" w:sz="8" w:space="0" w:color="auto"/>
            </w:tcBorders>
            <w:noWrap/>
            <w:vAlign w:val="bottom"/>
          </w:tcPr>
          <w:p w:rsidR="00E96DDB" w:rsidRPr="00946E68" w:rsidRDefault="00E96DDB" w:rsidP="00720621">
            <w:pPr>
              <w:jc w:val="right"/>
              <w:rPr>
                <w:sz w:val="16"/>
                <w:szCs w:val="16"/>
              </w:rPr>
            </w:pPr>
            <w:r w:rsidRPr="00946E68">
              <w:rPr>
                <w:sz w:val="16"/>
                <w:szCs w:val="16"/>
              </w:rPr>
              <w:t>89,07%</w:t>
            </w:r>
          </w:p>
        </w:tc>
      </w:tr>
    </w:tbl>
    <w:p w:rsidR="00E96DDB" w:rsidRPr="00EC13F1" w:rsidRDefault="00E96DDB" w:rsidP="00E96DDB">
      <w:pPr>
        <w:rPr>
          <w:sz w:val="20"/>
        </w:rPr>
      </w:pPr>
      <w:r w:rsidRPr="00EC13F1">
        <w:rPr>
          <w:sz w:val="20"/>
        </w:rPr>
        <w:t>Forrás: Munkaerő felmérés 2001, 2005,</w:t>
      </w:r>
      <w:r>
        <w:rPr>
          <w:sz w:val="20"/>
        </w:rPr>
        <w:t xml:space="preserve"> 2011</w:t>
      </w:r>
    </w:p>
    <w:p w:rsidR="00A426DD" w:rsidRPr="002229D7" w:rsidRDefault="00A426DD" w:rsidP="002229D7">
      <w:pPr>
        <w:rPr>
          <w:highlight w:val="yellow"/>
        </w:rPr>
      </w:pPr>
      <w:r w:rsidRPr="002229D7">
        <w:t xml:space="preserve">A gazdasági aktivitás a vizsgált időszakban változatlanul az aprófalvas Dél-Dunántúlon volt a legalacsonyabb, ezt követte a Nyugat-Dunántúli és a Közép-Dunántúli régió. </w:t>
      </w:r>
      <w:r w:rsidR="00C321A9" w:rsidRPr="002229D7">
        <w:t xml:space="preserve">2011-ben a gazdaságilag aktív népesség száma a </w:t>
      </w:r>
      <w:r w:rsidR="00222F04" w:rsidRPr="002229D7">
        <w:t>Közép-Magyarországi</w:t>
      </w:r>
      <w:r w:rsidR="00C321A9" w:rsidRPr="002229D7">
        <w:t xml:space="preserve"> régióban volt a legnagyobb.  A </w:t>
      </w:r>
      <w:r w:rsidRPr="002229D7">
        <w:t>foglalkoztatottak aránya a gazdaságilag aktív népességen belül országosan 2001-től 2007-ig szinte stagnált (1 százalékpontos a csökkenés)</w:t>
      </w:r>
      <w:r w:rsidR="00C321A9" w:rsidRPr="002229D7">
        <w:t xml:space="preserve">, 2011-ben romló képet mutatott. </w:t>
      </w:r>
      <w:r w:rsidRPr="002229D7">
        <w:t>A helyzet változatlanul az Észak-Magyarországi és az Észak-Alföld</w:t>
      </w:r>
      <w:r w:rsidR="00C321A9" w:rsidRPr="002229D7">
        <w:t xml:space="preserve">i régióban a legkedvezőtlenebb. </w:t>
      </w:r>
    </w:p>
    <w:p w:rsidR="00E96DDB" w:rsidRPr="00AA6631" w:rsidRDefault="007E5FDF" w:rsidP="002B6CB3">
      <w:pPr>
        <w:pStyle w:val="bra-cmetbla"/>
      </w:pPr>
      <w:fldSimple w:instr=" SEQ táblázat \* ARABIC ">
        <w:r w:rsidR="00E5031F">
          <w:rPr>
            <w:noProof/>
          </w:rPr>
          <w:t>8</w:t>
        </w:r>
      </w:fldSimple>
      <w:r w:rsidR="002B6CB3" w:rsidRPr="000842E9">
        <w:t xml:space="preserve">. táblázat: </w:t>
      </w:r>
      <w:r w:rsidR="00E96DDB" w:rsidRPr="000842E9">
        <w:t>Munkanélküliség a vidéki térségekben</w:t>
      </w:r>
      <w:r w:rsidR="00E96DDB" w:rsidRPr="00AA6631">
        <w:t xml:space="preserve"> </w:t>
      </w:r>
    </w:p>
    <w:tbl>
      <w:tblPr>
        <w:tblW w:w="9560" w:type="dxa"/>
        <w:tblInd w:w="50" w:type="dxa"/>
        <w:tblLayout w:type="fixed"/>
        <w:tblCellMar>
          <w:left w:w="70" w:type="dxa"/>
          <w:right w:w="70" w:type="dxa"/>
        </w:tblCellMar>
        <w:tblLook w:val="0000" w:firstRow="0" w:lastRow="0" w:firstColumn="0" w:lastColumn="0" w:noHBand="0" w:noVBand="0"/>
      </w:tblPr>
      <w:tblGrid>
        <w:gridCol w:w="1365"/>
        <w:gridCol w:w="1366"/>
        <w:gridCol w:w="1366"/>
        <w:gridCol w:w="1365"/>
        <w:gridCol w:w="1366"/>
        <w:gridCol w:w="1366"/>
        <w:gridCol w:w="1366"/>
      </w:tblGrid>
      <w:tr w:rsidR="00EB4324" w:rsidRPr="00F309A2" w:rsidTr="00EB4324">
        <w:trPr>
          <w:cantSplit/>
        </w:trPr>
        <w:tc>
          <w:tcPr>
            <w:tcW w:w="136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4324" w:rsidRPr="00EC13F1" w:rsidRDefault="00EB4324" w:rsidP="00720621">
            <w:pPr>
              <w:keepNext/>
              <w:jc w:val="center"/>
              <w:rPr>
                <w:sz w:val="16"/>
                <w:szCs w:val="16"/>
              </w:rPr>
            </w:pPr>
            <w:r w:rsidRPr="00EC13F1">
              <w:rPr>
                <w:sz w:val="16"/>
                <w:szCs w:val="16"/>
              </w:rPr>
              <w:t>Megnevezés</w:t>
            </w:r>
          </w:p>
        </w:tc>
        <w:tc>
          <w:tcPr>
            <w:tcW w:w="1366"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720621">
            <w:pPr>
              <w:keepNext/>
              <w:jc w:val="center"/>
              <w:rPr>
                <w:sz w:val="16"/>
                <w:szCs w:val="16"/>
              </w:rPr>
            </w:pPr>
            <w:r w:rsidRPr="00EC13F1">
              <w:rPr>
                <w:sz w:val="16"/>
                <w:szCs w:val="16"/>
              </w:rPr>
              <w:t>Regisztrált munka</w:t>
            </w:r>
            <w:r w:rsidRPr="00EC13F1">
              <w:rPr>
                <w:sz w:val="16"/>
                <w:szCs w:val="16"/>
              </w:rPr>
              <w:softHyphen/>
              <w:t>nélkü</w:t>
            </w:r>
            <w:r w:rsidRPr="00EC13F1">
              <w:rPr>
                <w:sz w:val="16"/>
                <w:szCs w:val="16"/>
              </w:rPr>
              <w:softHyphen/>
              <w:t>li</w:t>
            </w:r>
            <w:r w:rsidRPr="00EC13F1">
              <w:rPr>
                <w:sz w:val="16"/>
                <w:szCs w:val="16"/>
              </w:rPr>
              <w:softHyphen/>
              <w:t>ek száma össze</w:t>
            </w:r>
            <w:r w:rsidRPr="00EC13F1">
              <w:rPr>
                <w:sz w:val="16"/>
                <w:szCs w:val="16"/>
              </w:rPr>
              <w:softHyphen/>
              <w:t>sen 2001 (fő)</w:t>
            </w:r>
          </w:p>
        </w:tc>
        <w:tc>
          <w:tcPr>
            <w:tcW w:w="1366"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720621">
            <w:pPr>
              <w:keepNext/>
              <w:jc w:val="center"/>
              <w:rPr>
                <w:sz w:val="16"/>
                <w:szCs w:val="16"/>
              </w:rPr>
            </w:pPr>
            <w:r w:rsidRPr="00EC13F1">
              <w:rPr>
                <w:sz w:val="16"/>
                <w:szCs w:val="16"/>
              </w:rPr>
              <w:t>Munkanél</w:t>
            </w:r>
            <w:r w:rsidRPr="00EC13F1">
              <w:rPr>
                <w:sz w:val="16"/>
                <w:szCs w:val="16"/>
              </w:rPr>
              <w:softHyphen/>
              <w:t>kü</w:t>
            </w:r>
            <w:r w:rsidRPr="00EC13F1">
              <w:rPr>
                <w:sz w:val="16"/>
                <w:szCs w:val="16"/>
              </w:rPr>
              <w:softHyphen/>
              <w:t>liségi ráta (regiszt</w:t>
            </w:r>
            <w:r w:rsidRPr="00EC13F1">
              <w:rPr>
                <w:sz w:val="16"/>
                <w:szCs w:val="16"/>
              </w:rPr>
              <w:softHyphen/>
              <w:t>rált mun</w:t>
            </w:r>
            <w:r w:rsidRPr="00EC13F1">
              <w:rPr>
                <w:sz w:val="16"/>
                <w:szCs w:val="16"/>
              </w:rPr>
              <w:softHyphen/>
              <w:t>kanél</w:t>
            </w:r>
            <w:r w:rsidRPr="00EC13F1">
              <w:rPr>
                <w:sz w:val="16"/>
                <w:szCs w:val="16"/>
              </w:rPr>
              <w:softHyphen/>
              <w:t>küliek / 15-59 éves né</w:t>
            </w:r>
            <w:r w:rsidRPr="00EC13F1">
              <w:rPr>
                <w:sz w:val="16"/>
                <w:szCs w:val="16"/>
              </w:rPr>
              <w:softHyphen/>
              <w:t>pesség) 2001</w:t>
            </w:r>
          </w:p>
        </w:tc>
        <w:tc>
          <w:tcPr>
            <w:tcW w:w="1365"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720621">
            <w:pPr>
              <w:keepNext/>
              <w:jc w:val="center"/>
              <w:rPr>
                <w:sz w:val="16"/>
                <w:szCs w:val="16"/>
              </w:rPr>
            </w:pPr>
            <w:r w:rsidRPr="00EC13F1">
              <w:rPr>
                <w:sz w:val="16"/>
                <w:szCs w:val="16"/>
              </w:rPr>
              <w:t>Regisztrált munkanélküliek száma összesen 2005 (fő)</w:t>
            </w:r>
          </w:p>
        </w:tc>
        <w:tc>
          <w:tcPr>
            <w:tcW w:w="1366"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720621">
            <w:pPr>
              <w:keepNext/>
              <w:jc w:val="center"/>
              <w:rPr>
                <w:sz w:val="16"/>
                <w:szCs w:val="16"/>
              </w:rPr>
            </w:pPr>
            <w:r w:rsidRPr="00EC13F1">
              <w:rPr>
                <w:sz w:val="16"/>
                <w:szCs w:val="16"/>
              </w:rPr>
              <w:t>Munkanél</w:t>
            </w:r>
            <w:r w:rsidRPr="00EC13F1">
              <w:rPr>
                <w:sz w:val="16"/>
                <w:szCs w:val="16"/>
              </w:rPr>
              <w:softHyphen/>
              <w:t>küliségi ráta (regisztrált munkanélküliek / 15-59 éves népesség) 2005</w:t>
            </w:r>
          </w:p>
        </w:tc>
        <w:tc>
          <w:tcPr>
            <w:tcW w:w="1366"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720621">
            <w:pPr>
              <w:keepNext/>
              <w:jc w:val="center"/>
              <w:rPr>
                <w:sz w:val="16"/>
                <w:szCs w:val="16"/>
              </w:rPr>
            </w:pPr>
            <w:r w:rsidRPr="00EC13F1">
              <w:rPr>
                <w:sz w:val="16"/>
                <w:szCs w:val="16"/>
              </w:rPr>
              <w:t>Regisztrált munkanélkü</w:t>
            </w:r>
            <w:r w:rsidRPr="00EC13F1">
              <w:rPr>
                <w:sz w:val="16"/>
                <w:szCs w:val="16"/>
              </w:rPr>
              <w:softHyphen/>
              <w:t>liek száma összesen 201</w:t>
            </w:r>
            <w:r>
              <w:rPr>
                <w:sz w:val="16"/>
                <w:szCs w:val="16"/>
              </w:rPr>
              <w:t>1</w:t>
            </w:r>
            <w:r w:rsidRPr="00EC13F1">
              <w:rPr>
                <w:sz w:val="16"/>
                <w:szCs w:val="16"/>
              </w:rPr>
              <w:t xml:space="preserve"> (fő)</w:t>
            </w:r>
          </w:p>
        </w:tc>
        <w:tc>
          <w:tcPr>
            <w:tcW w:w="1366"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720621">
            <w:pPr>
              <w:keepNext/>
              <w:jc w:val="center"/>
              <w:rPr>
                <w:sz w:val="16"/>
                <w:szCs w:val="16"/>
              </w:rPr>
            </w:pPr>
            <w:r w:rsidRPr="00EC13F1">
              <w:rPr>
                <w:sz w:val="16"/>
                <w:szCs w:val="16"/>
              </w:rPr>
              <w:t>Munkanélkü</w:t>
            </w:r>
            <w:r w:rsidRPr="00EC13F1">
              <w:rPr>
                <w:sz w:val="16"/>
                <w:szCs w:val="16"/>
              </w:rPr>
              <w:softHyphen/>
              <w:t>liségi ráta (regiszt</w:t>
            </w:r>
            <w:r w:rsidRPr="00EC13F1">
              <w:rPr>
                <w:sz w:val="16"/>
                <w:szCs w:val="16"/>
              </w:rPr>
              <w:softHyphen/>
              <w:t>rált munkanél</w:t>
            </w:r>
            <w:r w:rsidRPr="00EC13F1">
              <w:rPr>
                <w:sz w:val="16"/>
                <w:szCs w:val="16"/>
              </w:rPr>
              <w:softHyphen/>
              <w:t>küliek / 15-59 éves népesség) 201</w:t>
            </w:r>
            <w:r>
              <w:rPr>
                <w:sz w:val="16"/>
                <w:szCs w:val="16"/>
              </w:rPr>
              <w:t>1</w:t>
            </w:r>
          </w:p>
        </w:tc>
      </w:tr>
      <w:tr w:rsidR="00EB4324" w:rsidRPr="00F309A2" w:rsidTr="00EB4324">
        <w:trPr>
          <w:cantSplit/>
        </w:trPr>
        <w:tc>
          <w:tcPr>
            <w:tcW w:w="1365" w:type="dxa"/>
            <w:tcBorders>
              <w:top w:val="nil"/>
              <w:left w:val="single" w:sz="8" w:space="0" w:color="auto"/>
              <w:bottom w:val="single" w:sz="4" w:space="0" w:color="auto"/>
              <w:right w:val="single" w:sz="4" w:space="0" w:color="auto"/>
            </w:tcBorders>
            <w:noWrap/>
            <w:vAlign w:val="bottom"/>
          </w:tcPr>
          <w:p w:rsidR="00EB4324" w:rsidRPr="00EC13F1" w:rsidRDefault="00EB4324" w:rsidP="00720621">
            <w:pPr>
              <w:keepNext/>
              <w:rPr>
                <w:sz w:val="16"/>
                <w:szCs w:val="16"/>
              </w:rPr>
            </w:pPr>
            <w:r w:rsidRPr="00EC13F1">
              <w:rPr>
                <w:sz w:val="16"/>
                <w:szCs w:val="16"/>
              </w:rPr>
              <w:t>Magyarország</w:t>
            </w:r>
          </w:p>
        </w:tc>
        <w:tc>
          <w:tcPr>
            <w:tcW w:w="1366" w:type="dxa"/>
            <w:tcBorders>
              <w:top w:val="nil"/>
              <w:left w:val="nil"/>
              <w:bottom w:val="single" w:sz="4" w:space="0" w:color="auto"/>
              <w:right w:val="single" w:sz="4" w:space="0" w:color="auto"/>
            </w:tcBorders>
            <w:noWrap/>
            <w:vAlign w:val="bottom"/>
          </w:tcPr>
          <w:p w:rsidR="00EB4324" w:rsidRPr="00EC13F1" w:rsidRDefault="00EB4324" w:rsidP="00720621">
            <w:pPr>
              <w:jc w:val="right"/>
              <w:rPr>
                <w:sz w:val="20"/>
              </w:rPr>
            </w:pPr>
            <w:r w:rsidRPr="00EC13F1">
              <w:rPr>
                <w:sz w:val="20"/>
              </w:rPr>
              <w:t>343 012</w:t>
            </w:r>
          </w:p>
        </w:tc>
        <w:tc>
          <w:tcPr>
            <w:tcW w:w="1366" w:type="dxa"/>
            <w:tcBorders>
              <w:top w:val="nil"/>
              <w:left w:val="nil"/>
              <w:bottom w:val="single" w:sz="4" w:space="0" w:color="auto"/>
              <w:right w:val="single" w:sz="4" w:space="0" w:color="auto"/>
            </w:tcBorders>
            <w:noWrap/>
            <w:vAlign w:val="bottom"/>
          </w:tcPr>
          <w:p w:rsidR="00EB4324" w:rsidRPr="00EC13F1" w:rsidRDefault="00EB4324" w:rsidP="00720621">
            <w:pPr>
              <w:jc w:val="right"/>
              <w:rPr>
                <w:sz w:val="20"/>
              </w:rPr>
            </w:pPr>
            <w:r w:rsidRPr="00EC13F1">
              <w:rPr>
                <w:sz w:val="20"/>
              </w:rPr>
              <w:t>5,28%</w:t>
            </w:r>
          </w:p>
        </w:tc>
        <w:tc>
          <w:tcPr>
            <w:tcW w:w="1365" w:type="dxa"/>
            <w:tcBorders>
              <w:top w:val="nil"/>
              <w:left w:val="nil"/>
              <w:bottom w:val="single" w:sz="4" w:space="0" w:color="auto"/>
              <w:right w:val="single" w:sz="4" w:space="0" w:color="auto"/>
            </w:tcBorders>
            <w:noWrap/>
            <w:vAlign w:val="bottom"/>
          </w:tcPr>
          <w:p w:rsidR="00EB4324" w:rsidRPr="00EC13F1" w:rsidRDefault="00EB4324" w:rsidP="00720621">
            <w:pPr>
              <w:jc w:val="right"/>
              <w:rPr>
                <w:sz w:val="20"/>
              </w:rPr>
            </w:pPr>
            <w:r w:rsidRPr="00EC13F1">
              <w:rPr>
                <w:sz w:val="20"/>
              </w:rPr>
              <w:t>410 649</w:t>
            </w:r>
          </w:p>
        </w:tc>
        <w:tc>
          <w:tcPr>
            <w:tcW w:w="1366" w:type="dxa"/>
            <w:tcBorders>
              <w:top w:val="nil"/>
              <w:left w:val="nil"/>
              <w:bottom w:val="single" w:sz="4" w:space="0" w:color="auto"/>
              <w:right w:val="single" w:sz="8" w:space="0" w:color="auto"/>
            </w:tcBorders>
            <w:noWrap/>
            <w:vAlign w:val="bottom"/>
          </w:tcPr>
          <w:p w:rsidR="00EB4324" w:rsidRPr="00EC13F1" w:rsidRDefault="00EB4324" w:rsidP="00720621">
            <w:pPr>
              <w:jc w:val="right"/>
              <w:rPr>
                <w:sz w:val="20"/>
              </w:rPr>
            </w:pPr>
            <w:r w:rsidRPr="00EC13F1">
              <w:rPr>
                <w:sz w:val="20"/>
              </w:rPr>
              <w:t>6,33%</w:t>
            </w:r>
          </w:p>
        </w:tc>
        <w:tc>
          <w:tcPr>
            <w:tcW w:w="1366" w:type="dxa"/>
            <w:tcBorders>
              <w:top w:val="nil"/>
              <w:left w:val="nil"/>
              <w:bottom w:val="single" w:sz="4" w:space="0" w:color="auto"/>
              <w:right w:val="single" w:sz="8" w:space="0" w:color="auto"/>
            </w:tcBorders>
            <w:vAlign w:val="center"/>
          </w:tcPr>
          <w:p w:rsidR="00EB4324" w:rsidRPr="00755956" w:rsidRDefault="00EB4324" w:rsidP="00720621">
            <w:pPr>
              <w:jc w:val="center"/>
              <w:rPr>
                <w:sz w:val="16"/>
                <w:szCs w:val="16"/>
              </w:rPr>
            </w:pPr>
            <w:r w:rsidRPr="00755956">
              <w:rPr>
                <w:sz w:val="16"/>
                <w:szCs w:val="16"/>
              </w:rPr>
              <w:t>552</w:t>
            </w:r>
            <w:r>
              <w:rPr>
                <w:sz w:val="16"/>
                <w:szCs w:val="16"/>
              </w:rPr>
              <w:t> </w:t>
            </w:r>
            <w:r w:rsidRPr="00755956">
              <w:rPr>
                <w:sz w:val="16"/>
                <w:szCs w:val="16"/>
              </w:rPr>
              <w:t>308</w:t>
            </w:r>
          </w:p>
        </w:tc>
        <w:tc>
          <w:tcPr>
            <w:tcW w:w="1366" w:type="dxa"/>
            <w:tcBorders>
              <w:top w:val="nil"/>
              <w:left w:val="nil"/>
              <w:bottom w:val="single" w:sz="4" w:space="0" w:color="auto"/>
              <w:right w:val="single" w:sz="8" w:space="0" w:color="auto"/>
            </w:tcBorders>
            <w:vAlign w:val="center"/>
          </w:tcPr>
          <w:p w:rsidR="00EB4324" w:rsidRPr="00755956" w:rsidRDefault="00EB4324" w:rsidP="00720621">
            <w:pPr>
              <w:jc w:val="center"/>
              <w:rPr>
                <w:sz w:val="16"/>
                <w:szCs w:val="16"/>
              </w:rPr>
            </w:pPr>
            <w:r w:rsidRPr="00755956">
              <w:rPr>
                <w:sz w:val="16"/>
                <w:szCs w:val="16"/>
              </w:rPr>
              <w:t>8,71</w:t>
            </w:r>
            <w:r>
              <w:rPr>
                <w:sz w:val="16"/>
                <w:szCs w:val="16"/>
              </w:rPr>
              <w:t>%</w:t>
            </w:r>
          </w:p>
        </w:tc>
      </w:tr>
      <w:tr w:rsidR="00EB4324" w:rsidRPr="00F309A2" w:rsidTr="00EB4324">
        <w:trPr>
          <w:cantSplit/>
        </w:trPr>
        <w:tc>
          <w:tcPr>
            <w:tcW w:w="1365" w:type="dxa"/>
            <w:tcBorders>
              <w:top w:val="nil"/>
              <w:left w:val="single" w:sz="8" w:space="0" w:color="auto"/>
              <w:bottom w:val="single" w:sz="4" w:space="0" w:color="auto"/>
              <w:right w:val="single" w:sz="4" w:space="0" w:color="auto"/>
            </w:tcBorders>
            <w:noWrap/>
            <w:vAlign w:val="bottom"/>
          </w:tcPr>
          <w:p w:rsidR="00EB4324" w:rsidRPr="00EC13F1" w:rsidRDefault="00EB4324" w:rsidP="00720621">
            <w:pPr>
              <w:keepNext/>
              <w:rPr>
                <w:sz w:val="16"/>
                <w:szCs w:val="16"/>
              </w:rPr>
            </w:pPr>
            <w:r w:rsidRPr="00EC13F1">
              <w:rPr>
                <w:sz w:val="16"/>
                <w:szCs w:val="16"/>
              </w:rPr>
              <w:t>Vidéki térség</w:t>
            </w:r>
          </w:p>
        </w:tc>
        <w:tc>
          <w:tcPr>
            <w:tcW w:w="1366" w:type="dxa"/>
            <w:tcBorders>
              <w:top w:val="nil"/>
              <w:left w:val="nil"/>
              <w:bottom w:val="single" w:sz="4" w:space="0" w:color="auto"/>
              <w:right w:val="single" w:sz="4" w:space="0" w:color="auto"/>
            </w:tcBorders>
            <w:noWrap/>
            <w:vAlign w:val="bottom"/>
          </w:tcPr>
          <w:p w:rsidR="00EB4324" w:rsidRPr="00EC13F1" w:rsidRDefault="00EB4324" w:rsidP="00720621">
            <w:pPr>
              <w:jc w:val="right"/>
              <w:rPr>
                <w:sz w:val="20"/>
              </w:rPr>
            </w:pPr>
            <w:r w:rsidRPr="00EC13F1">
              <w:rPr>
                <w:sz w:val="20"/>
              </w:rPr>
              <w:t>190 208</w:t>
            </w:r>
          </w:p>
        </w:tc>
        <w:tc>
          <w:tcPr>
            <w:tcW w:w="1366" w:type="dxa"/>
            <w:tcBorders>
              <w:top w:val="nil"/>
              <w:left w:val="nil"/>
              <w:bottom w:val="single" w:sz="4" w:space="0" w:color="auto"/>
              <w:right w:val="single" w:sz="4" w:space="0" w:color="auto"/>
            </w:tcBorders>
            <w:noWrap/>
            <w:vAlign w:val="bottom"/>
          </w:tcPr>
          <w:p w:rsidR="00EB4324" w:rsidRPr="00EC13F1" w:rsidRDefault="00EB4324" w:rsidP="00720621">
            <w:pPr>
              <w:jc w:val="right"/>
              <w:rPr>
                <w:sz w:val="20"/>
              </w:rPr>
            </w:pPr>
            <w:r w:rsidRPr="00EC13F1">
              <w:rPr>
                <w:sz w:val="20"/>
              </w:rPr>
              <w:t>7,52%</w:t>
            </w:r>
          </w:p>
        </w:tc>
        <w:tc>
          <w:tcPr>
            <w:tcW w:w="1365" w:type="dxa"/>
            <w:tcBorders>
              <w:top w:val="nil"/>
              <w:left w:val="nil"/>
              <w:bottom w:val="single" w:sz="4" w:space="0" w:color="auto"/>
              <w:right w:val="single" w:sz="4" w:space="0" w:color="auto"/>
            </w:tcBorders>
            <w:noWrap/>
            <w:vAlign w:val="bottom"/>
          </w:tcPr>
          <w:p w:rsidR="00EB4324" w:rsidRPr="00EC13F1" w:rsidRDefault="00EB4324" w:rsidP="00720621">
            <w:pPr>
              <w:jc w:val="right"/>
              <w:rPr>
                <w:sz w:val="20"/>
              </w:rPr>
            </w:pPr>
            <w:r w:rsidRPr="00EC13F1">
              <w:rPr>
                <w:sz w:val="20"/>
              </w:rPr>
              <w:t>235 044</w:t>
            </w:r>
          </w:p>
        </w:tc>
        <w:tc>
          <w:tcPr>
            <w:tcW w:w="1366" w:type="dxa"/>
            <w:tcBorders>
              <w:top w:val="nil"/>
              <w:left w:val="nil"/>
              <w:bottom w:val="single" w:sz="4" w:space="0" w:color="auto"/>
              <w:right w:val="single" w:sz="8" w:space="0" w:color="auto"/>
            </w:tcBorders>
            <w:noWrap/>
            <w:vAlign w:val="bottom"/>
          </w:tcPr>
          <w:p w:rsidR="00EB4324" w:rsidRPr="00EC13F1" w:rsidRDefault="00EB4324" w:rsidP="00720621">
            <w:pPr>
              <w:jc w:val="right"/>
              <w:rPr>
                <w:sz w:val="20"/>
              </w:rPr>
            </w:pPr>
            <w:r w:rsidRPr="00EC13F1">
              <w:rPr>
                <w:sz w:val="20"/>
              </w:rPr>
              <w:t>9,06%</w:t>
            </w:r>
          </w:p>
        </w:tc>
        <w:tc>
          <w:tcPr>
            <w:tcW w:w="1366" w:type="dxa"/>
            <w:tcBorders>
              <w:top w:val="nil"/>
              <w:left w:val="nil"/>
              <w:bottom w:val="single" w:sz="4" w:space="0" w:color="auto"/>
              <w:right w:val="single" w:sz="8" w:space="0" w:color="auto"/>
            </w:tcBorders>
            <w:vAlign w:val="bottom"/>
          </w:tcPr>
          <w:p w:rsidR="00EB4324" w:rsidRPr="00B939DD" w:rsidRDefault="00EB4324" w:rsidP="00720621">
            <w:pPr>
              <w:jc w:val="right"/>
              <w:rPr>
                <w:sz w:val="20"/>
              </w:rPr>
            </w:pPr>
            <w:r w:rsidRPr="00B939DD">
              <w:rPr>
                <w:sz w:val="20"/>
              </w:rPr>
              <w:t>297 402</w:t>
            </w:r>
          </w:p>
        </w:tc>
        <w:tc>
          <w:tcPr>
            <w:tcW w:w="1366" w:type="dxa"/>
            <w:tcBorders>
              <w:top w:val="nil"/>
              <w:left w:val="nil"/>
              <w:bottom w:val="single" w:sz="4" w:space="0" w:color="auto"/>
              <w:right w:val="single" w:sz="8" w:space="0" w:color="auto"/>
            </w:tcBorders>
            <w:vAlign w:val="center"/>
          </w:tcPr>
          <w:p w:rsidR="00EB4324" w:rsidRPr="00755956" w:rsidRDefault="00EB4324" w:rsidP="00720621">
            <w:pPr>
              <w:jc w:val="center"/>
              <w:rPr>
                <w:sz w:val="16"/>
                <w:szCs w:val="16"/>
              </w:rPr>
            </w:pPr>
            <w:r w:rsidRPr="00755956">
              <w:rPr>
                <w:sz w:val="16"/>
                <w:szCs w:val="16"/>
              </w:rPr>
              <w:t>12,07%</w:t>
            </w:r>
          </w:p>
        </w:tc>
      </w:tr>
      <w:tr w:rsidR="00EB4324" w:rsidRPr="00F309A2" w:rsidTr="00EB4324">
        <w:trPr>
          <w:cantSplit/>
        </w:trPr>
        <w:tc>
          <w:tcPr>
            <w:tcW w:w="1365" w:type="dxa"/>
            <w:tcBorders>
              <w:top w:val="nil"/>
              <w:left w:val="single" w:sz="8" w:space="0" w:color="auto"/>
              <w:bottom w:val="single" w:sz="8" w:space="0" w:color="auto"/>
              <w:right w:val="single" w:sz="4" w:space="0" w:color="auto"/>
            </w:tcBorders>
            <w:noWrap/>
            <w:vAlign w:val="bottom"/>
          </w:tcPr>
          <w:p w:rsidR="00EB4324" w:rsidRPr="00EC13F1" w:rsidRDefault="00EB4324" w:rsidP="00720621">
            <w:pPr>
              <w:rPr>
                <w:sz w:val="16"/>
                <w:szCs w:val="16"/>
              </w:rPr>
            </w:pPr>
            <w:r w:rsidRPr="00EC13F1">
              <w:rPr>
                <w:sz w:val="16"/>
                <w:szCs w:val="16"/>
              </w:rPr>
              <w:t>Nem vidéki térség</w:t>
            </w:r>
          </w:p>
        </w:tc>
        <w:tc>
          <w:tcPr>
            <w:tcW w:w="1366" w:type="dxa"/>
            <w:tcBorders>
              <w:top w:val="nil"/>
              <w:left w:val="nil"/>
              <w:bottom w:val="single" w:sz="8" w:space="0" w:color="auto"/>
              <w:right w:val="single" w:sz="4" w:space="0" w:color="auto"/>
            </w:tcBorders>
            <w:noWrap/>
            <w:vAlign w:val="bottom"/>
          </w:tcPr>
          <w:p w:rsidR="00EB4324" w:rsidRPr="00EC13F1" w:rsidRDefault="00EB4324" w:rsidP="00720621">
            <w:pPr>
              <w:jc w:val="right"/>
              <w:rPr>
                <w:sz w:val="20"/>
              </w:rPr>
            </w:pPr>
            <w:r w:rsidRPr="00EC13F1">
              <w:rPr>
                <w:sz w:val="20"/>
              </w:rPr>
              <w:t>152 804</w:t>
            </w:r>
          </w:p>
        </w:tc>
        <w:tc>
          <w:tcPr>
            <w:tcW w:w="1366" w:type="dxa"/>
            <w:tcBorders>
              <w:top w:val="nil"/>
              <w:left w:val="nil"/>
              <w:bottom w:val="single" w:sz="8" w:space="0" w:color="auto"/>
              <w:right w:val="single" w:sz="4" w:space="0" w:color="auto"/>
            </w:tcBorders>
            <w:noWrap/>
            <w:vAlign w:val="bottom"/>
          </w:tcPr>
          <w:p w:rsidR="00EB4324" w:rsidRPr="00EC13F1" w:rsidRDefault="00EB4324" w:rsidP="00720621">
            <w:pPr>
              <w:jc w:val="right"/>
              <w:rPr>
                <w:sz w:val="20"/>
              </w:rPr>
            </w:pPr>
            <w:r w:rsidRPr="00EC13F1">
              <w:rPr>
                <w:sz w:val="20"/>
              </w:rPr>
              <w:t>3,85%</w:t>
            </w:r>
          </w:p>
        </w:tc>
        <w:tc>
          <w:tcPr>
            <w:tcW w:w="1365" w:type="dxa"/>
            <w:tcBorders>
              <w:top w:val="nil"/>
              <w:left w:val="nil"/>
              <w:bottom w:val="single" w:sz="8" w:space="0" w:color="auto"/>
              <w:right w:val="single" w:sz="4" w:space="0" w:color="auto"/>
            </w:tcBorders>
            <w:noWrap/>
            <w:vAlign w:val="bottom"/>
          </w:tcPr>
          <w:p w:rsidR="00EB4324" w:rsidRPr="00EC13F1" w:rsidRDefault="00EB4324" w:rsidP="00720621">
            <w:pPr>
              <w:jc w:val="right"/>
              <w:rPr>
                <w:sz w:val="20"/>
              </w:rPr>
            </w:pPr>
            <w:r w:rsidRPr="00EC13F1">
              <w:rPr>
                <w:sz w:val="20"/>
              </w:rPr>
              <w:t>175 605</w:t>
            </w:r>
          </w:p>
        </w:tc>
        <w:tc>
          <w:tcPr>
            <w:tcW w:w="1366" w:type="dxa"/>
            <w:tcBorders>
              <w:top w:val="nil"/>
              <w:left w:val="nil"/>
              <w:bottom w:val="single" w:sz="8" w:space="0" w:color="auto"/>
              <w:right w:val="single" w:sz="8" w:space="0" w:color="auto"/>
            </w:tcBorders>
            <w:noWrap/>
            <w:vAlign w:val="bottom"/>
          </w:tcPr>
          <w:p w:rsidR="00EB4324" w:rsidRPr="00EC13F1" w:rsidRDefault="00EB4324" w:rsidP="00720621">
            <w:pPr>
              <w:jc w:val="right"/>
              <w:rPr>
                <w:sz w:val="20"/>
              </w:rPr>
            </w:pPr>
            <w:r w:rsidRPr="00EC13F1">
              <w:rPr>
                <w:sz w:val="20"/>
              </w:rPr>
              <w:t>4,51%</w:t>
            </w:r>
          </w:p>
        </w:tc>
        <w:tc>
          <w:tcPr>
            <w:tcW w:w="1366" w:type="dxa"/>
            <w:tcBorders>
              <w:top w:val="nil"/>
              <w:left w:val="nil"/>
              <w:bottom w:val="single" w:sz="8" w:space="0" w:color="auto"/>
              <w:right w:val="single" w:sz="8" w:space="0" w:color="auto"/>
            </w:tcBorders>
            <w:vAlign w:val="bottom"/>
          </w:tcPr>
          <w:p w:rsidR="00EB4324" w:rsidRPr="00B939DD" w:rsidRDefault="00EB4324" w:rsidP="00720621">
            <w:pPr>
              <w:jc w:val="right"/>
              <w:rPr>
                <w:sz w:val="20"/>
              </w:rPr>
            </w:pPr>
            <w:r w:rsidRPr="00B939DD">
              <w:rPr>
                <w:sz w:val="20"/>
              </w:rPr>
              <w:t>254 906</w:t>
            </w:r>
          </w:p>
        </w:tc>
        <w:tc>
          <w:tcPr>
            <w:tcW w:w="1366" w:type="dxa"/>
            <w:tcBorders>
              <w:top w:val="nil"/>
              <w:left w:val="nil"/>
              <w:bottom w:val="single" w:sz="8" w:space="0" w:color="auto"/>
              <w:right w:val="single" w:sz="8" w:space="0" w:color="auto"/>
            </w:tcBorders>
            <w:vAlign w:val="center"/>
          </w:tcPr>
          <w:p w:rsidR="00EB4324" w:rsidRPr="00755956" w:rsidRDefault="00EB4324" w:rsidP="00720621">
            <w:pPr>
              <w:jc w:val="center"/>
              <w:rPr>
                <w:sz w:val="16"/>
                <w:szCs w:val="16"/>
              </w:rPr>
            </w:pPr>
            <w:r w:rsidRPr="00755956">
              <w:rPr>
                <w:sz w:val="16"/>
                <w:szCs w:val="16"/>
              </w:rPr>
              <w:t>6,59%</w:t>
            </w:r>
          </w:p>
        </w:tc>
      </w:tr>
    </w:tbl>
    <w:p w:rsidR="00E96DDB" w:rsidRDefault="00E96DDB" w:rsidP="00E96DDB">
      <w:pPr>
        <w:rPr>
          <w:sz w:val="20"/>
        </w:rPr>
      </w:pPr>
      <w:r w:rsidRPr="00EC13F1">
        <w:rPr>
          <w:sz w:val="20"/>
        </w:rPr>
        <w:t>Fo</w:t>
      </w:r>
      <w:r w:rsidR="00EB4324">
        <w:rPr>
          <w:sz w:val="20"/>
        </w:rPr>
        <w:t>rrás: KSH TSTAR 2001, 2005, 2011</w:t>
      </w:r>
    </w:p>
    <w:p w:rsidR="00B261CC" w:rsidRPr="002229D7" w:rsidRDefault="00A426DD" w:rsidP="002229D7">
      <w:r w:rsidRPr="002229D7">
        <w:t xml:space="preserve">A regisztrált munkanélküliek száma és azok aránya a 15-59 éves népességen belül a vidéki térségekben jóval kedvezőtlenebb képet és nagyobb arányú romlást mutat, mint az országos átlag. </w:t>
      </w:r>
      <w:r w:rsidR="00222F04" w:rsidRPr="002229D7">
        <w:t>2011-es adatok alapján a vidéki térségekben a regisztrált munkanélküliek aránya 12,07%-volt, az országos átlagnál jóval magasabb.</w:t>
      </w:r>
      <w:r w:rsidR="00E0091D" w:rsidRPr="002229D7">
        <w:t xml:space="preserve"> A vidéki térségekben közel 300 000 ember regisztrált munkanélküli volt.  </w:t>
      </w:r>
    </w:p>
    <w:p w:rsidR="00E96DDB" w:rsidRPr="00AA6631" w:rsidRDefault="007E5FDF" w:rsidP="002B6CB3">
      <w:pPr>
        <w:pStyle w:val="bra-cmetbla"/>
      </w:pPr>
      <w:fldSimple w:instr=" SEQ táblázat \* ARABIC ">
        <w:r w:rsidR="00E5031F">
          <w:rPr>
            <w:noProof/>
          </w:rPr>
          <w:t>9</w:t>
        </w:r>
      </w:fldSimple>
      <w:r w:rsidR="002B6CB3" w:rsidRPr="000842E9">
        <w:t xml:space="preserve">. táblázat: </w:t>
      </w:r>
      <w:r w:rsidR="00E96DDB" w:rsidRPr="000842E9">
        <w:t>Munkanélküliségi adatok regionális bontásban (2001, 2005, 2011)</w:t>
      </w:r>
    </w:p>
    <w:tbl>
      <w:tblPr>
        <w:tblW w:w="9308" w:type="dxa"/>
        <w:tblInd w:w="50" w:type="dxa"/>
        <w:tblCellMar>
          <w:left w:w="70" w:type="dxa"/>
          <w:right w:w="70" w:type="dxa"/>
        </w:tblCellMar>
        <w:tblLook w:val="0000" w:firstRow="0" w:lastRow="0" w:firstColumn="0" w:lastColumn="0" w:noHBand="0" w:noVBand="0"/>
      </w:tblPr>
      <w:tblGrid>
        <w:gridCol w:w="1640"/>
        <w:gridCol w:w="1260"/>
        <w:gridCol w:w="1287"/>
        <w:gridCol w:w="1260"/>
        <w:gridCol w:w="1287"/>
        <w:gridCol w:w="1287"/>
        <w:gridCol w:w="1287"/>
      </w:tblGrid>
      <w:tr w:rsidR="00EB4324" w:rsidRPr="00F309A2" w:rsidTr="00EB4324">
        <w:trPr>
          <w:cantSplit/>
        </w:trPr>
        <w:tc>
          <w:tcPr>
            <w:tcW w:w="16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4324" w:rsidRPr="00EC13F1" w:rsidRDefault="00EB4324" w:rsidP="00B12340">
            <w:pPr>
              <w:ind w:firstLine="0"/>
              <w:jc w:val="center"/>
              <w:rPr>
                <w:sz w:val="16"/>
                <w:szCs w:val="16"/>
              </w:rPr>
            </w:pPr>
            <w:r w:rsidRPr="00EC13F1">
              <w:rPr>
                <w:sz w:val="16"/>
                <w:szCs w:val="16"/>
              </w:rPr>
              <w:t>Megnevezés</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B12340">
            <w:pPr>
              <w:ind w:firstLine="0"/>
              <w:jc w:val="center"/>
              <w:rPr>
                <w:sz w:val="16"/>
                <w:szCs w:val="16"/>
              </w:rPr>
            </w:pPr>
            <w:r w:rsidRPr="00EC13F1">
              <w:rPr>
                <w:sz w:val="16"/>
                <w:szCs w:val="16"/>
              </w:rPr>
              <w:t>Regisztrált munkanélküliek száma összesen 2001.</w:t>
            </w:r>
            <w:r w:rsidRPr="00EC13F1">
              <w:rPr>
                <w:sz w:val="16"/>
                <w:szCs w:val="16"/>
              </w:rPr>
              <w:br/>
              <w:t>(fő)</w:t>
            </w: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B12340">
            <w:pPr>
              <w:ind w:firstLine="0"/>
              <w:jc w:val="center"/>
              <w:rPr>
                <w:sz w:val="16"/>
                <w:szCs w:val="16"/>
              </w:rPr>
            </w:pPr>
            <w:r w:rsidRPr="00EC13F1">
              <w:rPr>
                <w:sz w:val="16"/>
                <w:szCs w:val="16"/>
              </w:rPr>
              <w:t>Munkanélkü</w:t>
            </w:r>
            <w:r w:rsidRPr="00EC13F1">
              <w:rPr>
                <w:sz w:val="16"/>
                <w:szCs w:val="16"/>
              </w:rPr>
              <w:softHyphen/>
              <w:t>liségi ráta</w:t>
            </w:r>
            <w:r w:rsidRPr="00EC13F1">
              <w:rPr>
                <w:sz w:val="16"/>
                <w:szCs w:val="16"/>
              </w:rPr>
              <w:br/>
              <w:t>(regisztrált munkanélküliek / 15-59 éves népesség) 2001</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B12340">
            <w:pPr>
              <w:ind w:firstLine="0"/>
              <w:jc w:val="center"/>
              <w:rPr>
                <w:sz w:val="16"/>
                <w:szCs w:val="16"/>
              </w:rPr>
            </w:pPr>
            <w:r w:rsidRPr="00EC13F1">
              <w:rPr>
                <w:sz w:val="16"/>
                <w:szCs w:val="16"/>
              </w:rPr>
              <w:t>Regisztrált munkanélküliek száma összesen 2005 (fő)</w:t>
            </w: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B12340">
            <w:pPr>
              <w:ind w:firstLine="0"/>
              <w:jc w:val="center"/>
              <w:rPr>
                <w:sz w:val="16"/>
                <w:szCs w:val="16"/>
              </w:rPr>
            </w:pPr>
            <w:r w:rsidRPr="00EC13F1">
              <w:rPr>
                <w:sz w:val="16"/>
                <w:szCs w:val="16"/>
              </w:rPr>
              <w:t>Munkanélkü</w:t>
            </w:r>
            <w:r w:rsidRPr="00EC13F1">
              <w:rPr>
                <w:sz w:val="16"/>
                <w:szCs w:val="16"/>
              </w:rPr>
              <w:softHyphen/>
              <w:t>liségi ráta</w:t>
            </w:r>
            <w:r w:rsidRPr="00EC13F1">
              <w:rPr>
                <w:sz w:val="16"/>
                <w:szCs w:val="16"/>
              </w:rPr>
              <w:br/>
              <w:t>(regisztrált munkanélküliek / 15-59 éves népesség) 2005</w:t>
            </w: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B12340">
            <w:pPr>
              <w:ind w:firstLine="0"/>
              <w:jc w:val="center"/>
              <w:rPr>
                <w:sz w:val="16"/>
                <w:szCs w:val="16"/>
              </w:rPr>
            </w:pPr>
            <w:r w:rsidRPr="00EC13F1">
              <w:rPr>
                <w:sz w:val="16"/>
                <w:szCs w:val="16"/>
              </w:rPr>
              <w:t>Regisztrált munkanélküliek száma összesen 20</w:t>
            </w:r>
            <w:r>
              <w:rPr>
                <w:sz w:val="16"/>
                <w:szCs w:val="16"/>
              </w:rPr>
              <w:t>11</w:t>
            </w:r>
            <w:r w:rsidRPr="00EC13F1">
              <w:rPr>
                <w:sz w:val="16"/>
                <w:szCs w:val="16"/>
              </w:rPr>
              <w:t xml:space="preserve"> (fő)</w:t>
            </w: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EB4324" w:rsidRPr="00EC13F1" w:rsidRDefault="00EB4324" w:rsidP="00B12340">
            <w:pPr>
              <w:ind w:firstLine="0"/>
              <w:jc w:val="center"/>
              <w:rPr>
                <w:sz w:val="16"/>
                <w:szCs w:val="16"/>
              </w:rPr>
            </w:pPr>
            <w:r w:rsidRPr="00EC13F1">
              <w:rPr>
                <w:sz w:val="16"/>
                <w:szCs w:val="16"/>
              </w:rPr>
              <w:t>Munkanélkü</w:t>
            </w:r>
            <w:r w:rsidRPr="00EC13F1">
              <w:rPr>
                <w:sz w:val="16"/>
                <w:szCs w:val="16"/>
              </w:rPr>
              <w:softHyphen/>
              <w:t>liségi ráta</w:t>
            </w:r>
            <w:r w:rsidRPr="00EC13F1">
              <w:rPr>
                <w:sz w:val="16"/>
                <w:szCs w:val="16"/>
              </w:rPr>
              <w:br/>
              <w:t>(regisztrált munkanélküliek / 15-59 éves népesség) 20</w:t>
            </w:r>
            <w:r>
              <w:rPr>
                <w:sz w:val="16"/>
                <w:szCs w:val="16"/>
              </w:rPr>
              <w:t>11</w:t>
            </w:r>
          </w:p>
        </w:tc>
      </w:tr>
      <w:tr w:rsidR="00EB4324" w:rsidRPr="00F309A2" w:rsidTr="00EB4324">
        <w:trPr>
          <w:cantSplit/>
        </w:trPr>
        <w:tc>
          <w:tcPr>
            <w:tcW w:w="1640" w:type="dxa"/>
            <w:tcBorders>
              <w:top w:val="nil"/>
              <w:left w:val="single" w:sz="8" w:space="0" w:color="auto"/>
              <w:bottom w:val="single" w:sz="4"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t>Dél-Alföld</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51 529</w:t>
            </w:r>
          </w:p>
        </w:tc>
        <w:tc>
          <w:tcPr>
            <w:tcW w:w="1287"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5,91%</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62 562</w:t>
            </w:r>
          </w:p>
        </w:tc>
        <w:tc>
          <w:tcPr>
            <w:tcW w:w="1287" w:type="dxa"/>
            <w:tcBorders>
              <w:top w:val="nil"/>
              <w:left w:val="nil"/>
              <w:bottom w:val="single" w:sz="4"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7,24%</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78 053</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9,40%</w:t>
            </w:r>
          </w:p>
        </w:tc>
      </w:tr>
      <w:tr w:rsidR="00EB4324" w:rsidRPr="00F309A2" w:rsidTr="00EB4324">
        <w:trPr>
          <w:cantSplit/>
        </w:trPr>
        <w:tc>
          <w:tcPr>
            <w:tcW w:w="1640" w:type="dxa"/>
            <w:tcBorders>
              <w:top w:val="nil"/>
              <w:left w:val="single" w:sz="8" w:space="0" w:color="auto"/>
              <w:bottom w:val="single" w:sz="4"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lastRenderedPageBreak/>
              <w:t>Dél-Dunántúl</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44 354</w:t>
            </w:r>
          </w:p>
        </w:tc>
        <w:tc>
          <w:tcPr>
            <w:tcW w:w="1287"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6,96%</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56 128</w:t>
            </w:r>
          </w:p>
        </w:tc>
        <w:tc>
          <w:tcPr>
            <w:tcW w:w="1287" w:type="dxa"/>
            <w:tcBorders>
              <w:top w:val="nil"/>
              <w:left w:val="nil"/>
              <w:bottom w:val="single" w:sz="4"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8,89%</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66 767</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11,06%</w:t>
            </w:r>
          </w:p>
        </w:tc>
      </w:tr>
      <w:tr w:rsidR="00EB4324" w:rsidRPr="00F309A2" w:rsidTr="00EB4324">
        <w:trPr>
          <w:cantSplit/>
        </w:trPr>
        <w:tc>
          <w:tcPr>
            <w:tcW w:w="1640" w:type="dxa"/>
            <w:tcBorders>
              <w:top w:val="nil"/>
              <w:left w:val="single" w:sz="8" w:space="0" w:color="auto"/>
              <w:bottom w:val="single" w:sz="4"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t>Észak-Alföld</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82 041</w:t>
            </w:r>
          </w:p>
        </w:tc>
        <w:tc>
          <w:tcPr>
            <w:tcW w:w="1287"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8,22%</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95 390</w:t>
            </w:r>
          </w:p>
        </w:tc>
        <w:tc>
          <w:tcPr>
            <w:tcW w:w="1287" w:type="dxa"/>
            <w:tcBorders>
              <w:top w:val="nil"/>
              <w:left w:val="nil"/>
              <w:bottom w:val="single" w:sz="4"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9,54%</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131 018</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13,50%</w:t>
            </w:r>
          </w:p>
        </w:tc>
      </w:tr>
      <w:tr w:rsidR="00EB4324" w:rsidRPr="00F309A2" w:rsidTr="00EB4324">
        <w:trPr>
          <w:cantSplit/>
        </w:trPr>
        <w:tc>
          <w:tcPr>
            <w:tcW w:w="1640" w:type="dxa"/>
            <w:tcBorders>
              <w:top w:val="nil"/>
              <w:left w:val="single" w:sz="8" w:space="0" w:color="auto"/>
              <w:bottom w:val="single" w:sz="4"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t>Észak-Magyarország</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75 224</w:t>
            </w:r>
          </w:p>
        </w:tc>
        <w:tc>
          <w:tcPr>
            <w:tcW w:w="1287"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9,19%</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87 665</w:t>
            </w:r>
          </w:p>
        </w:tc>
        <w:tc>
          <w:tcPr>
            <w:tcW w:w="1287" w:type="dxa"/>
            <w:tcBorders>
              <w:top w:val="nil"/>
              <w:left w:val="nil"/>
              <w:bottom w:val="single" w:sz="4"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10,86%</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105 470</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13,76%</w:t>
            </w:r>
          </w:p>
        </w:tc>
      </w:tr>
      <w:tr w:rsidR="00EB4324" w:rsidRPr="00F309A2" w:rsidTr="00EB4324">
        <w:trPr>
          <w:cantSplit/>
        </w:trPr>
        <w:tc>
          <w:tcPr>
            <w:tcW w:w="1640" w:type="dxa"/>
            <w:tcBorders>
              <w:top w:val="nil"/>
              <w:left w:val="single" w:sz="8" w:space="0" w:color="auto"/>
              <w:bottom w:val="single" w:sz="4"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t>Közép-Dunántúl</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32 549</w:t>
            </w:r>
          </w:p>
        </w:tc>
        <w:tc>
          <w:tcPr>
            <w:tcW w:w="1287"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4,47%</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36 442</w:t>
            </w:r>
          </w:p>
        </w:tc>
        <w:tc>
          <w:tcPr>
            <w:tcW w:w="1287" w:type="dxa"/>
            <w:tcBorders>
              <w:top w:val="nil"/>
              <w:left w:val="nil"/>
              <w:bottom w:val="single" w:sz="4"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5,01%</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50 891</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7,18%</w:t>
            </w:r>
          </w:p>
        </w:tc>
      </w:tr>
      <w:tr w:rsidR="00EB4324" w:rsidRPr="00F309A2" w:rsidTr="00EB4324">
        <w:trPr>
          <w:cantSplit/>
          <w:trHeight w:val="229"/>
        </w:trPr>
        <w:tc>
          <w:tcPr>
            <w:tcW w:w="1640" w:type="dxa"/>
            <w:tcBorders>
              <w:top w:val="nil"/>
              <w:left w:val="single" w:sz="8" w:space="0" w:color="auto"/>
              <w:bottom w:val="single" w:sz="4"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t>Közép-Magyarország</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35 119</w:t>
            </w:r>
          </w:p>
        </w:tc>
        <w:tc>
          <w:tcPr>
            <w:tcW w:w="1287"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1,95%</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40 580</w:t>
            </w:r>
          </w:p>
        </w:tc>
        <w:tc>
          <w:tcPr>
            <w:tcW w:w="1287" w:type="dxa"/>
            <w:tcBorders>
              <w:top w:val="nil"/>
              <w:left w:val="nil"/>
              <w:bottom w:val="single" w:sz="4"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2,24%</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85 660</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4,69%</w:t>
            </w:r>
          </w:p>
        </w:tc>
      </w:tr>
      <w:tr w:rsidR="00EB4324" w:rsidRPr="00F309A2" w:rsidTr="00EB4324">
        <w:trPr>
          <w:cantSplit/>
        </w:trPr>
        <w:tc>
          <w:tcPr>
            <w:tcW w:w="1640" w:type="dxa"/>
            <w:tcBorders>
              <w:top w:val="nil"/>
              <w:left w:val="single" w:sz="8" w:space="0" w:color="auto"/>
              <w:bottom w:val="single" w:sz="4"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t>Nyugat-Dunántúl</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22 196</w:t>
            </w:r>
          </w:p>
        </w:tc>
        <w:tc>
          <w:tcPr>
            <w:tcW w:w="1287"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3,44%</w:t>
            </w:r>
          </w:p>
        </w:tc>
        <w:tc>
          <w:tcPr>
            <w:tcW w:w="1260" w:type="dxa"/>
            <w:tcBorders>
              <w:top w:val="nil"/>
              <w:left w:val="nil"/>
              <w:bottom w:val="single" w:sz="4"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31 882</w:t>
            </w:r>
          </w:p>
        </w:tc>
        <w:tc>
          <w:tcPr>
            <w:tcW w:w="1287" w:type="dxa"/>
            <w:tcBorders>
              <w:top w:val="nil"/>
              <w:left w:val="nil"/>
              <w:bottom w:val="single" w:sz="4"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4,92%</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34 449</w:t>
            </w:r>
          </w:p>
        </w:tc>
        <w:tc>
          <w:tcPr>
            <w:tcW w:w="1287" w:type="dxa"/>
            <w:tcBorders>
              <w:top w:val="nil"/>
              <w:left w:val="nil"/>
              <w:bottom w:val="single" w:sz="4"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5,46%</w:t>
            </w:r>
          </w:p>
        </w:tc>
      </w:tr>
      <w:tr w:rsidR="00EB4324" w:rsidRPr="00F309A2" w:rsidTr="00EB4324">
        <w:trPr>
          <w:cantSplit/>
        </w:trPr>
        <w:tc>
          <w:tcPr>
            <w:tcW w:w="1640" w:type="dxa"/>
            <w:tcBorders>
              <w:top w:val="nil"/>
              <w:left w:val="single" w:sz="8" w:space="0" w:color="auto"/>
              <w:bottom w:val="single" w:sz="8" w:space="0" w:color="auto"/>
              <w:right w:val="single" w:sz="4" w:space="0" w:color="auto"/>
            </w:tcBorders>
            <w:noWrap/>
            <w:vAlign w:val="bottom"/>
          </w:tcPr>
          <w:p w:rsidR="00EB4324" w:rsidRPr="00EC13F1" w:rsidRDefault="00EB4324" w:rsidP="00B12340">
            <w:pPr>
              <w:ind w:firstLine="0"/>
              <w:rPr>
                <w:sz w:val="16"/>
                <w:szCs w:val="16"/>
              </w:rPr>
            </w:pPr>
            <w:r w:rsidRPr="00EC13F1">
              <w:rPr>
                <w:sz w:val="16"/>
                <w:szCs w:val="16"/>
              </w:rPr>
              <w:t>Magyarország</w:t>
            </w:r>
          </w:p>
        </w:tc>
        <w:tc>
          <w:tcPr>
            <w:tcW w:w="1260" w:type="dxa"/>
            <w:tcBorders>
              <w:top w:val="nil"/>
              <w:left w:val="nil"/>
              <w:bottom w:val="single" w:sz="8"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343 012</w:t>
            </w:r>
          </w:p>
        </w:tc>
        <w:tc>
          <w:tcPr>
            <w:tcW w:w="1287" w:type="dxa"/>
            <w:tcBorders>
              <w:top w:val="nil"/>
              <w:left w:val="nil"/>
              <w:bottom w:val="single" w:sz="8"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5,28%</w:t>
            </w:r>
          </w:p>
        </w:tc>
        <w:tc>
          <w:tcPr>
            <w:tcW w:w="1260" w:type="dxa"/>
            <w:tcBorders>
              <w:top w:val="nil"/>
              <w:left w:val="nil"/>
              <w:bottom w:val="single" w:sz="8" w:space="0" w:color="auto"/>
              <w:right w:val="single" w:sz="4" w:space="0" w:color="auto"/>
            </w:tcBorders>
            <w:noWrap/>
            <w:vAlign w:val="bottom"/>
          </w:tcPr>
          <w:p w:rsidR="00EB4324" w:rsidRPr="00EC13F1" w:rsidRDefault="00EB4324" w:rsidP="00B12340">
            <w:pPr>
              <w:ind w:firstLine="0"/>
              <w:jc w:val="right"/>
              <w:rPr>
                <w:sz w:val="16"/>
                <w:szCs w:val="16"/>
              </w:rPr>
            </w:pPr>
            <w:r w:rsidRPr="00EC13F1">
              <w:rPr>
                <w:sz w:val="16"/>
                <w:szCs w:val="16"/>
              </w:rPr>
              <w:t>410 649</w:t>
            </w:r>
          </w:p>
        </w:tc>
        <w:tc>
          <w:tcPr>
            <w:tcW w:w="1287" w:type="dxa"/>
            <w:tcBorders>
              <w:top w:val="nil"/>
              <w:left w:val="nil"/>
              <w:bottom w:val="single" w:sz="8" w:space="0" w:color="auto"/>
              <w:right w:val="single" w:sz="8" w:space="0" w:color="auto"/>
            </w:tcBorders>
            <w:noWrap/>
            <w:vAlign w:val="bottom"/>
          </w:tcPr>
          <w:p w:rsidR="00EB4324" w:rsidRPr="00EC13F1" w:rsidRDefault="00EB4324" w:rsidP="00B12340">
            <w:pPr>
              <w:ind w:firstLine="0"/>
              <w:jc w:val="right"/>
              <w:rPr>
                <w:sz w:val="16"/>
                <w:szCs w:val="16"/>
              </w:rPr>
            </w:pPr>
            <w:r w:rsidRPr="00EC13F1">
              <w:rPr>
                <w:sz w:val="16"/>
                <w:szCs w:val="16"/>
              </w:rPr>
              <w:t>6,33%</w:t>
            </w:r>
          </w:p>
        </w:tc>
        <w:tc>
          <w:tcPr>
            <w:tcW w:w="1287" w:type="dxa"/>
            <w:tcBorders>
              <w:top w:val="nil"/>
              <w:left w:val="nil"/>
              <w:bottom w:val="single" w:sz="8"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552 308</w:t>
            </w:r>
          </w:p>
        </w:tc>
        <w:tc>
          <w:tcPr>
            <w:tcW w:w="1287" w:type="dxa"/>
            <w:tcBorders>
              <w:top w:val="nil"/>
              <w:left w:val="nil"/>
              <w:bottom w:val="single" w:sz="8" w:space="0" w:color="auto"/>
              <w:right w:val="single" w:sz="8" w:space="0" w:color="auto"/>
            </w:tcBorders>
            <w:vAlign w:val="bottom"/>
          </w:tcPr>
          <w:p w:rsidR="00EB4324" w:rsidRPr="00946E68" w:rsidRDefault="00EB4324" w:rsidP="00B12340">
            <w:pPr>
              <w:ind w:firstLine="0"/>
              <w:jc w:val="right"/>
              <w:rPr>
                <w:sz w:val="16"/>
                <w:szCs w:val="16"/>
              </w:rPr>
            </w:pPr>
            <w:r w:rsidRPr="00946E68">
              <w:rPr>
                <w:sz w:val="16"/>
                <w:szCs w:val="16"/>
              </w:rPr>
              <w:t>8,71%</w:t>
            </w:r>
          </w:p>
        </w:tc>
      </w:tr>
    </w:tbl>
    <w:p w:rsidR="00E96DDB" w:rsidRPr="00EC13F1" w:rsidRDefault="00E96DDB" w:rsidP="00E96DDB">
      <w:pPr>
        <w:rPr>
          <w:sz w:val="20"/>
        </w:rPr>
      </w:pPr>
      <w:r w:rsidRPr="00EC13F1">
        <w:rPr>
          <w:sz w:val="20"/>
        </w:rPr>
        <w:t>Forrás: KSH TSTAR 2001, 2005,</w:t>
      </w:r>
      <w:r>
        <w:rPr>
          <w:sz w:val="20"/>
        </w:rPr>
        <w:t xml:space="preserve"> 2011</w:t>
      </w:r>
    </w:p>
    <w:p w:rsidR="00BE77C7" w:rsidRPr="002229D7" w:rsidRDefault="00A426DD" w:rsidP="002229D7">
      <w:r w:rsidRPr="002229D7">
        <w:t xml:space="preserve">A munkanélküliségi adatok is az Észak-Magyarországi és az Észak-Alföldi régió fokozatosan súlyosbodó foglalkoztatási problémáit mutatják. </w:t>
      </w:r>
    </w:p>
    <w:p w:rsidR="00E96DDB" w:rsidRPr="00AA6631" w:rsidRDefault="007E5FDF" w:rsidP="002B6CB3">
      <w:pPr>
        <w:pStyle w:val="bra-cmetbla"/>
      </w:pPr>
      <w:fldSimple w:instr=" SEQ táblázat \* ARABIC ">
        <w:r w:rsidR="00E5031F">
          <w:rPr>
            <w:noProof/>
          </w:rPr>
          <w:t>10</w:t>
        </w:r>
      </w:fldSimple>
      <w:r w:rsidR="002B6CB3" w:rsidRPr="000842E9">
        <w:t xml:space="preserve">. táblázat: </w:t>
      </w:r>
      <w:r w:rsidR="00E96DDB" w:rsidRPr="000842E9">
        <w:t>Ezer főre jutó vállalkozások száma a vidéki térségekben (2001, 2005, 2010)</w:t>
      </w:r>
    </w:p>
    <w:tbl>
      <w:tblPr>
        <w:tblW w:w="9371" w:type="dxa"/>
        <w:tblInd w:w="55" w:type="dxa"/>
        <w:tblCellMar>
          <w:left w:w="70" w:type="dxa"/>
          <w:right w:w="70" w:type="dxa"/>
        </w:tblCellMar>
        <w:tblLook w:val="0000" w:firstRow="0" w:lastRow="0" w:firstColumn="0" w:lastColumn="0" w:noHBand="0" w:noVBand="0"/>
      </w:tblPr>
      <w:tblGrid>
        <w:gridCol w:w="1433"/>
        <w:gridCol w:w="1323"/>
        <w:gridCol w:w="1323"/>
        <w:gridCol w:w="1323"/>
        <w:gridCol w:w="1323"/>
        <w:gridCol w:w="1323"/>
        <w:gridCol w:w="1323"/>
      </w:tblGrid>
      <w:tr w:rsidR="00E96DDB" w:rsidRPr="00F309A2" w:rsidTr="00AA6631">
        <w:trPr>
          <w:trHeight w:val="402"/>
        </w:trPr>
        <w:tc>
          <w:tcPr>
            <w:tcW w:w="143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96DDB" w:rsidRPr="00EC13F1" w:rsidRDefault="00E96DDB" w:rsidP="00B12340">
            <w:pPr>
              <w:ind w:firstLine="0"/>
              <w:jc w:val="center"/>
              <w:rPr>
                <w:sz w:val="16"/>
                <w:szCs w:val="16"/>
              </w:rPr>
            </w:pPr>
            <w:r w:rsidRPr="00EC13F1">
              <w:rPr>
                <w:sz w:val="16"/>
                <w:szCs w:val="16"/>
              </w:rPr>
              <w:t>Megnevezés</w:t>
            </w:r>
          </w:p>
        </w:tc>
        <w:tc>
          <w:tcPr>
            <w:tcW w:w="1323"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EC13F1" w:rsidRDefault="00E96DDB" w:rsidP="00B12340">
            <w:pPr>
              <w:ind w:firstLine="0"/>
              <w:jc w:val="center"/>
              <w:rPr>
                <w:sz w:val="16"/>
                <w:szCs w:val="16"/>
              </w:rPr>
            </w:pPr>
            <w:r w:rsidRPr="00EC13F1">
              <w:rPr>
                <w:sz w:val="16"/>
                <w:szCs w:val="16"/>
              </w:rPr>
              <w:t>Működő vállalkozások száma (db) 2001</w:t>
            </w:r>
          </w:p>
        </w:tc>
        <w:tc>
          <w:tcPr>
            <w:tcW w:w="1323"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EC13F1" w:rsidRDefault="00E96DDB" w:rsidP="00B12340">
            <w:pPr>
              <w:ind w:firstLine="0"/>
              <w:jc w:val="center"/>
              <w:rPr>
                <w:sz w:val="16"/>
                <w:szCs w:val="16"/>
              </w:rPr>
            </w:pPr>
            <w:r w:rsidRPr="00EC13F1">
              <w:rPr>
                <w:sz w:val="16"/>
                <w:szCs w:val="16"/>
              </w:rPr>
              <w:t>1000 főre jutó vállalkozások száma</w:t>
            </w:r>
            <w:r w:rsidRPr="00EC13F1">
              <w:rPr>
                <w:sz w:val="16"/>
                <w:szCs w:val="16"/>
              </w:rPr>
              <w:br/>
              <w:t>2001</w:t>
            </w:r>
          </w:p>
        </w:tc>
        <w:tc>
          <w:tcPr>
            <w:tcW w:w="1323"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CE597B" w:rsidRDefault="00E96DDB" w:rsidP="00B12340">
            <w:pPr>
              <w:ind w:firstLine="0"/>
              <w:jc w:val="center"/>
              <w:rPr>
                <w:sz w:val="16"/>
                <w:szCs w:val="16"/>
              </w:rPr>
            </w:pPr>
            <w:r w:rsidRPr="00CE597B">
              <w:rPr>
                <w:sz w:val="16"/>
                <w:szCs w:val="16"/>
              </w:rPr>
              <w:t>Működő vállalkozások száma (db) 200</w:t>
            </w:r>
            <w:r>
              <w:rPr>
                <w:sz w:val="16"/>
                <w:szCs w:val="16"/>
              </w:rPr>
              <w:t>5</w:t>
            </w:r>
          </w:p>
        </w:tc>
        <w:tc>
          <w:tcPr>
            <w:tcW w:w="1323"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CE597B" w:rsidRDefault="00E96DDB" w:rsidP="00B12340">
            <w:pPr>
              <w:ind w:firstLine="0"/>
              <w:jc w:val="center"/>
              <w:rPr>
                <w:sz w:val="16"/>
                <w:szCs w:val="16"/>
              </w:rPr>
            </w:pPr>
            <w:r w:rsidRPr="00CE597B">
              <w:rPr>
                <w:sz w:val="16"/>
                <w:szCs w:val="16"/>
              </w:rPr>
              <w:t>1000 főre jutó vállalkozások száma</w:t>
            </w:r>
            <w:r w:rsidRPr="00CE597B">
              <w:rPr>
                <w:sz w:val="16"/>
                <w:szCs w:val="16"/>
              </w:rPr>
              <w:br/>
              <w:t>200</w:t>
            </w:r>
            <w:r>
              <w:rPr>
                <w:sz w:val="16"/>
                <w:szCs w:val="16"/>
              </w:rPr>
              <w:t>5</w:t>
            </w:r>
          </w:p>
        </w:tc>
        <w:tc>
          <w:tcPr>
            <w:tcW w:w="1323"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CE597B" w:rsidRDefault="00E96DDB" w:rsidP="00B12340">
            <w:pPr>
              <w:ind w:firstLine="0"/>
              <w:jc w:val="center"/>
              <w:rPr>
                <w:sz w:val="16"/>
                <w:szCs w:val="16"/>
              </w:rPr>
            </w:pPr>
            <w:r w:rsidRPr="00CE597B">
              <w:rPr>
                <w:sz w:val="16"/>
                <w:szCs w:val="16"/>
              </w:rPr>
              <w:t>Működő vállalkozások száma (db) 20</w:t>
            </w:r>
            <w:r>
              <w:rPr>
                <w:sz w:val="16"/>
                <w:szCs w:val="16"/>
              </w:rPr>
              <w:t>10</w:t>
            </w:r>
          </w:p>
        </w:tc>
        <w:tc>
          <w:tcPr>
            <w:tcW w:w="1323" w:type="dxa"/>
            <w:tcBorders>
              <w:top w:val="single" w:sz="4" w:space="0" w:color="auto"/>
              <w:left w:val="single" w:sz="4" w:space="0" w:color="auto"/>
              <w:bottom w:val="single" w:sz="4" w:space="0" w:color="auto"/>
              <w:right w:val="single" w:sz="4" w:space="0" w:color="auto"/>
            </w:tcBorders>
            <w:shd w:val="clear" w:color="auto" w:fill="C0C0C0"/>
            <w:vAlign w:val="center"/>
          </w:tcPr>
          <w:p w:rsidR="00E96DDB" w:rsidRPr="00CE597B" w:rsidRDefault="00E96DDB" w:rsidP="00B12340">
            <w:pPr>
              <w:ind w:firstLine="0"/>
              <w:jc w:val="center"/>
              <w:rPr>
                <w:sz w:val="16"/>
                <w:szCs w:val="16"/>
              </w:rPr>
            </w:pPr>
            <w:r w:rsidRPr="00CE597B">
              <w:rPr>
                <w:sz w:val="16"/>
                <w:szCs w:val="16"/>
              </w:rPr>
              <w:t>1000 főre jutó vállalkozás</w:t>
            </w:r>
            <w:r>
              <w:rPr>
                <w:sz w:val="16"/>
                <w:szCs w:val="16"/>
              </w:rPr>
              <w:t>2010</w:t>
            </w:r>
          </w:p>
        </w:tc>
      </w:tr>
      <w:tr w:rsidR="00E96DDB" w:rsidRPr="00F309A2" w:rsidTr="00AA6631">
        <w:trPr>
          <w:trHeight w:val="270"/>
        </w:trPr>
        <w:tc>
          <w:tcPr>
            <w:tcW w:w="1433" w:type="dxa"/>
            <w:tcBorders>
              <w:top w:val="single" w:sz="4" w:space="0" w:color="auto"/>
              <w:left w:val="single" w:sz="8" w:space="0" w:color="auto"/>
              <w:bottom w:val="single" w:sz="8" w:space="0" w:color="auto"/>
              <w:right w:val="single" w:sz="8" w:space="0" w:color="auto"/>
            </w:tcBorders>
            <w:noWrap/>
            <w:vAlign w:val="bottom"/>
          </w:tcPr>
          <w:p w:rsidR="00E96DDB" w:rsidRPr="00EC13F1" w:rsidRDefault="00E96DDB" w:rsidP="00B12340">
            <w:pPr>
              <w:ind w:firstLine="0"/>
              <w:rPr>
                <w:sz w:val="16"/>
                <w:szCs w:val="16"/>
              </w:rPr>
            </w:pPr>
            <w:r w:rsidRPr="00EC13F1">
              <w:rPr>
                <w:sz w:val="16"/>
                <w:szCs w:val="16"/>
              </w:rPr>
              <w:t>Magyarország</w:t>
            </w:r>
          </w:p>
        </w:tc>
        <w:tc>
          <w:tcPr>
            <w:tcW w:w="1323" w:type="dxa"/>
            <w:tcBorders>
              <w:top w:val="single" w:sz="4" w:space="0" w:color="auto"/>
              <w:left w:val="nil"/>
              <w:bottom w:val="single" w:sz="8" w:space="0" w:color="auto"/>
              <w:right w:val="single" w:sz="4"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645 881</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63</w:t>
            </w:r>
          </w:p>
        </w:tc>
        <w:tc>
          <w:tcPr>
            <w:tcW w:w="1323" w:type="dxa"/>
            <w:tcBorders>
              <w:top w:val="single" w:sz="4" w:space="0" w:color="auto"/>
              <w:left w:val="single" w:sz="4" w:space="0" w:color="auto"/>
              <w:bottom w:val="single" w:sz="8" w:space="0" w:color="auto"/>
              <w:right w:val="single" w:sz="8"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707756</w:t>
            </w:r>
          </w:p>
        </w:tc>
        <w:tc>
          <w:tcPr>
            <w:tcW w:w="1323" w:type="dxa"/>
            <w:tcBorders>
              <w:top w:val="single" w:sz="4" w:space="0" w:color="auto"/>
              <w:left w:val="nil"/>
              <w:bottom w:val="single" w:sz="8" w:space="0" w:color="auto"/>
              <w:right w:val="single" w:sz="4"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70,24</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696 680</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69,77</w:t>
            </w:r>
          </w:p>
        </w:tc>
      </w:tr>
      <w:tr w:rsidR="00E96DDB" w:rsidRPr="00F309A2" w:rsidTr="00AA6631">
        <w:trPr>
          <w:trHeight w:val="270"/>
        </w:trPr>
        <w:tc>
          <w:tcPr>
            <w:tcW w:w="1433" w:type="dxa"/>
            <w:tcBorders>
              <w:top w:val="nil"/>
              <w:left w:val="single" w:sz="8" w:space="0" w:color="auto"/>
              <w:bottom w:val="single" w:sz="8" w:space="0" w:color="auto"/>
              <w:right w:val="single" w:sz="8" w:space="0" w:color="auto"/>
            </w:tcBorders>
            <w:noWrap/>
            <w:vAlign w:val="bottom"/>
          </w:tcPr>
          <w:p w:rsidR="00E96DDB" w:rsidRPr="00EC13F1" w:rsidRDefault="00E96DDB" w:rsidP="00B12340">
            <w:pPr>
              <w:ind w:firstLine="0"/>
              <w:rPr>
                <w:sz w:val="16"/>
                <w:szCs w:val="16"/>
              </w:rPr>
            </w:pPr>
            <w:r w:rsidRPr="00EC13F1">
              <w:rPr>
                <w:sz w:val="16"/>
                <w:szCs w:val="16"/>
              </w:rPr>
              <w:t>Vidéki térség</w:t>
            </w:r>
          </w:p>
        </w:tc>
        <w:tc>
          <w:tcPr>
            <w:tcW w:w="1323" w:type="dxa"/>
            <w:tcBorders>
              <w:top w:val="nil"/>
              <w:left w:val="nil"/>
              <w:bottom w:val="single" w:sz="8" w:space="0" w:color="auto"/>
              <w:right w:val="single" w:sz="4"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151 275</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39</w:t>
            </w:r>
          </w:p>
        </w:tc>
        <w:tc>
          <w:tcPr>
            <w:tcW w:w="1323" w:type="dxa"/>
            <w:tcBorders>
              <w:top w:val="nil"/>
              <w:left w:val="single" w:sz="4" w:space="0" w:color="auto"/>
              <w:bottom w:val="single" w:sz="8" w:space="0" w:color="auto"/>
              <w:right w:val="single" w:sz="8"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169562</w:t>
            </w:r>
          </w:p>
        </w:tc>
        <w:tc>
          <w:tcPr>
            <w:tcW w:w="1323" w:type="dxa"/>
            <w:tcBorders>
              <w:top w:val="nil"/>
              <w:left w:val="nil"/>
              <w:bottom w:val="single" w:sz="8" w:space="0" w:color="auto"/>
              <w:right w:val="single" w:sz="4"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43,45</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166 804</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44,25</w:t>
            </w:r>
          </w:p>
        </w:tc>
      </w:tr>
      <w:tr w:rsidR="00E96DDB" w:rsidRPr="00F309A2" w:rsidTr="00AA6631">
        <w:trPr>
          <w:trHeight w:val="240"/>
        </w:trPr>
        <w:tc>
          <w:tcPr>
            <w:tcW w:w="1433" w:type="dxa"/>
            <w:tcBorders>
              <w:top w:val="nil"/>
              <w:left w:val="single" w:sz="8" w:space="0" w:color="auto"/>
              <w:bottom w:val="single" w:sz="8" w:space="0" w:color="auto"/>
              <w:right w:val="single" w:sz="8" w:space="0" w:color="auto"/>
            </w:tcBorders>
            <w:noWrap/>
            <w:vAlign w:val="bottom"/>
          </w:tcPr>
          <w:p w:rsidR="00E96DDB" w:rsidRPr="00EC13F1" w:rsidRDefault="00E96DDB" w:rsidP="00B12340">
            <w:pPr>
              <w:ind w:firstLine="0"/>
              <w:rPr>
                <w:sz w:val="16"/>
                <w:szCs w:val="16"/>
              </w:rPr>
            </w:pPr>
            <w:r w:rsidRPr="00EC13F1">
              <w:rPr>
                <w:sz w:val="16"/>
                <w:szCs w:val="16"/>
              </w:rPr>
              <w:t>Nem vidéki térség</w:t>
            </w:r>
          </w:p>
        </w:tc>
        <w:tc>
          <w:tcPr>
            <w:tcW w:w="1323" w:type="dxa"/>
            <w:tcBorders>
              <w:top w:val="nil"/>
              <w:left w:val="nil"/>
              <w:bottom w:val="single" w:sz="8" w:space="0" w:color="auto"/>
              <w:right w:val="single" w:sz="4"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494 606</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79</w:t>
            </w:r>
          </w:p>
        </w:tc>
        <w:tc>
          <w:tcPr>
            <w:tcW w:w="1323" w:type="dxa"/>
            <w:tcBorders>
              <w:top w:val="nil"/>
              <w:left w:val="single" w:sz="4" w:space="0" w:color="auto"/>
              <w:bottom w:val="single" w:sz="8" w:space="0" w:color="auto"/>
              <w:right w:val="single" w:sz="8"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538194</w:t>
            </w:r>
          </w:p>
        </w:tc>
        <w:tc>
          <w:tcPr>
            <w:tcW w:w="1323" w:type="dxa"/>
            <w:tcBorders>
              <w:top w:val="nil"/>
              <w:left w:val="nil"/>
              <w:bottom w:val="single" w:sz="8" w:space="0" w:color="auto"/>
              <w:right w:val="single" w:sz="4" w:space="0" w:color="auto"/>
            </w:tcBorders>
            <w:noWrap/>
            <w:vAlign w:val="bottom"/>
          </w:tcPr>
          <w:p w:rsidR="00E96DDB" w:rsidRPr="00723E62" w:rsidRDefault="00E96DDB" w:rsidP="00B12340">
            <w:pPr>
              <w:spacing w:line="360" w:lineRule="auto"/>
              <w:ind w:firstLine="0"/>
              <w:jc w:val="right"/>
              <w:rPr>
                <w:sz w:val="16"/>
                <w:szCs w:val="16"/>
              </w:rPr>
            </w:pPr>
            <w:r w:rsidRPr="00723E62">
              <w:rPr>
                <w:sz w:val="16"/>
                <w:szCs w:val="16"/>
              </w:rPr>
              <w:t>87,17</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529 876</w:t>
            </w:r>
          </w:p>
        </w:tc>
        <w:tc>
          <w:tcPr>
            <w:tcW w:w="1323" w:type="dxa"/>
            <w:tcBorders>
              <w:top w:val="single" w:sz="4" w:space="0" w:color="auto"/>
              <w:left w:val="single" w:sz="4" w:space="0" w:color="auto"/>
              <w:bottom w:val="single" w:sz="4" w:space="0" w:color="auto"/>
              <w:right w:val="single" w:sz="4" w:space="0" w:color="auto"/>
            </w:tcBorders>
            <w:vAlign w:val="bottom"/>
          </w:tcPr>
          <w:p w:rsidR="00E96DDB" w:rsidRPr="00723E62" w:rsidRDefault="00E96DDB" w:rsidP="00B12340">
            <w:pPr>
              <w:spacing w:line="360" w:lineRule="auto"/>
              <w:ind w:firstLine="0"/>
              <w:jc w:val="right"/>
              <w:rPr>
                <w:sz w:val="16"/>
                <w:szCs w:val="16"/>
              </w:rPr>
            </w:pPr>
            <w:r w:rsidRPr="00723E62">
              <w:rPr>
                <w:sz w:val="16"/>
                <w:szCs w:val="16"/>
              </w:rPr>
              <w:t>85,25</w:t>
            </w:r>
          </w:p>
        </w:tc>
      </w:tr>
    </w:tbl>
    <w:p w:rsidR="00E96DDB" w:rsidRDefault="00E96DDB" w:rsidP="00E96DDB">
      <w:pPr>
        <w:rPr>
          <w:sz w:val="20"/>
        </w:rPr>
      </w:pPr>
      <w:r w:rsidRPr="00EC13F1">
        <w:rPr>
          <w:sz w:val="20"/>
        </w:rPr>
        <w:t>Forrás: KSH TSTAR 2001, 200</w:t>
      </w:r>
      <w:r>
        <w:rPr>
          <w:sz w:val="20"/>
        </w:rPr>
        <w:t>5, 2010</w:t>
      </w:r>
    </w:p>
    <w:p w:rsidR="00A426DD" w:rsidRPr="002229D7" w:rsidRDefault="00A426DD" w:rsidP="002229D7">
      <w:pPr>
        <w:rPr>
          <w:highlight w:val="yellow"/>
        </w:rPr>
      </w:pPr>
      <w:r w:rsidRPr="002229D7">
        <w:t>Az ezer lakosra jutó vállalkozások száma a vidéki térségekben jóval alacsonyabb, mint az országos átlag. A működő vállalkozások száma és ezer lakosra vetített sűrűsége 2001 és 20</w:t>
      </w:r>
      <w:r w:rsidR="00401855" w:rsidRPr="002229D7">
        <w:t>10</w:t>
      </w:r>
      <w:r w:rsidRPr="002229D7">
        <w:t xml:space="preserve"> között országos viszonylatban és a vidéki térségekben is növekedett.</w:t>
      </w:r>
    </w:p>
    <w:p w:rsidR="00401855" w:rsidRPr="00AA6631" w:rsidRDefault="007E5FDF" w:rsidP="002B6CB3">
      <w:pPr>
        <w:pStyle w:val="bra-cmetbla"/>
      </w:pPr>
      <w:fldSimple w:instr=" SEQ táblázat \* ARABIC ">
        <w:r w:rsidR="00E5031F">
          <w:rPr>
            <w:noProof/>
          </w:rPr>
          <w:t>11</w:t>
        </w:r>
      </w:fldSimple>
      <w:r w:rsidR="002B6CB3" w:rsidRPr="000842E9">
        <w:t xml:space="preserve">. táblázat: </w:t>
      </w:r>
      <w:r w:rsidR="00401855" w:rsidRPr="000842E9">
        <w:t>Ezer főre jutó vállalkozások számának regionális megoszlása (2001, 2005, 2010)</w:t>
      </w:r>
    </w:p>
    <w:tbl>
      <w:tblPr>
        <w:tblW w:w="9509" w:type="dxa"/>
        <w:tblInd w:w="55" w:type="dxa"/>
        <w:tblCellMar>
          <w:left w:w="70" w:type="dxa"/>
          <w:right w:w="70" w:type="dxa"/>
        </w:tblCellMar>
        <w:tblLook w:val="0000" w:firstRow="0" w:lastRow="0" w:firstColumn="0" w:lastColumn="0" w:noHBand="0" w:noVBand="0"/>
      </w:tblPr>
      <w:tblGrid>
        <w:gridCol w:w="1433"/>
        <w:gridCol w:w="1346"/>
        <w:gridCol w:w="1346"/>
        <w:gridCol w:w="1346"/>
        <w:gridCol w:w="1346"/>
        <w:gridCol w:w="1346"/>
        <w:gridCol w:w="1346"/>
      </w:tblGrid>
      <w:tr w:rsidR="00401855" w:rsidRPr="00F309A2" w:rsidTr="00AA6631">
        <w:trPr>
          <w:trHeight w:val="1025"/>
        </w:trPr>
        <w:tc>
          <w:tcPr>
            <w:tcW w:w="1433" w:type="dxa"/>
            <w:tcBorders>
              <w:top w:val="single" w:sz="4" w:space="0" w:color="auto"/>
              <w:left w:val="single" w:sz="4" w:space="0" w:color="auto"/>
              <w:bottom w:val="single" w:sz="4" w:space="0" w:color="auto"/>
              <w:right w:val="single" w:sz="4" w:space="0" w:color="auto"/>
            </w:tcBorders>
            <w:shd w:val="clear" w:color="auto" w:fill="C0C0C0"/>
            <w:vAlign w:val="center"/>
          </w:tcPr>
          <w:p w:rsidR="00401855" w:rsidRPr="00EC13F1" w:rsidRDefault="00401855" w:rsidP="00B12340">
            <w:pPr>
              <w:ind w:firstLine="0"/>
              <w:jc w:val="center"/>
              <w:rPr>
                <w:sz w:val="16"/>
                <w:szCs w:val="16"/>
              </w:rPr>
            </w:pPr>
            <w:r w:rsidRPr="00EC13F1">
              <w:rPr>
                <w:sz w:val="16"/>
                <w:szCs w:val="16"/>
              </w:rPr>
              <w:t>Megnevezés</w:t>
            </w:r>
          </w:p>
        </w:tc>
        <w:tc>
          <w:tcPr>
            <w:tcW w:w="1346" w:type="dxa"/>
            <w:tcBorders>
              <w:top w:val="single" w:sz="4" w:space="0" w:color="auto"/>
              <w:left w:val="nil"/>
              <w:bottom w:val="single" w:sz="4" w:space="0" w:color="auto"/>
              <w:right w:val="single" w:sz="4" w:space="0" w:color="auto"/>
            </w:tcBorders>
            <w:shd w:val="clear" w:color="auto" w:fill="C0C0C0"/>
            <w:vAlign w:val="center"/>
          </w:tcPr>
          <w:p w:rsidR="00401855" w:rsidRPr="00EC13F1" w:rsidRDefault="00401855" w:rsidP="00B12340">
            <w:pPr>
              <w:ind w:firstLine="0"/>
              <w:jc w:val="center"/>
              <w:rPr>
                <w:sz w:val="16"/>
                <w:szCs w:val="16"/>
              </w:rPr>
            </w:pPr>
            <w:r w:rsidRPr="00EC13F1">
              <w:rPr>
                <w:sz w:val="16"/>
                <w:szCs w:val="16"/>
              </w:rPr>
              <w:t>Működő vállal</w:t>
            </w:r>
            <w:r w:rsidR="00AA6631">
              <w:rPr>
                <w:sz w:val="16"/>
                <w:szCs w:val="16"/>
              </w:rPr>
              <w:softHyphen/>
            </w:r>
            <w:r w:rsidRPr="00EC13F1">
              <w:rPr>
                <w:sz w:val="16"/>
                <w:szCs w:val="16"/>
              </w:rPr>
              <w:t>kozások száma (átalakulásra kötelezett és meg</w:t>
            </w:r>
            <w:r w:rsidR="00AA6631">
              <w:rPr>
                <w:sz w:val="16"/>
                <w:szCs w:val="16"/>
              </w:rPr>
              <w:softHyphen/>
            </w:r>
            <w:r w:rsidRPr="00EC13F1">
              <w:rPr>
                <w:sz w:val="16"/>
                <w:szCs w:val="16"/>
              </w:rPr>
              <w:t>szűnő gazdál</w:t>
            </w:r>
            <w:r w:rsidR="00AA6631">
              <w:rPr>
                <w:sz w:val="16"/>
                <w:szCs w:val="16"/>
              </w:rPr>
              <w:softHyphen/>
            </w:r>
            <w:r w:rsidRPr="00EC13F1">
              <w:rPr>
                <w:sz w:val="16"/>
                <w:szCs w:val="16"/>
              </w:rPr>
              <w:t>kodási formákkal együtt, év végén) (db) 2001</w:t>
            </w:r>
          </w:p>
        </w:tc>
        <w:tc>
          <w:tcPr>
            <w:tcW w:w="1346" w:type="dxa"/>
            <w:tcBorders>
              <w:top w:val="single" w:sz="4" w:space="0" w:color="auto"/>
              <w:left w:val="single" w:sz="4" w:space="0" w:color="auto"/>
              <w:bottom w:val="single" w:sz="4" w:space="0" w:color="auto"/>
              <w:right w:val="single" w:sz="4" w:space="0" w:color="auto"/>
            </w:tcBorders>
            <w:shd w:val="clear" w:color="auto" w:fill="C0C0C0"/>
            <w:vAlign w:val="center"/>
          </w:tcPr>
          <w:p w:rsidR="00401855" w:rsidRPr="00EC13F1" w:rsidRDefault="00401855" w:rsidP="00B12340">
            <w:pPr>
              <w:ind w:firstLine="0"/>
              <w:jc w:val="center"/>
              <w:rPr>
                <w:sz w:val="16"/>
                <w:szCs w:val="16"/>
              </w:rPr>
            </w:pPr>
            <w:r w:rsidRPr="00EC13F1">
              <w:rPr>
                <w:sz w:val="16"/>
                <w:szCs w:val="16"/>
              </w:rPr>
              <w:t>1000 főre jutó működő vállalkozások száma (db) 2001</w:t>
            </w:r>
          </w:p>
        </w:tc>
        <w:tc>
          <w:tcPr>
            <w:tcW w:w="1346" w:type="dxa"/>
            <w:tcBorders>
              <w:top w:val="single" w:sz="4" w:space="0" w:color="auto"/>
              <w:left w:val="single" w:sz="4" w:space="0" w:color="auto"/>
              <w:bottom w:val="single" w:sz="4" w:space="0" w:color="auto"/>
              <w:right w:val="single" w:sz="4" w:space="0" w:color="auto"/>
            </w:tcBorders>
            <w:shd w:val="clear" w:color="auto" w:fill="C0C0C0"/>
            <w:vAlign w:val="center"/>
          </w:tcPr>
          <w:p w:rsidR="00401855" w:rsidRPr="00124203" w:rsidRDefault="00401855" w:rsidP="00AA6631">
            <w:pPr>
              <w:ind w:firstLine="0"/>
              <w:jc w:val="center"/>
              <w:rPr>
                <w:sz w:val="16"/>
                <w:szCs w:val="16"/>
              </w:rPr>
            </w:pPr>
            <w:r w:rsidRPr="00124203">
              <w:rPr>
                <w:sz w:val="16"/>
                <w:szCs w:val="16"/>
              </w:rPr>
              <w:t>Működő vállal</w:t>
            </w:r>
            <w:r w:rsidR="00AA6631">
              <w:rPr>
                <w:sz w:val="16"/>
                <w:szCs w:val="16"/>
              </w:rPr>
              <w:softHyphen/>
            </w:r>
            <w:r w:rsidRPr="00124203">
              <w:rPr>
                <w:sz w:val="16"/>
                <w:szCs w:val="16"/>
              </w:rPr>
              <w:t>kozások száma (átalakulásra kötelezett és meg</w:t>
            </w:r>
            <w:r w:rsidR="00AA6631">
              <w:rPr>
                <w:sz w:val="16"/>
                <w:szCs w:val="16"/>
              </w:rPr>
              <w:softHyphen/>
            </w:r>
            <w:r w:rsidRPr="00124203">
              <w:rPr>
                <w:sz w:val="16"/>
                <w:szCs w:val="16"/>
              </w:rPr>
              <w:t>szűnő gazdál</w:t>
            </w:r>
            <w:r w:rsidR="00AA6631">
              <w:rPr>
                <w:sz w:val="16"/>
                <w:szCs w:val="16"/>
              </w:rPr>
              <w:softHyphen/>
            </w:r>
            <w:r w:rsidRPr="00124203">
              <w:rPr>
                <w:sz w:val="16"/>
                <w:szCs w:val="16"/>
              </w:rPr>
              <w:t>kodási formákkal együtt, év végén) (db) 200</w:t>
            </w:r>
            <w:r>
              <w:rPr>
                <w:sz w:val="16"/>
                <w:szCs w:val="16"/>
              </w:rPr>
              <w:t>5</w:t>
            </w:r>
          </w:p>
        </w:tc>
        <w:tc>
          <w:tcPr>
            <w:tcW w:w="1346" w:type="dxa"/>
            <w:tcBorders>
              <w:top w:val="single" w:sz="4" w:space="0" w:color="auto"/>
              <w:left w:val="single" w:sz="4" w:space="0" w:color="auto"/>
              <w:bottom w:val="single" w:sz="4" w:space="0" w:color="auto"/>
              <w:right w:val="single" w:sz="4" w:space="0" w:color="auto"/>
            </w:tcBorders>
            <w:shd w:val="clear" w:color="auto" w:fill="C0C0C0"/>
            <w:vAlign w:val="center"/>
          </w:tcPr>
          <w:p w:rsidR="00401855" w:rsidRPr="00124203" w:rsidRDefault="00401855" w:rsidP="00AA6631">
            <w:pPr>
              <w:ind w:firstLine="0"/>
              <w:jc w:val="center"/>
              <w:rPr>
                <w:sz w:val="16"/>
                <w:szCs w:val="16"/>
              </w:rPr>
            </w:pPr>
            <w:r w:rsidRPr="00124203">
              <w:rPr>
                <w:sz w:val="16"/>
                <w:szCs w:val="16"/>
              </w:rPr>
              <w:t>1000 főre jutó működő vállalkozások száma (db) 20</w:t>
            </w:r>
            <w:r>
              <w:rPr>
                <w:sz w:val="16"/>
                <w:szCs w:val="16"/>
              </w:rPr>
              <w:t>05</w:t>
            </w:r>
          </w:p>
        </w:tc>
        <w:tc>
          <w:tcPr>
            <w:tcW w:w="1346" w:type="dxa"/>
            <w:tcBorders>
              <w:top w:val="single" w:sz="4" w:space="0" w:color="auto"/>
              <w:left w:val="single" w:sz="4" w:space="0" w:color="auto"/>
              <w:bottom w:val="single" w:sz="4" w:space="0" w:color="auto"/>
              <w:right w:val="single" w:sz="4" w:space="0" w:color="auto"/>
            </w:tcBorders>
            <w:shd w:val="clear" w:color="auto" w:fill="C0C0C0"/>
            <w:vAlign w:val="center"/>
          </w:tcPr>
          <w:p w:rsidR="00401855" w:rsidRPr="00124203" w:rsidRDefault="00401855" w:rsidP="00AA6631">
            <w:pPr>
              <w:ind w:firstLine="0"/>
              <w:jc w:val="center"/>
              <w:rPr>
                <w:sz w:val="16"/>
                <w:szCs w:val="16"/>
              </w:rPr>
            </w:pPr>
            <w:r w:rsidRPr="00124203">
              <w:rPr>
                <w:sz w:val="16"/>
                <w:szCs w:val="16"/>
              </w:rPr>
              <w:t>Működő vállal</w:t>
            </w:r>
            <w:r w:rsidR="00AA6631">
              <w:rPr>
                <w:sz w:val="16"/>
                <w:szCs w:val="16"/>
              </w:rPr>
              <w:softHyphen/>
            </w:r>
            <w:r w:rsidRPr="00124203">
              <w:rPr>
                <w:sz w:val="16"/>
                <w:szCs w:val="16"/>
              </w:rPr>
              <w:t>kozások száma (átalakulásra kötelezett és meg</w:t>
            </w:r>
            <w:r w:rsidR="00AA6631">
              <w:rPr>
                <w:sz w:val="16"/>
                <w:szCs w:val="16"/>
              </w:rPr>
              <w:softHyphen/>
            </w:r>
            <w:r w:rsidRPr="00124203">
              <w:rPr>
                <w:sz w:val="16"/>
                <w:szCs w:val="16"/>
              </w:rPr>
              <w:t>szűnő gazdál</w:t>
            </w:r>
            <w:r w:rsidR="00AA6631">
              <w:rPr>
                <w:sz w:val="16"/>
                <w:szCs w:val="16"/>
              </w:rPr>
              <w:softHyphen/>
            </w:r>
            <w:r w:rsidRPr="00124203">
              <w:rPr>
                <w:sz w:val="16"/>
                <w:szCs w:val="16"/>
              </w:rPr>
              <w:t>kodási formákkal együtt, év végén) (db) 20</w:t>
            </w:r>
            <w:r>
              <w:rPr>
                <w:sz w:val="16"/>
                <w:szCs w:val="16"/>
              </w:rPr>
              <w:t>10</w:t>
            </w:r>
          </w:p>
        </w:tc>
        <w:tc>
          <w:tcPr>
            <w:tcW w:w="1346" w:type="dxa"/>
            <w:tcBorders>
              <w:top w:val="single" w:sz="4" w:space="0" w:color="auto"/>
              <w:left w:val="nil"/>
              <w:bottom w:val="single" w:sz="4" w:space="0" w:color="auto"/>
              <w:right w:val="single" w:sz="4" w:space="0" w:color="auto"/>
            </w:tcBorders>
            <w:shd w:val="clear" w:color="auto" w:fill="C0C0C0"/>
            <w:vAlign w:val="center"/>
          </w:tcPr>
          <w:p w:rsidR="00401855" w:rsidRPr="00124203" w:rsidRDefault="00401855" w:rsidP="00AA6631">
            <w:pPr>
              <w:ind w:firstLine="0"/>
              <w:jc w:val="center"/>
              <w:rPr>
                <w:sz w:val="16"/>
                <w:szCs w:val="16"/>
              </w:rPr>
            </w:pPr>
            <w:r w:rsidRPr="00124203">
              <w:rPr>
                <w:sz w:val="16"/>
                <w:szCs w:val="16"/>
              </w:rPr>
              <w:t>1000 főre jutó működő vállalkozások száma (db) 20</w:t>
            </w:r>
            <w:r>
              <w:rPr>
                <w:sz w:val="16"/>
                <w:szCs w:val="16"/>
              </w:rPr>
              <w:t>10</w:t>
            </w:r>
          </w:p>
        </w:tc>
      </w:tr>
      <w:tr w:rsidR="00401855" w:rsidRPr="00F309A2" w:rsidTr="00AA6631">
        <w:trPr>
          <w:trHeight w:val="255"/>
        </w:trPr>
        <w:tc>
          <w:tcPr>
            <w:tcW w:w="1433" w:type="dxa"/>
            <w:tcBorders>
              <w:top w:val="nil"/>
              <w:left w:val="single" w:sz="8" w:space="0" w:color="auto"/>
              <w:bottom w:val="single" w:sz="4" w:space="0" w:color="auto"/>
              <w:right w:val="single" w:sz="4" w:space="0" w:color="auto"/>
            </w:tcBorders>
            <w:vAlign w:val="bottom"/>
          </w:tcPr>
          <w:p w:rsidR="00401855" w:rsidRPr="00EC13F1" w:rsidRDefault="00401855" w:rsidP="00B12340">
            <w:pPr>
              <w:ind w:firstLine="0"/>
              <w:rPr>
                <w:sz w:val="16"/>
                <w:szCs w:val="16"/>
              </w:rPr>
            </w:pPr>
            <w:r w:rsidRPr="00EC13F1">
              <w:rPr>
                <w:sz w:val="16"/>
                <w:szCs w:val="16"/>
              </w:rPr>
              <w:t>Dél-Alföld</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76 070</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55</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82 302</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61</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79 364</w:t>
            </w:r>
          </w:p>
        </w:tc>
        <w:tc>
          <w:tcPr>
            <w:tcW w:w="1346" w:type="dxa"/>
            <w:tcBorders>
              <w:top w:val="nil"/>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61</w:t>
            </w:r>
          </w:p>
        </w:tc>
      </w:tr>
      <w:tr w:rsidR="00401855" w:rsidRPr="00F309A2" w:rsidTr="00AA6631">
        <w:trPr>
          <w:trHeight w:val="255"/>
        </w:trPr>
        <w:tc>
          <w:tcPr>
            <w:tcW w:w="1433" w:type="dxa"/>
            <w:tcBorders>
              <w:top w:val="nil"/>
              <w:left w:val="single" w:sz="8" w:space="0" w:color="auto"/>
              <w:bottom w:val="single" w:sz="4" w:space="0" w:color="auto"/>
              <w:right w:val="single" w:sz="4" w:space="0" w:color="auto"/>
            </w:tcBorders>
            <w:vAlign w:val="bottom"/>
          </w:tcPr>
          <w:p w:rsidR="00401855" w:rsidRPr="00EC13F1" w:rsidRDefault="00401855" w:rsidP="00B12340">
            <w:pPr>
              <w:ind w:firstLine="0"/>
              <w:rPr>
                <w:sz w:val="16"/>
                <w:szCs w:val="16"/>
              </w:rPr>
            </w:pPr>
            <w:r w:rsidRPr="00EC13F1">
              <w:rPr>
                <w:sz w:val="16"/>
                <w:szCs w:val="16"/>
              </w:rPr>
              <w:t>Dél-Dunántúl</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57 625</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58</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61 686</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64</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59 352</w:t>
            </w:r>
          </w:p>
        </w:tc>
        <w:tc>
          <w:tcPr>
            <w:tcW w:w="1346" w:type="dxa"/>
            <w:tcBorders>
              <w:top w:val="nil"/>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63</w:t>
            </w:r>
          </w:p>
        </w:tc>
      </w:tr>
      <w:tr w:rsidR="00401855" w:rsidRPr="00F309A2" w:rsidTr="00AA6631">
        <w:trPr>
          <w:trHeight w:val="255"/>
        </w:trPr>
        <w:tc>
          <w:tcPr>
            <w:tcW w:w="1433" w:type="dxa"/>
            <w:tcBorders>
              <w:top w:val="nil"/>
              <w:left w:val="single" w:sz="8" w:space="0" w:color="auto"/>
              <w:bottom w:val="single" w:sz="4" w:space="0" w:color="auto"/>
              <w:right w:val="single" w:sz="4" w:space="0" w:color="auto"/>
            </w:tcBorders>
            <w:vAlign w:val="bottom"/>
          </w:tcPr>
          <w:p w:rsidR="00401855" w:rsidRPr="00EC13F1" w:rsidRDefault="00401855" w:rsidP="00B12340">
            <w:pPr>
              <w:ind w:firstLine="0"/>
              <w:rPr>
                <w:sz w:val="16"/>
                <w:szCs w:val="16"/>
              </w:rPr>
            </w:pPr>
            <w:r w:rsidRPr="00EC13F1">
              <w:rPr>
                <w:sz w:val="16"/>
                <w:szCs w:val="16"/>
              </w:rPr>
              <w:t>Észak-Alföld</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76 091</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49</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82 696</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54</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80 067</w:t>
            </w:r>
          </w:p>
        </w:tc>
        <w:tc>
          <w:tcPr>
            <w:tcW w:w="1346" w:type="dxa"/>
            <w:tcBorders>
              <w:top w:val="nil"/>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54</w:t>
            </w:r>
          </w:p>
        </w:tc>
      </w:tr>
      <w:tr w:rsidR="00401855" w:rsidRPr="00F309A2" w:rsidTr="00AA6631">
        <w:trPr>
          <w:trHeight w:val="255"/>
        </w:trPr>
        <w:tc>
          <w:tcPr>
            <w:tcW w:w="1433" w:type="dxa"/>
            <w:tcBorders>
              <w:top w:val="nil"/>
              <w:left w:val="single" w:sz="8" w:space="0" w:color="auto"/>
              <w:bottom w:val="single" w:sz="4" w:space="0" w:color="auto"/>
              <w:right w:val="single" w:sz="4" w:space="0" w:color="auto"/>
            </w:tcBorders>
            <w:vAlign w:val="bottom"/>
          </w:tcPr>
          <w:p w:rsidR="00401855" w:rsidRPr="00EC13F1" w:rsidRDefault="00401855" w:rsidP="00B12340">
            <w:pPr>
              <w:ind w:firstLine="0"/>
              <w:rPr>
                <w:sz w:val="16"/>
                <w:szCs w:val="16"/>
              </w:rPr>
            </w:pPr>
            <w:r w:rsidRPr="00EC13F1">
              <w:rPr>
                <w:sz w:val="16"/>
                <w:szCs w:val="16"/>
              </w:rPr>
              <w:t>Észak-Magyarország</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58 327</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45</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63 306</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50</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59 280</w:t>
            </w:r>
          </w:p>
        </w:tc>
        <w:tc>
          <w:tcPr>
            <w:tcW w:w="1346" w:type="dxa"/>
            <w:tcBorders>
              <w:top w:val="nil"/>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50</w:t>
            </w:r>
          </w:p>
        </w:tc>
      </w:tr>
      <w:tr w:rsidR="00401855" w:rsidRPr="00F309A2" w:rsidTr="00AA6631">
        <w:trPr>
          <w:trHeight w:val="255"/>
        </w:trPr>
        <w:tc>
          <w:tcPr>
            <w:tcW w:w="1433" w:type="dxa"/>
            <w:tcBorders>
              <w:top w:val="nil"/>
              <w:left w:val="single" w:sz="8" w:space="0" w:color="auto"/>
              <w:bottom w:val="single" w:sz="4" w:space="0" w:color="auto"/>
              <w:right w:val="single" w:sz="4" w:space="0" w:color="auto"/>
            </w:tcBorders>
            <w:vAlign w:val="bottom"/>
          </w:tcPr>
          <w:p w:rsidR="00401855" w:rsidRPr="00EC13F1" w:rsidRDefault="00401855" w:rsidP="00B12340">
            <w:pPr>
              <w:ind w:firstLine="0"/>
              <w:rPr>
                <w:sz w:val="16"/>
                <w:szCs w:val="16"/>
              </w:rPr>
            </w:pPr>
            <w:r w:rsidRPr="00EC13F1">
              <w:rPr>
                <w:sz w:val="16"/>
                <w:szCs w:val="16"/>
              </w:rPr>
              <w:t>Közép-Dunántúl</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66 832</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60</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73 886</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66</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70 153</w:t>
            </w:r>
          </w:p>
        </w:tc>
        <w:tc>
          <w:tcPr>
            <w:tcW w:w="1346" w:type="dxa"/>
            <w:tcBorders>
              <w:top w:val="nil"/>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64</w:t>
            </w:r>
          </w:p>
        </w:tc>
      </w:tr>
      <w:tr w:rsidR="00401855" w:rsidRPr="00F309A2" w:rsidTr="00AA6631">
        <w:trPr>
          <w:trHeight w:val="255"/>
        </w:trPr>
        <w:tc>
          <w:tcPr>
            <w:tcW w:w="1433" w:type="dxa"/>
            <w:tcBorders>
              <w:top w:val="nil"/>
              <w:left w:val="single" w:sz="8" w:space="0" w:color="auto"/>
              <w:bottom w:val="single" w:sz="4" w:space="0" w:color="auto"/>
              <w:right w:val="single" w:sz="4" w:space="0" w:color="auto"/>
            </w:tcBorders>
            <w:vAlign w:val="bottom"/>
          </w:tcPr>
          <w:p w:rsidR="00401855" w:rsidRPr="00EC13F1" w:rsidRDefault="00401855" w:rsidP="00B12340">
            <w:pPr>
              <w:ind w:firstLine="0"/>
              <w:rPr>
                <w:sz w:val="16"/>
                <w:szCs w:val="16"/>
              </w:rPr>
            </w:pPr>
            <w:r w:rsidRPr="00EC13F1">
              <w:rPr>
                <w:sz w:val="16"/>
                <w:szCs w:val="16"/>
              </w:rPr>
              <w:t>Közép-Magyarország</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247 690</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88</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273 283</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96</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279 430</w:t>
            </w:r>
          </w:p>
        </w:tc>
        <w:tc>
          <w:tcPr>
            <w:tcW w:w="1346" w:type="dxa"/>
            <w:tcBorders>
              <w:top w:val="nil"/>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94</w:t>
            </w:r>
          </w:p>
        </w:tc>
      </w:tr>
      <w:tr w:rsidR="00401855" w:rsidRPr="00F309A2" w:rsidTr="00AA6631">
        <w:trPr>
          <w:trHeight w:val="270"/>
        </w:trPr>
        <w:tc>
          <w:tcPr>
            <w:tcW w:w="1433" w:type="dxa"/>
            <w:tcBorders>
              <w:top w:val="single" w:sz="4" w:space="0" w:color="auto"/>
              <w:left w:val="single" w:sz="4" w:space="0" w:color="auto"/>
              <w:bottom w:val="single" w:sz="4" w:space="0" w:color="auto"/>
              <w:right w:val="single" w:sz="4" w:space="0" w:color="auto"/>
            </w:tcBorders>
            <w:vAlign w:val="bottom"/>
          </w:tcPr>
          <w:p w:rsidR="00401855" w:rsidRPr="00EC13F1" w:rsidRDefault="00401855" w:rsidP="00B12340">
            <w:pPr>
              <w:ind w:firstLine="0"/>
              <w:rPr>
                <w:sz w:val="16"/>
                <w:szCs w:val="16"/>
              </w:rPr>
            </w:pPr>
            <w:r w:rsidRPr="00EC13F1">
              <w:rPr>
                <w:sz w:val="16"/>
                <w:szCs w:val="16"/>
              </w:rPr>
              <w:t>Nyugat-Dunántúl</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63 246</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63</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70 597</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71</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69 034</w:t>
            </w:r>
          </w:p>
        </w:tc>
        <w:tc>
          <w:tcPr>
            <w:tcW w:w="1346" w:type="dxa"/>
            <w:tcBorders>
              <w:top w:val="single" w:sz="4" w:space="0" w:color="auto"/>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70</w:t>
            </w:r>
          </w:p>
        </w:tc>
      </w:tr>
      <w:tr w:rsidR="00401855" w:rsidRPr="00F309A2" w:rsidTr="00AA6631">
        <w:trPr>
          <w:trHeight w:val="270"/>
        </w:trPr>
        <w:tc>
          <w:tcPr>
            <w:tcW w:w="1433" w:type="dxa"/>
            <w:tcBorders>
              <w:top w:val="single" w:sz="4" w:space="0" w:color="auto"/>
              <w:left w:val="single" w:sz="4" w:space="0" w:color="auto"/>
              <w:bottom w:val="single" w:sz="4" w:space="0" w:color="auto"/>
              <w:right w:val="single" w:sz="4" w:space="0" w:color="auto"/>
            </w:tcBorders>
            <w:vAlign w:val="bottom"/>
          </w:tcPr>
          <w:p w:rsidR="00401855" w:rsidRPr="00EC13F1" w:rsidRDefault="00401855" w:rsidP="00B12340">
            <w:pPr>
              <w:ind w:firstLine="0"/>
              <w:rPr>
                <w:sz w:val="16"/>
                <w:szCs w:val="16"/>
              </w:rPr>
            </w:pPr>
            <w:r>
              <w:rPr>
                <w:sz w:val="16"/>
                <w:szCs w:val="16"/>
              </w:rPr>
              <w:t>Magyarország</w:t>
            </w:r>
          </w:p>
        </w:tc>
        <w:tc>
          <w:tcPr>
            <w:tcW w:w="1346" w:type="dxa"/>
            <w:tcBorders>
              <w:top w:val="single" w:sz="4" w:space="0" w:color="auto"/>
              <w:left w:val="nil"/>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bCs/>
                <w:sz w:val="16"/>
                <w:szCs w:val="16"/>
              </w:rPr>
              <w:t>645 881</w:t>
            </w:r>
          </w:p>
        </w:tc>
        <w:tc>
          <w:tcPr>
            <w:tcW w:w="1346" w:type="dxa"/>
            <w:tcBorders>
              <w:top w:val="single" w:sz="4" w:space="0" w:color="auto"/>
              <w:left w:val="single" w:sz="4" w:space="0" w:color="auto"/>
              <w:bottom w:val="single" w:sz="4" w:space="0" w:color="auto"/>
              <w:right w:val="single" w:sz="4" w:space="0" w:color="auto"/>
            </w:tcBorders>
            <w:noWrap/>
            <w:vAlign w:val="center"/>
          </w:tcPr>
          <w:p w:rsidR="00401855" w:rsidRPr="00F031BE" w:rsidRDefault="00401855" w:rsidP="00A83BA3">
            <w:pPr>
              <w:spacing w:line="360" w:lineRule="auto"/>
              <w:jc w:val="center"/>
              <w:rPr>
                <w:sz w:val="16"/>
                <w:szCs w:val="16"/>
              </w:rPr>
            </w:pPr>
            <w:r w:rsidRPr="00F031BE">
              <w:rPr>
                <w:sz w:val="16"/>
                <w:szCs w:val="16"/>
              </w:rPr>
              <w:t>63</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707 756</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70</w:t>
            </w:r>
          </w:p>
        </w:tc>
        <w:tc>
          <w:tcPr>
            <w:tcW w:w="1346" w:type="dxa"/>
            <w:tcBorders>
              <w:top w:val="single" w:sz="4" w:space="0" w:color="auto"/>
              <w:left w:val="single" w:sz="4" w:space="0" w:color="auto"/>
              <w:bottom w:val="single" w:sz="4" w:space="0" w:color="auto"/>
              <w:right w:val="single" w:sz="4" w:space="0" w:color="auto"/>
            </w:tcBorders>
            <w:vAlign w:val="bottom"/>
          </w:tcPr>
          <w:p w:rsidR="00401855" w:rsidRPr="00F031BE" w:rsidRDefault="00401855" w:rsidP="00AA6631">
            <w:pPr>
              <w:spacing w:line="360" w:lineRule="auto"/>
              <w:ind w:firstLine="0"/>
              <w:jc w:val="right"/>
              <w:rPr>
                <w:bCs/>
                <w:sz w:val="16"/>
                <w:szCs w:val="16"/>
              </w:rPr>
            </w:pPr>
            <w:r w:rsidRPr="00F031BE">
              <w:rPr>
                <w:bCs/>
                <w:sz w:val="16"/>
                <w:szCs w:val="16"/>
              </w:rPr>
              <w:t>696 680</w:t>
            </w:r>
          </w:p>
        </w:tc>
        <w:tc>
          <w:tcPr>
            <w:tcW w:w="1346" w:type="dxa"/>
            <w:tcBorders>
              <w:top w:val="single" w:sz="4" w:space="0" w:color="auto"/>
              <w:left w:val="nil"/>
              <w:bottom w:val="single" w:sz="4" w:space="0" w:color="auto"/>
              <w:right w:val="single" w:sz="4" w:space="0" w:color="auto"/>
            </w:tcBorders>
            <w:vAlign w:val="bottom"/>
          </w:tcPr>
          <w:p w:rsidR="00401855" w:rsidRPr="00F031BE" w:rsidRDefault="00401855" w:rsidP="00AA6631">
            <w:pPr>
              <w:spacing w:line="360" w:lineRule="auto"/>
              <w:ind w:firstLine="0"/>
              <w:jc w:val="right"/>
              <w:rPr>
                <w:sz w:val="16"/>
                <w:szCs w:val="16"/>
              </w:rPr>
            </w:pPr>
            <w:r w:rsidRPr="00F031BE">
              <w:rPr>
                <w:sz w:val="16"/>
                <w:szCs w:val="16"/>
              </w:rPr>
              <w:t>70</w:t>
            </w:r>
          </w:p>
        </w:tc>
      </w:tr>
    </w:tbl>
    <w:p w:rsidR="00401855" w:rsidRPr="00EC13F1" w:rsidRDefault="00401855" w:rsidP="00401855">
      <w:pPr>
        <w:rPr>
          <w:sz w:val="20"/>
        </w:rPr>
      </w:pPr>
      <w:r w:rsidRPr="00EC13F1">
        <w:rPr>
          <w:sz w:val="20"/>
        </w:rPr>
        <w:t>Forrás: KSH TSTAR 2001, 200</w:t>
      </w:r>
      <w:r>
        <w:rPr>
          <w:sz w:val="20"/>
        </w:rPr>
        <w:t xml:space="preserve">5, 2010 </w:t>
      </w:r>
    </w:p>
    <w:p w:rsidR="00A426DD" w:rsidRPr="005F4D5E" w:rsidRDefault="00A426DD" w:rsidP="005B70A7">
      <w:pPr>
        <w:rPr>
          <w:highlight w:val="yellow"/>
        </w:rPr>
      </w:pPr>
      <w:r w:rsidRPr="005F4D5E">
        <w:t xml:space="preserve">Az 1000 főre jutó </w:t>
      </w:r>
      <w:r w:rsidR="00401855" w:rsidRPr="005F4D5E">
        <w:t xml:space="preserve">működő </w:t>
      </w:r>
      <w:r w:rsidRPr="005B70A7">
        <w:t>vállalkozások</w:t>
      </w:r>
      <w:r w:rsidRPr="005F4D5E">
        <w:t xml:space="preserve"> szám</w:t>
      </w:r>
      <w:r w:rsidR="00401855" w:rsidRPr="005F4D5E">
        <w:t xml:space="preserve">a a </w:t>
      </w:r>
      <w:r w:rsidR="00DB588C" w:rsidRPr="005F4D5E">
        <w:t>Közép-Magyarországi régióban</w:t>
      </w:r>
      <w:r w:rsidRPr="005F4D5E">
        <w:t xml:space="preserve"> </w:t>
      </w:r>
      <w:r w:rsidR="00401855" w:rsidRPr="005F4D5E">
        <w:t xml:space="preserve">a </w:t>
      </w:r>
      <w:r w:rsidRPr="005F4D5E">
        <w:t>leg</w:t>
      </w:r>
      <w:r w:rsidR="00401855" w:rsidRPr="005F4D5E">
        <w:t>magasabb, bár a 201</w:t>
      </w:r>
      <w:r w:rsidR="002F7032" w:rsidRPr="005F4D5E">
        <w:t>0</w:t>
      </w:r>
      <w:r w:rsidR="00401855" w:rsidRPr="005F4D5E">
        <w:t xml:space="preserve">-es adatok alapján itt is némi csökkenés figyelhető meg. </w:t>
      </w:r>
    </w:p>
    <w:p w:rsidR="00E96DDB" w:rsidRPr="00B12340" w:rsidRDefault="007E5FDF" w:rsidP="002B6CB3">
      <w:pPr>
        <w:pStyle w:val="bra-cmetbla"/>
      </w:pPr>
      <w:fldSimple w:instr=" SEQ táblázat \* ARABIC ">
        <w:r w:rsidR="00E5031F">
          <w:rPr>
            <w:noProof/>
          </w:rPr>
          <w:t>12</w:t>
        </w:r>
      </w:fldSimple>
      <w:r w:rsidR="002B6CB3" w:rsidRPr="000842E9">
        <w:t xml:space="preserve">. táblázat: </w:t>
      </w:r>
      <w:r w:rsidR="00E96DDB" w:rsidRPr="000842E9">
        <w:t>Egy lakosra jutó bruttó hazai termék regionális megoszlásban</w:t>
      </w:r>
      <w:r w:rsidR="00E96DDB" w:rsidRPr="00B12340">
        <w:t xml:space="preserve"> </w:t>
      </w:r>
    </w:p>
    <w:tbl>
      <w:tblPr>
        <w:tblW w:w="7120" w:type="dxa"/>
        <w:tblInd w:w="55" w:type="dxa"/>
        <w:tblCellMar>
          <w:left w:w="70" w:type="dxa"/>
          <w:right w:w="70" w:type="dxa"/>
        </w:tblCellMar>
        <w:tblLook w:val="0000" w:firstRow="0" w:lastRow="0" w:firstColumn="0" w:lastColumn="0" w:noHBand="0" w:noVBand="0"/>
      </w:tblPr>
      <w:tblGrid>
        <w:gridCol w:w="1840"/>
        <w:gridCol w:w="1340"/>
        <w:gridCol w:w="1360"/>
        <w:gridCol w:w="1360"/>
        <w:gridCol w:w="1220"/>
      </w:tblGrid>
      <w:tr w:rsidR="00E96DDB" w:rsidRPr="00F309A2" w:rsidTr="00720621">
        <w:trPr>
          <w:cantSplit/>
          <w:trHeight w:val="915"/>
        </w:trPr>
        <w:tc>
          <w:tcPr>
            <w:tcW w:w="1840" w:type="dxa"/>
            <w:tcBorders>
              <w:top w:val="single" w:sz="4" w:space="0" w:color="auto"/>
              <w:left w:val="single" w:sz="8" w:space="0" w:color="auto"/>
              <w:bottom w:val="single" w:sz="8" w:space="0" w:color="auto"/>
              <w:right w:val="single" w:sz="8" w:space="0" w:color="auto"/>
            </w:tcBorders>
            <w:shd w:val="clear" w:color="auto" w:fill="C0C0C0"/>
            <w:vAlign w:val="bottom"/>
          </w:tcPr>
          <w:p w:rsidR="00E96DDB" w:rsidRPr="00EC13F1" w:rsidRDefault="00E96DDB" w:rsidP="005B70A7">
            <w:pPr>
              <w:ind w:firstLine="0"/>
              <w:jc w:val="center"/>
              <w:rPr>
                <w:sz w:val="16"/>
                <w:szCs w:val="16"/>
              </w:rPr>
            </w:pPr>
            <w:r w:rsidRPr="00EC13F1">
              <w:rPr>
                <w:sz w:val="16"/>
                <w:szCs w:val="16"/>
              </w:rPr>
              <w:t>Megnevezés</w:t>
            </w:r>
          </w:p>
        </w:tc>
        <w:tc>
          <w:tcPr>
            <w:tcW w:w="1340" w:type="dxa"/>
            <w:tcBorders>
              <w:top w:val="single" w:sz="4" w:space="0" w:color="auto"/>
              <w:left w:val="nil"/>
              <w:bottom w:val="single" w:sz="8" w:space="0" w:color="auto"/>
              <w:right w:val="single" w:sz="8" w:space="0" w:color="auto"/>
            </w:tcBorders>
            <w:shd w:val="clear" w:color="auto" w:fill="C0C0C0"/>
            <w:vAlign w:val="bottom"/>
          </w:tcPr>
          <w:p w:rsidR="00E96DDB" w:rsidRPr="00EC13F1" w:rsidRDefault="00E96DDB" w:rsidP="005B70A7">
            <w:pPr>
              <w:ind w:firstLine="0"/>
              <w:jc w:val="center"/>
              <w:rPr>
                <w:sz w:val="16"/>
                <w:szCs w:val="16"/>
              </w:rPr>
            </w:pPr>
            <w:r w:rsidRPr="00EC13F1">
              <w:rPr>
                <w:sz w:val="16"/>
                <w:szCs w:val="16"/>
              </w:rPr>
              <w:t>Bruttó hazai termék egy lakosra 2001. (1000 Ft)</w:t>
            </w:r>
          </w:p>
        </w:tc>
        <w:tc>
          <w:tcPr>
            <w:tcW w:w="1360" w:type="dxa"/>
            <w:tcBorders>
              <w:top w:val="single" w:sz="4" w:space="0" w:color="auto"/>
              <w:left w:val="nil"/>
              <w:bottom w:val="single" w:sz="8" w:space="0" w:color="auto"/>
              <w:right w:val="single" w:sz="8" w:space="0" w:color="auto"/>
            </w:tcBorders>
            <w:shd w:val="clear" w:color="auto" w:fill="C0C0C0"/>
            <w:vAlign w:val="bottom"/>
          </w:tcPr>
          <w:p w:rsidR="00E96DDB" w:rsidRPr="00EC13F1" w:rsidRDefault="00E96DDB" w:rsidP="005B70A7">
            <w:pPr>
              <w:ind w:firstLine="0"/>
              <w:jc w:val="center"/>
              <w:rPr>
                <w:sz w:val="16"/>
                <w:szCs w:val="16"/>
              </w:rPr>
            </w:pPr>
            <w:r w:rsidRPr="00EC13F1">
              <w:rPr>
                <w:sz w:val="16"/>
                <w:szCs w:val="16"/>
              </w:rPr>
              <w:t>Bruttó hazai termék egy lakosra 2005. (1000 Ft)</w:t>
            </w:r>
          </w:p>
        </w:tc>
        <w:tc>
          <w:tcPr>
            <w:tcW w:w="1360" w:type="dxa"/>
            <w:tcBorders>
              <w:top w:val="single" w:sz="4" w:space="0" w:color="auto"/>
              <w:left w:val="nil"/>
              <w:bottom w:val="single" w:sz="8" w:space="0" w:color="auto"/>
              <w:right w:val="single" w:sz="8" w:space="0" w:color="auto"/>
            </w:tcBorders>
            <w:shd w:val="clear" w:color="auto" w:fill="C0C0C0"/>
            <w:vAlign w:val="bottom"/>
          </w:tcPr>
          <w:p w:rsidR="00E96DDB" w:rsidRPr="00EC13F1" w:rsidRDefault="00E96DDB" w:rsidP="005B70A7">
            <w:pPr>
              <w:ind w:firstLine="0"/>
              <w:jc w:val="center"/>
              <w:rPr>
                <w:sz w:val="16"/>
                <w:szCs w:val="16"/>
              </w:rPr>
            </w:pPr>
            <w:r w:rsidRPr="00EC13F1">
              <w:rPr>
                <w:sz w:val="16"/>
                <w:szCs w:val="16"/>
              </w:rPr>
              <w:t>Bruttó hazai termék egy lakosra 2009. (1000 Ft)</w:t>
            </w:r>
          </w:p>
        </w:tc>
        <w:tc>
          <w:tcPr>
            <w:tcW w:w="1220" w:type="dxa"/>
            <w:tcBorders>
              <w:top w:val="single" w:sz="4" w:space="0" w:color="auto"/>
              <w:left w:val="nil"/>
              <w:bottom w:val="single" w:sz="8" w:space="0" w:color="auto"/>
              <w:right w:val="single" w:sz="8" w:space="0" w:color="auto"/>
            </w:tcBorders>
            <w:shd w:val="clear" w:color="auto" w:fill="C0C0C0"/>
            <w:vAlign w:val="bottom"/>
          </w:tcPr>
          <w:p w:rsidR="00E96DDB" w:rsidRPr="00EC13F1" w:rsidRDefault="00E96DDB" w:rsidP="005B70A7">
            <w:pPr>
              <w:ind w:firstLine="0"/>
              <w:jc w:val="center"/>
              <w:rPr>
                <w:sz w:val="16"/>
                <w:szCs w:val="16"/>
              </w:rPr>
            </w:pPr>
            <w:r w:rsidRPr="00EC13F1">
              <w:rPr>
                <w:sz w:val="16"/>
                <w:szCs w:val="16"/>
              </w:rPr>
              <w:t>Bruttó hazai termék egy lakosra 20</w:t>
            </w:r>
            <w:r>
              <w:rPr>
                <w:sz w:val="16"/>
                <w:szCs w:val="16"/>
              </w:rPr>
              <w:t>11</w:t>
            </w:r>
            <w:r w:rsidRPr="00EC13F1">
              <w:rPr>
                <w:sz w:val="16"/>
                <w:szCs w:val="16"/>
              </w:rPr>
              <w:t>. (1000 Ft)</w:t>
            </w:r>
          </w:p>
        </w:tc>
      </w:tr>
      <w:tr w:rsidR="00E96DDB" w:rsidRPr="00F309A2" w:rsidTr="00720621">
        <w:trPr>
          <w:cantSplit/>
          <w:trHeight w:val="270"/>
        </w:trPr>
        <w:tc>
          <w:tcPr>
            <w:tcW w:w="184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Dél-Alföld</w:t>
            </w:r>
          </w:p>
        </w:tc>
        <w:tc>
          <w:tcPr>
            <w:tcW w:w="134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1 100</w:t>
            </w:r>
          </w:p>
        </w:tc>
        <w:tc>
          <w:tcPr>
            <w:tcW w:w="136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1 508</w:t>
            </w:r>
          </w:p>
        </w:tc>
        <w:tc>
          <w:tcPr>
            <w:tcW w:w="1360" w:type="dxa"/>
            <w:tcBorders>
              <w:top w:val="nil"/>
              <w:left w:val="nil"/>
              <w:bottom w:val="single" w:sz="8" w:space="0" w:color="auto"/>
              <w:right w:val="single" w:sz="8" w:space="0" w:color="auto"/>
            </w:tcBorders>
            <w:vAlign w:val="center"/>
          </w:tcPr>
          <w:p w:rsidR="00E96DDB" w:rsidRPr="00CA0941" w:rsidRDefault="00E96DDB" w:rsidP="00720621">
            <w:pPr>
              <w:jc w:val="center"/>
              <w:rPr>
                <w:bCs/>
                <w:sz w:val="16"/>
                <w:szCs w:val="16"/>
              </w:rPr>
            </w:pPr>
            <w:r w:rsidRPr="00CA0941">
              <w:rPr>
                <w:bCs/>
                <w:sz w:val="16"/>
                <w:szCs w:val="16"/>
              </w:rPr>
              <w:t>1 699</w:t>
            </w:r>
          </w:p>
        </w:tc>
        <w:tc>
          <w:tcPr>
            <w:tcW w:w="122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1 860</w:t>
            </w:r>
          </w:p>
        </w:tc>
      </w:tr>
      <w:tr w:rsidR="00E96DDB" w:rsidRPr="00F309A2" w:rsidTr="00720621">
        <w:trPr>
          <w:cantSplit/>
          <w:trHeight w:val="270"/>
        </w:trPr>
        <w:tc>
          <w:tcPr>
            <w:tcW w:w="184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Dél-Dunántúl</w:t>
            </w:r>
          </w:p>
        </w:tc>
        <w:tc>
          <w:tcPr>
            <w:tcW w:w="134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1 096</w:t>
            </w:r>
          </w:p>
        </w:tc>
        <w:tc>
          <w:tcPr>
            <w:tcW w:w="136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1 516</w:t>
            </w:r>
          </w:p>
        </w:tc>
        <w:tc>
          <w:tcPr>
            <w:tcW w:w="1360" w:type="dxa"/>
            <w:tcBorders>
              <w:top w:val="nil"/>
              <w:left w:val="nil"/>
              <w:bottom w:val="single" w:sz="8" w:space="0" w:color="auto"/>
              <w:right w:val="single" w:sz="8" w:space="0" w:color="auto"/>
            </w:tcBorders>
            <w:vAlign w:val="center"/>
          </w:tcPr>
          <w:p w:rsidR="00E96DDB" w:rsidRPr="00CA0941" w:rsidRDefault="00E96DDB" w:rsidP="00720621">
            <w:pPr>
              <w:jc w:val="center"/>
              <w:rPr>
                <w:bCs/>
                <w:sz w:val="16"/>
                <w:szCs w:val="16"/>
              </w:rPr>
            </w:pPr>
            <w:r w:rsidRPr="00CA0941">
              <w:rPr>
                <w:bCs/>
                <w:sz w:val="16"/>
                <w:szCs w:val="16"/>
              </w:rPr>
              <w:t>1 773</w:t>
            </w:r>
          </w:p>
        </w:tc>
        <w:tc>
          <w:tcPr>
            <w:tcW w:w="122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1 879</w:t>
            </w:r>
          </w:p>
        </w:tc>
      </w:tr>
      <w:tr w:rsidR="00E96DDB" w:rsidRPr="00F309A2" w:rsidTr="00720621">
        <w:trPr>
          <w:cantSplit/>
          <w:trHeight w:val="270"/>
        </w:trPr>
        <w:tc>
          <w:tcPr>
            <w:tcW w:w="184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Észak-Alföld</w:t>
            </w:r>
          </w:p>
        </w:tc>
        <w:tc>
          <w:tcPr>
            <w:tcW w:w="134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1 011</w:t>
            </w:r>
          </w:p>
        </w:tc>
        <w:tc>
          <w:tcPr>
            <w:tcW w:w="136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1 401</w:t>
            </w:r>
          </w:p>
        </w:tc>
        <w:tc>
          <w:tcPr>
            <w:tcW w:w="1360" w:type="dxa"/>
            <w:tcBorders>
              <w:top w:val="nil"/>
              <w:left w:val="nil"/>
              <w:bottom w:val="single" w:sz="8" w:space="0" w:color="auto"/>
              <w:right w:val="single" w:sz="8" w:space="0" w:color="auto"/>
            </w:tcBorders>
            <w:vAlign w:val="center"/>
          </w:tcPr>
          <w:p w:rsidR="00E96DDB" w:rsidRPr="00CA0941" w:rsidRDefault="00E96DDB" w:rsidP="00720621">
            <w:pPr>
              <w:jc w:val="center"/>
              <w:rPr>
                <w:bCs/>
                <w:sz w:val="16"/>
                <w:szCs w:val="16"/>
              </w:rPr>
            </w:pPr>
            <w:r w:rsidRPr="00CA0941">
              <w:rPr>
                <w:bCs/>
                <w:sz w:val="16"/>
                <w:szCs w:val="16"/>
              </w:rPr>
              <w:t>1 664</w:t>
            </w:r>
          </w:p>
        </w:tc>
        <w:tc>
          <w:tcPr>
            <w:tcW w:w="122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1 810</w:t>
            </w:r>
          </w:p>
        </w:tc>
      </w:tr>
      <w:tr w:rsidR="00E96DDB" w:rsidRPr="00F309A2" w:rsidTr="00720621">
        <w:trPr>
          <w:cantSplit/>
          <w:trHeight w:val="270"/>
        </w:trPr>
        <w:tc>
          <w:tcPr>
            <w:tcW w:w="184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Észak-Magyarország</w:t>
            </w:r>
          </w:p>
        </w:tc>
        <w:tc>
          <w:tcPr>
            <w:tcW w:w="134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977</w:t>
            </w:r>
          </w:p>
        </w:tc>
        <w:tc>
          <w:tcPr>
            <w:tcW w:w="136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1 447</w:t>
            </w:r>
          </w:p>
        </w:tc>
        <w:tc>
          <w:tcPr>
            <w:tcW w:w="1360" w:type="dxa"/>
            <w:tcBorders>
              <w:top w:val="nil"/>
              <w:left w:val="nil"/>
              <w:bottom w:val="single" w:sz="8" w:space="0" w:color="auto"/>
              <w:right w:val="single" w:sz="8" w:space="0" w:color="auto"/>
            </w:tcBorders>
            <w:vAlign w:val="center"/>
          </w:tcPr>
          <w:p w:rsidR="00E96DDB" w:rsidRPr="00CA0941" w:rsidRDefault="00E96DDB" w:rsidP="00720621">
            <w:pPr>
              <w:jc w:val="center"/>
              <w:rPr>
                <w:bCs/>
                <w:sz w:val="16"/>
                <w:szCs w:val="16"/>
              </w:rPr>
            </w:pPr>
            <w:r w:rsidRPr="00CA0941">
              <w:rPr>
                <w:bCs/>
                <w:sz w:val="16"/>
                <w:szCs w:val="16"/>
              </w:rPr>
              <w:t>1 570</w:t>
            </w:r>
          </w:p>
        </w:tc>
        <w:tc>
          <w:tcPr>
            <w:tcW w:w="122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1 696</w:t>
            </w:r>
          </w:p>
        </w:tc>
      </w:tr>
      <w:tr w:rsidR="00E96DDB" w:rsidRPr="00F309A2" w:rsidTr="00720621">
        <w:trPr>
          <w:cantSplit/>
          <w:trHeight w:val="270"/>
        </w:trPr>
        <w:tc>
          <w:tcPr>
            <w:tcW w:w="184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Közép-Dunántúl</w:t>
            </w:r>
          </w:p>
        </w:tc>
        <w:tc>
          <w:tcPr>
            <w:tcW w:w="134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1 379</w:t>
            </w:r>
          </w:p>
        </w:tc>
        <w:tc>
          <w:tcPr>
            <w:tcW w:w="136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2 066</w:t>
            </w:r>
          </w:p>
        </w:tc>
        <w:tc>
          <w:tcPr>
            <w:tcW w:w="1360" w:type="dxa"/>
            <w:tcBorders>
              <w:top w:val="nil"/>
              <w:left w:val="nil"/>
              <w:bottom w:val="single" w:sz="8" w:space="0" w:color="auto"/>
              <w:right w:val="single" w:sz="8" w:space="0" w:color="auto"/>
            </w:tcBorders>
            <w:vAlign w:val="center"/>
          </w:tcPr>
          <w:p w:rsidR="00E96DDB" w:rsidRPr="00CA0941" w:rsidRDefault="00E96DDB" w:rsidP="00720621">
            <w:pPr>
              <w:jc w:val="center"/>
              <w:rPr>
                <w:bCs/>
                <w:sz w:val="16"/>
                <w:szCs w:val="16"/>
              </w:rPr>
            </w:pPr>
            <w:r w:rsidRPr="00CA0941">
              <w:rPr>
                <w:bCs/>
                <w:sz w:val="16"/>
                <w:szCs w:val="16"/>
              </w:rPr>
              <w:t>2 133</w:t>
            </w:r>
          </w:p>
        </w:tc>
        <w:tc>
          <w:tcPr>
            <w:tcW w:w="122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2 498</w:t>
            </w:r>
          </w:p>
        </w:tc>
      </w:tr>
      <w:tr w:rsidR="00E96DDB" w:rsidRPr="00F309A2" w:rsidTr="00720621">
        <w:trPr>
          <w:cantSplit/>
          <w:trHeight w:val="270"/>
        </w:trPr>
        <w:tc>
          <w:tcPr>
            <w:tcW w:w="184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Közép-Magyarország</w:t>
            </w:r>
          </w:p>
        </w:tc>
        <w:tc>
          <w:tcPr>
            <w:tcW w:w="134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2 321</w:t>
            </w:r>
          </w:p>
        </w:tc>
        <w:tc>
          <w:tcPr>
            <w:tcW w:w="136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3 527</w:t>
            </w:r>
          </w:p>
        </w:tc>
        <w:tc>
          <w:tcPr>
            <w:tcW w:w="1360" w:type="dxa"/>
            <w:tcBorders>
              <w:top w:val="nil"/>
              <w:left w:val="nil"/>
              <w:bottom w:val="single" w:sz="8" w:space="0" w:color="auto"/>
              <w:right w:val="single" w:sz="8" w:space="0" w:color="auto"/>
            </w:tcBorders>
            <w:vAlign w:val="center"/>
          </w:tcPr>
          <w:p w:rsidR="00E96DDB" w:rsidRPr="00CA0941" w:rsidRDefault="00E96DDB" w:rsidP="00720621">
            <w:pPr>
              <w:jc w:val="center"/>
              <w:rPr>
                <w:bCs/>
                <w:sz w:val="16"/>
                <w:szCs w:val="16"/>
              </w:rPr>
            </w:pPr>
            <w:r w:rsidRPr="00CA0941">
              <w:rPr>
                <w:bCs/>
                <w:sz w:val="16"/>
                <w:szCs w:val="16"/>
              </w:rPr>
              <w:t>4 275</w:t>
            </w:r>
          </w:p>
        </w:tc>
        <w:tc>
          <w:tcPr>
            <w:tcW w:w="122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4 509</w:t>
            </w:r>
          </w:p>
        </w:tc>
      </w:tr>
      <w:tr w:rsidR="00E96DDB" w:rsidRPr="00F309A2" w:rsidTr="00720621">
        <w:trPr>
          <w:cantSplit/>
          <w:trHeight w:val="270"/>
        </w:trPr>
        <w:tc>
          <w:tcPr>
            <w:tcW w:w="1840" w:type="dxa"/>
            <w:tcBorders>
              <w:top w:val="nil"/>
              <w:left w:val="single" w:sz="8" w:space="0" w:color="auto"/>
              <w:bottom w:val="single" w:sz="8" w:space="0" w:color="auto"/>
              <w:right w:val="single" w:sz="8" w:space="0" w:color="auto"/>
            </w:tcBorders>
            <w:vAlign w:val="bottom"/>
          </w:tcPr>
          <w:p w:rsidR="00E96DDB" w:rsidRPr="00EC13F1" w:rsidRDefault="00E96DDB" w:rsidP="00720621">
            <w:pPr>
              <w:rPr>
                <w:sz w:val="16"/>
                <w:szCs w:val="16"/>
              </w:rPr>
            </w:pPr>
            <w:r w:rsidRPr="00EC13F1">
              <w:rPr>
                <w:sz w:val="16"/>
                <w:szCs w:val="16"/>
              </w:rPr>
              <w:t>Nyugat-Dunántúl</w:t>
            </w:r>
          </w:p>
        </w:tc>
        <w:tc>
          <w:tcPr>
            <w:tcW w:w="134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1 530</w:t>
            </w:r>
          </w:p>
        </w:tc>
        <w:tc>
          <w:tcPr>
            <w:tcW w:w="136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2 179</w:t>
            </w:r>
          </w:p>
        </w:tc>
        <w:tc>
          <w:tcPr>
            <w:tcW w:w="1360" w:type="dxa"/>
            <w:tcBorders>
              <w:top w:val="nil"/>
              <w:left w:val="nil"/>
              <w:bottom w:val="single" w:sz="8" w:space="0" w:color="auto"/>
              <w:right w:val="single" w:sz="8" w:space="0" w:color="auto"/>
            </w:tcBorders>
            <w:vAlign w:val="center"/>
          </w:tcPr>
          <w:p w:rsidR="00E96DDB" w:rsidRPr="00CA0941" w:rsidRDefault="00E96DDB" w:rsidP="00720621">
            <w:pPr>
              <w:jc w:val="center"/>
              <w:rPr>
                <w:bCs/>
                <w:sz w:val="16"/>
                <w:szCs w:val="16"/>
              </w:rPr>
            </w:pPr>
            <w:r w:rsidRPr="00CA0941">
              <w:rPr>
                <w:bCs/>
                <w:sz w:val="16"/>
                <w:szCs w:val="16"/>
              </w:rPr>
              <w:t>2 390</w:t>
            </w:r>
          </w:p>
        </w:tc>
        <w:tc>
          <w:tcPr>
            <w:tcW w:w="1220" w:type="dxa"/>
            <w:tcBorders>
              <w:top w:val="nil"/>
              <w:left w:val="nil"/>
              <w:bottom w:val="single" w:sz="8" w:space="0" w:color="auto"/>
              <w:right w:val="single" w:sz="8" w:space="0" w:color="auto"/>
            </w:tcBorders>
            <w:noWrap/>
            <w:vAlign w:val="center"/>
          </w:tcPr>
          <w:p w:rsidR="00E96DDB" w:rsidRPr="00CA0941" w:rsidRDefault="00E96DDB" w:rsidP="00720621">
            <w:pPr>
              <w:jc w:val="center"/>
              <w:rPr>
                <w:bCs/>
                <w:sz w:val="16"/>
                <w:szCs w:val="16"/>
              </w:rPr>
            </w:pPr>
            <w:r w:rsidRPr="00CA0941">
              <w:rPr>
                <w:bCs/>
                <w:sz w:val="16"/>
                <w:szCs w:val="16"/>
              </w:rPr>
              <w:t>2 871</w:t>
            </w:r>
          </w:p>
        </w:tc>
      </w:tr>
    </w:tbl>
    <w:p w:rsidR="00E96DDB" w:rsidRPr="00095B89" w:rsidRDefault="00E96DDB" w:rsidP="00E96DDB">
      <w:pPr>
        <w:rPr>
          <w:sz w:val="20"/>
        </w:rPr>
      </w:pPr>
      <w:r w:rsidRPr="00095B89">
        <w:rPr>
          <w:sz w:val="20"/>
        </w:rPr>
        <w:t>Forrás: KSH</w:t>
      </w:r>
    </w:p>
    <w:p w:rsidR="00E96DDB" w:rsidRPr="002229D7" w:rsidRDefault="00A426DD" w:rsidP="002229D7">
      <w:r w:rsidRPr="002229D7">
        <w:t>A 2001 és 20</w:t>
      </w:r>
      <w:r w:rsidR="00DB588C" w:rsidRPr="002229D7">
        <w:t>11</w:t>
      </w:r>
      <w:r w:rsidRPr="002229D7">
        <w:t xml:space="preserve"> közötti időszakban a bruttó hazai termék előállításában bekövetkezett változás az Észak-Magyarországi és Észak-Alföldi régiók felzárkózásának jelét mutatja. A régiók teljesítésében ugyanakkor még mindig - a korábbi adatoknak megfelelően - az Észak Magyarország, Észak-Alföld, Dél-Dunántúl és Dél Alföld jelentős elmaradása olvasható ki. A Közép Magyarországi régió és az ország többi része közötti különbség rendkívüli mértékben növekedett a vizsgált időszakban.</w:t>
      </w:r>
    </w:p>
    <w:p w:rsidR="00E96DDB" w:rsidRPr="005B70A7" w:rsidRDefault="007E5FDF" w:rsidP="002B6CB3">
      <w:pPr>
        <w:pStyle w:val="bra-cmetbla"/>
      </w:pPr>
      <w:fldSimple w:instr=" SEQ táblázat \* ARABIC ">
        <w:r w:rsidR="00E5031F">
          <w:rPr>
            <w:noProof/>
          </w:rPr>
          <w:t>13</w:t>
        </w:r>
      </w:fldSimple>
      <w:r w:rsidR="002B6CB3" w:rsidRPr="000842E9">
        <w:t xml:space="preserve">. táblázat: </w:t>
      </w:r>
      <w:r w:rsidR="00E96DDB" w:rsidRPr="000842E9">
        <w:t>Rendszeres szociális segélyben részesülők száma</w:t>
      </w:r>
      <w:r w:rsidR="00E96DDB" w:rsidRPr="005B70A7">
        <w:t xml:space="preserve"> </w:t>
      </w:r>
    </w:p>
    <w:tbl>
      <w:tblPr>
        <w:tblW w:w="9157" w:type="dxa"/>
        <w:tblInd w:w="55" w:type="dxa"/>
        <w:tblLayout w:type="fixed"/>
        <w:tblCellMar>
          <w:left w:w="70" w:type="dxa"/>
          <w:right w:w="70" w:type="dxa"/>
        </w:tblCellMar>
        <w:tblLook w:val="0000" w:firstRow="0" w:lastRow="0" w:firstColumn="0" w:lastColumn="0" w:noHBand="0" w:noVBand="0"/>
      </w:tblPr>
      <w:tblGrid>
        <w:gridCol w:w="1455"/>
        <w:gridCol w:w="1283"/>
        <w:gridCol w:w="1284"/>
        <w:gridCol w:w="1284"/>
        <w:gridCol w:w="1283"/>
        <w:gridCol w:w="1284"/>
        <w:gridCol w:w="1284"/>
      </w:tblGrid>
      <w:tr w:rsidR="00EB4324" w:rsidRPr="00F309A2" w:rsidTr="00896E03">
        <w:trPr>
          <w:trHeight w:val="915"/>
        </w:trPr>
        <w:tc>
          <w:tcPr>
            <w:tcW w:w="1455" w:type="dxa"/>
            <w:tcBorders>
              <w:top w:val="single" w:sz="4" w:space="0" w:color="auto"/>
              <w:left w:val="single" w:sz="4" w:space="0" w:color="auto"/>
              <w:bottom w:val="single" w:sz="4" w:space="0" w:color="auto"/>
              <w:right w:val="single" w:sz="4" w:space="0" w:color="auto"/>
            </w:tcBorders>
            <w:shd w:val="clear" w:color="auto" w:fill="C0C0C0"/>
            <w:vAlign w:val="center"/>
          </w:tcPr>
          <w:p w:rsidR="00EB4324" w:rsidRPr="00EC13F1" w:rsidRDefault="00EB4324" w:rsidP="005B70A7">
            <w:pPr>
              <w:pStyle w:val="Tbla-cm"/>
            </w:pPr>
            <w:r w:rsidRPr="00EC13F1">
              <w:t>Megnevezés</w:t>
            </w:r>
          </w:p>
        </w:tc>
        <w:tc>
          <w:tcPr>
            <w:tcW w:w="1283" w:type="dxa"/>
            <w:tcBorders>
              <w:top w:val="single" w:sz="4" w:space="0" w:color="auto"/>
              <w:left w:val="single" w:sz="4" w:space="0" w:color="auto"/>
              <w:bottom w:val="single" w:sz="4" w:space="0" w:color="auto"/>
              <w:right w:val="single" w:sz="4" w:space="0" w:color="auto"/>
            </w:tcBorders>
            <w:shd w:val="clear" w:color="auto" w:fill="C0C0C0"/>
            <w:vAlign w:val="center"/>
          </w:tcPr>
          <w:p w:rsidR="00EB4324" w:rsidRPr="00EC13F1" w:rsidRDefault="00EB4324" w:rsidP="005B70A7">
            <w:pPr>
              <w:pStyle w:val="Tbla-cm"/>
              <w:rPr>
                <w:sz w:val="16"/>
                <w:szCs w:val="16"/>
              </w:rPr>
            </w:pPr>
            <w:r w:rsidRPr="00EC13F1">
              <w:rPr>
                <w:sz w:val="16"/>
                <w:szCs w:val="16"/>
              </w:rPr>
              <w:t xml:space="preserve">Rendszeres szociális segélyben részesítettek átlagos száma </w:t>
            </w:r>
            <w:r w:rsidRPr="00EC13F1">
              <w:rPr>
                <w:sz w:val="16"/>
                <w:szCs w:val="16"/>
              </w:rPr>
              <w:br/>
              <w:t>(fő) 2001</w:t>
            </w:r>
          </w:p>
        </w:tc>
        <w:tc>
          <w:tcPr>
            <w:tcW w:w="1284" w:type="dxa"/>
            <w:tcBorders>
              <w:top w:val="single" w:sz="4" w:space="0" w:color="auto"/>
              <w:left w:val="single" w:sz="4" w:space="0" w:color="auto"/>
              <w:bottom w:val="single" w:sz="4" w:space="0" w:color="auto"/>
              <w:right w:val="single" w:sz="4" w:space="0" w:color="auto"/>
            </w:tcBorders>
            <w:shd w:val="clear" w:color="auto" w:fill="C0C0C0"/>
            <w:vAlign w:val="center"/>
          </w:tcPr>
          <w:p w:rsidR="00EB4324" w:rsidRPr="00EC13F1" w:rsidRDefault="00EB4324" w:rsidP="005B70A7">
            <w:pPr>
              <w:pStyle w:val="Tbla-cm"/>
              <w:rPr>
                <w:sz w:val="16"/>
                <w:szCs w:val="16"/>
              </w:rPr>
            </w:pPr>
            <w:r w:rsidRPr="00EC13F1">
              <w:rPr>
                <w:sz w:val="16"/>
                <w:szCs w:val="16"/>
              </w:rPr>
              <w:t>1000 főre jutó rendszeres szociális segélyben részesítettek átlagos száma (fő) 2001</w:t>
            </w:r>
          </w:p>
        </w:tc>
        <w:tc>
          <w:tcPr>
            <w:tcW w:w="1284" w:type="dxa"/>
            <w:tcBorders>
              <w:top w:val="single" w:sz="4" w:space="0" w:color="auto"/>
              <w:left w:val="single" w:sz="4" w:space="0" w:color="auto"/>
              <w:bottom w:val="single" w:sz="4" w:space="0" w:color="auto"/>
              <w:right w:val="single" w:sz="4" w:space="0" w:color="auto"/>
            </w:tcBorders>
            <w:shd w:val="clear" w:color="auto" w:fill="C0C0C0"/>
            <w:vAlign w:val="center"/>
          </w:tcPr>
          <w:p w:rsidR="00EB4324" w:rsidRPr="00EC13F1" w:rsidRDefault="00EB4324" w:rsidP="005B70A7">
            <w:pPr>
              <w:pStyle w:val="Tbla-cm"/>
              <w:rPr>
                <w:sz w:val="16"/>
                <w:szCs w:val="16"/>
              </w:rPr>
            </w:pPr>
            <w:r w:rsidRPr="00EC13F1">
              <w:rPr>
                <w:sz w:val="16"/>
                <w:szCs w:val="16"/>
              </w:rPr>
              <w:t xml:space="preserve">Rendszeres szociális segélyben részesítettek átlagos száma </w:t>
            </w:r>
            <w:r w:rsidRPr="00EC13F1">
              <w:rPr>
                <w:sz w:val="16"/>
                <w:szCs w:val="16"/>
              </w:rPr>
              <w:br/>
              <w:t>(fő) 2009</w:t>
            </w:r>
          </w:p>
        </w:tc>
        <w:tc>
          <w:tcPr>
            <w:tcW w:w="1283" w:type="dxa"/>
            <w:tcBorders>
              <w:top w:val="single" w:sz="4" w:space="0" w:color="auto"/>
              <w:left w:val="single" w:sz="4" w:space="0" w:color="auto"/>
              <w:bottom w:val="single" w:sz="4" w:space="0" w:color="auto"/>
              <w:right w:val="single" w:sz="4" w:space="0" w:color="auto"/>
            </w:tcBorders>
            <w:shd w:val="clear" w:color="auto" w:fill="C0C0C0"/>
            <w:vAlign w:val="center"/>
          </w:tcPr>
          <w:p w:rsidR="00EB4324" w:rsidRPr="00EC13F1" w:rsidRDefault="00EB4324" w:rsidP="005B70A7">
            <w:pPr>
              <w:pStyle w:val="Tbla-cm"/>
              <w:rPr>
                <w:sz w:val="16"/>
                <w:szCs w:val="16"/>
              </w:rPr>
            </w:pPr>
            <w:r w:rsidRPr="00EC13F1">
              <w:rPr>
                <w:sz w:val="16"/>
                <w:szCs w:val="16"/>
              </w:rPr>
              <w:t>1000 főre jutó rendszeres szociális segélyben részesítettek átlagos száma (fő) 2009</w:t>
            </w:r>
          </w:p>
        </w:tc>
        <w:tc>
          <w:tcPr>
            <w:tcW w:w="1284" w:type="dxa"/>
            <w:tcBorders>
              <w:top w:val="single" w:sz="4" w:space="0" w:color="auto"/>
              <w:left w:val="single" w:sz="4" w:space="0" w:color="auto"/>
              <w:bottom w:val="single" w:sz="4" w:space="0" w:color="auto"/>
              <w:right w:val="single" w:sz="4" w:space="0" w:color="auto"/>
            </w:tcBorders>
            <w:shd w:val="clear" w:color="auto" w:fill="C0C0C0"/>
            <w:vAlign w:val="center"/>
          </w:tcPr>
          <w:p w:rsidR="00EB4324" w:rsidRPr="00EC13F1" w:rsidRDefault="00EB4324" w:rsidP="005B70A7">
            <w:pPr>
              <w:pStyle w:val="Tbla-cm"/>
              <w:rPr>
                <w:sz w:val="16"/>
                <w:szCs w:val="16"/>
              </w:rPr>
            </w:pPr>
            <w:r w:rsidRPr="00EC13F1">
              <w:rPr>
                <w:sz w:val="16"/>
                <w:szCs w:val="16"/>
              </w:rPr>
              <w:t xml:space="preserve">Rendszeres szociális segélyben részesítettek átlagos száma </w:t>
            </w:r>
            <w:r w:rsidRPr="00EC13F1">
              <w:rPr>
                <w:sz w:val="16"/>
                <w:szCs w:val="16"/>
              </w:rPr>
              <w:br/>
              <w:t>(fő) 20</w:t>
            </w:r>
            <w:r>
              <w:rPr>
                <w:sz w:val="16"/>
                <w:szCs w:val="16"/>
              </w:rPr>
              <w:t>11</w:t>
            </w:r>
          </w:p>
        </w:tc>
        <w:tc>
          <w:tcPr>
            <w:tcW w:w="1284" w:type="dxa"/>
            <w:tcBorders>
              <w:top w:val="single" w:sz="4" w:space="0" w:color="auto"/>
              <w:left w:val="single" w:sz="4" w:space="0" w:color="auto"/>
              <w:bottom w:val="single" w:sz="4" w:space="0" w:color="auto"/>
              <w:right w:val="single" w:sz="4" w:space="0" w:color="auto"/>
            </w:tcBorders>
            <w:shd w:val="clear" w:color="auto" w:fill="C0C0C0"/>
            <w:vAlign w:val="center"/>
          </w:tcPr>
          <w:p w:rsidR="00EB4324" w:rsidRPr="00EC13F1" w:rsidRDefault="00EB4324" w:rsidP="005B70A7">
            <w:pPr>
              <w:pStyle w:val="Tbla-cm"/>
              <w:rPr>
                <w:sz w:val="16"/>
                <w:szCs w:val="16"/>
              </w:rPr>
            </w:pPr>
            <w:r w:rsidRPr="00EC13F1">
              <w:rPr>
                <w:sz w:val="16"/>
                <w:szCs w:val="16"/>
              </w:rPr>
              <w:t>1000 főre jutó rendszeres szociális segélyben részesítettek átlagos száma (fő) 20</w:t>
            </w:r>
            <w:r>
              <w:rPr>
                <w:sz w:val="16"/>
                <w:szCs w:val="16"/>
              </w:rPr>
              <w:t>11</w:t>
            </w:r>
          </w:p>
        </w:tc>
      </w:tr>
      <w:tr w:rsidR="00EB4324" w:rsidRPr="00F309A2" w:rsidTr="00896E03">
        <w:trPr>
          <w:trHeight w:val="270"/>
        </w:trPr>
        <w:tc>
          <w:tcPr>
            <w:tcW w:w="1455" w:type="dxa"/>
            <w:tcBorders>
              <w:top w:val="single" w:sz="4" w:space="0" w:color="auto"/>
              <w:left w:val="single" w:sz="8" w:space="0" w:color="auto"/>
              <w:bottom w:val="single" w:sz="8" w:space="0" w:color="auto"/>
              <w:right w:val="single" w:sz="8" w:space="0" w:color="auto"/>
            </w:tcBorders>
            <w:noWrap/>
            <w:vAlign w:val="center"/>
          </w:tcPr>
          <w:p w:rsidR="00EB4324" w:rsidRPr="00EC13F1" w:rsidRDefault="00EB4324" w:rsidP="00896E03">
            <w:pPr>
              <w:pStyle w:val="Tbla-bal"/>
            </w:pPr>
            <w:r w:rsidRPr="00EC13F1">
              <w:t>Magyarország</w:t>
            </w:r>
          </w:p>
        </w:tc>
        <w:tc>
          <w:tcPr>
            <w:tcW w:w="1283" w:type="dxa"/>
            <w:tcBorders>
              <w:top w:val="single" w:sz="4" w:space="0" w:color="auto"/>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94 779</w:t>
            </w:r>
          </w:p>
        </w:tc>
        <w:tc>
          <w:tcPr>
            <w:tcW w:w="1284" w:type="dxa"/>
            <w:tcBorders>
              <w:top w:val="single" w:sz="4" w:space="0" w:color="auto"/>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9</w:t>
            </w:r>
          </w:p>
        </w:tc>
        <w:tc>
          <w:tcPr>
            <w:tcW w:w="1284" w:type="dxa"/>
            <w:tcBorders>
              <w:top w:val="single" w:sz="4" w:space="0" w:color="auto"/>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239 103</w:t>
            </w:r>
          </w:p>
        </w:tc>
        <w:tc>
          <w:tcPr>
            <w:tcW w:w="1283" w:type="dxa"/>
            <w:tcBorders>
              <w:top w:val="single" w:sz="4" w:space="0" w:color="auto"/>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24</w:t>
            </w:r>
          </w:p>
        </w:tc>
        <w:tc>
          <w:tcPr>
            <w:tcW w:w="1284" w:type="dxa"/>
            <w:tcBorders>
              <w:top w:val="single" w:sz="4" w:space="0" w:color="auto"/>
              <w:left w:val="nil"/>
              <w:bottom w:val="single" w:sz="8" w:space="0" w:color="auto"/>
              <w:right w:val="single" w:sz="8" w:space="0" w:color="auto"/>
            </w:tcBorders>
            <w:vAlign w:val="center"/>
          </w:tcPr>
          <w:p w:rsidR="00EB4324" w:rsidRPr="00413572" w:rsidRDefault="00EB4324" w:rsidP="00720621">
            <w:pPr>
              <w:jc w:val="right"/>
              <w:rPr>
                <w:sz w:val="16"/>
                <w:szCs w:val="16"/>
              </w:rPr>
            </w:pPr>
            <w:r w:rsidRPr="00413572">
              <w:rPr>
                <w:sz w:val="16"/>
                <w:szCs w:val="16"/>
              </w:rPr>
              <w:t>50 647</w:t>
            </w:r>
          </w:p>
        </w:tc>
        <w:tc>
          <w:tcPr>
            <w:tcW w:w="1284" w:type="dxa"/>
            <w:tcBorders>
              <w:top w:val="single" w:sz="4" w:space="0" w:color="auto"/>
              <w:left w:val="nil"/>
              <w:bottom w:val="single" w:sz="8" w:space="0" w:color="auto"/>
              <w:right w:val="single" w:sz="8" w:space="0" w:color="auto"/>
            </w:tcBorders>
            <w:vAlign w:val="center"/>
          </w:tcPr>
          <w:p w:rsidR="00EB4324" w:rsidRPr="00EC13F1" w:rsidRDefault="00EB4324" w:rsidP="00720621">
            <w:pPr>
              <w:jc w:val="right"/>
              <w:rPr>
                <w:sz w:val="16"/>
                <w:szCs w:val="16"/>
              </w:rPr>
            </w:pPr>
            <w:r>
              <w:rPr>
                <w:sz w:val="16"/>
                <w:szCs w:val="16"/>
              </w:rPr>
              <w:t>5</w:t>
            </w:r>
          </w:p>
        </w:tc>
      </w:tr>
      <w:tr w:rsidR="00EB4324" w:rsidRPr="00F309A2" w:rsidTr="00896E03">
        <w:trPr>
          <w:trHeight w:val="270"/>
        </w:trPr>
        <w:tc>
          <w:tcPr>
            <w:tcW w:w="1455" w:type="dxa"/>
            <w:tcBorders>
              <w:top w:val="nil"/>
              <w:left w:val="single" w:sz="8" w:space="0" w:color="auto"/>
              <w:bottom w:val="single" w:sz="8" w:space="0" w:color="auto"/>
              <w:right w:val="single" w:sz="8" w:space="0" w:color="auto"/>
            </w:tcBorders>
            <w:noWrap/>
            <w:vAlign w:val="center"/>
          </w:tcPr>
          <w:p w:rsidR="00EB4324" w:rsidRPr="00EC13F1" w:rsidRDefault="00EB4324" w:rsidP="00896E03">
            <w:pPr>
              <w:pStyle w:val="Tbla-bal"/>
            </w:pPr>
            <w:r w:rsidRPr="00EC13F1">
              <w:t>Vidéki térség</w:t>
            </w:r>
          </w:p>
        </w:tc>
        <w:tc>
          <w:tcPr>
            <w:tcW w:w="1283"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59 759</w:t>
            </w:r>
          </w:p>
        </w:tc>
        <w:tc>
          <w:tcPr>
            <w:tcW w:w="1284"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15</w:t>
            </w:r>
          </w:p>
        </w:tc>
        <w:tc>
          <w:tcPr>
            <w:tcW w:w="1284"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149 685</w:t>
            </w:r>
          </w:p>
        </w:tc>
        <w:tc>
          <w:tcPr>
            <w:tcW w:w="1283"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39</w:t>
            </w:r>
          </w:p>
        </w:tc>
        <w:tc>
          <w:tcPr>
            <w:tcW w:w="1284" w:type="dxa"/>
            <w:tcBorders>
              <w:top w:val="nil"/>
              <w:left w:val="nil"/>
              <w:bottom w:val="single" w:sz="8" w:space="0" w:color="auto"/>
              <w:right w:val="single" w:sz="8" w:space="0" w:color="auto"/>
            </w:tcBorders>
            <w:vAlign w:val="center"/>
          </w:tcPr>
          <w:p w:rsidR="00EB4324" w:rsidRPr="00413572" w:rsidRDefault="00EB4324" w:rsidP="00720621">
            <w:pPr>
              <w:jc w:val="right"/>
              <w:rPr>
                <w:sz w:val="16"/>
                <w:szCs w:val="16"/>
              </w:rPr>
            </w:pPr>
            <w:r w:rsidRPr="00413572">
              <w:rPr>
                <w:sz w:val="16"/>
                <w:szCs w:val="16"/>
              </w:rPr>
              <w:t>27 806</w:t>
            </w:r>
          </w:p>
        </w:tc>
        <w:tc>
          <w:tcPr>
            <w:tcW w:w="1284" w:type="dxa"/>
            <w:tcBorders>
              <w:top w:val="nil"/>
              <w:left w:val="nil"/>
              <w:bottom w:val="single" w:sz="8" w:space="0" w:color="auto"/>
              <w:right w:val="single" w:sz="8" w:space="0" w:color="auto"/>
            </w:tcBorders>
            <w:vAlign w:val="center"/>
          </w:tcPr>
          <w:p w:rsidR="00EB4324" w:rsidRPr="00EC13F1" w:rsidRDefault="00EB4324" w:rsidP="00720621">
            <w:pPr>
              <w:jc w:val="right"/>
              <w:rPr>
                <w:sz w:val="16"/>
                <w:szCs w:val="16"/>
              </w:rPr>
            </w:pPr>
            <w:r>
              <w:rPr>
                <w:sz w:val="16"/>
                <w:szCs w:val="16"/>
              </w:rPr>
              <w:t>7</w:t>
            </w:r>
          </w:p>
        </w:tc>
      </w:tr>
      <w:tr w:rsidR="00EB4324" w:rsidRPr="00F309A2" w:rsidTr="00896E03">
        <w:trPr>
          <w:trHeight w:val="270"/>
        </w:trPr>
        <w:tc>
          <w:tcPr>
            <w:tcW w:w="1455" w:type="dxa"/>
            <w:tcBorders>
              <w:top w:val="nil"/>
              <w:left w:val="single" w:sz="8" w:space="0" w:color="auto"/>
              <w:bottom w:val="single" w:sz="8" w:space="0" w:color="auto"/>
              <w:right w:val="single" w:sz="8" w:space="0" w:color="auto"/>
            </w:tcBorders>
            <w:noWrap/>
            <w:vAlign w:val="center"/>
          </w:tcPr>
          <w:p w:rsidR="00EB4324" w:rsidRPr="00EC13F1" w:rsidRDefault="00EB4324" w:rsidP="00896E03">
            <w:pPr>
              <w:pStyle w:val="Tbla-bal"/>
            </w:pPr>
            <w:r w:rsidRPr="00EC13F1">
              <w:t>Nem vidéki térség</w:t>
            </w:r>
          </w:p>
        </w:tc>
        <w:tc>
          <w:tcPr>
            <w:tcW w:w="1283"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35 021</w:t>
            </w:r>
          </w:p>
        </w:tc>
        <w:tc>
          <w:tcPr>
            <w:tcW w:w="1284"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6</w:t>
            </w:r>
          </w:p>
        </w:tc>
        <w:tc>
          <w:tcPr>
            <w:tcW w:w="1284"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89 418</w:t>
            </w:r>
          </w:p>
        </w:tc>
        <w:tc>
          <w:tcPr>
            <w:tcW w:w="1283" w:type="dxa"/>
            <w:tcBorders>
              <w:top w:val="nil"/>
              <w:left w:val="nil"/>
              <w:bottom w:val="single" w:sz="8" w:space="0" w:color="auto"/>
              <w:right w:val="single" w:sz="8" w:space="0" w:color="auto"/>
            </w:tcBorders>
            <w:noWrap/>
            <w:vAlign w:val="center"/>
          </w:tcPr>
          <w:p w:rsidR="00EB4324" w:rsidRPr="00EC13F1" w:rsidRDefault="00EB4324" w:rsidP="00720621">
            <w:pPr>
              <w:jc w:val="right"/>
              <w:rPr>
                <w:sz w:val="16"/>
                <w:szCs w:val="16"/>
              </w:rPr>
            </w:pPr>
            <w:r w:rsidRPr="00EC13F1">
              <w:rPr>
                <w:sz w:val="16"/>
                <w:szCs w:val="16"/>
              </w:rPr>
              <w:t>14</w:t>
            </w:r>
          </w:p>
        </w:tc>
        <w:tc>
          <w:tcPr>
            <w:tcW w:w="1284" w:type="dxa"/>
            <w:tcBorders>
              <w:top w:val="nil"/>
              <w:left w:val="nil"/>
              <w:bottom w:val="single" w:sz="8" w:space="0" w:color="auto"/>
              <w:right w:val="single" w:sz="8" w:space="0" w:color="auto"/>
            </w:tcBorders>
            <w:vAlign w:val="center"/>
          </w:tcPr>
          <w:p w:rsidR="00EB4324" w:rsidRPr="00413572" w:rsidRDefault="00EB4324" w:rsidP="00720621">
            <w:pPr>
              <w:jc w:val="right"/>
              <w:rPr>
                <w:sz w:val="16"/>
                <w:szCs w:val="16"/>
              </w:rPr>
            </w:pPr>
            <w:r w:rsidRPr="00413572">
              <w:rPr>
                <w:sz w:val="16"/>
                <w:szCs w:val="16"/>
              </w:rPr>
              <w:t>22 841</w:t>
            </w:r>
          </w:p>
        </w:tc>
        <w:tc>
          <w:tcPr>
            <w:tcW w:w="1284" w:type="dxa"/>
            <w:tcBorders>
              <w:top w:val="nil"/>
              <w:left w:val="nil"/>
              <w:bottom w:val="single" w:sz="8" w:space="0" w:color="auto"/>
              <w:right w:val="single" w:sz="8" w:space="0" w:color="auto"/>
            </w:tcBorders>
            <w:vAlign w:val="center"/>
          </w:tcPr>
          <w:p w:rsidR="00EB4324" w:rsidRPr="00EC13F1" w:rsidRDefault="00EB4324" w:rsidP="00720621">
            <w:pPr>
              <w:jc w:val="right"/>
              <w:rPr>
                <w:sz w:val="16"/>
                <w:szCs w:val="16"/>
              </w:rPr>
            </w:pPr>
            <w:r>
              <w:rPr>
                <w:sz w:val="16"/>
                <w:szCs w:val="16"/>
              </w:rPr>
              <w:t>4</w:t>
            </w:r>
          </w:p>
        </w:tc>
      </w:tr>
    </w:tbl>
    <w:p w:rsidR="00E96DDB" w:rsidRPr="00EC13F1" w:rsidRDefault="00E96DDB" w:rsidP="00E96DDB">
      <w:pPr>
        <w:rPr>
          <w:sz w:val="20"/>
        </w:rPr>
      </w:pPr>
      <w:r w:rsidRPr="00EC13F1">
        <w:rPr>
          <w:sz w:val="20"/>
        </w:rPr>
        <w:t xml:space="preserve">Forrás: KSH TSTAR 2001, 2009, </w:t>
      </w:r>
      <w:r>
        <w:rPr>
          <w:sz w:val="20"/>
        </w:rPr>
        <w:t>2011</w:t>
      </w:r>
    </w:p>
    <w:p w:rsidR="00A426DD" w:rsidRPr="00B12340" w:rsidRDefault="00A426DD" w:rsidP="00B12340">
      <w:pPr>
        <w:pStyle w:val="Cmsor6"/>
      </w:pPr>
      <w:r w:rsidRPr="00B12340">
        <w:t>Életminőség</w:t>
      </w:r>
    </w:p>
    <w:p w:rsidR="00A426DD" w:rsidRPr="002229D7" w:rsidRDefault="00A426DD" w:rsidP="002229D7">
      <w:r w:rsidRPr="002229D7">
        <w:t>A vidéki térségekben az életminőség javulásának szűk keresztmetszete továbbra is a megélhetési lehetőségek hiánya és az alacsony jövedelemszint maradt. Ennek okai többek között a vidéki lakosság alacsony mobilitása, amely a falvak elérhetőségének (felújításra szoruló úthálózat) és a közösségi közlekedésnek a problémáiból fakad (ritkuló járatok). A másik ok a nehezedő vállalkozási körülmények mellett a megfelelően felkészült és rendszeres, jó minőségű munkavégzésre alkalmas munkaerő hiánya (több generációs munkanélküli emberek). A rendszeres szociális segélyben részesülők száma, aránya és ezek változása jól érzékelteti a probléma súlyosságát. A segélyezettek száma és aránya 2009-ig országos és vidéki viszonylatban is jelentősen emelkedett. Az adatokból egyértelműen kiolvasható a vidéki térségek hátránya, miszerint az ezer főre jutó rendszeres segélyben részesülők száma 2001-ben és 2009-ben is több mint másfélszerese az országos értéknek. A 2009 és 201</w:t>
      </w:r>
      <w:r w:rsidR="003B267C" w:rsidRPr="002229D7">
        <w:t>1</w:t>
      </w:r>
      <w:r w:rsidRPr="002229D7">
        <w:t xml:space="preserve">-es értékekben mutatkozó jelentős különbséget az államilag támogatott közmunka program (Út a munkához) bevezetése okozta. A segélyezettekből önkormányzatok által foglalkoztatott, 95%-ban államilag támogatott közmunkások váltak. Meg kell jegyezni, hogy a közmunkáért kapott bér csekély mértékben haladja meg a szociális segély összegét, így jelentős életszínvonalbeli változást nem eredményez a rászorulók körében. </w:t>
      </w:r>
    </w:p>
    <w:p w:rsidR="00E548D5" w:rsidRPr="00896E03" w:rsidRDefault="00E548D5" w:rsidP="00DB48A3">
      <w:pPr>
        <w:pStyle w:val="Cmsor3"/>
      </w:pPr>
      <w:bookmarkStart w:id="25" w:name="_Toc198639975"/>
      <w:bookmarkStart w:id="26" w:name="_Toc232860145"/>
      <w:bookmarkStart w:id="27" w:name="_Toc360176785"/>
      <w:r w:rsidRPr="00896E03">
        <w:lastRenderedPageBreak/>
        <w:t>Országos, regionális és ágazati politikák változásai</w:t>
      </w:r>
      <w:bookmarkEnd w:id="25"/>
      <w:bookmarkEnd w:id="26"/>
      <w:bookmarkEnd w:id="27"/>
    </w:p>
    <w:p w:rsidR="008E1DF0" w:rsidRPr="00B12340" w:rsidRDefault="00854757" w:rsidP="00B12340">
      <w:pPr>
        <w:pStyle w:val="Cmsor6"/>
      </w:pPr>
      <w:r w:rsidRPr="00B12340">
        <w:t>Agrár-külkereskedelem</w:t>
      </w:r>
    </w:p>
    <w:p w:rsidR="00BA53BD" w:rsidRPr="002229D7" w:rsidRDefault="00BA53BD" w:rsidP="002229D7">
      <w:r w:rsidRPr="002229D7">
        <w:t>Az agrárgazdasági termékek kivitele 2012-ben rekord szintre, 8,1</w:t>
      </w:r>
      <w:r w:rsidR="00C416A0" w:rsidRPr="002229D7">
        <w:t> </w:t>
      </w:r>
      <w:r w:rsidRPr="002229D7">
        <w:t>milliárd</w:t>
      </w:r>
      <w:r w:rsidR="00C416A0" w:rsidRPr="002229D7">
        <w:t> </w:t>
      </w:r>
      <w:r w:rsidRPr="002229D7">
        <w:t>euróra bővült, melyhez 4,5</w:t>
      </w:r>
      <w:r w:rsidR="00C416A0" w:rsidRPr="002229D7">
        <w:t> </w:t>
      </w:r>
      <w:r w:rsidRPr="002229D7">
        <w:t>milliárd</w:t>
      </w:r>
      <w:r w:rsidR="00C416A0" w:rsidRPr="002229D7">
        <w:t> </w:t>
      </w:r>
      <w:r w:rsidRPr="002229D7">
        <w:t>eurós import társult. A dinamizálódó export (+12,4%) és stagnáló import (+0,6%) eredőjeként az agrár-külkereskedelmi mérleg erőteljesen javult (+31,4%), és túllépte a 3,6</w:t>
      </w:r>
      <w:r w:rsidR="00B56B43" w:rsidRPr="002229D7">
        <w:t> </w:t>
      </w:r>
      <w:r w:rsidRPr="002229D7">
        <w:t>milliárd</w:t>
      </w:r>
      <w:r w:rsidR="00B56B43" w:rsidRPr="002229D7">
        <w:t> </w:t>
      </w:r>
      <w:r w:rsidRPr="002229D7">
        <w:t xml:space="preserve">eurót. </w:t>
      </w:r>
    </w:p>
    <w:p w:rsidR="00BA53BD" w:rsidRPr="002229D7" w:rsidRDefault="00BA53BD" w:rsidP="002229D7">
      <w:r w:rsidRPr="002229D7">
        <w:t>Miközben a nemzetgazdasági kivitel stagnált (+0,1%), addig az agrárgazdasági export 12,4%-kal növekedve húzó erőt gyakorolt a nemzetgazdasági kivitel egészének alakulására. Ennek köszönhetően az agrár-külkereskedelem makrogazdasági jelentősége nőtt. Az agrárgazdasági exportnövekmény nélkül a nemzetgazdasági kivitel negatív tartományba került volna. Az ország külkereskedelmi mérlegének 52,9%-át adta az agrárgazdaság 2012-ben, ezért a külkereskedelmi mérleg egyensúlyban tartásának nélkülözhetetlen elemévé vált.</w:t>
      </w:r>
    </w:p>
    <w:p w:rsidR="00BA53BD" w:rsidRPr="002229D7" w:rsidRDefault="00BA53BD" w:rsidP="002229D7">
      <w:r w:rsidRPr="002229D7">
        <w:t>Az agrárexport súlya a nemzetgazdasági kivitelen belül erőteljesen javult. Az előző évre jellemző 9,0%-os agrárexport részarány több mint egy százalékpontot erősödve 10,1%-ra emelkedett. Az agrárimport 6,1%-os részesedése a nemzetgazdaság importjából 2012-ben nem változott.</w:t>
      </w:r>
    </w:p>
    <w:p w:rsidR="00BA53BD" w:rsidRPr="002229D7" w:rsidRDefault="00BA53BD" w:rsidP="002229D7">
      <w:r w:rsidRPr="002229D7">
        <w:t>Összesen 160 országgal volt agrár-külkereskedelmi kapcsolatunk 2012-ben, de a forgalom értéke csak 84 ország esetében érte el az 1</w:t>
      </w:r>
      <w:r w:rsidR="00B56B43" w:rsidRPr="002229D7">
        <w:t> </w:t>
      </w:r>
      <w:r w:rsidRPr="002229D7">
        <w:t>millió</w:t>
      </w:r>
      <w:r w:rsidR="00B56B43" w:rsidRPr="002229D7">
        <w:t> </w:t>
      </w:r>
      <w:r w:rsidRPr="002229D7">
        <w:t>eurót. Legfontosabb kereskedelmi partnereink köre nem változott 2011-hez képest. Németország, Szlovákia, Románia, Ausztria, Hollandia, Olaszország, Lengyelország, Csehország és Franciaország részesedése a magyar agrár-külkereskedelmi forgalomból megközelítette a 75</w:t>
      </w:r>
      <w:r w:rsidR="00B56B43" w:rsidRPr="002229D7">
        <w:t>%-</w:t>
      </w:r>
      <w:r w:rsidRPr="002229D7">
        <w:t xml:space="preserve">ot. </w:t>
      </w:r>
    </w:p>
    <w:p w:rsidR="00BA53BD" w:rsidRPr="002229D7" w:rsidRDefault="00BA53BD" w:rsidP="002229D7">
      <w:r w:rsidRPr="002229D7">
        <w:t>Az agrár-külkereskedelmi forgalmunk döntő részét 2012-ben is az Európai Unió tagállama</w:t>
      </w:r>
      <w:r w:rsidR="00B56B43" w:rsidRPr="002229D7">
        <w:t xml:space="preserve">ival bonyolítottuk. </w:t>
      </w:r>
      <w:r w:rsidRPr="002229D7">
        <w:t>Az EU az exportértékből 84</w:t>
      </w:r>
      <w:r w:rsidR="00B56B43" w:rsidRPr="002229D7">
        <w:t>%-k</w:t>
      </w:r>
      <w:r w:rsidRPr="002229D7">
        <w:t>al, az importértékből 91</w:t>
      </w:r>
      <w:r w:rsidR="00B56B43" w:rsidRPr="002229D7">
        <w:t>%-k</w:t>
      </w:r>
      <w:r w:rsidRPr="002229D7">
        <w:t>al részesedett. Az EU országaiba irányuló kivitel értéke a teljes agrárexportnál kicsit erősebben (+13,3</w:t>
      </w:r>
      <w:r w:rsidR="00B56B43" w:rsidRPr="002229D7">
        <w:t>%-k</w:t>
      </w:r>
      <w:r w:rsidRPr="002229D7">
        <w:t>al) bővült, az import valamelyest elmaradt (-0,5</w:t>
      </w:r>
      <w:r w:rsidR="00B56B43" w:rsidRPr="002229D7">
        <w:t>%</w:t>
      </w:r>
      <w:r w:rsidRPr="002229D7">
        <w:t>) a 2011. évi értéktől. Az egyenleg 2722</w:t>
      </w:r>
      <w:r w:rsidR="00B56B43" w:rsidRPr="002229D7">
        <w:t> </w:t>
      </w:r>
      <w:r w:rsidRPr="002229D7">
        <w:t>millió</w:t>
      </w:r>
      <w:r w:rsidR="00B56B43" w:rsidRPr="002229D7">
        <w:t> </w:t>
      </w:r>
      <w:r w:rsidRPr="002229D7">
        <w:t>eurós értéke 818</w:t>
      </w:r>
      <w:r w:rsidR="00B56B43" w:rsidRPr="002229D7">
        <w:t> </w:t>
      </w:r>
      <w:r w:rsidRPr="002229D7">
        <w:t>millió</w:t>
      </w:r>
      <w:r w:rsidR="00B56B43" w:rsidRPr="002229D7">
        <w:t> </w:t>
      </w:r>
      <w:r w:rsidRPr="002229D7">
        <w:t xml:space="preserve">euróval magasabb, mint egy évvel korábban. </w:t>
      </w:r>
    </w:p>
    <w:p w:rsidR="00BA53BD" w:rsidRPr="00673DDE" w:rsidRDefault="007E5FDF" w:rsidP="002B6CB3">
      <w:pPr>
        <w:pStyle w:val="bra-cmetbla"/>
      </w:pPr>
      <w:fldSimple w:instr=" SEQ táblázat \* ARABIC ">
        <w:r w:rsidR="00E5031F">
          <w:rPr>
            <w:noProof/>
          </w:rPr>
          <w:t>14</w:t>
        </w:r>
      </w:fldSimple>
      <w:r w:rsidR="002B6CB3" w:rsidRPr="00673DDE">
        <w:t xml:space="preserve">. táblázat: </w:t>
      </w:r>
      <w:r w:rsidR="00BA53BD" w:rsidRPr="00673DDE">
        <w:t>a magyar agrár-export alakulása ország csoportok szerint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914"/>
        <w:gridCol w:w="1688"/>
        <w:gridCol w:w="1872"/>
      </w:tblGrid>
      <w:tr w:rsidR="00BA53BD" w:rsidRPr="00BA53BD" w:rsidTr="001F454D">
        <w:trPr>
          <w:trHeight w:val="314"/>
          <w:jc w:val="center"/>
        </w:trPr>
        <w:tc>
          <w:tcPr>
            <w:tcW w:w="1898" w:type="dxa"/>
          </w:tcPr>
          <w:p w:rsidR="00BA53BD" w:rsidRPr="00BA53BD" w:rsidRDefault="00BA53BD" w:rsidP="002B6CB3">
            <w:pPr>
              <w:pStyle w:val="Tbla-cm"/>
            </w:pPr>
          </w:p>
        </w:tc>
        <w:tc>
          <w:tcPr>
            <w:tcW w:w="1914" w:type="dxa"/>
          </w:tcPr>
          <w:p w:rsidR="00BA53BD" w:rsidRPr="00BA53BD" w:rsidRDefault="00BA53BD" w:rsidP="002B6CB3">
            <w:pPr>
              <w:pStyle w:val="Tbla-cm"/>
            </w:pPr>
            <w:r w:rsidRPr="00BA53BD">
              <w:t>2011.</w:t>
            </w:r>
          </w:p>
        </w:tc>
        <w:tc>
          <w:tcPr>
            <w:tcW w:w="1688" w:type="dxa"/>
          </w:tcPr>
          <w:p w:rsidR="00BA53BD" w:rsidRPr="00BA53BD" w:rsidRDefault="00BA53BD" w:rsidP="002B6CB3">
            <w:pPr>
              <w:pStyle w:val="Tbla-cm"/>
            </w:pPr>
            <w:r w:rsidRPr="00BA53BD">
              <w:t>2012.</w:t>
            </w:r>
          </w:p>
        </w:tc>
        <w:tc>
          <w:tcPr>
            <w:tcW w:w="1872" w:type="dxa"/>
          </w:tcPr>
          <w:p w:rsidR="00BA53BD" w:rsidRPr="00BA53BD" w:rsidRDefault="00BA53BD" w:rsidP="002B6CB3">
            <w:pPr>
              <w:pStyle w:val="Tbla-cm"/>
            </w:pPr>
            <w:r w:rsidRPr="00BA53BD">
              <w:t>Index: 2012/2011 (%)</w:t>
            </w:r>
          </w:p>
        </w:tc>
      </w:tr>
      <w:tr w:rsidR="00BA53BD" w:rsidRPr="00BA53BD" w:rsidTr="001F454D">
        <w:trPr>
          <w:jc w:val="center"/>
        </w:trPr>
        <w:tc>
          <w:tcPr>
            <w:tcW w:w="1898" w:type="dxa"/>
          </w:tcPr>
          <w:p w:rsidR="00BA53BD" w:rsidRPr="00BA53BD" w:rsidRDefault="00BA53BD" w:rsidP="002B6CB3">
            <w:pPr>
              <w:pStyle w:val="Tbla-bal"/>
            </w:pPr>
            <w:r w:rsidRPr="00BA53BD">
              <w:t>Összes ország</w:t>
            </w:r>
          </w:p>
        </w:tc>
        <w:tc>
          <w:tcPr>
            <w:tcW w:w="1914" w:type="dxa"/>
          </w:tcPr>
          <w:p w:rsidR="00BA53BD" w:rsidRPr="00BA53BD" w:rsidRDefault="00BA53BD" w:rsidP="002B6CB3">
            <w:pPr>
              <w:pStyle w:val="Tbla-jobb"/>
            </w:pPr>
            <w:r w:rsidRPr="00BA53BD">
              <w:t>7 193,1</w:t>
            </w:r>
          </w:p>
        </w:tc>
        <w:tc>
          <w:tcPr>
            <w:tcW w:w="1688" w:type="dxa"/>
          </w:tcPr>
          <w:p w:rsidR="00BA53BD" w:rsidRPr="00BA53BD" w:rsidRDefault="00BA53BD" w:rsidP="002B6CB3">
            <w:pPr>
              <w:pStyle w:val="Tbla-jobb"/>
            </w:pPr>
            <w:r w:rsidRPr="00BA53BD">
              <w:t>8 082,3</w:t>
            </w:r>
          </w:p>
        </w:tc>
        <w:tc>
          <w:tcPr>
            <w:tcW w:w="1872" w:type="dxa"/>
          </w:tcPr>
          <w:p w:rsidR="00BA53BD" w:rsidRPr="00BA53BD" w:rsidRDefault="00BA53BD" w:rsidP="002B6CB3">
            <w:pPr>
              <w:pStyle w:val="Tbla-jobb"/>
            </w:pPr>
            <w:r w:rsidRPr="00BA53BD">
              <w:t>112,4</w:t>
            </w:r>
          </w:p>
        </w:tc>
      </w:tr>
      <w:tr w:rsidR="00BA53BD" w:rsidRPr="00BA53BD" w:rsidTr="001F454D">
        <w:trPr>
          <w:jc w:val="center"/>
        </w:trPr>
        <w:tc>
          <w:tcPr>
            <w:tcW w:w="1898" w:type="dxa"/>
          </w:tcPr>
          <w:p w:rsidR="00BA53BD" w:rsidRPr="00BA53BD" w:rsidRDefault="00BA53BD" w:rsidP="002B6CB3">
            <w:pPr>
              <w:pStyle w:val="Tbla-bal"/>
            </w:pPr>
            <w:r w:rsidRPr="00BA53BD">
              <w:t>EU-27</w:t>
            </w:r>
          </w:p>
        </w:tc>
        <w:tc>
          <w:tcPr>
            <w:tcW w:w="1914" w:type="dxa"/>
          </w:tcPr>
          <w:p w:rsidR="00BA53BD" w:rsidRPr="00BA53BD" w:rsidRDefault="00BA53BD" w:rsidP="002B6CB3">
            <w:pPr>
              <w:pStyle w:val="Tbla-jobb"/>
            </w:pPr>
            <w:r w:rsidRPr="00BA53BD">
              <w:t>5 994,5</w:t>
            </w:r>
          </w:p>
        </w:tc>
        <w:tc>
          <w:tcPr>
            <w:tcW w:w="1688" w:type="dxa"/>
          </w:tcPr>
          <w:p w:rsidR="00BA53BD" w:rsidRPr="00BA53BD" w:rsidRDefault="00BA53BD" w:rsidP="002B6CB3">
            <w:pPr>
              <w:pStyle w:val="Tbla-jobb"/>
            </w:pPr>
            <w:r w:rsidRPr="00BA53BD">
              <w:t>6 793,1</w:t>
            </w:r>
          </w:p>
        </w:tc>
        <w:tc>
          <w:tcPr>
            <w:tcW w:w="1872" w:type="dxa"/>
          </w:tcPr>
          <w:p w:rsidR="00BA53BD" w:rsidRPr="00BA53BD" w:rsidRDefault="00BA53BD" w:rsidP="002B6CB3">
            <w:pPr>
              <w:pStyle w:val="Tbla-jobb"/>
            </w:pPr>
            <w:r w:rsidRPr="00BA53BD">
              <w:t>113,3</w:t>
            </w:r>
          </w:p>
        </w:tc>
      </w:tr>
      <w:tr w:rsidR="00BA53BD" w:rsidRPr="00BA53BD" w:rsidTr="001F454D">
        <w:trPr>
          <w:jc w:val="center"/>
        </w:trPr>
        <w:tc>
          <w:tcPr>
            <w:tcW w:w="1898" w:type="dxa"/>
          </w:tcPr>
          <w:p w:rsidR="00BA53BD" w:rsidRPr="00BA53BD" w:rsidRDefault="00BA53BD" w:rsidP="002B6CB3">
            <w:pPr>
              <w:pStyle w:val="Tbla-bal"/>
            </w:pPr>
            <w:r w:rsidRPr="00BA53BD">
              <w:t>EU-15</w:t>
            </w:r>
          </w:p>
        </w:tc>
        <w:tc>
          <w:tcPr>
            <w:tcW w:w="1914" w:type="dxa"/>
          </w:tcPr>
          <w:p w:rsidR="00BA53BD" w:rsidRPr="00BA53BD" w:rsidRDefault="00BA53BD" w:rsidP="002B6CB3">
            <w:pPr>
              <w:pStyle w:val="Tbla-jobb"/>
            </w:pPr>
            <w:r w:rsidRPr="00BA53BD">
              <w:t>3 276,2</w:t>
            </w:r>
          </w:p>
        </w:tc>
        <w:tc>
          <w:tcPr>
            <w:tcW w:w="1688" w:type="dxa"/>
          </w:tcPr>
          <w:p w:rsidR="00BA53BD" w:rsidRPr="00BA53BD" w:rsidRDefault="00BA53BD" w:rsidP="002B6CB3">
            <w:pPr>
              <w:pStyle w:val="Tbla-jobb"/>
            </w:pPr>
            <w:r w:rsidRPr="00BA53BD">
              <w:t>3 946,4</w:t>
            </w:r>
          </w:p>
        </w:tc>
        <w:tc>
          <w:tcPr>
            <w:tcW w:w="1872" w:type="dxa"/>
          </w:tcPr>
          <w:p w:rsidR="00BA53BD" w:rsidRPr="00BA53BD" w:rsidRDefault="00BA53BD" w:rsidP="002B6CB3">
            <w:pPr>
              <w:pStyle w:val="Tbla-jobb"/>
            </w:pPr>
            <w:r w:rsidRPr="00BA53BD">
              <w:t>120,5</w:t>
            </w:r>
          </w:p>
        </w:tc>
      </w:tr>
      <w:tr w:rsidR="00BA53BD" w:rsidRPr="00BA53BD" w:rsidTr="001F454D">
        <w:trPr>
          <w:jc w:val="center"/>
        </w:trPr>
        <w:tc>
          <w:tcPr>
            <w:tcW w:w="1898" w:type="dxa"/>
          </w:tcPr>
          <w:p w:rsidR="00BA53BD" w:rsidRPr="00BA53BD" w:rsidRDefault="00BA53BD" w:rsidP="002B6CB3">
            <w:pPr>
              <w:pStyle w:val="Tbla-bal"/>
            </w:pPr>
            <w:r w:rsidRPr="00BA53BD">
              <w:t>EU-12</w:t>
            </w:r>
          </w:p>
        </w:tc>
        <w:tc>
          <w:tcPr>
            <w:tcW w:w="1914" w:type="dxa"/>
          </w:tcPr>
          <w:p w:rsidR="00BA53BD" w:rsidRPr="00BA53BD" w:rsidRDefault="00BA53BD" w:rsidP="002B6CB3">
            <w:pPr>
              <w:pStyle w:val="Tbla-jobb"/>
            </w:pPr>
            <w:r w:rsidRPr="00BA53BD">
              <w:t>2 718,4</w:t>
            </w:r>
          </w:p>
        </w:tc>
        <w:tc>
          <w:tcPr>
            <w:tcW w:w="1688" w:type="dxa"/>
          </w:tcPr>
          <w:p w:rsidR="00BA53BD" w:rsidRPr="00BA53BD" w:rsidRDefault="00BA53BD" w:rsidP="002B6CB3">
            <w:pPr>
              <w:pStyle w:val="Tbla-jobb"/>
            </w:pPr>
            <w:r w:rsidRPr="00BA53BD">
              <w:t>2 846,7</w:t>
            </w:r>
          </w:p>
        </w:tc>
        <w:tc>
          <w:tcPr>
            <w:tcW w:w="1872" w:type="dxa"/>
          </w:tcPr>
          <w:p w:rsidR="00BA53BD" w:rsidRPr="00BA53BD" w:rsidRDefault="00BA53BD" w:rsidP="002B6CB3">
            <w:pPr>
              <w:pStyle w:val="Tbla-jobb"/>
            </w:pPr>
            <w:r w:rsidRPr="00BA53BD">
              <w:t>104,7</w:t>
            </w:r>
          </w:p>
        </w:tc>
      </w:tr>
      <w:tr w:rsidR="00BA53BD" w:rsidRPr="00BA53BD" w:rsidTr="001F454D">
        <w:trPr>
          <w:jc w:val="center"/>
        </w:trPr>
        <w:tc>
          <w:tcPr>
            <w:tcW w:w="1898" w:type="dxa"/>
          </w:tcPr>
          <w:p w:rsidR="00BA53BD" w:rsidRPr="00BA53BD" w:rsidRDefault="00BA53BD" w:rsidP="002B6CB3">
            <w:pPr>
              <w:pStyle w:val="Tbla-bal"/>
            </w:pPr>
            <w:r w:rsidRPr="00BA53BD">
              <w:t>EU-n kívüli Európai ország</w:t>
            </w:r>
          </w:p>
        </w:tc>
        <w:tc>
          <w:tcPr>
            <w:tcW w:w="1914" w:type="dxa"/>
          </w:tcPr>
          <w:p w:rsidR="00BA53BD" w:rsidRPr="00BA53BD" w:rsidRDefault="00BA53BD" w:rsidP="002B6CB3">
            <w:pPr>
              <w:pStyle w:val="Tbla-jobb"/>
            </w:pPr>
            <w:r w:rsidRPr="00BA53BD">
              <w:t>909,5</w:t>
            </w:r>
          </w:p>
        </w:tc>
        <w:tc>
          <w:tcPr>
            <w:tcW w:w="1688" w:type="dxa"/>
          </w:tcPr>
          <w:p w:rsidR="00BA53BD" w:rsidRPr="00BA53BD" w:rsidRDefault="00BA53BD" w:rsidP="002B6CB3">
            <w:pPr>
              <w:pStyle w:val="Tbla-jobb"/>
            </w:pPr>
            <w:r w:rsidRPr="00BA53BD">
              <w:t>952,5</w:t>
            </w:r>
          </w:p>
        </w:tc>
        <w:tc>
          <w:tcPr>
            <w:tcW w:w="1872" w:type="dxa"/>
          </w:tcPr>
          <w:p w:rsidR="00BA53BD" w:rsidRPr="00BA53BD" w:rsidRDefault="00BA53BD" w:rsidP="002B6CB3">
            <w:pPr>
              <w:pStyle w:val="Tbla-jobb"/>
            </w:pPr>
            <w:r w:rsidRPr="00BA53BD">
              <w:t>104,7</w:t>
            </w:r>
          </w:p>
        </w:tc>
      </w:tr>
      <w:tr w:rsidR="00BA53BD" w:rsidRPr="00BA53BD" w:rsidTr="001F454D">
        <w:trPr>
          <w:jc w:val="center"/>
        </w:trPr>
        <w:tc>
          <w:tcPr>
            <w:tcW w:w="1898" w:type="dxa"/>
          </w:tcPr>
          <w:p w:rsidR="00BA53BD" w:rsidRPr="00BA53BD" w:rsidRDefault="00BA53BD" w:rsidP="002B6CB3">
            <w:pPr>
              <w:pStyle w:val="Tbla-bal"/>
            </w:pPr>
            <w:r w:rsidRPr="00BA53BD">
              <w:t>Amerika</w:t>
            </w:r>
          </w:p>
        </w:tc>
        <w:tc>
          <w:tcPr>
            <w:tcW w:w="1914" w:type="dxa"/>
          </w:tcPr>
          <w:p w:rsidR="00BA53BD" w:rsidRPr="00BA53BD" w:rsidRDefault="00BA53BD" w:rsidP="002B6CB3">
            <w:pPr>
              <w:pStyle w:val="Tbla-jobb"/>
            </w:pPr>
            <w:r w:rsidRPr="00BA53BD">
              <w:t>42,1</w:t>
            </w:r>
          </w:p>
        </w:tc>
        <w:tc>
          <w:tcPr>
            <w:tcW w:w="1688" w:type="dxa"/>
          </w:tcPr>
          <w:p w:rsidR="00BA53BD" w:rsidRPr="00BA53BD" w:rsidRDefault="00BA53BD" w:rsidP="002B6CB3">
            <w:pPr>
              <w:pStyle w:val="Tbla-jobb"/>
            </w:pPr>
            <w:r w:rsidRPr="00BA53BD">
              <w:t>49,0</w:t>
            </w:r>
          </w:p>
        </w:tc>
        <w:tc>
          <w:tcPr>
            <w:tcW w:w="1872" w:type="dxa"/>
          </w:tcPr>
          <w:p w:rsidR="00BA53BD" w:rsidRPr="00BA53BD" w:rsidRDefault="00BA53BD" w:rsidP="002B6CB3">
            <w:pPr>
              <w:pStyle w:val="Tbla-jobb"/>
            </w:pPr>
            <w:r w:rsidRPr="00BA53BD">
              <w:t>116,4</w:t>
            </w:r>
          </w:p>
        </w:tc>
      </w:tr>
      <w:tr w:rsidR="00BA53BD" w:rsidRPr="00BA53BD" w:rsidTr="001F454D">
        <w:trPr>
          <w:jc w:val="center"/>
        </w:trPr>
        <w:tc>
          <w:tcPr>
            <w:tcW w:w="1898" w:type="dxa"/>
          </w:tcPr>
          <w:p w:rsidR="00BA53BD" w:rsidRPr="00BA53BD" w:rsidRDefault="00BA53BD" w:rsidP="002B6CB3">
            <w:pPr>
              <w:pStyle w:val="Tbla-bal"/>
            </w:pPr>
            <w:r w:rsidRPr="00BA53BD">
              <w:t>Ázsia</w:t>
            </w:r>
          </w:p>
        </w:tc>
        <w:tc>
          <w:tcPr>
            <w:tcW w:w="1914" w:type="dxa"/>
          </w:tcPr>
          <w:p w:rsidR="00BA53BD" w:rsidRPr="00BA53BD" w:rsidRDefault="00BA53BD" w:rsidP="002B6CB3">
            <w:pPr>
              <w:pStyle w:val="Tbla-jobb"/>
            </w:pPr>
            <w:r w:rsidRPr="00BA53BD">
              <w:t>229,6</w:t>
            </w:r>
          </w:p>
        </w:tc>
        <w:tc>
          <w:tcPr>
            <w:tcW w:w="1688" w:type="dxa"/>
          </w:tcPr>
          <w:p w:rsidR="00BA53BD" w:rsidRPr="00BA53BD" w:rsidRDefault="00BA53BD" w:rsidP="002B6CB3">
            <w:pPr>
              <w:pStyle w:val="Tbla-jobb"/>
            </w:pPr>
            <w:r w:rsidRPr="00BA53BD">
              <w:t>261,6</w:t>
            </w:r>
          </w:p>
        </w:tc>
        <w:tc>
          <w:tcPr>
            <w:tcW w:w="1872" w:type="dxa"/>
          </w:tcPr>
          <w:p w:rsidR="00BA53BD" w:rsidRPr="00BA53BD" w:rsidRDefault="00BA53BD" w:rsidP="002B6CB3">
            <w:pPr>
              <w:pStyle w:val="Tbla-jobb"/>
            </w:pPr>
            <w:r w:rsidRPr="00BA53BD">
              <w:t>113,9</w:t>
            </w:r>
          </w:p>
        </w:tc>
      </w:tr>
      <w:tr w:rsidR="00BA53BD" w:rsidRPr="00BA53BD" w:rsidTr="001F454D">
        <w:trPr>
          <w:jc w:val="center"/>
        </w:trPr>
        <w:tc>
          <w:tcPr>
            <w:tcW w:w="1898" w:type="dxa"/>
          </w:tcPr>
          <w:p w:rsidR="00BA53BD" w:rsidRPr="00BA53BD" w:rsidRDefault="00BA53BD" w:rsidP="002B6CB3">
            <w:pPr>
              <w:pStyle w:val="Tbla-bal"/>
            </w:pPr>
            <w:r w:rsidRPr="00BA53BD">
              <w:t>Afrika</w:t>
            </w:r>
          </w:p>
        </w:tc>
        <w:tc>
          <w:tcPr>
            <w:tcW w:w="1914" w:type="dxa"/>
          </w:tcPr>
          <w:p w:rsidR="00BA53BD" w:rsidRPr="00BA53BD" w:rsidRDefault="00BA53BD" w:rsidP="002B6CB3">
            <w:pPr>
              <w:pStyle w:val="Tbla-jobb"/>
            </w:pPr>
            <w:r w:rsidRPr="00BA53BD">
              <w:t>11,7</w:t>
            </w:r>
          </w:p>
        </w:tc>
        <w:tc>
          <w:tcPr>
            <w:tcW w:w="1688" w:type="dxa"/>
          </w:tcPr>
          <w:p w:rsidR="00BA53BD" w:rsidRPr="00BA53BD" w:rsidRDefault="00BA53BD" w:rsidP="002B6CB3">
            <w:pPr>
              <w:pStyle w:val="Tbla-jobb"/>
            </w:pPr>
            <w:r w:rsidRPr="00BA53BD">
              <w:t>19,2</w:t>
            </w:r>
          </w:p>
        </w:tc>
        <w:tc>
          <w:tcPr>
            <w:tcW w:w="1872" w:type="dxa"/>
          </w:tcPr>
          <w:p w:rsidR="00BA53BD" w:rsidRPr="00BA53BD" w:rsidRDefault="00BA53BD" w:rsidP="002B6CB3">
            <w:pPr>
              <w:pStyle w:val="Tbla-jobb"/>
            </w:pPr>
            <w:r w:rsidRPr="00BA53BD">
              <w:t>164,1</w:t>
            </w:r>
          </w:p>
        </w:tc>
      </w:tr>
    </w:tbl>
    <w:p w:rsidR="00BA53BD" w:rsidRPr="00BA53BD" w:rsidRDefault="00BA53BD" w:rsidP="00BA53BD">
      <w:pPr>
        <w:keepNext/>
        <w:ind w:left="851" w:firstLine="0"/>
        <w:rPr>
          <w:rFonts w:eastAsia="Times New Roman" w:cs="Times New Roman"/>
          <w:bCs/>
          <w:kern w:val="0"/>
          <w:szCs w:val="22"/>
        </w:rPr>
      </w:pPr>
      <w:r w:rsidRPr="00BA53BD">
        <w:rPr>
          <w:rFonts w:eastAsia="Times New Roman" w:cs="Times New Roman"/>
          <w:bCs/>
          <w:kern w:val="0"/>
          <w:szCs w:val="22"/>
        </w:rPr>
        <w:t>Forrás: AKI, KSH alapján</w:t>
      </w:r>
    </w:p>
    <w:p w:rsidR="00BA53BD" w:rsidRPr="002229D7" w:rsidRDefault="00BA53BD" w:rsidP="002229D7">
      <w:r w:rsidRPr="002229D7">
        <w:t>Az EU régi tagországaiba irányuló agrártermékek kivitele 20,5</w:t>
      </w:r>
      <w:r w:rsidR="00B56B43" w:rsidRPr="002229D7">
        <w:t>%-k</w:t>
      </w:r>
      <w:r w:rsidRPr="002229D7">
        <w:t>al emelkedett, behozatala 3</w:t>
      </w:r>
      <w:r w:rsidR="00B56B43" w:rsidRPr="002229D7">
        <w:t>%-k</w:t>
      </w:r>
      <w:r w:rsidRPr="002229D7">
        <w:t>al csökkent, míg az új tagországokba irányuló agrárexportunk 5, importunk 4</w:t>
      </w:r>
      <w:r w:rsidR="00B56B43" w:rsidRPr="002229D7">
        <w:t>%-k</w:t>
      </w:r>
      <w:r w:rsidRPr="002229D7">
        <w:t>al haladta meg az egy évvel korábbit. Az EU-n kívüli országokba irányuló exportunk értéke 8</w:t>
      </w:r>
      <w:r w:rsidR="00B56B43" w:rsidRPr="002229D7">
        <w:t>%-k</w:t>
      </w:r>
      <w:r w:rsidRPr="002229D7">
        <w:t>al, az innen érkező mezőgazdasági és élelmiszeripari áruk értéke 13</w:t>
      </w:r>
      <w:r w:rsidR="00B56B43" w:rsidRPr="002229D7">
        <w:t>%-</w:t>
      </w:r>
      <w:r w:rsidRPr="002229D7">
        <w:t>al nőtt, az egyenleg 889</w:t>
      </w:r>
      <w:r w:rsidR="00B56B43" w:rsidRPr="002229D7">
        <w:t> </w:t>
      </w:r>
      <w:r w:rsidRPr="002229D7">
        <w:t>millió</w:t>
      </w:r>
      <w:r w:rsidR="00B56B43" w:rsidRPr="002229D7">
        <w:t> </w:t>
      </w:r>
      <w:r w:rsidRPr="002229D7">
        <w:t>eurós értéke 5</w:t>
      </w:r>
      <w:r w:rsidR="00B56B43" w:rsidRPr="002229D7">
        <w:t>%-k</w:t>
      </w:r>
      <w:r w:rsidRPr="002229D7">
        <w:t>al volt több, mint 2011-ben.</w:t>
      </w:r>
    </w:p>
    <w:p w:rsidR="00BA53BD" w:rsidRPr="002229D7" w:rsidRDefault="00BA53BD" w:rsidP="002229D7">
      <w:r w:rsidRPr="002229D7">
        <w:t>A teljes agrár-exportból az 5 legnagyobb értékű árucsoport a gabonafélék, a húsfélék, az olajos magvak, az állati takarmányok és a zöldség-gyümölcs készítmények részesedése 55</w:t>
      </w:r>
      <w:r w:rsidR="00B56B43" w:rsidRPr="002229D7">
        <w:t>%</w:t>
      </w:r>
      <w:r w:rsidRPr="002229D7">
        <w:t xml:space="preserve"> volt 2012-ben. Az importunk kevésbé koncentrált. Az 5 legnagyobb importértékű árucsoport – a húsfélék, az állati takarmányok, a különböző ehető készítmények, a tejtermékek tojás méz, valamint a cukor, cukorkaáruk – aránya a teljes agrárimportból 43</w:t>
      </w:r>
      <w:r w:rsidR="00B56B43" w:rsidRPr="002229D7">
        <w:t>%</w:t>
      </w:r>
      <w:r w:rsidRPr="002229D7">
        <w:t xml:space="preserve"> volt 2012-ben. </w:t>
      </w:r>
    </w:p>
    <w:p w:rsidR="00921015" w:rsidRPr="00715E86" w:rsidRDefault="00921015" w:rsidP="00715E86">
      <w:pPr>
        <w:pStyle w:val="Cmsor6"/>
      </w:pPr>
      <w:r w:rsidRPr="00715E86">
        <w:lastRenderedPageBreak/>
        <w:t>Beruházás</w:t>
      </w:r>
      <w:r w:rsidR="000945DC" w:rsidRPr="00715E86">
        <w:t>ok</w:t>
      </w:r>
    </w:p>
    <w:p w:rsidR="00BA53BD" w:rsidRPr="002229D7" w:rsidRDefault="00BA53BD" w:rsidP="002229D7">
      <w:r w:rsidRPr="002229D7">
        <w:t>A nemzetgazdaság beruházásainak értéke 2012-ben folyó áron 4167,7</w:t>
      </w:r>
      <w:r w:rsidR="00B56B43" w:rsidRPr="002229D7">
        <w:t> </w:t>
      </w:r>
      <w:r w:rsidRPr="002229D7">
        <w:t>milliárd</w:t>
      </w:r>
      <w:r w:rsidR="00B56B43" w:rsidRPr="002229D7">
        <w:t> </w:t>
      </w:r>
      <w:r w:rsidRPr="002229D7">
        <w:t xml:space="preserve"> volt. A beruházások volumene (a beruházások értékének változása az árváltozás nélkül) 5,2%-kal csökkent, tehát folytatódott a több éve tartó negatív tendencia. A 19 nemzetgazdasági ág közül 12-ben visszaesett, míg </w:t>
      </w:r>
      <w:r w:rsidR="00B56B43" w:rsidRPr="002229D7">
        <w:t>3-</w:t>
      </w:r>
      <w:r w:rsidRPr="002229D7">
        <w:t xml:space="preserve">ban nőtt a beruházások volumene. </w:t>
      </w:r>
    </w:p>
    <w:p w:rsidR="00BA53BD" w:rsidRPr="002229D7" w:rsidRDefault="00BA53BD" w:rsidP="002229D7">
      <w:r w:rsidRPr="002229D7">
        <w:t>A mezőgazdasági beruházások volumene az előző évi növekedéssel ellentétben 2012-ben 1,9%-kal csökkent, értéke 2012-ben folyó áron 240,3</w:t>
      </w:r>
      <w:r w:rsidR="00B56B43" w:rsidRPr="002229D7">
        <w:t> </w:t>
      </w:r>
      <w:r w:rsidRPr="002229D7">
        <w:t>milliárd</w:t>
      </w:r>
      <w:r w:rsidR="00B56B43" w:rsidRPr="002229D7">
        <w:t> </w:t>
      </w:r>
      <w:r w:rsidRPr="002229D7">
        <w:t>forint volt. A mezőgazdaság beruházásai azonban kevésbé csökkentek, mint a nemzetgazdaságé, ezért a mezőgazdaság részesedése a nemzetgazdaság beruházásaiból a 2011. évi 5,6%-ról 2012-ben 5,8%-ra nőtt.</w:t>
      </w:r>
    </w:p>
    <w:p w:rsidR="00BA53BD" w:rsidRPr="002229D7" w:rsidRDefault="00BA53BD" w:rsidP="002229D7">
      <w:r w:rsidRPr="002229D7">
        <w:t>Az előző évekhez hasonlóan a beruházások közel felét 2012-ben is a gép- és járműberuházások (46,9%) tették ki (2. táblázat), míg az épület- valamint a tenyészállat-, ültetvény-, földberuházások részesedése 28,0% és 25,1% volt.</w:t>
      </w:r>
    </w:p>
    <w:p w:rsidR="00A3481E" w:rsidRPr="002229D7" w:rsidRDefault="00BA53BD" w:rsidP="002229D7">
      <w:r w:rsidRPr="002229D7">
        <w:t>A gép- és járműberuházások volumene elsősorban a belföldi és import jármű beruházások bővülésének köszönhetően nőtt, a gépberuházások visszaesést mutattak. Ennek hátterében a traktorvásárlások növekedése állhat. Ezzel szemben az épület beruházások valamint az ültetvény, tenyészállat, és földberuházások volumene visszaesést mutatott. Ez utóbbin belül különösen nagymértékű az ültetvény és tenyészállat beruházások volumenének csökkenése.</w:t>
      </w:r>
    </w:p>
    <w:p w:rsidR="00BA53BD" w:rsidRPr="00BA53BD" w:rsidRDefault="007E5FDF" w:rsidP="00673DDE">
      <w:pPr>
        <w:pStyle w:val="bra-cmetbla"/>
      </w:pPr>
      <w:fldSimple w:instr=" SEQ táblázat \* ARABIC ">
        <w:r w:rsidR="00E5031F">
          <w:rPr>
            <w:noProof/>
          </w:rPr>
          <w:t>15</w:t>
        </w:r>
      </w:fldSimple>
      <w:r w:rsidR="00673DDE" w:rsidRPr="000842E9">
        <w:t xml:space="preserve">. táblázat: </w:t>
      </w:r>
      <w:r w:rsidR="00BA53BD" w:rsidRPr="000842E9">
        <w:t>a mezőgazdasági beruházások teljesítményértéke és volumenindexe</w:t>
      </w:r>
    </w:p>
    <w:tbl>
      <w:tblPr>
        <w:tblW w:w="7160" w:type="dxa"/>
        <w:jc w:val="center"/>
        <w:tblCellMar>
          <w:left w:w="70" w:type="dxa"/>
          <w:right w:w="70" w:type="dxa"/>
        </w:tblCellMar>
        <w:tblLook w:val="04A0" w:firstRow="1" w:lastRow="0" w:firstColumn="1" w:lastColumn="0" w:noHBand="0" w:noVBand="1"/>
      </w:tblPr>
      <w:tblGrid>
        <w:gridCol w:w="2142"/>
        <w:gridCol w:w="1198"/>
        <w:gridCol w:w="1420"/>
        <w:gridCol w:w="1200"/>
        <w:gridCol w:w="1200"/>
      </w:tblGrid>
      <w:tr w:rsidR="00BA53BD" w:rsidRPr="00BA53BD" w:rsidTr="00116305">
        <w:trPr>
          <w:trHeight w:val="300"/>
          <w:jc w:val="center"/>
        </w:trPr>
        <w:tc>
          <w:tcPr>
            <w:tcW w:w="21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A53BD" w:rsidRPr="006C2767" w:rsidRDefault="00BA53BD" w:rsidP="00D53DF7">
            <w:pPr>
              <w:pStyle w:val="Tbla-cm"/>
            </w:pPr>
            <w:r w:rsidRPr="006C2767">
              <w:t> </w:t>
            </w:r>
          </w:p>
        </w:tc>
        <w:tc>
          <w:tcPr>
            <w:tcW w:w="2618" w:type="dxa"/>
            <w:gridSpan w:val="2"/>
            <w:tcBorders>
              <w:top w:val="single" w:sz="8" w:space="0" w:color="auto"/>
              <w:left w:val="nil"/>
              <w:bottom w:val="single" w:sz="4" w:space="0" w:color="auto"/>
              <w:right w:val="single" w:sz="4" w:space="0" w:color="auto"/>
            </w:tcBorders>
            <w:shd w:val="clear" w:color="auto" w:fill="auto"/>
            <w:noWrap/>
            <w:vAlign w:val="center"/>
            <w:hideMark/>
          </w:tcPr>
          <w:p w:rsidR="00BA53BD" w:rsidRPr="006C2767" w:rsidRDefault="00BA53BD" w:rsidP="00D53DF7">
            <w:pPr>
              <w:pStyle w:val="Tbla-cm"/>
            </w:pPr>
            <w:r w:rsidRPr="006C2767">
              <w:t>Folyó áron, milliárd forint</w:t>
            </w:r>
          </w:p>
        </w:tc>
        <w:tc>
          <w:tcPr>
            <w:tcW w:w="240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BA53BD" w:rsidRPr="006C2767" w:rsidRDefault="00BA53BD" w:rsidP="00D53DF7">
            <w:pPr>
              <w:pStyle w:val="Tbla-cm"/>
            </w:pPr>
            <w:r w:rsidRPr="006C2767">
              <w:t>Volumenindex, előző év=100</w:t>
            </w:r>
          </w:p>
        </w:tc>
      </w:tr>
      <w:tr w:rsidR="00BA53BD" w:rsidRPr="00BA53BD" w:rsidTr="001F454D">
        <w:trPr>
          <w:trHeight w:val="315"/>
          <w:jc w:val="center"/>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BA53BD" w:rsidRPr="00BA53BD" w:rsidRDefault="00BA53BD" w:rsidP="00D53DF7">
            <w:pPr>
              <w:pStyle w:val="Tbla-bal"/>
            </w:pPr>
            <w:r w:rsidRPr="00BA53BD">
              <w:t> </w:t>
            </w:r>
          </w:p>
        </w:tc>
        <w:tc>
          <w:tcPr>
            <w:tcW w:w="1198" w:type="dxa"/>
            <w:tcBorders>
              <w:top w:val="nil"/>
              <w:left w:val="nil"/>
              <w:bottom w:val="single" w:sz="8" w:space="0" w:color="auto"/>
              <w:right w:val="single" w:sz="4" w:space="0" w:color="auto"/>
            </w:tcBorders>
            <w:shd w:val="clear" w:color="auto" w:fill="auto"/>
            <w:noWrap/>
            <w:vAlign w:val="bottom"/>
            <w:hideMark/>
          </w:tcPr>
          <w:p w:rsidR="00BA53BD" w:rsidRPr="00BA53BD" w:rsidRDefault="00BA53BD" w:rsidP="00D53DF7">
            <w:pPr>
              <w:pStyle w:val="Tbla-kzp"/>
            </w:pPr>
            <w:r w:rsidRPr="00BA53BD">
              <w:t>2011</w:t>
            </w:r>
          </w:p>
        </w:tc>
        <w:tc>
          <w:tcPr>
            <w:tcW w:w="1420" w:type="dxa"/>
            <w:tcBorders>
              <w:top w:val="nil"/>
              <w:left w:val="nil"/>
              <w:bottom w:val="single" w:sz="8" w:space="0" w:color="auto"/>
              <w:right w:val="single" w:sz="4" w:space="0" w:color="auto"/>
            </w:tcBorders>
            <w:shd w:val="clear" w:color="auto" w:fill="auto"/>
            <w:noWrap/>
            <w:vAlign w:val="bottom"/>
            <w:hideMark/>
          </w:tcPr>
          <w:p w:rsidR="00BA53BD" w:rsidRPr="00BA53BD" w:rsidRDefault="00BA53BD" w:rsidP="00D53DF7">
            <w:pPr>
              <w:pStyle w:val="Tbla-kzp"/>
            </w:pPr>
            <w:r w:rsidRPr="00BA53BD">
              <w:t>2012</w:t>
            </w:r>
          </w:p>
        </w:tc>
        <w:tc>
          <w:tcPr>
            <w:tcW w:w="1200" w:type="dxa"/>
            <w:tcBorders>
              <w:top w:val="nil"/>
              <w:left w:val="nil"/>
              <w:bottom w:val="single" w:sz="8" w:space="0" w:color="auto"/>
              <w:right w:val="single" w:sz="4" w:space="0" w:color="auto"/>
            </w:tcBorders>
            <w:shd w:val="clear" w:color="auto" w:fill="auto"/>
            <w:noWrap/>
            <w:vAlign w:val="bottom"/>
            <w:hideMark/>
          </w:tcPr>
          <w:p w:rsidR="00BA53BD" w:rsidRPr="00BA53BD" w:rsidRDefault="00BA53BD" w:rsidP="00D53DF7">
            <w:pPr>
              <w:pStyle w:val="Tbla-kzp"/>
            </w:pPr>
            <w:r w:rsidRPr="00BA53BD">
              <w:t>2011</w:t>
            </w:r>
          </w:p>
        </w:tc>
        <w:tc>
          <w:tcPr>
            <w:tcW w:w="1200" w:type="dxa"/>
            <w:tcBorders>
              <w:top w:val="nil"/>
              <w:left w:val="nil"/>
              <w:bottom w:val="single" w:sz="8" w:space="0" w:color="auto"/>
              <w:right w:val="single" w:sz="8" w:space="0" w:color="auto"/>
            </w:tcBorders>
            <w:shd w:val="clear" w:color="auto" w:fill="auto"/>
            <w:noWrap/>
            <w:vAlign w:val="bottom"/>
            <w:hideMark/>
          </w:tcPr>
          <w:p w:rsidR="00BA53BD" w:rsidRPr="00BA53BD" w:rsidRDefault="00BA53BD" w:rsidP="00D53DF7">
            <w:pPr>
              <w:pStyle w:val="Tbla-kzp"/>
            </w:pPr>
            <w:r w:rsidRPr="00BA53BD">
              <w:t>2012</w:t>
            </w:r>
          </w:p>
        </w:tc>
      </w:tr>
      <w:tr w:rsidR="00BA53BD" w:rsidRPr="00BA53BD" w:rsidTr="001F454D">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Mezőgazdasági beruházás összesen</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238,8</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240,3</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106,8</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98,1</w:t>
            </w:r>
          </w:p>
        </w:tc>
      </w:tr>
      <w:tr w:rsidR="00BA53BD" w:rsidRPr="00BA53BD" w:rsidTr="001F454D">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Épület</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71,0</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67,4</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95,6</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92,5</w:t>
            </w:r>
          </w:p>
        </w:tc>
      </w:tr>
      <w:tr w:rsidR="00BA53BD" w:rsidRPr="00BA53BD" w:rsidTr="001F454D">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Belföldi gép</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39,6</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36,5</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106,1</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93,5</w:t>
            </w:r>
          </w:p>
        </w:tc>
      </w:tr>
      <w:tr w:rsidR="00BA53BD" w:rsidRPr="00BA53BD" w:rsidTr="001F454D">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Belföldi jármű</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10,0</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11,1</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106,7</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126,7</w:t>
            </w:r>
          </w:p>
        </w:tc>
      </w:tr>
      <w:tr w:rsidR="00BA53BD" w:rsidRPr="00BA53BD" w:rsidTr="001F454D">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Import gép</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42,4</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42,6</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119,6</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100,8</w:t>
            </w:r>
          </w:p>
        </w:tc>
      </w:tr>
      <w:tr w:rsidR="00BA53BD" w:rsidRPr="00BA53BD" w:rsidTr="001F454D">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Import jármű</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15,4</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22,6</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121,7</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140,5</w:t>
            </w:r>
          </w:p>
        </w:tc>
      </w:tr>
      <w:tr w:rsidR="00BA53BD" w:rsidRPr="00BA53BD" w:rsidTr="001F454D">
        <w:trPr>
          <w:trHeight w:val="300"/>
          <w:jc w:val="center"/>
        </w:trPr>
        <w:tc>
          <w:tcPr>
            <w:tcW w:w="2142" w:type="dxa"/>
            <w:tcBorders>
              <w:top w:val="nil"/>
              <w:left w:val="single" w:sz="8" w:space="0" w:color="auto"/>
              <w:bottom w:val="nil"/>
              <w:right w:val="nil"/>
            </w:tcBorders>
            <w:shd w:val="clear" w:color="auto" w:fill="auto"/>
            <w:noWrap/>
            <w:vAlign w:val="bottom"/>
            <w:hideMark/>
          </w:tcPr>
          <w:p w:rsidR="00BA53BD" w:rsidRPr="00BA53BD" w:rsidRDefault="00BA53BD" w:rsidP="00D53DF7">
            <w:pPr>
              <w:pStyle w:val="Tbla-bal"/>
            </w:pPr>
            <w:r w:rsidRPr="00BA53BD">
              <w:t>Gép összesen</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107,4</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112,8</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115,9</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106,3</w:t>
            </w:r>
          </w:p>
        </w:tc>
      </w:tr>
      <w:tr w:rsidR="00BA53BD" w:rsidRPr="00BA53BD" w:rsidTr="001F454D">
        <w:trPr>
          <w:trHeight w:val="300"/>
          <w:jc w:val="center"/>
        </w:trPr>
        <w:tc>
          <w:tcPr>
            <w:tcW w:w="2142" w:type="dxa"/>
            <w:tcBorders>
              <w:top w:val="single" w:sz="4" w:space="0" w:color="auto"/>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Ültetvény</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14,6</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11,8</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92,3</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73,6</w:t>
            </w:r>
          </w:p>
        </w:tc>
      </w:tr>
      <w:tr w:rsidR="00BA53BD" w:rsidRPr="00BA53BD" w:rsidTr="001F454D">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rsidR="00BA53BD" w:rsidRPr="00BA53BD" w:rsidRDefault="00BA53BD" w:rsidP="00D53DF7">
            <w:pPr>
              <w:pStyle w:val="Tbla-bal"/>
            </w:pPr>
            <w:r w:rsidRPr="00BA53BD">
              <w:t>Tenyészállat</w:t>
            </w:r>
          </w:p>
        </w:tc>
        <w:tc>
          <w:tcPr>
            <w:tcW w:w="1198" w:type="dxa"/>
            <w:tcBorders>
              <w:top w:val="nil"/>
              <w:left w:val="single" w:sz="8" w:space="0" w:color="auto"/>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44,8</w:t>
            </w:r>
          </w:p>
        </w:tc>
        <w:tc>
          <w:tcPr>
            <w:tcW w:w="142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47,3</w:t>
            </w:r>
          </w:p>
        </w:tc>
        <w:tc>
          <w:tcPr>
            <w:tcW w:w="1200" w:type="dxa"/>
            <w:tcBorders>
              <w:top w:val="nil"/>
              <w:left w:val="nil"/>
              <w:bottom w:val="single" w:sz="4" w:space="0" w:color="auto"/>
              <w:right w:val="single" w:sz="4" w:space="0" w:color="auto"/>
            </w:tcBorders>
            <w:shd w:val="clear" w:color="auto" w:fill="auto"/>
            <w:noWrap/>
            <w:vAlign w:val="bottom"/>
            <w:hideMark/>
          </w:tcPr>
          <w:p w:rsidR="00BA53BD" w:rsidRPr="00BA53BD" w:rsidRDefault="00BA53BD" w:rsidP="00D53DF7">
            <w:pPr>
              <w:pStyle w:val="Tbla-kzp"/>
            </w:pPr>
            <w:r w:rsidRPr="00BA53BD">
              <w:t>113,7</w:t>
            </w:r>
          </w:p>
        </w:tc>
        <w:tc>
          <w:tcPr>
            <w:tcW w:w="1200" w:type="dxa"/>
            <w:tcBorders>
              <w:top w:val="nil"/>
              <w:left w:val="nil"/>
              <w:bottom w:val="single" w:sz="4" w:space="0" w:color="auto"/>
              <w:right w:val="single" w:sz="8" w:space="0" w:color="auto"/>
            </w:tcBorders>
            <w:shd w:val="clear" w:color="auto" w:fill="auto"/>
            <w:noWrap/>
            <w:vAlign w:val="bottom"/>
            <w:hideMark/>
          </w:tcPr>
          <w:p w:rsidR="00BA53BD" w:rsidRPr="00BA53BD" w:rsidRDefault="00BA53BD" w:rsidP="00D53DF7">
            <w:pPr>
              <w:pStyle w:val="Tbla-kzp"/>
            </w:pPr>
            <w:r w:rsidRPr="00BA53BD">
              <w:t>96,8</w:t>
            </w:r>
          </w:p>
        </w:tc>
      </w:tr>
      <w:tr w:rsidR="00BA53BD" w:rsidRPr="00BA53BD" w:rsidTr="001F454D">
        <w:trPr>
          <w:trHeight w:val="315"/>
          <w:jc w:val="center"/>
        </w:trPr>
        <w:tc>
          <w:tcPr>
            <w:tcW w:w="2142" w:type="dxa"/>
            <w:tcBorders>
              <w:top w:val="nil"/>
              <w:left w:val="single" w:sz="8" w:space="0" w:color="auto"/>
              <w:bottom w:val="single" w:sz="8" w:space="0" w:color="auto"/>
              <w:right w:val="nil"/>
            </w:tcBorders>
            <w:shd w:val="clear" w:color="auto" w:fill="auto"/>
            <w:noWrap/>
            <w:vAlign w:val="bottom"/>
            <w:hideMark/>
          </w:tcPr>
          <w:p w:rsidR="00BA53BD" w:rsidRPr="00BA53BD" w:rsidRDefault="00BA53BD" w:rsidP="00D53DF7">
            <w:pPr>
              <w:pStyle w:val="Tbla-bal"/>
            </w:pPr>
            <w:r w:rsidRPr="00BA53BD">
              <w:t>Föld, telek, öntözés</w:t>
            </w:r>
          </w:p>
        </w:tc>
        <w:tc>
          <w:tcPr>
            <w:tcW w:w="1198" w:type="dxa"/>
            <w:tcBorders>
              <w:top w:val="nil"/>
              <w:left w:val="single" w:sz="8" w:space="0" w:color="auto"/>
              <w:bottom w:val="single" w:sz="8" w:space="0" w:color="auto"/>
              <w:right w:val="single" w:sz="4" w:space="0" w:color="auto"/>
            </w:tcBorders>
            <w:shd w:val="clear" w:color="auto" w:fill="auto"/>
            <w:noWrap/>
            <w:vAlign w:val="bottom"/>
            <w:hideMark/>
          </w:tcPr>
          <w:p w:rsidR="00BA53BD" w:rsidRPr="00BA53BD" w:rsidRDefault="00BA53BD" w:rsidP="00D53DF7">
            <w:pPr>
              <w:pStyle w:val="Tbla-kzp"/>
            </w:pPr>
            <w:r w:rsidRPr="00BA53BD">
              <w:t>1,0</w:t>
            </w:r>
          </w:p>
        </w:tc>
        <w:tc>
          <w:tcPr>
            <w:tcW w:w="1420" w:type="dxa"/>
            <w:tcBorders>
              <w:top w:val="nil"/>
              <w:left w:val="nil"/>
              <w:bottom w:val="single" w:sz="8" w:space="0" w:color="auto"/>
              <w:right w:val="single" w:sz="4" w:space="0" w:color="auto"/>
            </w:tcBorders>
            <w:shd w:val="clear" w:color="auto" w:fill="auto"/>
            <w:noWrap/>
            <w:vAlign w:val="bottom"/>
            <w:hideMark/>
          </w:tcPr>
          <w:p w:rsidR="00BA53BD" w:rsidRPr="00BA53BD" w:rsidRDefault="00BA53BD" w:rsidP="00D53DF7">
            <w:pPr>
              <w:pStyle w:val="Tbla-kzp"/>
            </w:pPr>
            <w:r w:rsidRPr="00BA53BD">
              <w:t>1,1</w:t>
            </w:r>
          </w:p>
        </w:tc>
        <w:tc>
          <w:tcPr>
            <w:tcW w:w="1200" w:type="dxa"/>
            <w:tcBorders>
              <w:top w:val="nil"/>
              <w:left w:val="nil"/>
              <w:bottom w:val="single" w:sz="8" w:space="0" w:color="auto"/>
              <w:right w:val="single" w:sz="4" w:space="0" w:color="auto"/>
            </w:tcBorders>
            <w:shd w:val="clear" w:color="auto" w:fill="auto"/>
            <w:noWrap/>
            <w:vAlign w:val="bottom"/>
            <w:hideMark/>
          </w:tcPr>
          <w:p w:rsidR="00BA53BD" w:rsidRPr="00BA53BD" w:rsidRDefault="00BA53BD" w:rsidP="00D53DF7">
            <w:pPr>
              <w:pStyle w:val="Tbla-kzp"/>
            </w:pPr>
            <w:r w:rsidRPr="00BA53BD">
              <w:t>88,9</w:t>
            </w:r>
          </w:p>
        </w:tc>
        <w:tc>
          <w:tcPr>
            <w:tcW w:w="1200" w:type="dxa"/>
            <w:tcBorders>
              <w:top w:val="nil"/>
              <w:left w:val="nil"/>
              <w:bottom w:val="single" w:sz="8" w:space="0" w:color="auto"/>
              <w:right w:val="single" w:sz="8" w:space="0" w:color="auto"/>
            </w:tcBorders>
            <w:shd w:val="clear" w:color="auto" w:fill="auto"/>
            <w:noWrap/>
            <w:vAlign w:val="bottom"/>
            <w:hideMark/>
          </w:tcPr>
          <w:p w:rsidR="00BA53BD" w:rsidRPr="00BA53BD" w:rsidRDefault="00BA53BD" w:rsidP="00D53DF7">
            <w:pPr>
              <w:pStyle w:val="Tbla-kzp"/>
            </w:pPr>
            <w:r w:rsidRPr="00BA53BD">
              <w:t>99,6</w:t>
            </w:r>
          </w:p>
        </w:tc>
      </w:tr>
    </w:tbl>
    <w:p w:rsidR="00483D68" w:rsidRPr="00BA53BD" w:rsidRDefault="00BA53BD" w:rsidP="00B56B43">
      <w:pPr>
        <w:keepNext/>
        <w:ind w:left="993" w:firstLine="0"/>
        <w:rPr>
          <w:rFonts w:eastAsia="Times New Roman" w:cs="Times New Roman"/>
          <w:bCs/>
          <w:kern w:val="0"/>
          <w:szCs w:val="22"/>
        </w:rPr>
      </w:pPr>
      <w:r w:rsidRPr="00BA53BD">
        <w:rPr>
          <w:rFonts w:eastAsia="Times New Roman" w:cs="Times New Roman"/>
          <w:bCs/>
          <w:kern w:val="0"/>
          <w:szCs w:val="22"/>
        </w:rPr>
        <w:t>Forrás: KSH alapján</w:t>
      </w:r>
    </w:p>
    <w:p w:rsidR="001E7A41" w:rsidRPr="005B70A7" w:rsidRDefault="00921015" w:rsidP="00715E86">
      <w:pPr>
        <w:pStyle w:val="Cmsor4"/>
      </w:pPr>
      <w:r w:rsidRPr="005B70A7">
        <w:t>A pénzügyi-gazdasági válság agrárgazdaságot érintő hatás</w:t>
      </w:r>
      <w:r w:rsidR="006D4376" w:rsidRPr="005B70A7">
        <w:t>ai és a kapcsolódó intézkedései</w:t>
      </w:r>
      <w:r w:rsidR="000E239E" w:rsidRPr="005B70A7">
        <w:t xml:space="preserve"> </w:t>
      </w:r>
    </w:p>
    <w:p w:rsidR="00D66EE4" w:rsidRPr="005B70A7" w:rsidRDefault="005B70A7" w:rsidP="005B70A7">
      <w:pPr>
        <w:pStyle w:val="Cmsor6"/>
      </w:pPr>
      <w:r>
        <w:t xml:space="preserve">a. </w:t>
      </w:r>
      <w:r w:rsidR="00A3481E" w:rsidRPr="005B70A7">
        <w:t xml:space="preserve">Lezárult </w:t>
      </w:r>
      <w:r w:rsidR="00D66EE4" w:rsidRPr="005B70A7">
        <w:t xml:space="preserve">Kedvezményes Hitelprogramok </w:t>
      </w:r>
    </w:p>
    <w:p w:rsidR="00A3481E" w:rsidRPr="002229D7" w:rsidRDefault="00A3481E" w:rsidP="002229D7">
      <w:r w:rsidRPr="002229D7">
        <w:t>A döntő többségében Magyarország európai uniós csatlakozása előtt meghirdetett, kamattámogatás és részben állami kezességvállalás mellet működő hitelprogramok állománya az előző évi 33,3</w:t>
      </w:r>
      <w:r w:rsidR="00B56B43" w:rsidRPr="002229D7">
        <w:t> </w:t>
      </w:r>
      <w:r w:rsidRPr="002229D7">
        <w:t>milliárd</w:t>
      </w:r>
      <w:r w:rsidR="00B56B43" w:rsidRPr="002229D7">
        <w:t> </w:t>
      </w:r>
      <w:r w:rsidRPr="002229D7">
        <w:t>forintos szintről 25</w:t>
      </w:r>
      <w:r w:rsidR="00B56B43" w:rsidRPr="002229D7">
        <w:t> </w:t>
      </w:r>
      <w:r w:rsidRPr="002229D7">
        <w:t>milliárd</w:t>
      </w:r>
      <w:r w:rsidR="00B56B43" w:rsidRPr="002229D7">
        <w:t> </w:t>
      </w:r>
      <w:r w:rsidRPr="002229D7">
        <w:t>forintra csökkent annak köszönhetően, hogy a hitelprogramok keretében már nincs lehetőség új szerződéskötésre. A legjelentősebb hitelállományok a birtokfejlesztési hiteleknél (25/2004. (III.3.) FVM rendelet), az aszály hitelnél (84/2003. (VII.22.) FVM rendelet), valamint az Európa terv Agrár-hiteleknél (6/2004.</w:t>
      </w:r>
      <w:r w:rsidR="00B56B43" w:rsidRPr="002229D7">
        <w:t> </w:t>
      </w:r>
      <w:r w:rsidRPr="002229D7">
        <w:t>(I.22.) FVM rendelet) mutatkoznak. A 2012. évben kifizetett támogatás (kamattámogatás és kezesi díjtámogatás) 1</w:t>
      </w:r>
      <w:r w:rsidR="00B56B43" w:rsidRPr="002229D7">
        <w:t> </w:t>
      </w:r>
      <w:r w:rsidRPr="002229D7">
        <w:t>616</w:t>
      </w:r>
      <w:r w:rsidR="00B56B43" w:rsidRPr="002229D7">
        <w:t> </w:t>
      </w:r>
      <w:r w:rsidRPr="002229D7">
        <w:t>millió</w:t>
      </w:r>
      <w:r w:rsidR="00B56B43" w:rsidRPr="002229D7">
        <w:t> </w:t>
      </w:r>
      <w:r w:rsidRPr="002229D7">
        <w:t xml:space="preserve">forint volt. </w:t>
      </w:r>
    </w:p>
    <w:p w:rsidR="00B56B43" w:rsidRPr="005B70A7" w:rsidRDefault="005B70A7" w:rsidP="005B70A7">
      <w:pPr>
        <w:pStyle w:val="Cmsor6"/>
      </w:pPr>
      <w:r>
        <w:lastRenderedPageBreak/>
        <w:t xml:space="preserve">b. </w:t>
      </w:r>
      <w:r w:rsidR="00A3481E" w:rsidRPr="005B70A7">
        <w:t xml:space="preserve">Jelenleg is működő kedvezményes finanszírozási programok </w:t>
      </w:r>
    </w:p>
    <w:p w:rsidR="00A3481E" w:rsidRPr="000061A6" w:rsidRDefault="00A3481E" w:rsidP="00B56B43">
      <w:pPr>
        <w:suppressAutoHyphens w:val="0"/>
        <w:spacing w:after="0"/>
        <w:ind w:firstLine="0"/>
        <w:rPr>
          <w:i/>
          <w:szCs w:val="22"/>
        </w:rPr>
      </w:pPr>
      <w:r w:rsidRPr="000061A6">
        <w:rPr>
          <w:i/>
          <w:szCs w:val="22"/>
        </w:rPr>
        <w:t>Az MFB Magyar Fejlesztési Bank Zártkörűen Működő Részvénytársaság által működtetett finanszírozási programok</w:t>
      </w:r>
      <w:r w:rsidR="000061A6">
        <w:rPr>
          <w:i/>
          <w:szCs w:val="22"/>
        </w:rPr>
        <w:t>:</w:t>
      </w:r>
    </w:p>
    <w:p w:rsidR="00A3481E" w:rsidRPr="005B70A7" w:rsidRDefault="00A3481E" w:rsidP="005B70A7">
      <w:pPr>
        <w:pStyle w:val="Cmsor6"/>
      </w:pPr>
      <w:r w:rsidRPr="005B70A7">
        <w:t xml:space="preserve">Új Magyarország Agrárfejlesztési Hitelprogram </w:t>
      </w:r>
    </w:p>
    <w:p w:rsidR="00A3481E" w:rsidRPr="002229D7" w:rsidRDefault="00A3481E" w:rsidP="002229D7">
      <w:r w:rsidRPr="002229D7">
        <w:t>A hitelprogram keretében a Magyar Fejlesztési Bank Zrt. és a hitelprogramhoz csatlakozott hitelintézetek éven túli lejáratú beruházási hitelt nyújtanak a mezőgazdasági vállalkozásoknak beruházásokhoz, továbbá fejlesztési és beruházási tárgyú pályázatokhoz kapcsolódóan. A fel</w:t>
      </w:r>
      <w:r w:rsidR="00DD508D" w:rsidRPr="002229D7">
        <w:t>vehető hitel összege 5–</w:t>
      </w:r>
      <w:r w:rsidRPr="002229D7">
        <w:t>1</w:t>
      </w:r>
      <w:r w:rsidR="00DD508D" w:rsidRPr="002229D7">
        <w:t> </w:t>
      </w:r>
      <w:r w:rsidRPr="002229D7">
        <w:t>000</w:t>
      </w:r>
      <w:r w:rsidR="00DD508D" w:rsidRPr="002229D7">
        <w:t> millió </w:t>
      </w:r>
      <w:r w:rsidRPr="002229D7">
        <w:t xml:space="preserve">Ft, </w:t>
      </w:r>
      <w:r w:rsidR="00DD508D" w:rsidRPr="002229D7">
        <w:t>fiatal agrárvállalkozó esetén 1–</w:t>
      </w:r>
      <w:r w:rsidRPr="002229D7">
        <w:t>50</w:t>
      </w:r>
      <w:r w:rsidR="00DD508D" w:rsidRPr="002229D7">
        <w:t> </w:t>
      </w:r>
      <w:r w:rsidRPr="002229D7">
        <w:t>millió</w:t>
      </w:r>
      <w:r w:rsidR="00DD508D" w:rsidRPr="002229D7">
        <w:t> </w:t>
      </w:r>
      <w:r w:rsidRPr="002229D7">
        <w:t>Ft. A hitel futamideje legfeljebb 15 év, ezen belül a türelmi idő legfeljebb 3 év. A hitel kamata jelenleg mintegy 8%/év. A program keretösszege 25</w:t>
      </w:r>
      <w:r w:rsidR="00DD508D" w:rsidRPr="002229D7">
        <w:t> </w:t>
      </w:r>
      <w:r w:rsidRPr="002229D7">
        <w:t>milliárd</w:t>
      </w:r>
      <w:r w:rsidR="00DD508D" w:rsidRPr="002229D7">
        <w:t> </w:t>
      </w:r>
      <w:r w:rsidRPr="002229D7">
        <w:t>Ft, 2012 végéig 372 ügyfél számára 16,4</w:t>
      </w:r>
      <w:r w:rsidR="00DD508D" w:rsidRPr="002229D7">
        <w:t> </w:t>
      </w:r>
      <w:r w:rsidRPr="002229D7">
        <w:t>milliárd</w:t>
      </w:r>
      <w:r w:rsidR="00DD508D" w:rsidRPr="002229D7">
        <w:t> </w:t>
      </w:r>
      <w:r w:rsidRPr="002229D7">
        <w:t xml:space="preserve">forint összegű hitelt hagytak jóvá. </w:t>
      </w:r>
    </w:p>
    <w:p w:rsidR="00A3481E" w:rsidRPr="002229D7" w:rsidRDefault="00A3481E" w:rsidP="002229D7">
      <w:r w:rsidRPr="002229D7">
        <w:t>2012-ben a Hitelprogram kibővítésre került, amelynek nyomán az Európai Mezőgazdasági és Vidékfejlesztési Alapból induló támogatásban nem részesülő induló fiatal gazdák kedvezményes hitelt igényelhetnek az Agrár-Vállalkozási Hitelgarancia Alapítvány (AVHGA) kezességvállalása mellett, a mezőgazdasági csoportmentességi rendelet alapján legfeljebb 50</w:t>
      </w:r>
      <w:r w:rsidR="00A023FB" w:rsidRPr="002229D7">
        <w:t> </w:t>
      </w:r>
      <w:r w:rsidRPr="002229D7">
        <w:t>millió</w:t>
      </w:r>
      <w:r w:rsidR="00A023FB" w:rsidRPr="002229D7">
        <w:t> </w:t>
      </w:r>
      <w:r w:rsidRPr="002229D7">
        <w:t>forint összegben, legfeljebb 40</w:t>
      </w:r>
      <w:r w:rsidR="00A023FB" w:rsidRPr="002229D7">
        <w:t> </w:t>
      </w:r>
      <w:r w:rsidRPr="002229D7">
        <w:t>000</w:t>
      </w:r>
      <w:r w:rsidR="00A023FB" w:rsidRPr="002229D7">
        <w:t> </w:t>
      </w:r>
      <w:r w:rsidRPr="002229D7">
        <w:t xml:space="preserve">euró támogatástartalommal, amelyet termőföldvásárláshoz és állatvásárláshoz is felhasználhatnak. Ugyancsak a módosítás következtében a szabad mezőgazdasági </w:t>
      </w:r>
      <w:r w:rsidRPr="00313ED5">
        <w:rPr>
          <w:b/>
          <w:i/>
        </w:rPr>
        <w:t>de minimis</w:t>
      </w:r>
      <w:r w:rsidRPr="002229D7">
        <w:t xml:space="preserve"> kerettel rendelkező mezőgazdasági termelők is igényelhetnek kedvezményes termőföld-vásárlási hitelt, szintén AVHGA kezességvállalással, maximum 50</w:t>
      </w:r>
      <w:r w:rsidR="00A023FB" w:rsidRPr="002229D7">
        <w:t> </w:t>
      </w:r>
      <w:r w:rsidRPr="002229D7">
        <w:t>millió</w:t>
      </w:r>
      <w:r w:rsidR="00A023FB" w:rsidRPr="002229D7">
        <w:t> </w:t>
      </w:r>
      <w:r w:rsidRPr="002229D7">
        <w:t>forint összegben.</w:t>
      </w:r>
    </w:p>
    <w:p w:rsidR="00A3481E" w:rsidRPr="005B70A7" w:rsidRDefault="00A3481E" w:rsidP="005B70A7">
      <w:pPr>
        <w:pStyle w:val="Cmsor6"/>
      </w:pPr>
      <w:r w:rsidRPr="005B70A7">
        <w:t>MFB Agrár Forgóeszköz Vis Maior Hitelprogram</w:t>
      </w:r>
    </w:p>
    <w:p w:rsidR="00A3481E" w:rsidRPr="00313ED5" w:rsidRDefault="00A3481E" w:rsidP="00313ED5">
      <w:r w:rsidRPr="00313ED5">
        <w:t>A 2010 vége óta futó hitelprogram az elháríthatatlan külső oknak (vis maior) minősülő események miatt kárt szenvedett mezőgazdasági termelő vállalkozások számára kínál kedvező forgóeszköz finanszírozási lehetőséget. A Hitelprogram 11</w:t>
      </w:r>
      <w:r w:rsidR="00A023FB" w:rsidRPr="00313ED5">
        <w:t> </w:t>
      </w:r>
      <w:r w:rsidRPr="00313ED5">
        <w:t>milliárd</w:t>
      </w:r>
      <w:r w:rsidR="00A023FB" w:rsidRPr="00313ED5">
        <w:t> </w:t>
      </w:r>
      <w:r w:rsidRPr="00313ED5">
        <w:t xml:space="preserve">forintos keretösszeggel került meghirdetésre, jelenlegi kihasználtsága 91%-os. A hitel folyósításában a takarékszövetkezetek 70%-os részesedéssel vesznek részt. </w:t>
      </w:r>
    </w:p>
    <w:p w:rsidR="00A3481E" w:rsidRPr="005B70A7" w:rsidRDefault="00A3481E" w:rsidP="005B70A7">
      <w:pPr>
        <w:pStyle w:val="Cmsor6"/>
      </w:pPr>
      <w:r w:rsidRPr="005B70A7">
        <w:t>MFB Fagykár 2011. Forgóeszköz Hitelprogram</w:t>
      </w:r>
    </w:p>
    <w:p w:rsidR="00A3481E" w:rsidRPr="00313ED5" w:rsidRDefault="00A3481E" w:rsidP="00313ED5">
      <w:r w:rsidRPr="00313ED5">
        <w:t>Az MFB Zrt. 8</w:t>
      </w:r>
      <w:r w:rsidR="00A023FB" w:rsidRPr="00313ED5">
        <w:t> </w:t>
      </w:r>
      <w:r w:rsidRPr="00313ED5">
        <w:t>milliárd</w:t>
      </w:r>
      <w:r w:rsidR="00A023FB" w:rsidRPr="00313ED5">
        <w:t> </w:t>
      </w:r>
      <w:r w:rsidRPr="00313ED5">
        <w:t>forintos keretösszeggel hirdette meg az MFB Fagykár 2011. Forgóeszköz Hitelprogramot, melynek keretében a 2011. évben fagykárt szenvedett, mezőgazdasági termelők forgóeszköz hitelt igényelhettek legfeljebb 20 éves futamidővel, államilag támogatott, kedvezményes kondíciókkal a 2012. január 30. és 2012. augusztus 31. közötti időszakban. A hitelprogramban a vállalkozás az ügyleti kamat és a hitelfelvételhez kapcsolódó költségek kiegyenlítéséhez 100%-os mértékű állami támogatásban részesülhetett. A hitelt az MFB Zrt. nyújtotta az AVHGA 80%-os mértékű kezességvállalása mellett. A Hitelprogram lezárult, 354 ügyfél hitelkérelmét hagyták jóvá 1</w:t>
      </w:r>
      <w:r w:rsidR="00A023FB" w:rsidRPr="00313ED5">
        <w:t> </w:t>
      </w:r>
      <w:r w:rsidRPr="00313ED5">
        <w:t>818</w:t>
      </w:r>
      <w:r w:rsidR="00A023FB" w:rsidRPr="00313ED5">
        <w:t> </w:t>
      </w:r>
      <w:r w:rsidRPr="00313ED5">
        <w:t>millió</w:t>
      </w:r>
      <w:r w:rsidR="00A023FB" w:rsidRPr="00313ED5">
        <w:t> </w:t>
      </w:r>
      <w:r w:rsidRPr="00313ED5">
        <w:t xml:space="preserve">forint összegben. </w:t>
      </w:r>
    </w:p>
    <w:p w:rsidR="00A3481E" w:rsidRPr="005B70A7" w:rsidRDefault="00A3481E" w:rsidP="005B70A7">
      <w:pPr>
        <w:pStyle w:val="Cmsor6"/>
      </w:pPr>
      <w:r w:rsidRPr="005B70A7">
        <w:t>MFB Agrár Forgóeszköz Hitelprogram</w:t>
      </w:r>
    </w:p>
    <w:p w:rsidR="00A3481E" w:rsidRPr="005F4D5E" w:rsidRDefault="00A3481E" w:rsidP="000842E9">
      <w:pPr>
        <w:suppressAutoHyphens w:val="0"/>
      </w:pPr>
      <w:r w:rsidRPr="005F4D5E">
        <w:t>A 2011 májusa óta működő, a mezőgazdaság, különösen az állattenyésztés forgóeszköz finanszírozási helyzetének javítását célzó hitelprogram keretösszege 15</w:t>
      </w:r>
      <w:r w:rsidR="00A023FB" w:rsidRPr="005F4D5E">
        <w:t> </w:t>
      </w:r>
      <w:r w:rsidRPr="005F4D5E">
        <w:t>milliárd</w:t>
      </w:r>
      <w:r w:rsidR="00A023FB" w:rsidRPr="005F4D5E">
        <w:t> </w:t>
      </w:r>
      <w:r w:rsidRPr="005F4D5E">
        <w:t>forint, ebből 10</w:t>
      </w:r>
      <w:r w:rsidR="00A023FB" w:rsidRPr="005F4D5E">
        <w:t> </w:t>
      </w:r>
      <w:r w:rsidRPr="005F4D5E">
        <w:t>milliárd</w:t>
      </w:r>
      <w:r w:rsidR="00A023FB" w:rsidRPr="005F4D5E">
        <w:t> </w:t>
      </w:r>
      <w:r w:rsidRPr="005F4D5E">
        <w:t>forint az állattenyésztés számára nevesített. 2012-ben a hitelprogram módosításra került a Kormány állattenyésztést támogató szándékának megfelelően. A hitel tenyészállat vásárlásra is felhasználhatóvá vált, a sertés és a baromfi mellett a nyúl és a szarvasmarha ágazatban termeltető tevékenységet végző vállalkozások is igényelhetnek forgóeszköz, illetve tenyészállat-vásárlási célú hitelt. A futamidő 3 évről 6 évre, a türelmi idő 1 évről 3 évre, a termeltetők által felvehető maximális hitelösszeg 500</w:t>
      </w:r>
      <w:r w:rsidR="00A023FB" w:rsidRPr="005F4D5E">
        <w:t> </w:t>
      </w:r>
      <w:r w:rsidRPr="005F4D5E">
        <w:t>millió</w:t>
      </w:r>
      <w:r w:rsidR="00A023FB" w:rsidRPr="005F4D5E">
        <w:t> </w:t>
      </w:r>
      <w:r w:rsidRPr="005F4D5E">
        <w:t>forintra emelkedett. Ugyancsak a módosítás kapcsán a Vidékfejlesztési Minisztérium a hitelprogram keretében felvett hitelek kamatfizetéshez 50%-os mértékű, maximum évi 4 százalékpont kamattámogatást biztosít. A hitelprogram keretében 2012 végéig 1</w:t>
      </w:r>
      <w:r w:rsidR="00A023FB" w:rsidRPr="005F4D5E">
        <w:t> </w:t>
      </w:r>
      <w:r w:rsidRPr="005F4D5E">
        <w:t>986</w:t>
      </w:r>
      <w:r w:rsidR="00A023FB" w:rsidRPr="005F4D5E">
        <w:t> </w:t>
      </w:r>
      <w:r w:rsidRPr="005F4D5E">
        <w:t>millió</w:t>
      </w:r>
      <w:r w:rsidR="00A023FB" w:rsidRPr="005F4D5E">
        <w:t> </w:t>
      </w:r>
      <w:r w:rsidRPr="005F4D5E">
        <w:t xml:space="preserve">forint összegű hitelnyújtásra került sor. </w:t>
      </w:r>
    </w:p>
    <w:p w:rsidR="00A3481E" w:rsidRPr="00313ED5" w:rsidRDefault="00A3481E" w:rsidP="00A023FB">
      <w:pPr>
        <w:spacing w:after="200"/>
        <w:ind w:firstLine="0"/>
        <w:rPr>
          <w:b/>
          <w:i/>
          <w:szCs w:val="22"/>
        </w:rPr>
      </w:pPr>
      <w:r w:rsidRPr="00313ED5">
        <w:rPr>
          <w:b/>
          <w:i/>
          <w:szCs w:val="22"/>
        </w:rPr>
        <w:lastRenderedPageBreak/>
        <w:t>Új Magyarország TÉSZ Forgóeszköz Hitelprogram</w:t>
      </w:r>
    </w:p>
    <w:p w:rsidR="00A3481E" w:rsidRPr="00313ED5" w:rsidRDefault="00A3481E" w:rsidP="00313ED5">
      <w:r w:rsidRPr="00313ED5">
        <w:t>A hitelprogram, a TÉSZ-ek, és a zöldség-, gyümölcs ágazatban tevékenykedő előzetesen elismert termelői csoportok tevékenységét támogató, éven túli lejáratú forgóeszköz hitelt kínál 8</w:t>
      </w:r>
      <w:r w:rsidR="00A023FB" w:rsidRPr="00313ED5">
        <w:t> </w:t>
      </w:r>
      <w:r w:rsidRPr="00313ED5">
        <w:t>milliárd</w:t>
      </w:r>
      <w:r w:rsidR="00A023FB" w:rsidRPr="00313ED5">
        <w:t> </w:t>
      </w:r>
      <w:r w:rsidRPr="00313ED5">
        <w:t>forintos keretösszegben. Tekintettel arra, hogy a mezőgazdaságban az integráció elősegítése kiemelt cél, 2012-ben módosítottuk az Új Magyarország TÉSZ Forgóeszköz Hitelprogramot, melynek köszönhetően a hitelprogramban alkalmazott maximális futamidő 5 évről 7 évre, azon belül a türelmi idő 2 évről 4 évre módosult. 2012 végéig 34 ügylet keretében összesen 5</w:t>
      </w:r>
      <w:r w:rsidR="00A023FB" w:rsidRPr="00313ED5">
        <w:t> </w:t>
      </w:r>
      <w:r w:rsidRPr="00313ED5">
        <w:t>316</w:t>
      </w:r>
      <w:r w:rsidR="00A023FB" w:rsidRPr="00313ED5">
        <w:t> </w:t>
      </w:r>
      <w:r w:rsidRPr="00313ED5">
        <w:t>millió</w:t>
      </w:r>
      <w:r w:rsidR="00A023FB" w:rsidRPr="00313ED5">
        <w:t> </w:t>
      </w:r>
      <w:r w:rsidRPr="00313ED5">
        <w:t>forint összegű hitelnyújtásra került sor.</w:t>
      </w:r>
    </w:p>
    <w:p w:rsidR="00A3481E" w:rsidRPr="00313ED5" w:rsidRDefault="00A3481E" w:rsidP="00A023FB">
      <w:pPr>
        <w:spacing w:after="200"/>
        <w:ind w:firstLine="0"/>
        <w:rPr>
          <w:b/>
          <w:i/>
          <w:szCs w:val="22"/>
        </w:rPr>
      </w:pPr>
      <w:r w:rsidRPr="00313ED5">
        <w:rPr>
          <w:b/>
          <w:i/>
          <w:szCs w:val="22"/>
        </w:rPr>
        <w:t>MFB Élelmiszeripari Bankgarancia Program</w:t>
      </w:r>
    </w:p>
    <w:p w:rsidR="00D66EE4" w:rsidRPr="005F4D5E" w:rsidRDefault="00A3481E" w:rsidP="000842E9">
      <w:pPr>
        <w:suppressAutoHyphens w:val="0"/>
      </w:pPr>
      <w:r w:rsidRPr="005F4D5E">
        <w:t>A pénzügyi és gazdasági válság élelmiszer-feldolgozó vállalkozásokra gyakorolt hatásának mérséklése és e vállalkozások működőképességének, illetve versenyképességének javítása érdekében létrehozott program 30</w:t>
      </w:r>
      <w:r w:rsidR="00A023FB" w:rsidRPr="005F4D5E">
        <w:t> </w:t>
      </w:r>
      <w:r w:rsidRPr="005F4D5E">
        <w:t>milliárd</w:t>
      </w:r>
      <w:r w:rsidR="00A023FB" w:rsidRPr="005F4D5E">
        <w:t> </w:t>
      </w:r>
      <w:r w:rsidRPr="005F4D5E">
        <w:t>forint keretösszeggel működik. A program keretében az élelmiszer-feldolgozó vállalkozások forgóeszköz hitelük/kölcsönük tőke összegének 80%-ára állami garanciát igényelhetnek minimum 40</w:t>
      </w:r>
      <w:r w:rsidR="00A023FB" w:rsidRPr="005F4D5E">
        <w:t> </w:t>
      </w:r>
      <w:r w:rsidRPr="005F4D5E">
        <w:t>millió, maximum 2</w:t>
      </w:r>
      <w:r w:rsidR="00A023FB" w:rsidRPr="005F4D5E">
        <w:t> </w:t>
      </w:r>
      <w:r w:rsidRPr="005F4D5E">
        <w:t>000</w:t>
      </w:r>
      <w:r w:rsidR="00A023FB" w:rsidRPr="005F4D5E">
        <w:t> </w:t>
      </w:r>
      <w:r w:rsidRPr="005F4D5E">
        <w:t>millió</w:t>
      </w:r>
      <w:r w:rsidR="00A023FB" w:rsidRPr="005F4D5E">
        <w:t> </w:t>
      </w:r>
      <w:r w:rsidRPr="005F4D5E">
        <w:t>forint összegben. A garanciadíj mértéke a vállalkozás minősítése alapján meghatározott kockázati osztályok függvényében 0,5–6,3%/év.  A vállalkozások legfeljebb 1,5</w:t>
      </w:r>
      <w:r w:rsidR="00A023FB" w:rsidRPr="005F4D5E">
        <w:t> </w:t>
      </w:r>
      <w:r w:rsidRPr="005F4D5E">
        <w:t>millió</w:t>
      </w:r>
      <w:r w:rsidR="00A023FB" w:rsidRPr="005F4D5E">
        <w:t> </w:t>
      </w:r>
      <w:r w:rsidRPr="005F4D5E">
        <w:t>eurónak megfelelő garanciavállalásig kedvezményes, de minimis támogatási elemet tartalmazó, maximum 1,5%/év garanciadíj mellett is igénybe vehetik a bankgaranciát. 2012 végéig 12</w:t>
      </w:r>
      <w:r w:rsidR="00A023FB" w:rsidRPr="005F4D5E">
        <w:t> </w:t>
      </w:r>
      <w:r w:rsidRPr="005F4D5E">
        <w:t>240</w:t>
      </w:r>
      <w:r w:rsidR="00A023FB" w:rsidRPr="005F4D5E">
        <w:t> </w:t>
      </w:r>
      <w:r w:rsidRPr="005F4D5E">
        <w:t>millió</w:t>
      </w:r>
      <w:r w:rsidR="00A023FB" w:rsidRPr="005F4D5E">
        <w:t> </w:t>
      </w:r>
      <w:r w:rsidRPr="005F4D5E">
        <w:t>forint összegű garanciavállalásra került sor.</w:t>
      </w:r>
    </w:p>
    <w:p w:rsidR="00784845" w:rsidRPr="00D85C56" w:rsidRDefault="00784845" w:rsidP="00D85C56">
      <w:pPr>
        <w:pStyle w:val="Cmsor6"/>
        <w:rPr>
          <w:u w:val="single"/>
        </w:rPr>
      </w:pPr>
      <w:r w:rsidRPr="00D85C56">
        <w:rPr>
          <w:u w:val="single"/>
        </w:rPr>
        <w:t>Egyéb kedvezményes finanszírozási programok</w:t>
      </w:r>
    </w:p>
    <w:p w:rsidR="00784845" w:rsidRPr="00313ED5" w:rsidRDefault="00784845" w:rsidP="000842E9">
      <w:pPr>
        <w:ind w:firstLine="0"/>
        <w:rPr>
          <w:b/>
          <w:i/>
          <w:szCs w:val="22"/>
        </w:rPr>
      </w:pPr>
      <w:r w:rsidRPr="00313ED5">
        <w:rPr>
          <w:b/>
          <w:i/>
          <w:szCs w:val="22"/>
        </w:rPr>
        <w:t>Hitelkamat és lízingdíj-támogatás mezőgazdasági üzemek korszerűsítéséhez és fejlesztéséhez</w:t>
      </w:r>
    </w:p>
    <w:p w:rsidR="00784845" w:rsidRPr="005F4D5E" w:rsidRDefault="00784845" w:rsidP="000842E9">
      <w:pPr>
        <w:suppressAutoHyphens w:val="0"/>
      </w:pPr>
      <w:r w:rsidRPr="005F4D5E">
        <w:t>A beruházások elősegítése érdekében, 2008 végétől a Minisztérium mezőgazdasági üzemek korszerűsítéséhez és fejlesztéséhez felvett piaci kamatozású beruházási hitelek, pénzügyi lízing ügyletek kamatához kamattámogatást nyújt. A támogatás mértéke a hitelkamat számításánál figyelembe vett 3 havi BUBOR 50%-a, illetve a lízingdíj-kamat 50%-a, amennyiben az egyéb feltételek teljesülése esetén a hitelkamat és a lízing-díj kamat nem haladja meg a 3 havi BUBOR+2%/év mértéket. 2012-ben ezen a jogcímen mintegy 137</w:t>
      </w:r>
      <w:r w:rsidR="000061A6" w:rsidRPr="005F4D5E">
        <w:t> </w:t>
      </w:r>
      <w:r w:rsidRPr="005F4D5E">
        <w:t>millió</w:t>
      </w:r>
      <w:r w:rsidR="000061A6" w:rsidRPr="005F4D5E">
        <w:t> </w:t>
      </w:r>
      <w:r w:rsidRPr="005F4D5E">
        <w:t>forint összegű támogatás kifizetésére került sor.</w:t>
      </w:r>
    </w:p>
    <w:p w:rsidR="00784845" w:rsidRPr="00313ED5" w:rsidRDefault="00784845" w:rsidP="00784845">
      <w:pPr>
        <w:spacing w:after="200"/>
        <w:ind w:firstLine="0"/>
        <w:rPr>
          <w:b/>
          <w:i/>
          <w:szCs w:val="22"/>
        </w:rPr>
      </w:pPr>
      <w:r w:rsidRPr="00313ED5">
        <w:rPr>
          <w:b/>
          <w:i/>
          <w:szCs w:val="22"/>
        </w:rPr>
        <w:t>Agrár Széchenyi Kártya Folyószámlahitel</w:t>
      </w:r>
    </w:p>
    <w:p w:rsidR="00784845" w:rsidRPr="00313ED5" w:rsidRDefault="00784845" w:rsidP="00313ED5">
      <w:r w:rsidRPr="00313ED5">
        <w:t xml:space="preserve">2011. szeptember 1. óta elérhető az Agrár Széchenyi Kártya Folyószámlahitel, melyet jelenleg az OTP Bank Nyrt. a Magyarországi Volksbank Zrt. és a Takarékszövetkezetek fiókjaiban lehet igényelni az Agrár-Válallalkozási Hitel Garancia Alapítvány (AVHGA) kezességvállalása mellett. A magyar állam 2 </w:t>
      </w:r>
      <w:r w:rsidR="000061A6" w:rsidRPr="00313ED5">
        <w:t>százalék</w:t>
      </w:r>
      <w:r w:rsidRPr="00313ED5">
        <w:t>pont kamattámogatást és 50%-os kezesi díjtámogatást nyújt a szabad felhasználású, likviditást segítő hitelekhez. 2012 végén 574 ügyfél rendelkezett összesen 3</w:t>
      </w:r>
      <w:r w:rsidR="00447EAA" w:rsidRPr="00313ED5">
        <w:t> </w:t>
      </w:r>
      <w:r w:rsidRPr="00313ED5">
        <w:t>449</w:t>
      </w:r>
      <w:r w:rsidR="00447EAA" w:rsidRPr="00313ED5">
        <w:t> </w:t>
      </w:r>
      <w:r w:rsidRPr="00313ED5">
        <w:t>millió</w:t>
      </w:r>
      <w:r w:rsidR="00447EAA" w:rsidRPr="00313ED5">
        <w:t> </w:t>
      </w:r>
      <w:r w:rsidRPr="00313ED5">
        <w:t>forint összegű hitelkerettel.</w:t>
      </w:r>
    </w:p>
    <w:p w:rsidR="001E7A41" w:rsidRPr="00715E86" w:rsidRDefault="001E7A41" w:rsidP="00715E86">
      <w:pPr>
        <w:pStyle w:val="Cmsor6"/>
      </w:pPr>
      <w:r w:rsidRPr="00715E86">
        <w:t>Agrár-</w:t>
      </w:r>
      <w:r w:rsidR="00854757" w:rsidRPr="00715E86">
        <w:t>és vidékfejlesztési támogatások</w:t>
      </w:r>
    </w:p>
    <w:p w:rsidR="00784845" w:rsidRPr="00313ED5" w:rsidRDefault="00784845" w:rsidP="00313ED5">
      <w:pPr>
        <w:rPr>
          <w:b/>
        </w:rPr>
      </w:pPr>
      <w:r w:rsidRPr="00313ED5">
        <w:rPr>
          <w:b/>
        </w:rPr>
        <w:t>Európai Unió által közvetlenül térített támogatások</w:t>
      </w:r>
    </w:p>
    <w:p w:rsidR="00784845" w:rsidRPr="00313ED5" w:rsidRDefault="00784845" w:rsidP="00313ED5">
      <w:r w:rsidRPr="00313ED5">
        <w:t>Az egységes területalapú támogatások (SAPS) keretében 321,3</w:t>
      </w:r>
      <w:r w:rsidR="00B76F6D" w:rsidRPr="00313ED5">
        <w:t> </w:t>
      </w:r>
      <w:r w:rsidRPr="00313ED5">
        <w:t>milliárd</w:t>
      </w:r>
      <w:r w:rsidR="00B76F6D" w:rsidRPr="00313ED5">
        <w:t> </w:t>
      </w:r>
      <w:r w:rsidRPr="00313ED5">
        <w:t>forint került a termelőknek átutalásra, ebből 285,7</w:t>
      </w:r>
      <w:r w:rsidR="00B76F6D" w:rsidRPr="00313ED5">
        <w:t> </w:t>
      </w:r>
      <w:r w:rsidRPr="00313ED5">
        <w:t>milliárd a területalapú támogatások jogcímén. Ezen felül a területalapú támogatáshoz kapcsolódó elkülönített cukortámogatásra mintegy 12</w:t>
      </w:r>
      <w:r w:rsidR="00B76F6D" w:rsidRPr="00313ED5">
        <w:t> </w:t>
      </w:r>
      <w:r w:rsidRPr="00313ED5">
        <w:t>milliárd</w:t>
      </w:r>
      <w:r w:rsidR="00B76F6D" w:rsidRPr="00313ED5">
        <w:t> </w:t>
      </w:r>
      <w:r w:rsidRPr="00313ED5">
        <w:t>forintot, a zöldség-gyümölcs és dohány szerkezetátalakításra 9,2</w:t>
      </w:r>
      <w:r w:rsidR="00B76F6D" w:rsidRPr="00313ED5">
        <w:t> </w:t>
      </w:r>
      <w:r w:rsidRPr="00313ED5">
        <w:t>milliárd</w:t>
      </w:r>
      <w:r w:rsidR="00B76F6D" w:rsidRPr="00313ED5">
        <w:t> </w:t>
      </w:r>
      <w:r w:rsidRPr="00313ED5">
        <w:t>forintot, a területalapú támogatáshoz kapcsolódó elkülönített zöldség</w:t>
      </w:r>
      <w:r w:rsidR="0037530D" w:rsidRPr="00313ED5">
        <w:t>–</w:t>
      </w:r>
      <w:r w:rsidRPr="00313ED5">
        <w:t>gyümölcs</w:t>
      </w:r>
      <w:r w:rsidR="0037530D" w:rsidRPr="00313ED5">
        <w:t xml:space="preserve"> </w:t>
      </w:r>
      <w:r w:rsidRPr="00313ED5">
        <w:t>támogatásra pedig 1,3</w:t>
      </w:r>
      <w:r w:rsidR="00B76F6D" w:rsidRPr="00313ED5">
        <w:t> </w:t>
      </w:r>
      <w:r w:rsidRPr="00313ED5">
        <w:t>milliárd</w:t>
      </w:r>
      <w:r w:rsidR="00B76F6D" w:rsidRPr="00313ED5">
        <w:t> </w:t>
      </w:r>
      <w:r w:rsidRPr="00313ED5">
        <w:t xml:space="preserve">forint forrást biztosított az </w:t>
      </w:r>
      <w:r w:rsidR="00B76F6D" w:rsidRPr="00313ED5">
        <w:t xml:space="preserve">Európai </w:t>
      </w:r>
      <w:r w:rsidRPr="00313ED5">
        <w:t>Unió.</w:t>
      </w:r>
    </w:p>
    <w:p w:rsidR="00784845" w:rsidRPr="00313ED5" w:rsidRDefault="00784845" w:rsidP="00313ED5">
      <w:pPr>
        <w:rPr>
          <w:b/>
        </w:rPr>
      </w:pPr>
      <w:r w:rsidRPr="00313ED5">
        <w:rPr>
          <w:b/>
        </w:rPr>
        <w:t>Európai Uniós társfinanszírozású támogatások</w:t>
      </w:r>
    </w:p>
    <w:p w:rsidR="00784845" w:rsidRPr="00313ED5" w:rsidRDefault="00784845" w:rsidP="00313ED5">
      <w:r w:rsidRPr="00313ED5">
        <w:t xml:space="preserve">Az Uniós programok kiegészítő támogatása jogcímcsoportban a Nemzeti Diverzifikációs Program </w:t>
      </w:r>
      <w:r w:rsidR="009418D7" w:rsidRPr="00313ED5">
        <w:t>keretéből</w:t>
      </w:r>
      <w:r w:rsidRPr="00313ED5">
        <w:t xml:space="preserve"> 2</w:t>
      </w:r>
      <w:r w:rsidR="009418D7" w:rsidRPr="00313ED5">
        <w:t> </w:t>
      </w:r>
      <w:r w:rsidRPr="00313ED5">
        <w:t>362,5</w:t>
      </w:r>
      <w:r w:rsidR="009418D7" w:rsidRPr="00313ED5">
        <w:t> </w:t>
      </w:r>
      <w:r w:rsidRPr="00313ED5">
        <w:t>millió</w:t>
      </w:r>
      <w:r w:rsidR="009418D7" w:rsidRPr="00313ED5">
        <w:t> </w:t>
      </w:r>
      <w:r w:rsidRPr="00313ED5">
        <w:t>forint volt a teljesítés.</w:t>
      </w:r>
    </w:p>
    <w:p w:rsidR="00784845" w:rsidRPr="00313ED5" w:rsidRDefault="00784845" w:rsidP="000842E9">
      <w:r w:rsidRPr="00313ED5">
        <w:lastRenderedPageBreak/>
        <w:t>Az Igyál tejet programban 2012-ben mintegy 350 intézményfenntartó vett részt, melyeken keresztül 190-200</w:t>
      </w:r>
      <w:r w:rsidR="009418D7" w:rsidRPr="00313ED5">
        <w:t> </w:t>
      </w:r>
      <w:r w:rsidRPr="00313ED5">
        <w:t>ezer gyermek (óvodás, iskolás és középiskolás) részvétele valósult meg. A program keretében 403,3</w:t>
      </w:r>
      <w:r w:rsidR="009418D7" w:rsidRPr="00313ED5">
        <w:t> </w:t>
      </w:r>
      <w:r w:rsidRPr="00313ED5">
        <w:t>millió</w:t>
      </w:r>
      <w:r w:rsidR="009418D7" w:rsidRPr="00313ED5">
        <w:t> </w:t>
      </w:r>
      <w:r w:rsidRPr="00313ED5">
        <w:t>forint támogatásban részesültek a kedvezményezettek.</w:t>
      </w:r>
    </w:p>
    <w:p w:rsidR="00784845" w:rsidRPr="00313ED5" w:rsidRDefault="00784845" w:rsidP="000842E9">
      <w:r w:rsidRPr="00313ED5">
        <w:t>2012-ben is jelentős igény mutatkozott a méhészeti tevékenység hatékonyságának növelését célzó Magyar Méhészeti Program támogatásaira. A kifizetések értéke 2012-ben 568,2</w:t>
      </w:r>
      <w:r w:rsidR="009418D7" w:rsidRPr="00313ED5">
        <w:t> </w:t>
      </w:r>
      <w:r w:rsidRPr="00313ED5">
        <w:t>millió</w:t>
      </w:r>
      <w:r w:rsidR="009418D7" w:rsidRPr="00313ED5">
        <w:t> </w:t>
      </w:r>
      <w:r w:rsidRPr="00313ED5">
        <w:t>forint volt.</w:t>
      </w:r>
    </w:p>
    <w:p w:rsidR="00784845" w:rsidRPr="005F4D5E" w:rsidRDefault="00784845" w:rsidP="000842E9">
      <w:pPr>
        <w:suppressAutoHyphens w:val="0"/>
      </w:pPr>
      <w:r w:rsidRPr="005F4D5E">
        <w:t xml:space="preserve">Az előző évekhez hasonlóan külön előirányzat segítette a zöldség-gyümölcs termelői csoportok létrejöttét, illetve a szükséges infrastruktúra kialakítását. </w:t>
      </w:r>
    </w:p>
    <w:p w:rsidR="00203F3B" w:rsidRPr="00715E86" w:rsidRDefault="00203F3B" w:rsidP="000842E9">
      <w:pPr>
        <w:pStyle w:val="Cmsor6"/>
        <w:spacing w:before="0"/>
      </w:pPr>
      <w:r w:rsidRPr="00715E86">
        <w:t>Nemzeti támogatások</w:t>
      </w:r>
    </w:p>
    <w:p w:rsidR="00784845" w:rsidRPr="005F4D5E" w:rsidRDefault="00784845" w:rsidP="000842E9">
      <w:pPr>
        <w:suppressAutoHyphens w:val="0"/>
      </w:pPr>
      <w:r w:rsidRPr="005F4D5E">
        <w:t>A nemzeti támogatások között legnagyobb súllyal a „Folyó kiadások és jövedelemtámogatások” előirányzat szerepel, amiből 2012-ben 58</w:t>
      </w:r>
      <w:r w:rsidR="009418D7" w:rsidRPr="005F4D5E">
        <w:t> </w:t>
      </w:r>
      <w:r w:rsidRPr="005F4D5E">
        <w:t>357,1</w:t>
      </w:r>
      <w:r w:rsidR="009418D7" w:rsidRPr="005F4D5E">
        <w:t> </w:t>
      </w:r>
      <w:r w:rsidRPr="005F4D5E">
        <w:t>millió</w:t>
      </w:r>
      <w:r w:rsidR="009418D7" w:rsidRPr="005F4D5E">
        <w:t> </w:t>
      </w:r>
      <w:r w:rsidRPr="005F4D5E">
        <w:t xml:space="preserve">forint került kifizetésre. Az előirányzat célja a mezőgazdasági termelők költségeinek csökkentése és jövedelmi helyzetének javítása. </w:t>
      </w:r>
    </w:p>
    <w:p w:rsidR="00784845" w:rsidRPr="005F4D5E" w:rsidRDefault="00784845" w:rsidP="000842E9">
      <w:pPr>
        <w:suppressAutoHyphens w:val="0"/>
      </w:pPr>
      <w:r w:rsidRPr="005F4D5E">
        <w:t xml:space="preserve">A második alkalommal meghirdetett Tanyafejlesztési Program keretében 233 pályázó jutott összesen közel </w:t>
      </w:r>
      <w:r w:rsidR="009418D7" w:rsidRPr="005F4D5E">
        <w:t>1,5 </w:t>
      </w:r>
      <w:r w:rsidRPr="005F4D5E">
        <w:t>milliárd</w:t>
      </w:r>
      <w:r w:rsidR="009418D7" w:rsidRPr="005F4D5E">
        <w:t> </w:t>
      </w:r>
      <w:r w:rsidRPr="005F4D5E">
        <w:t>forint vissza nem térítendő állami támogatáshoz az alföldi tanyás térségek megőrzését és fejlesztését célzó projektekre.</w:t>
      </w:r>
    </w:p>
    <w:p w:rsidR="00784845" w:rsidRPr="005F4D5E" w:rsidRDefault="00784845" w:rsidP="000842E9">
      <w:pPr>
        <w:suppressAutoHyphens w:val="0"/>
      </w:pPr>
      <w:r w:rsidRPr="005F4D5E">
        <w:t>A hazai tenyészállat állomány genetikai minőségének fenntartását és a tenyésztésszervezési feladatok ellátásának elősegítését biztosító „Állattenyésztési feladatok támogatása” előirányzaton 906,1</w:t>
      </w:r>
      <w:r w:rsidR="009418D7" w:rsidRPr="005F4D5E">
        <w:t> </w:t>
      </w:r>
      <w:r w:rsidRPr="005F4D5E">
        <w:t>millió</w:t>
      </w:r>
      <w:r w:rsidR="009418D7" w:rsidRPr="005F4D5E">
        <w:t> </w:t>
      </w:r>
      <w:r w:rsidRPr="005F4D5E">
        <w:t xml:space="preserve">forint került kifizetésre. </w:t>
      </w:r>
    </w:p>
    <w:p w:rsidR="00784845" w:rsidRPr="005F4D5E" w:rsidRDefault="00784845" w:rsidP="000842E9">
      <w:pPr>
        <w:suppressAutoHyphens w:val="0"/>
      </w:pPr>
      <w:r w:rsidRPr="005F4D5E">
        <w:t xml:space="preserve">„Az állat- és növénykártalanítás” előirányzat a zárlati státuszú állatbetegségek és növényi károsítók felszámolására és járványos elterjedésének megelőzése céljából hozott hatósági intézkedésekhez nyújtott támogatást. </w:t>
      </w:r>
    </w:p>
    <w:p w:rsidR="00784845" w:rsidRPr="005F4D5E" w:rsidRDefault="00784845" w:rsidP="000842E9">
      <w:pPr>
        <w:suppressAutoHyphens w:val="0"/>
      </w:pPr>
      <w:r w:rsidRPr="005F4D5E">
        <w:t>A Nemzeti Erdőprogram részeként az erdőfelújítások sikeres befejezésének, illetve az erdőtelepítés, erdőszerkezet-átalakítás, fásítás támogatására mintegy 560</w:t>
      </w:r>
      <w:r w:rsidR="009418D7" w:rsidRPr="005F4D5E">
        <w:t> </w:t>
      </w:r>
      <w:r w:rsidRPr="005F4D5E">
        <w:t>millió</w:t>
      </w:r>
      <w:r w:rsidR="009418D7" w:rsidRPr="005F4D5E">
        <w:t> </w:t>
      </w:r>
      <w:r w:rsidRPr="005F4D5E">
        <w:t xml:space="preserve">forint került felhasználásra. </w:t>
      </w:r>
    </w:p>
    <w:p w:rsidR="00EA1F8F" w:rsidRDefault="00B35B48" w:rsidP="00EA1F8F">
      <w:pPr>
        <w:rPr>
          <w:b/>
          <w:i/>
          <w:szCs w:val="22"/>
        </w:rPr>
      </w:pPr>
      <w:r w:rsidRPr="00791568">
        <w:rPr>
          <w:b/>
          <w:i/>
          <w:szCs w:val="22"/>
        </w:rPr>
        <w:t>Nemzeti kárenyhítési rendszer</w:t>
      </w:r>
    </w:p>
    <w:p w:rsidR="00D0699C" w:rsidRPr="005F4D5E" w:rsidRDefault="009418D7" w:rsidP="000842E9">
      <w:pPr>
        <w:suppressAutoHyphens w:val="0"/>
      </w:pPr>
      <w:r w:rsidRPr="005F4D5E">
        <w:t xml:space="preserve">2012-ben a </w:t>
      </w:r>
      <w:r w:rsidR="00D0699C" w:rsidRPr="005F4D5E">
        <w:t>„Nemzeti agrár kárenyhítés” előirányzaton 2</w:t>
      </w:r>
      <w:r w:rsidRPr="005F4D5E">
        <w:t> </w:t>
      </w:r>
      <w:r w:rsidR="00D0699C" w:rsidRPr="005F4D5E">
        <w:t>000</w:t>
      </w:r>
      <w:r w:rsidRPr="005F4D5E">
        <w:t> </w:t>
      </w:r>
      <w:r w:rsidR="00D0699C" w:rsidRPr="005F4D5E">
        <w:t>millió</w:t>
      </w:r>
      <w:r w:rsidRPr="005F4D5E">
        <w:t> </w:t>
      </w:r>
      <w:r w:rsidR="00D0699C" w:rsidRPr="005F4D5E">
        <w:t>forint volt. Ezzel szemben 2011. december 6-án a termelők által befizetett kárenyhítési hozzájárulás összege 2</w:t>
      </w:r>
      <w:r w:rsidRPr="005F4D5E">
        <w:t> 101,</w:t>
      </w:r>
      <w:r w:rsidR="00D0699C" w:rsidRPr="005F4D5E">
        <w:t>6</w:t>
      </w:r>
      <w:r w:rsidRPr="005F4D5E">
        <w:t> millió forint volt, amit a Minisztérium előirányzatok közötti átcsoportosítássa</w:t>
      </w:r>
      <w:r w:rsidR="004D1C47" w:rsidRPr="005F4D5E">
        <w:t>l</w:t>
      </w:r>
      <w:r w:rsidRPr="005F4D5E">
        <w:t xml:space="preserve"> fedezett, tekintettel arra, hogy</w:t>
      </w:r>
      <w:r w:rsidR="00D0699C" w:rsidRPr="005F4D5E">
        <w:t xml:space="preserve"> az állam évenként a központi költségvetési forrásból az összes kárenyhítési hozzájárulás fizetésére kötelezett mezőgazdasági termelő által befizetett kárenyhítési hozzájárulással legalább azonos összegű támogatással járul hozzá a kárenyhítés pénzügyi forrásaihoz</w:t>
      </w:r>
      <w:r w:rsidRPr="005F4D5E">
        <w:t>.</w:t>
      </w:r>
    </w:p>
    <w:p w:rsidR="00D0699C" w:rsidRPr="005F4D5E" w:rsidRDefault="00D0699C" w:rsidP="000842E9">
      <w:pPr>
        <w:suppressAutoHyphens w:val="0"/>
      </w:pPr>
      <w:r w:rsidRPr="005F4D5E">
        <w:t>2012. március 15-ig a 2011.évben bekövetkezett károkra, a (korábbi) nemzeti agrárkár-enyhítési rendszer alapján történt kifizetés 4</w:t>
      </w:r>
      <w:r w:rsidR="004D1C47" w:rsidRPr="005F4D5E">
        <w:t> </w:t>
      </w:r>
      <w:r w:rsidRPr="005F4D5E">
        <w:t>224,3</w:t>
      </w:r>
      <w:r w:rsidR="004D1C47" w:rsidRPr="005F4D5E">
        <w:t> </w:t>
      </w:r>
      <w:r w:rsidRPr="005F4D5E">
        <w:t>millió</w:t>
      </w:r>
      <w:r w:rsidR="004D1C47" w:rsidRPr="005F4D5E">
        <w:t> </w:t>
      </w:r>
      <w:r w:rsidRPr="005F4D5E">
        <w:t xml:space="preserve">forint összegben. A 2011. évben a legsúlyosabb károkat a tavaszi fagyok okozták. Fagykárok címén kifizetésre kerülő kárenyhítő juttatások aránya meghaladja az összes kifizetés 91%-át, a fennmaradó rész belvíz- és jégesőkárokra lett kifizetve. Az aszálykárok miatt nem történt vis maior helyzet kihirdetés, mert a helyenként előfordult csapadékhiány ellenére az összegyűjtött adatok annak szükségességét nem indokolták. </w:t>
      </w:r>
    </w:p>
    <w:p w:rsidR="00D0699C" w:rsidRPr="00313ED5" w:rsidRDefault="00D0699C" w:rsidP="004D1C47">
      <w:pPr>
        <w:rPr>
          <w:rFonts w:eastAsia="Times New Roman" w:cs="Times New Roman"/>
          <w:b/>
          <w:i/>
          <w:kern w:val="2"/>
          <w:sz w:val="24"/>
        </w:rPr>
      </w:pPr>
      <w:r w:rsidRPr="00313ED5">
        <w:rPr>
          <w:rFonts w:eastAsia="Times New Roman" w:cs="Times New Roman"/>
          <w:b/>
          <w:i/>
          <w:kern w:val="2"/>
          <w:sz w:val="24"/>
        </w:rPr>
        <w:t>Új mezőgazdasági kockázatkezelési rendszer</w:t>
      </w:r>
    </w:p>
    <w:p w:rsidR="00D0699C" w:rsidRPr="00313ED5" w:rsidRDefault="00D0699C" w:rsidP="00313ED5">
      <w:r w:rsidRPr="00313ED5">
        <w:t>2012-ben bevezetésre került az új, két pilléren nyugvó mezőgazdasági kockázatkezelési rendszer, amelyben az első pillért a – korábbi szabályozáshoz képest - kibővített agrárkár-enyhítési rendszer, a második pillért a díjtámogatással segített piaci biztosítási konstrukció alkotja. Törvényi alapját a 2012. január 1. napjával hatályba lépett mezőgazdasági termelést érintő időjárási és más természeti kockázatok kezeléséről szóló 2011. évi CLXVIII. törvény (a továbbiakban: Mkk törvény) teremti meg.</w:t>
      </w:r>
    </w:p>
    <w:p w:rsidR="00D0699C" w:rsidRPr="002229D7" w:rsidRDefault="00D0699C" w:rsidP="002229D7">
      <w:r w:rsidRPr="002229D7">
        <w:t xml:space="preserve">Az I. pillérben található agrárkár-kárenyhítési rendszerben a kockázatközösségben tag </w:t>
      </w:r>
      <w:r w:rsidR="00A52991" w:rsidRPr="002229D7">
        <w:t>mezőgazdasági</w:t>
      </w:r>
      <w:r w:rsidRPr="002229D7">
        <w:t xml:space="preserve"> termelők kötelesek kárenyhítési hozzájárulást fizetni és jogosultságot szerezhetnek kárenyhítő juttatás igénybevételére a keletkezett károk kompenzálása érdekében. A rendszer jogszabályi alapja a kárenyhítési hozzájárulás megfizetésével, valamint a kárenyhítő juttatás igénybevételével kapcsolatos egyes kérdésekről szóló 21/2012. (III.9.) VM rendelet.</w:t>
      </w:r>
    </w:p>
    <w:p w:rsidR="00D0699C" w:rsidRPr="002229D7" w:rsidRDefault="00D0699C" w:rsidP="002229D7">
      <w:r w:rsidRPr="002229D7">
        <w:t xml:space="preserve">A mezőgazdasági kockázatkezelési rendszer II. pillére keretében biztosítási díjtámogatásban részesülnek azok a termelők, akik saját biztonságuk érdekében a kárenyhítési hozzájárulás összegének </w:t>
      </w:r>
      <w:r w:rsidRPr="002229D7">
        <w:lastRenderedPageBreak/>
        <w:t xml:space="preserve">befizetésén túl öngondoskodás alapján – a jogszabályi feltételeknek megfelelő - biztosítási szerződést kötnek. A </w:t>
      </w:r>
      <w:r w:rsidR="004D1C47" w:rsidRPr="002229D7">
        <w:t>II.</w:t>
      </w:r>
      <w:r w:rsidRPr="002229D7">
        <w:t xml:space="preserve"> pillér alapját három különböző biztosítási termék képezi, közülük a legjelentősebb a - legfontosabb növényekre köthető – csomagbiztosítási konstrukció. A biztosítási díjtámogatás jogszabályi hátterét a mezőgazdasági biztosítás díjához nyújtott támogatás igénybevételi feltételeiről szóló 143/2011. (XII.23.) VM rendelet teremti meg. </w:t>
      </w:r>
    </w:p>
    <w:p w:rsidR="00D0699C" w:rsidRPr="002229D7" w:rsidRDefault="00D0699C" w:rsidP="002229D7">
      <w:r w:rsidRPr="002229D7">
        <w:t>A kárenyhítési rendszernek 2012-ben megközelítőleg 74</w:t>
      </w:r>
      <w:r w:rsidR="004D1C47" w:rsidRPr="002229D7">
        <w:t> </w:t>
      </w:r>
      <w:r w:rsidRPr="002229D7">
        <w:t>ezer termelő volt a tagja, akiknek az Mkk alapján a kárenyhítési</w:t>
      </w:r>
      <w:r w:rsidR="004D1C47" w:rsidRPr="002229D7">
        <w:t xml:space="preserve"> </w:t>
      </w:r>
      <w:r w:rsidRPr="002229D7">
        <w:t>hozzájárulás fizetési kötelezettsége 4</w:t>
      </w:r>
      <w:r w:rsidR="004D1C47" w:rsidRPr="002229D7">
        <w:t> </w:t>
      </w:r>
      <w:r w:rsidRPr="002229D7">
        <w:t>150</w:t>
      </w:r>
      <w:r w:rsidR="004D1C47" w:rsidRPr="002229D7">
        <w:t> </w:t>
      </w:r>
      <w:r w:rsidRPr="002229D7">
        <w:t>millió</w:t>
      </w:r>
      <w:r w:rsidR="004D1C47" w:rsidRPr="002229D7">
        <w:t> </w:t>
      </w:r>
      <w:r w:rsidRPr="002229D7">
        <w:t xml:space="preserve">forintot tett ki, amely összeg a 2013. évi kifizetések alapját képezi, és amelyet a Kormány költségvetési támogatással egészít ki legalább a termelői hozzájárulással megegyező mértékben. </w:t>
      </w:r>
    </w:p>
    <w:p w:rsidR="00D0699C" w:rsidRPr="002229D7" w:rsidRDefault="00D0699C" w:rsidP="002229D7">
      <w:r w:rsidRPr="002229D7">
        <w:t xml:space="preserve">A 2012. évben a mezőgazdasági termelést legnagyobb mértékben (63,6%) az aszálykár sújtotta, számottevő volt a tavaszi fagykár (20,4%) és a téli fagykár (15,8%) is, egyéb káresemények elenyésző mértékben jelentkeztek. </w:t>
      </w:r>
    </w:p>
    <w:p w:rsidR="00D0699C" w:rsidRPr="002229D7" w:rsidRDefault="00D0699C" w:rsidP="002229D7">
      <w:r w:rsidRPr="002229D7">
        <w:t>Kárenyhítő juttatásra 2012-ben összesen 4</w:t>
      </w:r>
      <w:r w:rsidR="004D1C47" w:rsidRPr="002229D7">
        <w:t> </w:t>
      </w:r>
      <w:r w:rsidRPr="002229D7">
        <w:t>401 kérelem került elfogadásra, amire vonatkozó kárenyhítési igény 7,4</w:t>
      </w:r>
      <w:r w:rsidR="004D1C47" w:rsidRPr="002229D7">
        <w:t> </w:t>
      </w:r>
      <w:r w:rsidRPr="002229D7">
        <w:t>milliárd</w:t>
      </w:r>
      <w:r w:rsidR="004D1C47" w:rsidRPr="002229D7">
        <w:t> </w:t>
      </w:r>
      <w:r w:rsidRPr="002229D7">
        <w:t xml:space="preserve">forintot tett ki. Ez az összeg nem tartalmazza azokat a ténylegesen keletkezett károkat, melyeket azok a termelők szenvedtek el, akiknek az üzemi szintre kiszámított hozamérték-csökkenése nem érte el a 30%-os mértéket. Az agrárkár-enyhítési rendszerben ugyanis kizárólag a 30%-osnál magasabb hozamérték-csökkenést elszenvedett termelők részesülhetnek kárenyhítő juttatásban. A 2012-ben bekövetkezett károkhoz kapcsolódó kárenyhítő juttatás 2013 elején került kifizetésre.  </w:t>
      </w:r>
    </w:p>
    <w:p w:rsidR="00854757" w:rsidRPr="002229D7" w:rsidRDefault="00D0699C" w:rsidP="002229D7">
      <w:r w:rsidRPr="002229D7">
        <w:t>2012-ben összesen 1896</w:t>
      </w:r>
      <w:r w:rsidR="004D1C47" w:rsidRPr="002229D7">
        <w:t> </w:t>
      </w:r>
      <w:r w:rsidRPr="002229D7">
        <w:t xml:space="preserve">db díjtámogatásban részesülő mezőgazdasági </w:t>
      </w:r>
      <w:r w:rsidR="00F57D32" w:rsidRPr="002229D7">
        <w:t>biztosítást kötöttek</w:t>
      </w:r>
      <w:r w:rsidRPr="002229D7">
        <w:t xml:space="preserve"> közel 1,5</w:t>
      </w:r>
      <w:r w:rsidR="004D1C47" w:rsidRPr="002229D7">
        <w:t> </w:t>
      </w:r>
      <w:r w:rsidRPr="002229D7">
        <w:t>milliárd</w:t>
      </w:r>
      <w:r w:rsidR="004D1C47" w:rsidRPr="002229D7">
        <w:t> </w:t>
      </w:r>
      <w:r w:rsidRPr="002229D7">
        <w:t>forint állománydíjban. Ezen belül a csomagbiztosítás állománydíja meghaladta a 600</w:t>
      </w:r>
      <w:r w:rsidR="004D1C47" w:rsidRPr="002229D7">
        <w:t> </w:t>
      </w:r>
      <w:r w:rsidRPr="002229D7">
        <w:t>millió</w:t>
      </w:r>
      <w:r w:rsidR="004D1C47" w:rsidRPr="002229D7">
        <w:t> </w:t>
      </w:r>
      <w:r w:rsidRPr="002229D7">
        <w:t>forintot. A II. pillér keretében mintegy 880</w:t>
      </w:r>
      <w:r w:rsidR="004D1C47" w:rsidRPr="002229D7">
        <w:t> </w:t>
      </w:r>
      <w:r w:rsidRPr="002229D7">
        <w:t>millió</w:t>
      </w:r>
      <w:r w:rsidR="004D1C47" w:rsidRPr="002229D7">
        <w:t> </w:t>
      </w:r>
      <w:r w:rsidRPr="002229D7">
        <w:t xml:space="preserve">forint biztosítási díjtámogatási igény merült fel.  </w:t>
      </w:r>
    </w:p>
    <w:p w:rsidR="00C07F4B" w:rsidRPr="00896E03" w:rsidRDefault="00697728" w:rsidP="00DB48A3">
      <w:pPr>
        <w:pStyle w:val="Cmsor3"/>
      </w:pPr>
      <w:bookmarkStart w:id="28" w:name="_Toc200708969"/>
      <w:bookmarkStart w:id="29" w:name="_Toc200710331"/>
      <w:bookmarkStart w:id="30" w:name="_Toc200708971"/>
      <w:bookmarkStart w:id="31" w:name="_Toc200710333"/>
      <w:bookmarkStart w:id="32" w:name="_Toc200708973"/>
      <w:bookmarkStart w:id="33" w:name="_Toc200710335"/>
      <w:bookmarkStart w:id="34" w:name="_Toc200708975"/>
      <w:bookmarkStart w:id="35" w:name="_Toc200710337"/>
      <w:bookmarkStart w:id="36" w:name="_Toc200708977"/>
      <w:bookmarkStart w:id="37" w:name="_Toc200710339"/>
      <w:bookmarkStart w:id="38" w:name="_Toc200708979"/>
      <w:bookmarkStart w:id="39" w:name="_Toc200710341"/>
      <w:bookmarkStart w:id="40" w:name="_Toc200708989"/>
      <w:bookmarkStart w:id="41" w:name="_Toc200710351"/>
      <w:bookmarkStart w:id="42" w:name="_Toc200708990"/>
      <w:bookmarkStart w:id="43" w:name="_Toc200710352"/>
      <w:bookmarkStart w:id="44" w:name="_Toc200708991"/>
      <w:bookmarkStart w:id="45" w:name="_Toc200710353"/>
      <w:bookmarkStart w:id="46" w:name="_Toc200708992"/>
      <w:bookmarkStart w:id="47" w:name="_Toc200710354"/>
      <w:bookmarkStart w:id="48" w:name="_Toc200708993"/>
      <w:bookmarkStart w:id="49" w:name="_Toc200710355"/>
      <w:bookmarkStart w:id="50" w:name="_Toc200708994"/>
      <w:bookmarkStart w:id="51" w:name="_Toc200710356"/>
      <w:bookmarkStart w:id="52" w:name="_Toc200708995"/>
      <w:bookmarkStart w:id="53" w:name="_Toc200710357"/>
      <w:bookmarkStart w:id="54" w:name="_Toc200708996"/>
      <w:bookmarkStart w:id="55" w:name="_Toc200710358"/>
      <w:bookmarkStart w:id="56" w:name="_Toc200708997"/>
      <w:bookmarkStart w:id="57" w:name="_Toc200710359"/>
      <w:bookmarkStart w:id="58" w:name="_Toc200708999"/>
      <w:bookmarkStart w:id="59" w:name="_Toc200710361"/>
      <w:bookmarkStart w:id="60" w:name="_Toc200709001"/>
      <w:bookmarkStart w:id="61" w:name="_Toc200710363"/>
      <w:bookmarkStart w:id="62" w:name="_Toc196203076"/>
      <w:bookmarkStart w:id="63" w:name="_Toc232860146"/>
      <w:bookmarkStart w:id="64" w:name="_Toc360176786"/>
      <w:bookmarkEnd w:id="12"/>
      <w:bookmarkEnd w:id="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896E03">
        <w:t>ÚMV</w:t>
      </w:r>
      <w:r w:rsidR="00C07F4B" w:rsidRPr="00896E03">
        <w:t>P specifikus jogszabályi változások</w:t>
      </w:r>
      <w:bookmarkEnd w:id="62"/>
      <w:bookmarkEnd w:id="63"/>
      <w:bookmarkEnd w:id="64"/>
      <w:r w:rsidR="00A431C3" w:rsidRPr="00896E03">
        <w:t xml:space="preserve"> </w:t>
      </w:r>
    </w:p>
    <w:p w:rsidR="00272DFB" w:rsidRPr="00C202BE" w:rsidRDefault="00272DFB" w:rsidP="002229D7">
      <w:pPr>
        <w:rPr>
          <w:rFonts w:cs="TimesNewRomanPSMT"/>
          <w:b/>
          <w:i/>
          <w:lang w:eastAsia="ko-KR"/>
        </w:rPr>
      </w:pPr>
      <w:r w:rsidRPr="00C202BE">
        <w:rPr>
          <w:rFonts w:cs="TimesNewRomanPSMT"/>
          <w:b/>
          <w:i/>
          <w:lang w:eastAsia="ko-KR"/>
        </w:rPr>
        <w:t xml:space="preserve">Az Európai Mezőgazdasági Vidékfejlesztési Alap társfinanszírozásában megvalósuló támogatások igénybevételének általános szabályairól szóló 23/2007. (IV. 17.) FVM rendelet </w:t>
      </w:r>
    </w:p>
    <w:p w:rsidR="00272DFB" w:rsidRPr="00272DFB" w:rsidRDefault="00272DFB" w:rsidP="002229D7">
      <w:pPr>
        <w:rPr>
          <w:rFonts w:cs="TimesNewRomanPSMT"/>
          <w:lang w:eastAsia="ko-KR"/>
        </w:rPr>
      </w:pPr>
      <w:r w:rsidRPr="004D1C47">
        <w:rPr>
          <w:rFonts w:cs="TimesNewRomanPSMT"/>
          <w:lang w:eastAsia="ko-KR"/>
        </w:rPr>
        <w:t>A 23/2007. (IV.17.) FVM rendelet (továbbiakban: végrehajtási rendelet) célja, hogy a vidékfejlesztési politika egységes programozási és finanszírozási keretbe illeszkedjen, és ezáltal javuljon annak koherenciája és átláthatósága. </w:t>
      </w:r>
      <w:r w:rsidRPr="00272DFB">
        <w:rPr>
          <w:rFonts w:cs="TimesNewRomanPSMT"/>
          <w:lang w:eastAsia="ko-KR"/>
        </w:rPr>
        <w:t>A vállalkozói adminisztrációs tehercsökkentés legfontosabb elemei az alábbiak:</w:t>
      </w:r>
    </w:p>
    <w:p w:rsidR="007928C3" w:rsidRPr="00272DFB" w:rsidRDefault="007928C3" w:rsidP="002229D7">
      <w:pPr>
        <w:rPr>
          <w:rFonts w:cs="TimesNewRomanPSMT"/>
          <w:lang w:eastAsia="ko-KR"/>
        </w:rPr>
      </w:pPr>
      <w:r w:rsidRPr="008A0FD9">
        <w:rPr>
          <w:color w:val="000000"/>
        </w:rPr>
        <w:t xml:space="preserve">Fő cél az uniós források gyors és hatékony felhasználása, melyhez a kérelemkezelési és pályázatbenyújtási rendszer felülvizsgálata és újratervezése, a kapcsolódó jogszabályi háttér </w:t>
      </w:r>
      <w:r w:rsidRPr="00272DFB">
        <w:rPr>
          <w:rFonts w:cs="TimesNewRomanPSMT"/>
          <w:lang w:eastAsia="ko-KR"/>
        </w:rPr>
        <w:t xml:space="preserve">módosítása </w:t>
      </w:r>
      <w:r w:rsidR="00272DFB" w:rsidRPr="00272DFB">
        <w:rPr>
          <w:rFonts w:cs="TimesNewRomanPSMT"/>
          <w:lang w:eastAsia="ko-KR"/>
        </w:rPr>
        <w:t xml:space="preserve">vált </w:t>
      </w:r>
      <w:r w:rsidRPr="00272DFB">
        <w:rPr>
          <w:rFonts w:cs="TimesNewRomanPSMT"/>
          <w:lang w:eastAsia="ko-KR"/>
        </w:rPr>
        <w:t>szükséges.</w:t>
      </w:r>
    </w:p>
    <w:p w:rsidR="007928C3" w:rsidRPr="00272DFB" w:rsidRDefault="007928C3" w:rsidP="002229D7">
      <w:pPr>
        <w:rPr>
          <w:rFonts w:cs="TimesNewRomanPSMT"/>
          <w:lang w:eastAsia="ko-KR"/>
        </w:rPr>
      </w:pPr>
      <w:r w:rsidRPr="00272DFB">
        <w:rPr>
          <w:rFonts w:cs="TimesNewRomanPSMT"/>
          <w:lang w:eastAsia="ko-KR"/>
        </w:rPr>
        <w:t>Mindezeket figyelembe véve, továbbá felmérve az elmúlt időszak gyakorlati tapasztalatait, valamint a bekövetkezett jogszabályi változásokat szükséges</w:t>
      </w:r>
      <w:r w:rsidR="00272DFB" w:rsidRPr="00272DFB">
        <w:rPr>
          <w:rFonts w:cs="TimesNewRomanPSMT"/>
          <w:lang w:eastAsia="ko-KR"/>
        </w:rPr>
        <w:t>sé vált</w:t>
      </w:r>
      <w:r w:rsidRPr="00272DFB">
        <w:rPr>
          <w:rFonts w:cs="TimesNewRomanPSMT"/>
          <w:lang w:eastAsia="ko-KR"/>
        </w:rPr>
        <w:t xml:space="preserve"> a végrehajtási rendelet átfogó módosítása.A módosítással az ügyintézés egyszerűbbé, átláthatóbbá és gyorsabbá, a program megvalósítása pedig hatékonyabbá válhat.</w:t>
      </w:r>
    </w:p>
    <w:p w:rsidR="007928C3" w:rsidRPr="00272DFB" w:rsidRDefault="007928C3" w:rsidP="002229D7">
      <w:pPr>
        <w:rPr>
          <w:rFonts w:cs="TimesNewRomanPSMT"/>
          <w:lang w:eastAsia="ko-KR"/>
        </w:rPr>
      </w:pPr>
      <w:r w:rsidRPr="00272DFB">
        <w:rPr>
          <w:rFonts w:cs="TimesNewRomanPSMT"/>
          <w:lang w:eastAsia="ko-KR"/>
        </w:rPr>
        <w:t>A pontosabb fogalomhasználat és a precízebb szabályozás mind az ügyfél, mind az MVH részére átláthatóbbá teszi a folyamatot. Az ügyfelek adminisztratív terhei csökkennek.</w:t>
      </w:r>
    </w:p>
    <w:p w:rsidR="007928C3" w:rsidRPr="008A0FD9" w:rsidRDefault="00272DFB" w:rsidP="002229D7">
      <w:r>
        <w:rPr>
          <w:rFonts w:cs="TimesNewRomanPSMT"/>
          <w:i/>
          <w:lang w:eastAsia="ko-KR"/>
        </w:rPr>
        <w:t xml:space="preserve">A rendelet </w:t>
      </w:r>
      <w:r w:rsidRPr="00272DFB">
        <w:rPr>
          <w:rFonts w:cs="TimesNewRomanPSMT"/>
          <w:i/>
          <w:lang w:eastAsia="ko-KR"/>
        </w:rPr>
        <w:t>2012. december 22. napján megjelent módosításai az alábbiak:</w:t>
      </w:r>
    </w:p>
    <w:p w:rsidR="00272DFB" w:rsidRPr="005F4D5E" w:rsidRDefault="007928C3" w:rsidP="000842E9">
      <w:pPr>
        <w:numPr>
          <w:ilvl w:val="0"/>
          <w:numId w:val="70"/>
        </w:numPr>
        <w:suppressAutoHyphens w:val="0"/>
        <w:ind w:left="641" w:hanging="357"/>
      </w:pPr>
      <w:r w:rsidRPr="005F4D5E">
        <w:t xml:space="preserve">Az ügyfélnek nem szükséges a jövőben feltüntetnie a számviteli bizonylaton a tétel SZJ (Szolgáltatások Jegyzéke) vagy TESZOR (Termékek és Szolgáltatások Osztályozási Rendszere) vagy VTSZ (vámtarifa) számát vagy KN-kódját (kombinált Nomenklatúra-kódját), valamint az ügyfél-regisztrációs számát. A számviteli bizonylaton az ügyfélnek a támogatási határozat azonosító számát és a „Támogatás elszámolására benyújtásra került” rájegyzést kell feltüntetnie azzal, hogy a Technikai Segítségnyújtás intézkedés keretében benyújtott elszámolás esetére a támogatási határozat azonosító számának feltüntetését előíró kötelezettség nem </w:t>
      </w:r>
      <w:r w:rsidRPr="005F4D5E">
        <w:lastRenderedPageBreak/>
        <w:t>vonatkozik, azonban a projektazonosító szám feltüntetése kötelező. A tétel SZJ (Szolgáltatások Jegyzéke) vagy TESZOR (Termékek és Szolgáltatások Osztályozási Rendszere) vagy VTSZ (vámtari</w:t>
      </w:r>
      <w:r w:rsidR="00A23642" w:rsidRPr="005F4D5E">
        <w:t>fa) számának vagy KN-kódjának (K</w:t>
      </w:r>
      <w:r w:rsidRPr="005F4D5E">
        <w:t>ombinált Nomenklatúra-kódját), valamint az ügyfél-regisztrációs számának számviteli bizonylatból történő törlése azonban nem jelenti teljes elhagyásukat. Ezen adatokat a továbbiakban elegendő a számlaösszesítőn és a tételrészletezőn feltüntetni. A számviteli bizonylatoknak azonban változatlanul tartalmazniuk kell az egyéb jogszabályok által meghatározott kötelező tartalmi elemeket.</w:t>
      </w:r>
    </w:p>
    <w:p w:rsidR="00272DFB" w:rsidRPr="005F4D5E" w:rsidRDefault="007928C3" w:rsidP="000842E9">
      <w:pPr>
        <w:numPr>
          <w:ilvl w:val="0"/>
          <w:numId w:val="70"/>
        </w:numPr>
        <w:suppressAutoHyphens w:val="0"/>
        <w:ind w:left="641" w:hanging="357"/>
      </w:pPr>
      <w:r w:rsidRPr="005F4D5E">
        <w:t>Azon ügyfelek, akik beruházásukat a támogatási kérelemben megjelölt megvalósítási helytől eltérő, más helyen kívánják megvalósítani – a korábbi szabályozástól eltérően – nem szükséges bírósági vagy közigazgatási határozatot benyújtsanak, hanem erre vonatkozó kérelmük benyújtása elegendő legkésőbb az első kifizetési kérelem benyújtására nyitva álló időszak lejártát megelőző hatvanadik napig. Ezen határidőt követően nincs lehetőség a megvalósítási hely módosítására. Felvetődtek a korábbiakban olyan életszerű helyzetek és körülmények, amelyek - bár bírósági és közigazgatási határozattal nem igazolhatóak, de- az ügyfélnek fel nem róható okból ellehetetlenítik a beruházásnak a már megnevezett helyen történő lefolytatását. Olyan közösségi igények merülhetnek fel, amelyek kielégítése végett ésszerű kompromisszummal szolgálhat a beruházás helyének módosítása, mely a jelenlegi szabályozás alapján kizárt. Így olyan beruházások kivitelezése lehetetlenül el, amelyek a jogalkotói szándék szerint támogatást érdemelnek. Ezért került rögzítésre a megvalósítási hely módosításának lehetősége legkésőbb az első kifizetési kérelem benyújtására nyitva álló időszak lejártát megelőző hatvanadik napig.</w:t>
      </w:r>
    </w:p>
    <w:p w:rsidR="007928C3" w:rsidRPr="005F4D5E" w:rsidRDefault="007928C3" w:rsidP="000842E9">
      <w:pPr>
        <w:numPr>
          <w:ilvl w:val="0"/>
          <w:numId w:val="70"/>
        </w:numPr>
        <w:suppressAutoHyphens w:val="0"/>
        <w:ind w:left="641" w:hanging="357"/>
      </w:pPr>
      <w:r w:rsidRPr="005F4D5E">
        <w:t>Az ügyfelek adminisztrációs terheinek csökkentése érdekében a továbbiakban nem szükséges az ügyfeleknek őstermelői igazolvány benyújtása, mivel az a Nemzeti Élelmiszerlánc- biztonsági Hivatal rendszeréből kerül bekérésre, mely adatbázis pontosan és naprakészen nyilvántartja az őstermelői igazo</w:t>
      </w:r>
      <w:r w:rsidR="001C150A" w:rsidRPr="005F4D5E">
        <w:t>lvánnyal rendelkezők adatait.</w:t>
      </w:r>
    </w:p>
    <w:p w:rsidR="007928C3" w:rsidRPr="007928C3" w:rsidRDefault="007928C3" w:rsidP="002229D7">
      <w:r w:rsidRPr="00272DFB">
        <w:rPr>
          <w:rFonts w:cs="TimesNewRomanPSMT"/>
          <w:i/>
          <w:lang w:eastAsia="ko-KR"/>
        </w:rPr>
        <w:t>A kérelemkezelési és pályázatbenyújtási rendszer kapcsán történő módosítások legfontosabb elemei az alábbiak:</w:t>
      </w:r>
    </w:p>
    <w:p w:rsidR="007928C3" w:rsidRPr="005F4D5E" w:rsidRDefault="005B70A7" w:rsidP="005B70A7">
      <w:pPr>
        <w:pStyle w:val="Normllista2"/>
      </w:pPr>
      <w:r>
        <w:t xml:space="preserve">1. </w:t>
      </w:r>
      <w:r w:rsidR="007928C3" w:rsidRPr="005F4D5E">
        <w:t>Elektronikus kifizetési kérelem benyújtás kerül bevezetésre a jogcímek jelentős hányada esetében.</w:t>
      </w:r>
    </w:p>
    <w:p w:rsidR="007928C3" w:rsidRPr="005F4D5E" w:rsidRDefault="005B70A7" w:rsidP="005B70A7">
      <w:pPr>
        <w:pStyle w:val="Normllista2"/>
      </w:pPr>
      <w:r>
        <w:t xml:space="preserve">2. </w:t>
      </w:r>
      <w:r w:rsidR="007928C3" w:rsidRPr="005F4D5E">
        <w:t>Amennyiben a számviteli bizonylatokon valamilyen adminisztrációs hiba merül fel, az ügyfeleknek lehetőségük nyílik hiánypótlás keretén belül az adminisztrációs hibát orvosolni.</w:t>
      </w:r>
    </w:p>
    <w:p w:rsidR="007928C3" w:rsidRPr="005F4D5E" w:rsidRDefault="005B70A7" w:rsidP="005B70A7">
      <w:pPr>
        <w:pStyle w:val="Normllista2"/>
      </w:pPr>
      <w:r>
        <w:t xml:space="preserve">3. </w:t>
      </w:r>
      <w:r w:rsidR="001C150A" w:rsidRPr="005F4D5E">
        <w:t>A</w:t>
      </w:r>
      <w:r w:rsidR="007928C3" w:rsidRPr="005F4D5E">
        <w:t xml:space="preserve"> korábbi szabályozások a támogatási kérelem befogadását megelőzően nem tették lehetővé a felújítással, korszerűsítéssel érintett beruházás megkezdését. Azonban a módosítást követően a felújítással, korszerűsítéssel járó beruházás a támogatási kérelem befogadását megelőzően az előzetes helyszíni szemlét követően megkezdhető saját felelősségre. </w:t>
      </w:r>
    </w:p>
    <w:p w:rsidR="007928C3" w:rsidRPr="005F4D5E" w:rsidRDefault="005B70A7" w:rsidP="005B70A7">
      <w:pPr>
        <w:pStyle w:val="Normllista2"/>
      </w:pPr>
      <w:r>
        <w:t>4 .</w:t>
      </w:r>
      <w:r w:rsidR="007928C3" w:rsidRPr="005F4D5E">
        <w:t>A módosítás célja az ügyfél számára a projekt megkezdésével kapcsolatos bizonytalanság csökkentése. Korábban a fejlesztés csak akkor volt megkezdhető, ha az ügyfél befogadó határozatot kapott. Ez a befogadhatósági kritériumok ellenőrzése és az előzetes helyszíni szemle után bocsátható ki. A megkezdettség tényét a helyszíni szemle vizsgálja, így a fejlesztés megkezdése engedélyezhető az ügyfél saját kockázatára a szemle után, nem szükséges azt az egyéb kritériumok vizsgálatát is igénylő befogadó határozathoz kötni.</w:t>
      </w:r>
    </w:p>
    <w:p w:rsidR="007928C3" w:rsidRPr="005F4D5E" w:rsidRDefault="005B70A7" w:rsidP="005B70A7">
      <w:pPr>
        <w:pStyle w:val="Normllista2"/>
      </w:pPr>
      <w:r>
        <w:t xml:space="preserve">5. </w:t>
      </w:r>
      <w:r w:rsidR="007928C3" w:rsidRPr="005F4D5E">
        <w:t>Az 1</w:t>
      </w:r>
      <w:r w:rsidR="0070527F" w:rsidRPr="005F4D5E">
        <w:t> </w:t>
      </w:r>
      <w:r w:rsidR="007928C3" w:rsidRPr="005F4D5E">
        <w:t>500</w:t>
      </w:r>
      <w:r w:rsidR="0070527F" w:rsidRPr="005F4D5E">
        <w:t> </w:t>
      </w:r>
      <w:r w:rsidR="007928C3" w:rsidRPr="005F4D5E">
        <w:t>000</w:t>
      </w:r>
      <w:r w:rsidR="0070527F" w:rsidRPr="005F4D5E">
        <w:t> </w:t>
      </w:r>
      <w:r w:rsidR="007928C3" w:rsidRPr="005F4D5E">
        <w:t>forint jóváhagyott elszámolható kiadási összeget nem meghaladó nem építési engedély köteles építési beruházás esetén műszaki ellenőr alkalmazását az MVH felé nem kell igazolni. Kizárólag az 1</w:t>
      </w:r>
      <w:r w:rsidR="0070527F" w:rsidRPr="005F4D5E">
        <w:t> </w:t>
      </w:r>
      <w:r w:rsidR="007928C3" w:rsidRPr="005F4D5E">
        <w:t>500</w:t>
      </w:r>
      <w:r w:rsidR="0070527F" w:rsidRPr="005F4D5E">
        <w:t> </w:t>
      </w:r>
      <w:r w:rsidR="007928C3" w:rsidRPr="005F4D5E">
        <w:t>000</w:t>
      </w:r>
      <w:r w:rsidR="0070527F" w:rsidRPr="005F4D5E">
        <w:t> </w:t>
      </w:r>
      <w:r w:rsidR="007928C3" w:rsidRPr="005F4D5E">
        <w:t>forint jóváhagyott elszámolható kiadási összeget meghaladó építési beruházás, illetve ezen értékhatár alatt csak az engedélyköteles beruházások esetén kötelező igazolni építési műszaki ellenőr alkalmazását. A módosítás csökkentette az ügyfelek terheit a kisebb volumenű beruházások esetében, ahol aránytalan terhet jelentene pl. a műszaki ellenőr igénybevétele. A módosítás a hazai jogszabályokkal összhangban került bevezetésre.</w:t>
      </w:r>
    </w:p>
    <w:p w:rsidR="007928C3" w:rsidRPr="005F4D5E" w:rsidRDefault="005B70A7" w:rsidP="005B70A7">
      <w:pPr>
        <w:pStyle w:val="Normllista2"/>
      </w:pPr>
      <w:r>
        <w:t>6 .</w:t>
      </w:r>
      <w:r w:rsidR="007928C3" w:rsidRPr="005F4D5E">
        <w:t xml:space="preserve">Az ügyfelek számára bővül az új munkanemek felvételének lehetősége, oly módon, hogy a hatályos szabályozás alapján műszaki tartalom módosításnak minősülő esetek köre szűkül, ennek megfelelően a rendeletben körülírt esetekben a szigorú műszaki tartalom módosításának szabályai helyett az új esetkörökben elegendő az építőipari kivitelezési tevékenység műszaki </w:t>
      </w:r>
      <w:r w:rsidR="007928C3" w:rsidRPr="005F4D5E">
        <w:lastRenderedPageBreak/>
        <w:t>ellenőrének formanyomtatványon tett nyilatkozatával alátámasztani a kívánt módosítást, és azt a kifizetési kérelem benyújtásakor előterjeszteni.</w:t>
      </w:r>
    </w:p>
    <w:p w:rsidR="007928C3" w:rsidRPr="005B70A7" w:rsidRDefault="007928C3" w:rsidP="005B70A7">
      <w:pPr>
        <w:pStyle w:val="Cmsor6"/>
      </w:pPr>
      <w:r w:rsidRPr="005B70A7">
        <w:t>A mezőgazdasági, agrár-vidékfejlesztési, valamint halászati támogatásokhoz és egyéb intézkedésekhez kapcsolódó eljárás egyes kérdéseiről szóló 2007. évi XVII. törvény módosítása</w:t>
      </w:r>
    </w:p>
    <w:p w:rsidR="007928C3" w:rsidRPr="0070527F" w:rsidRDefault="007928C3" w:rsidP="002229D7">
      <w:pPr>
        <w:rPr>
          <w:rFonts w:cs="TimesNewRomanPSMT"/>
          <w:lang w:eastAsia="ko-KR"/>
        </w:rPr>
      </w:pPr>
      <w:r w:rsidRPr="0070527F">
        <w:rPr>
          <w:rFonts w:cs="TimesNewRomanPSMT"/>
          <w:lang w:eastAsia="ko-KR"/>
        </w:rPr>
        <w:t>Az ügyfélnyilvántartáshoz kapcsolódó eljárás egyszerűsítése volt a módosítás alapvető célja az alábbiak szerint:</w:t>
      </w:r>
    </w:p>
    <w:p w:rsidR="007928C3" w:rsidRPr="0070527F" w:rsidRDefault="007928C3" w:rsidP="005B70A7">
      <w:pPr>
        <w:pStyle w:val="Normllista2"/>
        <w:rPr>
          <w:lang w:eastAsia="ko-KR"/>
        </w:rPr>
      </w:pPr>
      <w:r w:rsidRPr="0070527F">
        <w:rPr>
          <w:lang w:eastAsia="ko-KR"/>
        </w:rPr>
        <w:t>1.</w:t>
      </w:r>
      <w:r w:rsidR="0070527F">
        <w:rPr>
          <w:lang w:eastAsia="ko-KR"/>
        </w:rPr>
        <w:t>A</w:t>
      </w:r>
      <w:r w:rsidRPr="0070527F">
        <w:rPr>
          <w:lang w:eastAsia="ko-KR"/>
        </w:rPr>
        <w:t xml:space="preserve"> módosítással megszűnik a „regisztrációs szám” és „technikai azonosító” fogalom, amely helyett egységesen az ügyfél-azonosító szám kerül bevezetésre, így az ügyfél valamennyi élelmiszerbiztonsághoz, mezőgazdasághoz vagy vidékfejlesztéshez kapcsolódó eljárásban egy állandó azonosító számot használ és az ügyfél besorolását az ügyfél-azonosító számhoz kapcsolódó adattartalom határozza meg </w:t>
      </w:r>
    </w:p>
    <w:p w:rsidR="007928C3" w:rsidRPr="0070527F" w:rsidRDefault="007928C3" w:rsidP="005B70A7">
      <w:pPr>
        <w:pStyle w:val="Normllista2"/>
        <w:rPr>
          <w:lang w:eastAsia="ko-KR"/>
        </w:rPr>
      </w:pPr>
      <w:r w:rsidRPr="0070527F">
        <w:rPr>
          <w:lang w:eastAsia="ko-KR"/>
        </w:rPr>
        <w:t>2.</w:t>
      </w:r>
      <w:r w:rsidR="005B70A7">
        <w:rPr>
          <w:lang w:eastAsia="ko-KR"/>
        </w:rPr>
        <w:t> </w:t>
      </w:r>
      <w:r w:rsidR="0070527F">
        <w:rPr>
          <w:lang w:eastAsia="ko-KR"/>
        </w:rPr>
        <w:t>A</w:t>
      </w:r>
      <w:r w:rsidRPr="0070527F">
        <w:rPr>
          <w:lang w:eastAsia="ko-KR"/>
        </w:rPr>
        <w:t>z ügyfél-nyilvántartási rendszer naprakészségének növelése azzal, hogy az ügyfél-nyilván</w:t>
      </w:r>
      <w:r w:rsidR="005B70A7">
        <w:rPr>
          <w:lang w:eastAsia="ko-KR"/>
        </w:rPr>
        <w:softHyphen/>
      </w:r>
      <w:r w:rsidRPr="0070527F">
        <w:rPr>
          <w:lang w:eastAsia="ko-KR"/>
        </w:rPr>
        <w:t>tartási rendszer közhiteles nyilvántartásból vegyen át adatokat (ezzel a későbbiekben az ügyfelek bejelentési kötelezettségei is csökkenthetők)</w:t>
      </w:r>
      <w:r w:rsidR="0070527F">
        <w:rPr>
          <w:lang w:eastAsia="ko-KR"/>
        </w:rPr>
        <w:t>.</w:t>
      </w:r>
    </w:p>
    <w:p w:rsidR="007928C3" w:rsidRPr="0070527F" w:rsidRDefault="0070527F" w:rsidP="005B70A7">
      <w:pPr>
        <w:pStyle w:val="Normllista2"/>
        <w:rPr>
          <w:lang w:eastAsia="ko-KR"/>
        </w:rPr>
      </w:pPr>
      <w:r>
        <w:rPr>
          <w:lang w:eastAsia="ko-KR"/>
        </w:rPr>
        <w:t>3. A</w:t>
      </w:r>
      <w:r w:rsidR="007928C3" w:rsidRPr="0070527F">
        <w:rPr>
          <w:lang w:eastAsia="ko-KR"/>
        </w:rPr>
        <w:t>z ügyfél-nyilvántartási rendszer vezetéséhez kapcsolódó költségek csökkentése azzal, hogy abban az esetben, ha az ügyfél-nyilvántartási rendszer adatait a közhiteles nyilvántartásból átvett adatokkal felülírják, arról az ügyfelet nem kell értesíteni (így a törvény összhangba kerül más hazai jogszabályokkal is).</w:t>
      </w:r>
    </w:p>
    <w:p w:rsidR="00B14465" w:rsidRPr="0070527F" w:rsidRDefault="007928C3" w:rsidP="005B70A7">
      <w:pPr>
        <w:pStyle w:val="Normllista2"/>
        <w:rPr>
          <w:lang w:eastAsia="ko-KR"/>
        </w:rPr>
      </w:pPr>
      <w:r w:rsidRPr="0070527F">
        <w:rPr>
          <w:lang w:eastAsia="ko-KR"/>
        </w:rPr>
        <w:t>4. A beruházási intézkedések esetén a kifizetési kérelem benyújtását köve</w:t>
      </w:r>
      <w:r w:rsidR="0070527F">
        <w:rPr>
          <w:lang w:eastAsia="ko-KR"/>
        </w:rPr>
        <w:t xml:space="preserve">tően az MVH </w:t>
      </w:r>
      <w:r w:rsidRPr="0070527F">
        <w:rPr>
          <w:lang w:eastAsia="ko-KR"/>
        </w:rPr>
        <w:t xml:space="preserve">a kifizetési kérelemben foglalt adatokat, az igazoló dokumentumokat, a támogatási határozatban foglalt adatokat, valamint a megvalósult beruházást összeveti egymással. Amennyiben a támogatási határozatban, a kifizetési kérelemben továbbá az igazoló dokumentumokban foglalt adatok, illetve a helyszíni ellenőrzésen tapasztaltak eltérnek egymástól, de a támogatási cél megvalósult, a támogatási összeg nem nő és a támogatási egység műszaki tartalma negatív irányba nem változik (helyesbíthető eltérés) az MVH adategyeztetés keretében határidő tűzésével – a módosítható adatok, valamint a nem megfelelő igazoló dokumentumok pontos megjelölésével – felhívja az ügyfelet a kifizetési kérelemben szereplő adatok megfelelő módosítására, illetve megfelelő igazoló dokumentumok benyújtására. A módosítás csak helyesbíthető eltérésre terjedhet ki. </w:t>
      </w:r>
    </w:p>
    <w:p w:rsidR="006B0456" w:rsidRPr="00527629" w:rsidRDefault="006B0456" w:rsidP="00527629">
      <w:pPr>
        <w:pStyle w:val="Cmsor2"/>
      </w:pPr>
      <w:bookmarkStart w:id="65" w:name="_Toc200709003"/>
      <w:bookmarkStart w:id="66" w:name="_Toc200710365"/>
      <w:bookmarkStart w:id="67" w:name="_Toc200709005"/>
      <w:bookmarkStart w:id="68" w:name="_Toc200710367"/>
      <w:bookmarkStart w:id="69" w:name="_Toc200709006"/>
      <w:bookmarkStart w:id="70" w:name="_Toc200710368"/>
      <w:bookmarkStart w:id="71" w:name="_Toc232860147"/>
      <w:bookmarkStart w:id="72" w:name="_Toc360176787"/>
      <w:bookmarkEnd w:id="65"/>
      <w:bookmarkEnd w:id="66"/>
      <w:bookmarkEnd w:id="67"/>
      <w:bookmarkEnd w:id="68"/>
      <w:bookmarkEnd w:id="69"/>
      <w:bookmarkEnd w:id="70"/>
      <w:r w:rsidRPr="00527629">
        <w:t>Az EMVA és a többi pénzügyi eszköz közötti összhang</w:t>
      </w:r>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212"/>
      </w:tblGrid>
      <w:tr w:rsidR="006B0456" w:rsidRPr="00AF36DA">
        <w:tc>
          <w:tcPr>
            <w:tcW w:w="9212" w:type="dxa"/>
            <w:shd w:val="clear" w:color="auto" w:fill="C0C0C0"/>
          </w:tcPr>
          <w:p w:rsidR="006B0456" w:rsidRPr="00AF36DA" w:rsidRDefault="006B0456" w:rsidP="00626F2F">
            <w:pPr>
              <w:keepNext/>
              <w:keepLines/>
              <w:ind w:firstLine="0"/>
              <w:jc w:val="center"/>
              <w:rPr>
                <w:b/>
                <w:szCs w:val="22"/>
              </w:rPr>
            </w:pPr>
            <w:r w:rsidRPr="00AF36DA">
              <w:rPr>
                <w:b/>
                <w:szCs w:val="22"/>
              </w:rPr>
              <w:t>Nyilatkozat 1.</w:t>
            </w:r>
          </w:p>
          <w:p w:rsidR="006B0456" w:rsidRPr="0070527F" w:rsidRDefault="004E405C" w:rsidP="002229D7">
            <w:pPr>
              <w:rPr>
                <w:rFonts w:cs="TimesNewRomanPSMT"/>
                <w:lang w:eastAsia="ko-KR"/>
              </w:rPr>
            </w:pPr>
            <w:r w:rsidRPr="0070527F">
              <w:rPr>
                <w:rFonts w:cs="TimesNewRomanPSMT"/>
                <w:lang w:eastAsia="ko-KR"/>
              </w:rPr>
              <w:t>A</w:t>
            </w:r>
            <w:r w:rsidR="00A917B2" w:rsidRPr="0070527F">
              <w:rPr>
                <w:rFonts w:cs="TimesNewRomanPSMT"/>
                <w:lang w:eastAsia="ko-KR"/>
              </w:rPr>
              <w:t xml:space="preserve"> 2007-2013-as EMVA társfinanszírozásból megvalósuló vidékfejlesztési program </w:t>
            </w:r>
            <w:r w:rsidR="006B0456" w:rsidRPr="0070527F">
              <w:rPr>
                <w:rFonts w:cs="TimesNewRomanPSMT"/>
                <w:lang w:eastAsia="ko-KR"/>
              </w:rPr>
              <w:t xml:space="preserve">Irányító Hatósága kijelenti, hogy az </w:t>
            </w:r>
            <w:r w:rsidR="005745A7" w:rsidRPr="0070527F">
              <w:rPr>
                <w:rFonts w:cs="TimesNewRomanPSMT"/>
                <w:lang w:eastAsia="ko-KR"/>
              </w:rPr>
              <w:t>E</w:t>
            </w:r>
            <w:r w:rsidR="0067607D" w:rsidRPr="0070527F">
              <w:rPr>
                <w:rFonts w:cs="TimesNewRomanPSMT"/>
                <w:lang w:eastAsia="ko-KR"/>
              </w:rPr>
              <w:t>uró</w:t>
            </w:r>
            <w:r w:rsidR="006B0456" w:rsidRPr="0070527F">
              <w:rPr>
                <w:rFonts w:cs="TimesNewRomanPSMT"/>
                <w:lang w:eastAsia="ko-KR"/>
              </w:rPr>
              <w:t>pai Mezőgazdasági Vidékfejlesztési Alapból (EMVA) nyújtandó vidékfejlesztési támogatásról szóló 1698/2005/EK tanácsi rendelet (10) bekezdése, valamint a 82. cikk (2) bekezdésének f) pontja értelmében minden intézkedést megtett annak érdekében, hogy a Program megfeleljen a közösségi és nemzeti prioritásoknak, és kiegészíti az egyéb közösségi politikákat, különösen a mezőgazdasági piacpolitikát, a kohéziós politikát és a közös halászati politikát.</w:t>
            </w:r>
          </w:p>
          <w:p w:rsidR="006B0456" w:rsidRPr="00AF36DA" w:rsidRDefault="00A917B2" w:rsidP="002229D7">
            <w:pPr>
              <w:rPr>
                <w:szCs w:val="22"/>
              </w:rPr>
            </w:pPr>
            <w:r w:rsidRPr="0070527F">
              <w:rPr>
                <w:rFonts w:cs="TimesNewRomanPSMT"/>
                <w:lang w:eastAsia="ko-KR"/>
              </w:rPr>
              <w:t xml:space="preserve">A Program </w:t>
            </w:r>
            <w:r w:rsidR="006B0456" w:rsidRPr="0070527F">
              <w:rPr>
                <w:rFonts w:cs="TimesNewRomanPSMT"/>
                <w:lang w:eastAsia="ko-KR"/>
              </w:rPr>
              <w:t>Irányító Hatóság minden intézkedést megtett a közösségi politikákkal való összhang megteremtése és biztosítása érdekében.</w:t>
            </w:r>
          </w:p>
        </w:tc>
      </w:tr>
    </w:tbl>
    <w:p w:rsidR="0070527F" w:rsidRPr="005F4D5E" w:rsidRDefault="0070527F" w:rsidP="0070527F">
      <w:pPr>
        <w:suppressAutoHyphens w:val="0"/>
        <w:spacing w:line="276" w:lineRule="auto"/>
      </w:pPr>
    </w:p>
    <w:p w:rsidR="00C07F4B" w:rsidRPr="0070527F" w:rsidRDefault="00C07F4B" w:rsidP="002229D7">
      <w:pPr>
        <w:rPr>
          <w:rFonts w:cs="TimesNewRomanPSMT"/>
          <w:lang w:eastAsia="ko-KR"/>
        </w:rPr>
      </w:pPr>
      <w:r w:rsidRPr="0070527F">
        <w:rPr>
          <w:rFonts w:cs="TimesNewRomanPSMT"/>
          <w:lang w:eastAsia="ko-KR"/>
        </w:rPr>
        <w:t xml:space="preserve">Az Új </w:t>
      </w:r>
      <w:r w:rsidR="00D66EE4" w:rsidRPr="0070527F">
        <w:rPr>
          <w:rFonts w:cs="TimesNewRomanPSMT"/>
          <w:lang w:eastAsia="ko-KR"/>
        </w:rPr>
        <w:t xml:space="preserve">Széchenyi Terv </w:t>
      </w:r>
      <w:r w:rsidRPr="0070527F">
        <w:rPr>
          <w:rFonts w:cs="TimesNewRomanPSMT"/>
          <w:lang w:eastAsia="ko-KR"/>
        </w:rPr>
        <w:t>végrehajtásának összehangolásáért, valamint az operatív programok tervezésének, programozásának és megvalósításának koordinációjáért a Nemzeti Fejlesztési Ügynökség (NFÜ) felel. A</w:t>
      </w:r>
      <w:r w:rsidR="00A917B2" w:rsidRPr="0070527F">
        <w:rPr>
          <w:rFonts w:cs="TimesNewRomanPSMT"/>
          <w:lang w:eastAsia="ko-KR"/>
        </w:rPr>
        <w:t xml:space="preserve"> Program </w:t>
      </w:r>
      <w:r w:rsidR="0070527F">
        <w:rPr>
          <w:rFonts w:cs="TimesNewRomanPSMT"/>
          <w:lang w:eastAsia="ko-KR"/>
        </w:rPr>
        <w:t>I</w:t>
      </w:r>
      <w:r w:rsidRPr="0070527F">
        <w:rPr>
          <w:rFonts w:cs="TimesNewRomanPSMT"/>
          <w:lang w:eastAsia="ko-KR"/>
        </w:rPr>
        <w:t xml:space="preserve">rányító </w:t>
      </w:r>
      <w:r w:rsidR="0070527F">
        <w:rPr>
          <w:rFonts w:cs="TimesNewRomanPSMT"/>
          <w:lang w:eastAsia="ko-KR"/>
        </w:rPr>
        <w:t>H</w:t>
      </w:r>
      <w:r w:rsidRPr="0070527F">
        <w:rPr>
          <w:rFonts w:cs="TimesNewRomanPSMT"/>
          <w:lang w:eastAsia="ko-KR"/>
        </w:rPr>
        <w:t xml:space="preserve">atósága és az NFÜ felel az operatív programok közötti valamint az operatív programok, az </w:t>
      </w:r>
      <w:r w:rsidR="005745A7" w:rsidRPr="0070527F">
        <w:rPr>
          <w:rFonts w:cs="TimesNewRomanPSMT"/>
          <w:lang w:eastAsia="ko-KR"/>
        </w:rPr>
        <w:t xml:space="preserve">Európai </w:t>
      </w:r>
      <w:r w:rsidRPr="0070527F">
        <w:rPr>
          <w:rFonts w:cs="TimesNewRomanPSMT"/>
          <w:lang w:eastAsia="ko-KR"/>
        </w:rPr>
        <w:t xml:space="preserve">Mezőgazdasági és Vidékfejlesztési Alap (EMVA) és az </w:t>
      </w:r>
      <w:r w:rsidR="005745A7" w:rsidRPr="0070527F">
        <w:rPr>
          <w:rFonts w:cs="TimesNewRomanPSMT"/>
          <w:lang w:eastAsia="ko-KR"/>
        </w:rPr>
        <w:t xml:space="preserve">Európai </w:t>
      </w:r>
      <w:r w:rsidRPr="0070527F">
        <w:rPr>
          <w:rFonts w:cs="TimesNewRomanPSMT"/>
          <w:lang w:eastAsia="ko-KR"/>
        </w:rPr>
        <w:t xml:space="preserve">Halászati Alap (EHA) közötti támogatások koordinációjáért. </w:t>
      </w:r>
    </w:p>
    <w:p w:rsidR="00C07F4B" w:rsidRPr="0070527F" w:rsidRDefault="0070527F" w:rsidP="002229D7">
      <w:pPr>
        <w:rPr>
          <w:rFonts w:cs="TimesNewRomanPSMT"/>
          <w:lang w:eastAsia="ko-KR"/>
        </w:rPr>
      </w:pPr>
      <w:r>
        <w:rPr>
          <w:rFonts w:cs="TimesNewRomanPSMT"/>
          <w:lang w:eastAsia="ko-KR"/>
        </w:rPr>
        <w:lastRenderedPageBreak/>
        <w:t>Az Irányító H</w:t>
      </w:r>
      <w:r w:rsidR="00C07F4B" w:rsidRPr="0070527F">
        <w:rPr>
          <w:rFonts w:cs="TimesNewRomanPSMT"/>
          <w:lang w:eastAsia="ko-KR"/>
        </w:rPr>
        <w:t xml:space="preserve">atóság és az NFÜ nemzeti jogszabályban meghatározott mechanizmusoknak megfelelően biztosítja a fent említett források felhasználásának összhangját, melynek során maximális mértékig figyelembe veszi az állami támogatásokra vonatkozó szabályozást. </w:t>
      </w:r>
    </w:p>
    <w:p w:rsidR="00C07F4B" w:rsidRPr="0070527F" w:rsidRDefault="00C07F4B" w:rsidP="002229D7">
      <w:pPr>
        <w:rPr>
          <w:rFonts w:cs="TimesNewRomanPSMT"/>
          <w:lang w:eastAsia="ko-KR"/>
        </w:rPr>
      </w:pPr>
      <w:r w:rsidRPr="0070527F">
        <w:rPr>
          <w:rFonts w:cs="TimesNewRomanPSMT"/>
          <w:lang w:eastAsia="ko-KR"/>
        </w:rPr>
        <w:t>A koordináció egyaránt vonatkozik a beavatkozási területek és a pályázati kiírások</w:t>
      </w:r>
      <w:r w:rsidR="001B74DD" w:rsidRPr="0070527F">
        <w:rPr>
          <w:rFonts w:cs="TimesNewRomanPSMT"/>
          <w:lang w:eastAsia="ko-KR"/>
        </w:rPr>
        <w:t>, illetve jogcímrendeletek</w:t>
      </w:r>
      <w:r w:rsidRPr="0070527F">
        <w:rPr>
          <w:rFonts w:cs="TimesNewRomanPSMT"/>
          <w:lang w:eastAsia="ko-KR"/>
        </w:rPr>
        <w:t xml:space="preserve"> tekintetében a kölcsönös tájékoztatásra és információcserére, a monitoring bizottságokban és munkacsoportokban való kölcsönös részvételre, valamint a végrehajtás eszközeiben az összhang és átjárhatóság megteremtésére.</w:t>
      </w:r>
    </w:p>
    <w:p w:rsidR="00C07F4B" w:rsidRPr="0070527F" w:rsidRDefault="00C07F4B" w:rsidP="002229D7">
      <w:pPr>
        <w:rPr>
          <w:rFonts w:cs="TimesNewRomanPSMT"/>
          <w:lang w:eastAsia="ko-KR"/>
        </w:rPr>
      </w:pPr>
      <w:r w:rsidRPr="0070527F">
        <w:rPr>
          <w:rFonts w:cs="TimesNewRomanPSMT"/>
          <w:lang w:eastAsia="ko-KR"/>
        </w:rPr>
        <w:t>A koordináció fórumai és mechanizmusai:</w:t>
      </w:r>
    </w:p>
    <w:p w:rsidR="008F010F" w:rsidRPr="00027E6F" w:rsidRDefault="00C07F4B" w:rsidP="002229D7">
      <w:pPr>
        <w:pStyle w:val="frbekezds"/>
        <w:rPr>
          <w:szCs w:val="22"/>
          <w:lang w:bidi="sa-IN"/>
        </w:rPr>
      </w:pPr>
      <w:r w:rsidRPr="00027E6F">
        <w:rPr>
          <w:szCs w:val="22"/>
          <w:lang w:bidi="sa-IN"/>
        </w:rPr>
        <w:t xml:space="preserve">A koordináció legfőbb szerve a </w:t>
      </w:r>
      <w:r w:rsidR="0070527F">
        <w:rPr>
          <w:szCs w:val="22"/>
          <w:lang w:bidi="sa-IN"/>
        </w:rPr>
        <w:t>K</w:t>
      </w:r>
      <w:r w:rsidRPr="00027E6F">
        <w:rPr>
          <w:szCs w:val="22"/>
          <w:lang w:bidi="sa-IN"/>
        </w:rPr>
        <w:t>ormány, fő felelőse</w:t>
      </w:r>
      <w:r w:rsidR="004853B9" w:rsidRPr="00027E6F">
        <w:rPr>
          <w:szCs w:val="22"/>
          <w:lang w:bidi="sa-IN"/>
        </w:rPr>
        <w:t>i</w:t>
      </w:r>
      <w:r w:rsidRPr="00027E6F">
        <w:rPr>
          <w:szCs w:val="22"/>
          <w:lang w:bidi="sa-IN"/>
        </w:rPr>
        <w:t xml:space="preserve"> a </w:t>
      </w:r>
      <w:r w:rsidR="004853B9" w:rsidRPr="00027E6F">
        <w:rPr>
          <w:szCs w:val="22"/>
          <w:lang w:bidi="sa-IN"/>
        </w:rPr>
        <w:t xml:space="preserve">vidékfejlesztési miniszter és a </w:t>
      </w:r>
      <w:r w:rsidR="00024C81" w:rsidRPr="00027E6F">
        <w:rPr>
          <w:szCs w:val="22"/>
          <w:lang w:bidi="sa-IN"/>
        </w:rPr>
        <w:t>nemzeti fejlesztési miniszter</w:t>
      </w:r>
      <w:r w:rsidRPr="00027E6F">
        <w:rPr>
          <w:szCs w:val="22"/>
          <w:lang w:bidi="sa-IN"/>
        </w:rPr>
        <w:t>.</w:t>
      </w:r>
      <w:r w:rsidR="00770A7B" w:rsidRPr="00027E6F">
        <w:rPr>
          <w:szCs w:val="22"/>
          <w:lang w:bidi="sa-IN"/>
        </w:rPr>
        <w:t xml:space="preserve"> </w:t>
      </w:r>
      <w:r w:rsidRPr="00027E6F">
        <w:rPr>
          <w:szCs w:val="22"/>
          <w:lang w:bidi="sa-IN"/>
        </w:rPr>
        <w:t>A koordináció további fórumát jelentik a monitoring bizottságok</w:t>
      </w:r>
      <w:r w:rsidR="008F010F" w:rsidRPr="00027E6F">
        <w:rPr>
          <w:szCs w:val="22"/>
          <w:lang w:bidi="sa-IN"/>
        </w:rPr>
        <w:t>.</w:t>
      </w:r>
    </w:p>
    <w:p w:rsidR="00C07F4B" w:rsidRPr="00027E6F" w:rsidRDefault="00C07F4B" w:rsidP="002229D7">
      <w:pPr>
        <w:pStyle w:val="frbekezds"/>
        <w:rPr>
          <w:szCs w:val="22"/>
          <w:lang w:bidi="sa-IN"/>
        </w:rPr>
      </w:pPr>
      <w:r w:rsidRPr="00027E6F">
        <w:rPr>
          <w:szCs w:val="22"/>
          <w:lang w:bidi="sa-IN"/>
        </w:rPr>
        <w:t xml:space="preserve">Az Új </w:t>
      </w:r>
      <w:r w:rsidR="00D66EE4" w:rsidRPr="00027E6F">
        <w:rPr>
          <w:szCs w:val="22"/>
          <w:lang w:bidi="sa-IN"/>
        </w:rPr>
        <w:t xml:space="preserve">Széchenyi Terv </w:t>
      </w:r>
      <w:r w:rsidRPr="00027E6F">
        <w:rPr>
          <w:szCs w:val="22"/>
          <w:lang w:bidi="sa-IN"/>
        </w:rPr>
        <w:t>operatív programjainak vidékfejlesztési támogatási eszközökkel való tartalmi koordinációját az operatív programok tervezési-végrehajtási részleteit tartalmazó akciótervek biztosítják. Az akcióterveket – a kormány keretjellegű döntése alapján – az NFÜ véglegesíti és vizsgálja felül minden év szeptemberében.</w:t>
      </w:r>
    </w:p>
    <w:p w:rsidR="00AB4959" w:rsidRPr="00896E03" w:rsidRDefault="00C07F4B" w:rsidP="00DB48A3">
      <w:pPr>
        <w:pStyle w:val="Cmsor3"/>
      </w:pPr>
      <w:bookmarkStart w:id="73" w:name="_Toc232860148"/>
      <w:bookmarkStart w:id="74" w:name="_Toc360176788"/>
      <w:r w:rsidRPr="00896E03">
        <w:t>Kapcsolódás a Halászati Operatív Programhoz</w:t>
      </w:r>
      <w:bookmarkEnd w:id="73"/>
      <w:bookmarkEnd w:id="74"/>
    </w:p>
    <w:p w:rsidR="004E206F" w:rsidRPr="002229D7" w:rsidRDefault="004E206F" w:rsidP="002229D7">
      <w:r w:rsidRPr="002229D7">
        <w:t>A 2007-2013-as tervezési időszakra a 2008. szeptember 9-én az Európai Bizottság által elfogadott Halászati Operatív Program (HOP) keretében a magyar mezőgazdaság egyik speciális szegmense, a halászati ágazat számára komoly fejlesztési lehetőségek nyíltak meg. A HOP szerint 2007-2013 között 47</w:t>
      </w:r>
      <w:r w:rsidR="0070527F" w:rsidRPr="002229D7">
        <w:t> </w:t>
      </w:r>
      <w:r w:rsidRPr="002229D7">
        <w:t>millió</w:t>
      </w:r>
      <w:r w:rsidR="0070527F" w:rsidRPr="002229D7">
        <w:t> e</w:t>
      </w:r>
      <w:r w:rsidRPr="002229D7">
        <w:t>uró áll rendelkezésre konvergencia és nem konvergencia régiókban a halászati fejlesztésekre.</w:t>
      </w:r>
    </w:p>
    <w:p w:rsidR="004E206F" w:rsidRPr="002229D7" w:rsidRDefault="004E206F" w:rsidP="002229D7">
      <w:r w:rsidRPr="002229D7">
        <w:t xml:space="preserve">A források mintegy 80%-a az akvakultúra, a természetes vízi halászat, a halászati és akvakultúra termékek feldolgozásának és forgalmazásának fejlesztésére, valamint vízi környezetvédelemre kialakított </w:t>
      </w:r>
      <w:r w:rsidR="0070527F" w:rsidRPr="002229D7">
        <w:t>II</w:t>
      </w:r>
      <w:r w:rsidRPr="002229D7">
        <w:t xml:space="preserve">. prioritási tengely szerint a tógazdaságok, intenzív rendszerek, halfeldolgozók építésére, felújítására és infrastruktúrájuk fejlesztésére állnak rendelkezésre. A források 15%-a a </w:t>
      </w:r>
      <w:r w:rsidR="0070527F" w:rsidRPr="002229D7">
        <w:t>III</w:t>
      </w:r>
      <w:r w:rsidRPr="002229D7">
        <w:t>. prioritási tengely, a közös érdekeket célzó intézkedések (a Közös Halászati Politika és azon belül a Nemzeti Halászati Politika) támogatására használható fel. A Technikai Segítségnyújtási keret (</w:t>
      </w:r>
      <w:r w:rsidR="0070527F" w:rsidRPr="002229D7">
        <w:t>V</w:t>
      </w:r>
      <w:r w:rsidRPr="002229D7">
        <w:t>. prioritási tengely) 5%, mely a program megvalósítását segíti.</w:t>
      </w:r>
    </w:p>
    <w:p w:rsidR="004E206F" w:rsidRPr="002229D7" w:rsidRDefault="004E206F" w:rsidP="002229D7">
      <w:r w:rsidRPr="002229D7">
        <w:t>A két program közötti lehatárolás már a 2007. év folyamán megtörtént. A Program és a HOP közötti kapcsolódás a HOP részéről a Program II., illetve III. tengelyének vonatkozásában jelentkezik, mivel a célrendszere kiterjed egyrészt a környezetvédelmi kérdésekre a környezetvédelmi normák maradéktalan betartása terén, másrészt a vidéki jövedelemszerzési lehetőségek erősítésével hozzájárul a vidéki jövedelmek stabilizálásához, illetve a hagyományos halászati módok fenntartásával a vidék tárgyi és szellemi örökségének védelméhez. A két program</w:t>
      </w:r>
      <w:r w:rsidR="00A52991" w:rsidRPr="002229D7">
        <w:t>,</w:t>
      </w:r>
      <w:r w:rsidRPr="002229D7">
        <w:t xml:space="preserve"> hasonló intézkedései erősítik egymás hatását: a HOP intézkedései ezáltal hozzájárulnak a vidékfejlesztés célkitűzéseihez.</w:t>
      </w:r>
    </w:p>
    <w:p w:rsidR="004E206F" w:rsidRPr="002229D7" w:rsidRDefault="004E206F" w:rsidP="002229D7">
      <w:r w:rsidRPr="002229D7">
        <w:t xml:space="preserve">A Natura 2000 irányelvek betartásából eredő többletkötelezettségek tekintetében az 1698/2005/EK számú rendelet 38. cikke csak a hasznosított mezőgazdasági területen (HMT) ad lehetőséget a vonatkozó előírásokon túlmutató kötelezettségek betartásából fakadó felmerült költségek és kiesett jövedelem kompenzációjára. Ugyanakkor a halastavak vonatkozásában külön a </w:t>
      </w:r>
      <w:r w:rsidR="003A56F0" w:rsidRPr="002229D7">
        <w:t>N</w:t>
      </w:r>
      <w:r w:rsidR="003A56F0">
        <w:t>atura</w:t>
      </w:r>
      <w:r w:rsidR="003A56F0" w:rsidRPr="002229D7">
        <w:t xml:space="preserve"> </w:t>
      </w:r>
      <w:r w:rsidRPr="002229D7">
        <w:t>2000 általános elvein túlmenő előírások nincsenek. Ezért a halastavak és vizes területek Natura 2000 kompenzációjára sem a Vidékfejlesztési Program keretéből, sem a HOP keretéből nincs mód - a vízi-környezetvédelemmel kapcsolatos kompenzációt más intézkedések keretében kell megoldani.</w:t>
      </w:r>
    </w:p>
    <w:p w:rsidR="004E206F" w:rsidRPr="002229D7" w:rsidRDefault="004E206F" w:rsidP="002229D7">
      <w:r w:rsidRPr="002229D7">
        <w:t>A magyarországi halászati támogatások egyes körét az Európai Halászati Alap társfinanszíro</w:t>
      </w:r>
      <w:r w:rsidR="002229D7">
        <w:softHyphen/>
      </w:r>
      <w:r w:rsidRPr="002229D7">
        <w:t xml:space="preserve">zásában megvalósuló Halászati Operatív Program </w:t>
      </w:r>
      <w:r w:rsidR="00855A58" w:rsidRPr="002229D7">
        <w:t>II</w:t>
      </w:r>
      <w:r w:rsidRPr="002229D7">
        <w:t>. prioritási tengelye szerinti beruházási támogatások feltételeiről szóló 50/2011. (VI.6.) VM rendelet szabályozza.</w:t>
      </w:r>
    </w:p>
    <w:p w:rsidR="00C07F4B" w:rsidRPr="00896E03" w:rsidRDefault="00C07F4B" w:rsidP="00DB48A3">
      <w:pPr>
        <w:pStyle w:val="Cmsor3"/>
      </w:pPr>
      <w:bookmarkStart w:id="75" w:name="_Toc232860149"/>
      <w:bookmarkStart w:id="76" w:name="_Toc360176789"/>
      <w:r w:rsidRPr="00896E03">
        <w:lastRenderedPageBreak/>
        <w:t>Kapcsolódás a hazai Operatív Programokhoz</w:t>
      </w:r>
      <w:bookmarkEnd w:id="75"/>
      <w:bookmarkEnd w:id="76"/>
    </w:p>
    <w:p w:rsidR="00F13EC2" w:rsidRPr="002229D7" w:rsidRDefault="00753747" w:rsidP="002229D7">
      <w:r w:rsidRPr="002229D7">
        <w:t>A</w:t>
      </w:r>
      <w:r w:rsidR="00A917B2" w:rsidRPr="002229D7">
        <w:t xml:space="preserve"> </w:t>
      </w:r>
      <w:r w:rsidRPr="002229D7">
        <w:t>Program szervesen illeszkedik a többi pénzügyi eszközből finansz</w:t>
      </w:r>
      <w:r w:rsidR="00855810" w:rsidRPr="002229D7">
        <w:t>írozott hazai operatív program</w:t>
      </w:r>
      <w:r w:rsidRPr="002229D7">
        <w:t>hoz</w:t>
      </w:r>
      <w:r w:rsidR="00A917B2" w:rsidRPr="002229D7">
        <w:t xml:space="preserve">, a </w:t>
      </w:r>
      <w:r w:rsidRPr="002229D7">
        <w:t>kapcsolódás</w:t>
      </w:r>
      <w:r w:rsidR="00A917B2" w:rsidRPr="002229D7">
        <w:t xml:space="preserve">ok és a </w:t>
      </w:r>
      <w:r w:rsidRPr="002229D7">
        <w:t>fejlesztések lehatárolásának fontosabb jellemzőit a</w:t>
      </w:r>
      <w:r w:rsidR="00855810" w:rsidRPr="002229D7">
        <w:t xml:space="preserve"> P</w:t>
      </w:r>
      <w:r w:rsidR="00323480" w:rsidRPr="002229D7">
        <w:t>rogram részletesen bemutatja.</w:t>
      </w:r>
    </w:p>
    <w:p w:rsidR="00531175" w:rsidRPr="002229D7" w:rsidRDefault="00F13EC2" w:rsidP="002229D7">
      <w:r w:rsidRPr="002229D7">
        <w:t>A</w:t>
      </w:r>
      <w:r w:rsidR="00A917B2" w:rsidRPr="002229D7">
        <w:t xml:space="preserve"> Program s</w:t>
      </w:r>
      <w:r w:rsidRPr="002229D7">
        <w:t>zervesen kapcsolódik az I. és III. tengelyen keresztül a Gazdasági Versenyképesség Operatív Programhoz (GOP)</w:t>
      </w:r>
      <w:r w:rsidR="00FB4B2B" w:rsidRPr="002229D7">
        <w:t xml:space="preserve">, </w:t>
      </w:r>
      <w:r w:rsidR="007024C4" w:rsidRPr="002229D7">
        <w:t>a Szakképzési és tájékoztatási tevékenység támogatása esetében a Társadalmi Megújulás Operatív Programhoz, és a ROP-okhoz, a mezőgazdasági üzemek fejlesztése, és a mezőgazdasági termékek értéknövelése tekintetében a Környezetvédelmi és Energia Operatív Programhoz (KEOP)</w:t>
      </w:r>
      <w:r w:rsidR="00FB4B2B" w:rsidRPr="002229D7">
        <w:t>,</w:t>
      </w:r>
      <w:r w:rsidRPr="002229D7">
        <w:t xml:space="preserve"> illetve a III. tengely és a IV. tengely intézkedései sok szálon kötődnek a Regionális Operatív Programokhoz (ROP). </w:t>
      </w:r>
      <w:r w:rsidR="00531175" w:rsidRPr="002229D7">
        <w:t>A II. tengely esetében elsősorban a Környezetvédelmi és Energetikai Operatív Program (KEOP) jelent szoros kapcsolódási pontot.</w:t>
      </w:r>
    </w:p>
    <w:p w:rsidR="00531175" w:rsidRPr="002229D7" w:rsidRDefault="00531175" w:rsidP="002229D7">
      <w:r w:rsidRPr="002229D7">
        <w:t>2008-ban már elindultak olyan intézkedések, amelyek miatt a programban részletezett, a fenti OP</w:t>
      </w:r>
      <w:r w:rsidR="00AF36DA" w:rsidRPr="002229D7">
        <w:t>-</w:t>
      </w:r>
      <w:r w:rsidRPr="002229D7">
        <w:t>któl való lehatárolást Magyarországnak alkalmaznia kellett, ami minden esetben a</w:t>
      </w:r>
      <w:r w:rsidR="00A917B2" w:rsidRPr="002229D7">
        <w:t xml:space="preserve"> Programban </w:t>
      </w:r>
      <w:r w:rsidRPr="002229D7">
        <w:t>meghatározott módon történt.</w:t>
      </w:r>
    </w:p>
    <w:p w:rsidR="003A515F" w:rsidRPr="002229D7" w:rsidRDefault="004D7EE0" w:rsidP="002229D7">
      <w:r w:rsidRPr="002229D7">
        <w:t xml:space="preserve">2012-ben a </w:t>
      </w:r>
      <w:r w:rsidR="003A515F" w:rsidRPr="002229D7">
        <w:t>9</w:t>
      </w:r>
      <w:r w:rsidR="00855810" w:rsidRPr="002229D7">
        <w:t>. verzió</w:t>
      </w:r>
      <w:r w:rsidR="003A515F" w:rsidRPr="002229D7">
        <w:t>számú progr</w:t>
      </w:r>
      <w:r w:rsidRPr="002229D7">
        <w:t>a</w:t>
      </w:r>
      <w:r w:rsidR="003A515F" w:rsidRPr="002229D7">
        <w:t>mmódosítás</w:t>
      </w:r>
      <w:r w:rsidRPr="002229D7">
        <w:t xml:space="preserve"> keretében „A mikrovállalkozások létrehozásának és fejlesztésének támogatása” (312) </w:t>
      </w:r>
      <w:r w:rsidR="003A515F" w:rsidRPr="002229D7">
        <w:t xml:space="preserve">intézkedés </w:t>
      </w:r>
      <w:r w:rsidRPr="002229D7">
        <w:t xml:space="preserve">az ÚMVP-ben lezárásra került, és a 2007-2013-as programozási időszakban az ÚMVP keretein belül már nem kerül megnyitásra. </w:t>
      </w:r>
      <w:r w:rsidR="003A515F" w:rsidRPr="002229D7">
        <w:t>Az uniós pénzügyi ciklus hátralévő időszakában az intézkedés céljait az Európai Regionális Fejlesztési Alap forrásaiból kívánja elérni</w:t>
      </w:r>
      <w:r w:rsidRPr="002229D7">
        <w:t xml:space="preserve">, így az intézkedés keretében támogatott célok a GOP keretében kerülnek finanszírozásra a vidéki térségek esetében is. </w:t>
      </w:r>
    </w:p>
    <w:p w:rsidR="00011C3B" w:rsidRPr="00F35797" w:rsidRDefault="00011C3B" w:rsidP="00527629">
      <w:pPr>
        <w:pStyle w:val="Cmsor1"/>
      </w:pPr>
      <w:bookmarkStart w:id="77" w:name="_Toc328638700"/>
      <w:bookmarkStart w:id="78" w:name="_Toc360176790"/>
      <w:r>
        <w:lastRenderedPageBreak/>
        <w:t>A P</w:t>
      </w:r>
      <w:r w:rsidRPr="00F35797">
        <w:t>rogram előrehaladása</w:t>
      </w:r>
      <w:bookmarkEnd w:id="77"/>
      <w:bookmarkEnd w:id="78"/>
    </w:p>
    <w:p w:rsidR="00011C3B" w:rsidRPr="00F35797" w:rsidRDefault="00011C3B" w:rsidP="004869BB">
      <w:bookmarkStart w:id="79" w:name="_Toc215397477"/>
      <w:bookmarkStart w:id="80" w:name="_Toc215397715"/>
      <w:bookmarkStart w:id="81" w:name="_Toc215397946"/>
      <w:bookmarkStart w:id="82" w:name="_Toc215398173"/>
      <w:bookmarkStart w:id="83" w:name="_Toc215397504"/>
      <w:bookmarkStart w:id="84" w:name="_Toc215397742"/>
      <w:bookmarkStart w:id="85" w:name="_Toc215397973"/>
      <w:bookmarkStart w:id="86" w:name="_Toc215398200"/>
      <w:bookmarkStart w:id="87" w:name="_Toc215397509"/>
      <w:bookmarkStart w:id="88" w:name="_Toc215397747"/>
      <w:bookmarkStart w:id="89" w:name="_Toc215397978"/>
      <w:bookmarkStart w:id="90" w:name="_Toc215398205"/>
      <w:bookmarkStart w:id="91" w:name="_Toc215397511"/>
      <w:bookmarkStart w:id="92" w:name="_Toc215397749"/>
      <w:bookmarkStart w:id="93" w:name="_Toc215397980"/>
      <w:bookmarkStart w:id="94" w:name="_Toc215398207"/>
      <w:bookmarkStart w:id="95" w:name="_Toc215397513"/>
      <w:bookmarkStart w:id="96" w:name="_Toc215397751"/>
      <w:bookmarkStart w:id="97" w:name="_Toc215397982"/>
      <w:bookmarkStart w:id="98" w:name="_Toc215398209"/>
      <w:bookmarkStart w:id="99" w:name="_Toc215397515"/>
      <w:bookmarkStart w:id="100" w:name="_Toc215397753"/>
      <w:bookmarkStart w:id="101" w:name="_Toc215397984"/>
      <w:bookmarkStart w:id="102" w:name="_Toc215398211"/>
      <w:bookmarkStart w:id="103" w:name="_Toc215397517"/>
      <w:bookmarkStart w:id="104" w:name="_Toc215397755"/>
      <w:bookmarkStart w:id="105" w:name="_Toc215397986"/>
      <w:bookmarkStart w:id="106" w:name="_Toc215398213"/>
      <w:bookmarkStart w:id="107" w:name="_Toc215397519"/>
      <w:bookmarkStart w:id="108" w:name="_Toc215397757"/>
      <w:bookmarkStart w:id="109" w:name="_Toc215397988"/>
      <w:bookmarkStart w:id="110" w:name="_Toc215398215"/>
      <w:bookmarkStart w:id="111" w:name="_Toc215397521"/>
      <w:bookmarkStart w:id="112" w:name="_Toc215397759"/>
      <w:bookmarkStart w:id="113" w:name="_Toc215397990"/>
      <w:bookmarkStart w:id="114" w:name="_Toc215398217"/>
      <w:bookmarkStart w:id="115" w:name="_Toc215397523"/>
      <w:bookmarkStart w:id="116" w:name="_Toc215397761"/>
      <w:bookmarkStart w:id="117" w:name="_Toc215397992"/>
      <w:bookmarkStart w:id="118" w:name="_Toc215398219"/>
      <w:bookmarkStart w:id="119" w:name="_Toc215397525"/>
      <w:bookmarkStart w:id="120" w:name="_Toc215397763"/>
      <w:bookmarkStart w:id="121" w:name="_Toc215397994"/>
      <w:bookmarkStart w:id="122" w:name="_Toc215398221"/>
      <w:bookmarkStart w:id="123" w:name="_Toc215397529"/>
      <w:bookmarkStart w:id="124" w:name="_Toc215397767"/>
      <w:bookmarkStart w:id="125" w:name="_Toc215397998"/>
      <w:bookmarkStart w:id="126" w:name="_Toc215398225"/>
      <w:bookmarkStart w:id="127" w:name="_Toc215397531"/>
      <w:bookmarkStart w:id="128" w:name="_Toc215397769"/>
      <w:bookmarkStart w:id="129" w:name="_Toc215398000"/>
      <w:bookmarkStart w:id="130" w:name="_Toc215398227"/>
      <w:bookmarkStart w:id="131" w:name="_Toc215397533"/>
      <w:bookmarkStart w:id="132" w:name="_Toc215397771"/>
      <w:bookmarkStart w:id="133" w:name="_Toc215398002"/>
      <w:bookmarkStart w:id="134" w:name="_Toc215398229"/>
      <w:bookmarkStart w:id="135" w:name="_Toc215397535"/>
      <w:bookmarkStart w:id="136" w:name="_Toc215397773"/>
      <w:bookmarkStart w:id="137" w:name="_Toc215398004"/>
      <w:bookmarkStart w:id="138" w:name="_Toc215398231"/>
      <w:bookmarkStart w:id="139" w:name="_Toc215397537"/>
      <w:bookmarkStart w:id="140" w:name="_Toc215397775"/>
      <w:bookmarkStart w:id="141" w:name="_Toc215398006"/>
      <w:bookmarkStart w:id="142" w:name="_Toc215398233"/>
      <w:bookmarkStart w:id="143" w:name="_Toc215397539"/>
      <w:bookmarkStart w:id="144" w:name="_Toc215397777"/>
      <w:bookmarkStart w:id="145" w:name="_Toc215398008"/>
      <w:bookmarkStart w:id="146" w:name="_Toc215398235"/>
      <w:bookmarkStart w:id="147" w:name="_Toc215397541"/>
      <w:bookmarkStart w:id="148" w:name="_Toc215397779"/>
      <w:bookmarkStart w:id="149" w:name="_Toc215398010"/>
      <w:bookmarkStart w:id="150" w:name="_Toc215398237"/>
      <w:bookmarkStart w:id="151" w:name="_Toc215397543"/>
      <w:bookmarkStart w:id="152" w:name="_Toc215397781"/>
      <w:bookmarkStart w:id="153" w:name="_Toc215398012"/>
      <w:bookmarkStart w:id="154" w:name="_Toc215398239"/>
      <w:bookmarkStart w:id="155" w:name="_Toc215397545"/>
      <w:bookmarkStart w:id="156" w:name="_Toc215397783"/>
      <w:bookmarkStart w:id="157" w:name="_Toc215398014"/>
      <w:bookmarkStart w:id="158" w:name="_Toc215398241"/>
      <w:bookmarkStart w:id="159" w:name="_Toc215397546"/>
      <w:bookmarkStart w:id="160" w:name="_Toc215397784"/>
      <w:bookmarkStart w:id="161" w:name="_Toc215398015"/>
      <w:bookmarkStart w:id="162" w:name="_Toc215398242"/>
      <w:bookmarkStart w:id="163" w:name="_Toc215397547"/>
      <w:bookmarkStart w:id="164" w:name="_Toc215397785"/>
      <w:bookmarkStart w:id="165" w:name="_Toc215398016"/>
      <w:bookmarkStart w:id="166" w:name="_Toc215398243"/>
      <w:bookmarkStart w:id="167" w:name="_Toc215397548"/>
      <w:bookmarkStart w:id="168" w:name="_Toc215397786"/>
      <w:bookmarkStart w:id="169" w:name="_Toc215398017"/>
      <w:bookmarkStart w:id="170" w:name="_Toc215398244"/>
      <w:bookmarkStart w:id="171" w:name="_Toc215397549"/>
      <w:bookmarkStart w:id="172" w:name="_Toc215397787"/>
      <w:bookmarkStart w:id="173" w:name="_Toc215398018"/>
      <w:bookmarkStart w:id="174" w:name="_Toc215398245"/>
      <w:bookmarkStart w:id="175" w:name="_Toc215397551"/>
      <w:bookmarkStart w:id="176" w:name="_Toc215397789"/>
      <w:bookmarkStart w:id="177" w:name="_Toc215398020"/>
      <w:bookmarkStart w:id="178" w:name="_Toc215398247"/>
      <w:bookmarkStart w:id="179" w:name="_Toc215397555"/>
      <w:bookmarkStart w:id="180" w:name="_Toc215397793"/>
      <w:bookmarkStart w:id="181" w:name="_Toc215398024"/>
      <w:bookmarkStart w:id="182" w:name="_Toc215398251"/>
      <w:bookmarkStart w:id="183" w:name="_Toc215397557"/>
      <w:bookmarkStart w:id="184" w:name="_Toc215397795"/>
      <w:bookmarkStart w:id="185" w:name="_Toc215398026"/>
      <w:bookmarkStart w:id="186" w:name="_Toc215398253"/>
      <w:bookmarkStart w:id="187" w:name="_Toc215397561"/>
      <w:bookmarkStart w:id="188" w:name="_Toc215397799"/>
      <w:bookmarkStart w:id="189" w:name="_Toc215398030"/>
      <w:bookmarkStart w:id="190" w:name="_Toc215398257"/>
      <w:bookmarkStart w:id="191" w:name="_Toc215397563"/>
      <w:bookmarkStart w:id="192" w:name="_Toc215397801"/>
      <w:bookmarkStart w:id="193" w:name="_Toc215398032"/>
      <w:bookmarkStart w:id="194" w:name="_Toc215398259"/>
      <w:bookmarkStart w:id="195" w:name="_Toc215397567"/>
      <w:bookmarkStart w:id="196" w:name="_Toc215397805"/>
      <w:bookmarkStart w:id="197" w:name="_Toc215398036"/>
      <w:bookmarkStart w:id="198" w:name="_Toc215398263"/>
      <w:bookmarkStart w:id="199" w:name="_Toc215397569"/>
      <w:bookmarkStart w:id="200" w:name="_Toc215397807"/>
      <w:bookmarkStart w:id="201" w:name="_Toc215398038"/>
      <w:bookmarkStart w:id="202" w:name="_Toc215398265"/>
      <w:bookmarkStart w:id="203" w:name="_Toc215397571"/>
      <w:bookmarkStart w:id="204" w:name="_Toc215397809"/>
      <w:bookmarkStart w:id="205" w:name="_Toc215398040"/>
      <w:bookmarkStart w:id="206" w:name="_Toc215398267"/>
      <w:bookmarkStart w:id="207" w:name="_Toc215397575"/>
      <w:bookmarkStart w:id="208" w:name="_Toc215397813"/>
      <w:bookmarkStart w:id="209" w:name="_Toc215398044"/>
      <w:bookmarkStart w:id="210" w:name="_Toc215398271"/>
      <w:bookmarkStart w:id="211" w:name="_Toc232213990"/>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t>A Program</w:t>
      </w:r>
      <w:r w:rsidRPr="00F35797">
        <w:t xml:space="preserve"> intézkedésein keresztül mintegy 5 Mrd euró, </w:t>
      </w:r>
      <w:r w:rsidRPr="00AB66EC">
        <w:t xml:space="preserve">azaz </w:t>
      </w:r>
      <w:r w:rsidRPr="00AB66EC">
        <w:rPr>
          <w:bCs/>
        </w:rPr>
        <w:t>közel 1 300 Mrd</w:t>
      </w:r>
      <w:r w:rsidRPr="00AB66EC">
        <w:t xml:space="preserve"> Ft-nak megfelelő támogatás hívható le, jórészt az agrárium versenyképességét javító, illetve a természeti és a vidéki épített környezet értékeinek megőrzését célzó beruházásokra. Ezen források felhasználását a Program intézkedései szolgálják, melyek a program </w:t>
      </w:r>
      <w:r>
        <w:rPr>
          <w:bCs/>
        </w:rPr>
        <w:t>négy</w:t>
      </w:r>
      <w:r w:rsidRPr="00AB66EC">
        <w:rPr>
          <w:bCs/>
        </w:rPr>
        <w:t xml:space="preserve"> stratégiai tengelye</w:t>
      </w:r>
      <w:r w:rsidRPr="00AB66EC">
        <w:t xml:space="preserve"> köré</w:t>
      </w:r>
      <w:r w:rsidRPr="00F35797">
        <w:t xml:space="preserve"> csoportosulnak:</w:t>
      </w:r>
    </w:p>
    <w:p w:rsidR="00011C3B" w:rsidRPr="00F35797" w:rsidRDefault="00011C3B" w:rsidP="004869BB">
      <w:r w:rsidRPr="00F35797">
        <w:t xml:space="preserve">I. </w:t>
      </w:r>
      <w:r w:rsidRPr="00F35797">
        <w:tab/>
        <w:t>Mezőgazdaság, élelmiszer-feldolgozás és erdészeti ágazat versenyképességének javítása</w:t>
      </w:r>
    </w:p>
    <w:p w:rsidR="00011C3B" w:rsidRPr="00F35797" w:rsidRDefault="00011C3B" w:rsidP="004869BB">
      <w:r w:rsidRPr="00F35797">
        <w:t xml:space="preserve">II. </w:t>
      </w:r>
      <w:r w:rsidRPr="00F35797">
        <w:tab/>
        <w:t>A környezet és a vidék állapotának javítása, fejlesztése</w:t>
      </w:r>
    </w:p>
    <w:p w:rsidR="00011C3B" w:rsidRPr="00F35797" w:rsidRDefault="00011C3B" w:rsidP="004869BB">
      <w:r w:rsidRPr="00F35797">
        <w:t xml:space="preserve">III. </w:t>
      </w:r>
      <w:r w:rsidRPr="00F35797">
        <w:tab/>
        <w:t>Az életminőség javítása vidéki területeken, és a diverzifikáció ösztönzése</w:t>
      </w:r>
    </w:p>
    <w:p w:rsidR="00011C3B" w:rsidRPr="00F35797" w:rsidRDefault="00011C3B" w:rsidP="004869BB">
      <w:r w:rsidRPr="00F35797">
        <w:t xml:space="preserve">IV. </w:t>
      </w:r>
      <w:r w:rsidRPr="00F35797">
        <w:tab/>
        <w:t>LEADER</w:t>
      </w:r>
      <w:r>
        <w:t>.</w:t>
      </w:r>
    </w:p>
    <w:p w:rsidR="00011C3B" w:rsidRPr="00F35797" w:rsidRDefault="00011C3B" w:rsidP="004869BB">
      <w:r w:rsidRPr="00F35797">
        <w:t xml:space="preserve">Az intézkedések közül a legtöbb támogatást az agrár-környezetvédelem, a gépek, technológiai berendezések beszerzése, a termelői csoportok támogatása, a kedvezőtlen adottságú területen gazdálkodók támogatása, a mezőgazdasági termékek értéknövelése jogcímeken ítéltek oda. </w:t>
      </w:r>
      <w:r>
        <w:t>A Program</w:t>
      </w:r>
      <w:r w:rsidRPr="00F35797">
        <w:t xml:space="preserve"> jogcímeinek meghirdetésére első alkalommal 2007-ben került sor. </w:t>
      </w:r>
      <w:r>
        <w:t>A Program</w:t>
      </w:r>
      <w:r w:rsidRPr="00F35797">
        <w:t xml:space="preserve"> I-IV</w:t>
      </w:r>
      <w:r>
        <w:t>.</w:t>
      </w:r>
      <w:r w:rsidRPr="00F35797">
        <w:t xml:space="preserve"> tengelyének és a TS keretein </w:t>
      </w:r>
      <w:r w:rsidRPr="005D1D50">
        <w:t xml:space="preserve">belül eddig meghirdetett jogcímekre összesen </w:t>
      </w:r>
      <w:r w:rsidRPr="00E85731">
        <w:t>25</w:t>
      </w:r>
      <w:r w:rsidR="003A56F0">
        <w:t>2</w:t>
      </w:r>
      <w:r w:rsidRPr="00E85731">
        <w:t> </w:t>
      </w:r>
      <w:r w:rsidR="003A56F0">
        <w:t>190</w:t>
      </w:r>
      <w:r w:rsidRPr="00E85731">
        <w:t xml:space="preserve"> db támogatási kérelem érkezett (2007-2012) összesen 7 Mrd euró (2 060 Mrd Ft) támogatási igénnyel. </w:t>
      </w:r>
      <w:r w:rsidRPr="00434B01">
        <w:t>A 2012-es költségvetési évben az NVT</w:t>
      </w:r>
      <w:r w:rsidR="003A56F0">
        <w:t xml:space="preserve"> keretében vállalt kötelezettségek kifizetésinek </w:t>
      </w:r>
      <w:r w:rsidRPr="00434B01">
        <w:t xml:space="preserve">áthúzódó </w:t>
      </w:r>
      <w:r w:rsidR="003A56F0">
        <w:t>összegéve</w:t>
      </w:r>
      <w:r w:rsidR="003A56F0" w:rsidRPr="00434B01">
        <w:t xml:space="preserve">l </w:t>
      </w:r>
      <w:r w:rsidRPr="00434B01">
        <w:t xml:space="preserve">együtt a Program keretében </w:t>
      </w:r>
      <w:r w:rsidR="00434B01" w:rsidRPr="00434B01">
        <w:t>627,89</w:t>
      </w:r>
      <w:r w:rsidRPr="00434B01">
        <w:t xml:space="preserve"> M euró </w:t>
      </w:r>
      <w:r w:rsidR="003A56F0">
        <w:t xml:space="preserve">(183,5 Mrd Ft) </w:t>
      </w:r>
      <w:r w:rsidRPr="00434B01">
        <w:t>támogatás került kifizetésre.</w:t>
      </w:r>
    </w:p>
    <w:p w:rsidR="00011C3B" w:rsidRPr="000842E9" w:rsidRDefault="00011C3B" w:rsidP="00011C3B">
      <w:pPr>
        <w:pStyle w:val="bra-cmebra"/>
      </w:pPr>
      <w:r w:rsidRPr="000842E9">
        <w:t>ábra</w:t>
      </w:r>
      <w:r w:rsidR="00673DDE" w:rsidRPr="000842E9">
        <w:t xml:space="preserve">: </w:t>
      </w:r>
      <w:r w:rsidRPr="000842E9">
        <w:t>A I-II-III</w:t>
      </w:r>
      <w:r w:rsidR="008D59D3" w:rsidRPr="000842E9">
        <w:t>-IV</w:t>
      </w:r>
      <w:r w:rsidRPr="000842E9">
        <w:t>. tengely 2012. évi kifizetéseinek megyénkénti eloszlása</w:t>
      </w:r>
    </w:p>
    <w:p w:rsidR="00CC7190" w:rsidRDefault="008D59D3" w:rsidP="00011C3B">
      <w:pPr>
        <w:pStyle w:val="j-bracm"/>
      </w:pPr>
      <w:r>
        <w:rPr>
          <w:noProof/>
        </w:rPr>
        <w:drawing>
          <wp:inline distT="0" distB="0" distL="0" distR="0" wp14:anchorId="3B3C1E85" wp14:editId="0C6BA4B8">
            <wp:extent cx="5759450" cy="3638740"/>
            <wp:effectExtent l="0" t="0" r="0" b="0"/>
            <wp:docPr id="65" name="Kép 65" descr="C:\Users\HullaiB\AppData\Local\Microsoft\Windows\Temporary Internet Files\Content.Outlook\VXZSLSDC\egyesített kifiz 1234 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llaiB\AppData\Local\Microsoft\Windows\Temporary Internet Files\Content.Outlook\VXZSLSDC\egyesített kifiz 1234 t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638740"/>
                    </a:xfrm>
                    <a:prstGeom prst="rect">
                      <a:avLst/>
                    </a:prstGeom>
                    <a:noFill/>
                    <a:ln>
                      <a:noFill/>
                    </a:ln>
                  </pic:spPr>
                </pic:pic>
              </a:graphicData>
            </a:graphic>
          </wp:inline>
        </w:drawing>
      </w:r>
    </w:p>
    <w:p w:rsidR="00011C3B" w:rsidRPr="00F35797" w:rsidRDefault="00011C3B" w:rsidP="00011C3B">
      <w:pPr>
        <w:pStyle w:val="Normlforrs"/>
      </w:pPr>
      <w:r>
        <w:t>Forrás: MVH</w:t>
      </w:r>
    </w:p>
    <w:p w:rsidR="00011C3B" w:rsidRPr="00F35797" w:rsidRDefault="00011C3B" w:rsidP="00527629">
      <w:pPr>
        <w:pStyle w:val="Cmsor2"/>
      </w:pPr>
      <w:r>
        <w:br w:type="page"/>
      </w:r>
      <w:bookmarkStart w:id="212" w:name="_Toc328638701"/>
      <w:bookmarkStart w:id="213" w:name="_Toc360176791"/>
      <w:r w:rsidRPr="00F35797">
        <w:lastRenderedPageBreak/>
        <w:t>I. tengely</w:t>
      </w:r>
      <w:bookmarkEnd w:id="211"/>
      <w:bookmarkEnd w:id="212"/>
      <w:bookmarkEnd w:id="213"/>
    </w:p>
    <w:p w:rsidR="00011C3B" w:rsidRPr="00E63C68" w:rsidRDefault="00011C3B" w:rsidP="004869BB">
      <w:r>
        <w:t>A Program</w:t>
      </w:r>
      <w:r w:rsidRPr="00E63C68">
        <w:t xml:space="preserve"> </w:t>
      </w:r>
      <w:r w:rsidRPr="00A07A0D">
        <w:t>I. tengelyhez</w:t>
      </w:r>
      <w:r w:rsidRPr="00E63C68">
        <w:t xml:space="preserve"> tartozó intézkedések nagymértékben hozzájárulnak </w:t>
      </w:r>
      <w:r w:rsidRPr="00A07A0D">
        <w:t>a mezőgazdaság, az élelmiszer-feldolgozás és az erdészeti ágazat versenyképességének javításához, az agrárium fenntartható fejlődéséhez, továbbá az ismeretátadáshoz és a korszerkezet-váltáshoz.</w:t>
      </w:r>
    </w:p>
    <w:p w:rsidR="00011C3B" w:rsidRPr="00E63C68" w:rsidRDefault="006165EA" w:rsidP="004869BB">
      <w:r w:rsidRPr="00EC2C03">
        <w:t xml:space="preserve">A 2012. évben az I. tengely </w:t>
      </w:r>
      <w:r>
        <w:t>számos</w:t>
      </w:r>
      <w:r w:rsidRPr="00EC2C03">
        <w:t xml:space="preserve"> intézkedéséhez kapcsolódóan új támogatási kérelem benyújtási időszak került meghirdetésre.</w:t>
      </w:r>
      <w:r w:rsidRPr="00E63C68">
        <w:t xml:space="preserve"> </w:t>
      </w:r>
    </w:p>
    <w:p w:rsidR="00011C3B" w:rsidRPr="00E63C68" w:rsidRDefault="00011C3B" w:rsidP="004869BB">
      <w:r w:rsidRPr="00E63C68">
        <w:t xml:space="preserve">Az I. tengelyen belül az </w:t>
      </w:r>
      <w:r w:rsidRPr="00E63C68">
        <w:rPr>
          <w:b/>
          <w:bCs/>
          <w:i/>
          <w:iCs/>
        </w:rPr>
        <w:t>ismeretátadást</w:t>
      </w:r>
      <w:r w:rsidRPr="00E63C68">
        <w:t xml:space="preserve"> a köv</w:t>
      </w:r>
      <w:r w:rsidR="00AD1657">
        <w:t>etkező két intézkedés szolgálja:</w:t>
      </w:r>
      <w:r w:rsidRPr="00E63C68">
        <w:t xml:space="preserve"> </w:t>
      </w:r>
    </w:p>
    <w:p w:rsidR="00011C3B" w:rsidRPr="00E63C68" w:rsidRDefault="00011C3B" w:rsidP="004869BB">
      <w:r w:rsidRPr="00E63C68">
        <w:t xml:space="preserve">A </w:t>
      </w:r>
      <w:r w:rsidRPr="00E63C68">
        <w:rPr>
          <w:b/>
          <w:bCs/>
        </w:rPr>
        <w:t>Szaktanácsa</w:t>
      </w:r>
      <w:r w:rsidR="00F40A58">
        <w:rPr>
          <w:b/>
          <w:bCs/>
        </w:rPr>
        <w:t>dói szolgáltatások igénybevétele</w:t>
      </w:r>
      <w:r w:rsidRPr="00E63C68">
        <w:rPr>
          <w:b/>
          <w:bCs/>
        </w:rPr>
        <w:t xml:space="preserve"> </w:t>
      </w:r>
      <w:r w:rsidRPr="00E63C68">
        <w:t xml:space="preserve">intézkedés 2007. évben indult, és a támogatás folyamatosan igénybe vehető. Az elmúlt évek során az igényelt támogatási összeg csökkenő tendenciát mutatott, mert </w:t>
      </w:r>
      <w:r>
        <w:t>a Program</w:t>
      </w:r>
      <w:r w:rsidRPr="00E63C68">
        <w:t xml:space="preserve"> szerint egy ügyfél legfeljebb 3 alkalommal vehette azt igénybe. </w:t>
      </w:r>
      <w:r w:rsidR="006165EA" w:rsidRPr="00601471">
        <w:t>Az ügyfelek évi 700 eurónak megfelelő forintösszeg erejéig számolhatnak el szaktanácsadói szolgáltatást.</w:t>
      </w:r>
    </w:p>
    <w:p w:rsidR="00011C3B" w:rsidRPr="00E63C68" w:rsidRDefault="00011C3B" w:rsidP="00011C3B">
      <w:pPr>
        <w:pStyle w:val="Szvegtrzs"/>
      </w:pPr>
      <w:r w:rsidRPr="00E63C68">
        <w:t xml:space="preserve">A </w:t>
      </w:r>
      <w:bookmarkStart w:id="214" w:name="_Toc232213991"/>
      <w:bookmarkStart w:id="215" w:name="_Toc232860152"/>
      <w:bookmarkEnd w:id="214"/>
      <w:r w:rsidRPr="0058781B">
        <w:rPr>
          <w:b/>
        </w:rPr>
        <w:t>Szakképzési és tájékoztatási tevékenységek intézkedés</w:t>
      </w:r>
      <w:bookmarkEnd w:id="215"/>
      <w:r w:rsidRPr="0058781B">
        <w:rPr>
          <w:b/>
        </w:rPr>
        <w:t xml:space="preserve"> </w:t>
      </w:r>
      <w:r w:rsidRPr="00E63C68">
        <w:t xml:space="preserve">három alintézkedést foglal magában, amelyek közül az </w:t>
      </w:r>
      <w:r w:rsidRPr="0058781B">
        <w:rPr>
          <w:b/>
        </w:rPr>
        <w:t>általános agrárpolitikai és ügyfélszolgálati tájékoztatás</w:t>
      </w:r>
      <w:r w:rsidRPr="00E63C68">
        <w:t xml:space="preserve"> alintézkedés 2007-ben indult és folyamatosan működik; a </w:t>
      </w:r>
      <w:r w:rsidRPr="0058781B">
        <w:rPr>
          <w:b/>
        </w:rPr>
        <w:t xml:space="preserve">mezőgazdasághoz és erdőgazdálkodáshoz kapcsolódó </w:t>
      </w:r>
      <w:r w:rsidR="00DD54DC" w:rsidRPr="0058781B">
        <w:rPr>
          <w:b/>
        </w:rPr>
        <w:t xml:space="preserve">szakmai </w:t>
      </w:r>
      <w:r w:rsidRPr="0058781B">
        <w:rPr>
          <w:b/>
        </w:rPr>
        <w:t xml:space="preserve">képzések </w:t>
      </w:r>
      <w:r w:rsidRPr="00E63C68">
        <w:t xml:space="preserve">alintézkedés 2008-ban indult, és a képzések szervezése 2009-től kezdődően folyamatos. </w:t>
      </w:r>
      <w:r w:rsidRPr="0058781B">
        <w:rPr>
          <w:b/>
        </w:rPr>
        <w:t>Az innovatív technológiák elterjesztése</w:t>
      </w:r>
      <w:r w:rsidRPr="00E63C68">
        <w:t xml:space="preserve"> </w:t>
      </w:r>
      <w:r w:rsidRPr="0058781B">
        <w:rPr>
          <w:b/>
        </w:rPr>
        <w:t>bemutató-üzemi projektek útján gazdaságokban és erdészetekben</w:t>
      </w:r>
      <w:r w:rsidRPr="00E63C68">
        <w:t xml:space="preserve"> alintézkedés</w:t>
      </w:r>
      <w:r w:rsidR="004525F4">
        <w:t xml:space="preserve"> megnyitása áthúzódott 2013-ra</w:t>
      </w:r>
      <w:r w:rsidRPr="00E63C68">
        <w:t>.</w:t>
      </w:r>
    </w:p>
    <w:p w:rsidR="00011C3B" w:rsidRDefault="00011C3B" w:rsidP="004869BB">
      <w:r w:rsidRPr="00B53194">
        <w:t>A mezőgazdasági korszerkezet</w:t>
      </w:r>
      <w:r w:rsidR="00F40A58">
        <w:t>-váltást elősegítő intézkedések:</w:t>
      </w:r>
      <w:r w:rsidRPr="00B53194">
        <w:t xml:space="preserve"> </w:t>
      </w:r>
      <w:r w:rsidRPr="00B53194">
        <w:rPr>
          <w:b/>
        </w:rPr>
        <w:t xml:space="preserve">a fiatal </w:t>
      </w:r>
      <w:r w:rsidR="00DD54DC">
        <w:rPr>
          <w:b/>
        </w:rPr>
        <w:t>gazdák</w:t>
      </w:r>
      <w:r w:rsidRPr="00B53194">
        <w:rPr>
          <w:b/>
        </w:rPr>
        <w:t xml:space="preserve"> </w:t>
      </w:r>
      <w:r w:rsidR="004525F4">
        <w:rPr>
          <w:b/>
        </w:rPr>
        <w:t>induló támogatása</w:t>
      </w:r>
      <w:r w:rsidRPr="00B53194">
        <w:t xml:space="preserve"> és a mezőgazdasági termelők </w:t>
      </w:r>
      <w:r w:rsidRPr="00B53194">
        <w:rPr>
          <w:b/>
        </w:rPr>
        <w:t>gazdaságátadás</w:t>
      </w:r>
      <w:r w:rsidR="004525F4">
        <w:rPr>
          <w:b/>
        </w:rPr>
        <w:t>i támogatás</w:t>
      </w:r>
      <w:r w:rsidRPr="00B53194">
        <w:rPr>
          <w:b/>
        </w:rPr>
        <w:t>a</w:t>
      </w:r>
      <w:r>
        <w:rPr>
          <w:b/>
        </w:rPr>
        <w:t xml:space="preserve">, </w:t>
      </w:r>
      <w:r w:rsidRPr="00B53194">
        <w:t xml:space="preserve">2012-ben a Program végrehajtása során </w:t>
      </w:r>
      <w:r>
        <w:t xml:space="preserve">már </w:t>
      </w:r>
      <w:r w:rsidRPr="00B53194">
        <w:t>harmadik alkalommal kerültek meghirdetésre.</w:t>
      </w:r>
      <w:r>
        <w:t xml:space="preserve"> </w:t>
      </w:r>
    </w:p>
    <w:p w:rsidR="00011C3B" w:rsidRPr="000801A0" w:rsidRDefault="00011C3B" w:rsidP="00011C3B">
      <w:pPr>
        <w:spacing w:after="0"/>
        <w:rPr>
          <w:rFonts w:cs="Times New Roman"/>
        </w:rPr>
      </w:pPr>
      <w:r w:rsidRPr="00601471">
        <w:rPr>
          <w:rFonts w:cs="Times New Roman"/>
        </w:rPr>
        <w:t xml:space="preserve">A </w:t>
      </w:r>
      <w:r w:rsidRPr="00601471">
        <w:rPr>
          <w:rFonts w:cs="Times New Roman"/>
          <w:b/>
        </w:rPr>
        <w:t>mezőgazdasági üzemek korszerűsítése</w:t>
      </w:r>
      <w:r w:rsidRPr="00601471">
        <w:rPr>
          <w:rFonts w:cs="Times New Roman"/>
        </w:rPr>
        <w:t xml:space="preserve"> intézkedés</w:t>
      </w:r>
      <w:r>
        <w:rPr>
          <w:rFonts w:cs="Times New Roman"/>
        </w:rPr>
        <w:t>hez</w:t>
      </w:r>
      <w:r w:rsidRPr="00601471">
        <w:rPr>
          <w:rFonts w:cs="Times New Roman"/>
        </w:rPr>
        <w:t xml:space="preserve"> </w:t>
      </w:r>
      <w:r>
        <w:rPr>
          <w:rFonts w:cs="Times New Roman"/>
        </w:rPr>
        <w:t>5 alintézkedés tartozik, amelyek</w:t>
      </w:r>
      <w:r w:rsidRPr="00601471">
        <w:rPr>
          <w:rFonts w:cs="Times New Roman"/>
        </w:rPr>
        <w:t xml:space="preserve"> fő célja</w:t>
      </w:r>
      <w:r>
        <w:rPr>
          <w:rFonts w:cs="Times New Roman"/>
        </w:rPr>
        <w:t>i</w:t>
      </w:r>
      <w:r w:rsidRPr="00601471">
        <w:rPr>
          <w:rFonts w:cs="Times New Roman"/>
        </w:rPr>
        <w:t xml:space="preserve"> a mezőgazdasági termelés modernizációja, az állattenyésztés, a kertészet</w:t>
      </w:r>
      <w:r>
        <w:rPr>
          <w:rFonts w:cs="Times New Roman"/>
        </w:rPr>
        <w:t>i</w:t>
      </w:r>
      <w:r w:rsidRPr="00601471">
        <w:rPr>
          <w:rFonts w:cs="Times New Roman"/>
        </w:rPr>
        <w:t xml:space="preserve"> és a szántóföldi termesztés </w:t>
      </w:r>
      <w:r w:rsidRPr="000801A0">
        <w:rPr>
          <w:rFonts w:cs="Times New Roman"/>
        </w:rPr>
        <w:t>technológiai szintjének emelése, hatékonyságának és versenyképességének fejlesztése, a jobb termékminőség elérését célzó új technológiák bevezetése. Az 5 alintézkedés mentén az alábbi célok megvalósítása kapcsán vált lehetővé a támogatások igénylése:</w:t>
      </w:r>
    </w:p>
    <w:p w:rsidR="00011C3B" w:rsidRPr="000801A0" w:rsidRDefault="00011C3B" w:rsidP="00011C3B">
      <w:pPr>
        <w:spacing w:after="0"/>
        <w:rPr>
          <w:rFonts w:cs="Times New Roman"/>
        </w:rPr>
      </w:pPr>
      <w:r w:rsidRPr="000801A0">
        <w:rPr>
          <w:rFonts w:cs="Times New Roman"/>
        </w:rPr>
        <w:t xml:space="preserve"> </w:t>
      </w:r>
    </w:p>
    <w:p w:rsidR="00011C3B" w:rsidRDefault="00011C3B" w:rsidP="00495C8B">
      <w:pPr>
        <w:pStyle w:val="Listaszerbekezds"/>
        <w:numPr>
          <w:ilvl w:val="0"/>
          <w:numId w:val="49"/>
        </w:numPr>
        <w:suppressAutoHyphens w:val="0"/>
        <w:spacing w:after="0"/>
        <w:rPr>
          <w:rFonts w:cs="Times New Roman"/>
        </w:rPr>
      </w:pPr>
      <w:r w:rsidRPr="00A409C3">
        <w:rPr>
          <w:rFonts w:cs="Times New Roman"/>
          <w:b/>
        </w:rPr>
        <w:t>Ültetvény</w:t>
      </w:r>
      <w:r w:rsidR="000618B3">
        <w:rPr>
          <w:rFonts w:cs="Times New Roman"/>
          <w:b/>
        </w:rPr>
        <w:t xml:space="preserve">ek </w:t>
      </w:r>
      <w:r w:rsidRPr="00A409C3">
        <w:rPr>
          <w:rFonts w:cs="Times New Roman"/>
          <w:b/>
        </w:rPr>
        <w:t>korszerűsítés</w:t>
      </w:r>
      <w:r w:rsidR="000618B3">
        <w:rPr>
          <w:rFonts w:cs="Times New Roman"/>
          <w:b/>
        </w:rPr>
        <w:t>éhez, telepítéséhez nyújtandó támogatás</w:t>
      </w:r>
      <w:r w:rsidRPr="000801A0">
        <w:rPr>
          <w:rFonts w:cs="Times New Roman"/>
        </w:rPr>
        <w:t xml:space="preserve"> keretében a gyümölcs és kertészeti ültetvények telepítéséhez és meglévő ültetvények kapcsán támrendszerek, jégvédő berendezések, öntözési és tápanyag-utánpótlási rendszerek létrehozásához lehetett támogatást igényelni. </w:t>
      </w:r>
      <w:r>
        <w:rPr>
          <w:rFonts w:cs="Times New Roman"/>
        </w:rPr>
        <w:t>A jogcím kapcsán utoljára 2011-ben lehetett kérelmeket benyújtani, 2012-ben a jogcím nem került megnyitásra.</w:t>
      </w:r>
    </w:p>
    <w:p w:rsidR="00011C3B" w:rsidRPr="000801A0" w:rsidRDefault="00011C3B" w:rsidP="00011C3B">
      <w:pPr>
        <w:pStyle w:val="Listaszerbekezds"/>
        <w:spacing w:after="0"/>
        <w:rPr>
          <w:rFonts w:cs="Times New Roman"/>
        </w:rPr>
      </w:pPr>
    </w:p>
    <w:p w:rsidR="00011C3B" w:rsidRDefault="00011C3B" w:rsidP="00495C8B">
      <w:pPr>
        <w:pStyle w:val="Listaszerbekezds"/>
        <w:numPr>
          <w:ilvl w:val="0"/>
          <w:numId w:val="49"/>
        </w:numPr>
        <w:suppressAutoHyphens w:val="0"/>
        <w:spacing w:after="0"/>
        <w:rPr>
          <w:rFonts w:cs="Times New Roman"/>
        </w:rPr>
      </w:pPr>
      <w:r w:rsidRPr="0080025E">
        <w:rPr>
          <w:rFonts w:cs="Times New Roman"/>
        </w:rPr>
        <w:t xml:space="preserve">A </w:t>
      </w:r>
      <w:r w:rsidRPr="0080025E">
        <w:rPr>
          <w:rFonts w:cs="Times New Roman"/>
          <w:b/>
        </w:rPr>
        <w:t xml:space="preserve">fás </w:t>
      </w:r>
      <w:r w:rsidR="000618B3">
        <w:rPr>
          <w:rFonts w:cs="Times New Roman"/>
          <w:b/>
        </w:rPr>
        <w:t>és</w:t>
      </w:r>
      <w:r w:rsidRPr="0080025E">
        <w:rPr>
          <w:rFonts w:cs="Times New Roman"/>
          <w:b/>
        </w:rPr>
        <w:t xml:space="preserve"> lágyszárú energiaültetvények telepítés</w:t>
      </w:r>
      <w:r w:rsidR="000618B3">
        <w:rPr>
          <w:rFonts w:cs="Times New Roman"/>
          <w:b/>
        </w:rPr>
        <w:t>éhez nyújtandó támogatás</w:t>
      </w:r>
      <w:r w:rsidRPr="0080025E">
        <w:rPr>
          <w:rFonts w:cs="Times New Roman"/>
        </w:rPr>
        <w:t xml:space="preserve"> konstrukciókra először 2007, majd</w:t>
      </w:r>
      <w:r>
        <w:rPr>
          <w:rFonts w:cs="Times New Roman"/>
        </w:rPr>
        <w:t xml:space="preserve"> 2008-ben,</w:t>
      </w:r>
      <w:r w:rsidRPr="0080025E">
        <w:rPr>
          <w:rFonts w:cs="Times New Roman"/>
        </w:rPr>
        <w:t xml:space="preserve"> </w:t>
      </w:r>
      <w:r>
        <w:rPr>
          <w:rFonts w:cs="Times New Roman"/>
        </w:rPr>
        <w:t xml:space="preserve">2009-ben és </w:t>
      </w:r>
      <w:r w:rsidRPr="0080025E">
        <w:rPr>
          <w:rFonts w:cs="Times New Roman"/>
        </w:rPr>
        <w:t>2010-</w:t>
      </w:r>
      <w:r>
        <w:rPr>
          <w:rFonts w:cs="Times New Roman"/>
        </w:rPr>
        <w:t xml:space="preserve">ben további </w:t>
      </w:r>
      <w:r w:rsidR="00E81CFE">
        <w:rPr>
          <w:rFonts w:cs="Times New Roman"/>
        </w:rPr>
        <w:t xml:space="preserve">öt </w:t>
      </w:r>
      <w:r w:rsidRPr="0080025E">
        <w:rPr>
          <w:rFonts w:cs="Times New Roman"/>
        </w:rPr>
        <w:t xml:space="preserve">alkalommal lehetett támogatási kérelmet benyújtani. A jogcím célja, hogy az energetikai célú faanyag biztosításával hozzájáruljon a megújuló energiaforrások minél szélesebb körben való használatának elterjesztéséhez, mérsékelje az erdészeti potenciál túlzott energetikai célú használatára irányuló nyomást. 2011-től új támogatási kör nem került meghirdetésre. </w:t>
      </w:r>
    </w:p>
    <w:p w:rsidR="00011C3B" w:rsidRPr="0080025E" w:rsidRDefault="00011C3B" w:rsidP="00011C3B">
      <w:pPr>
        <w:pStyle w:val="Listaszerbekezds"/>
        <w:spacing w:after="0"/>
        <w:rPr>
          <w:rFonts w:cs="Times New Roman"/>
        </w:rPr>
      </w:pPr>
    </w:p>
    <w:p w:rsidR="00011C3B" w:rsidRDefault="00011C3B" w:rsidP="00011C3B">
      <w:pPr>
        <w:pStyle w:val="Listaszerbekezds"/>
        <w:numPr>
          <w:ilvl w:val="0"/>
          <w:numId w:val="49"/>
        </w:numPr>
        <w:suppressAutoHyphens w:val="0"/>
        <w:spacing w:after="0"/>
        <w:rPr>
          <w:rFonts w:cs="Times New Roman"/>
        </w:rPr>
      </w:pPr>
      <w:r w:rsidRPr="00476A19">
        <w:rPr>
          <w:rFonts w:cs="Times New Roman"/>
        </w:rPr>
        <w:t xml:space="preserve">A </w:t>
      </w:r>
      <w:r w:rsidRPr="00476A19">
        <w:rPr>
          <w:rFonts w:cs="Times New Roman"/>
          <w:b/>
        </w:rPr>
        <w:t xml:space="preserve">kertészet </w:t>
      </w:r>
      <w:r w:rsidRPr="00F40A58">
        <w:rPr>
          <w:rFonts w:cs="Times New Roman"/>
          <w:b/>
        </w:rPr>
        <w:t>korszerűsítéséhez</w:t>
      </w:r>
      <w:r w:rsidR="000618B3" w:rsidRPr="00F40A58">
        <w:rPr>
          <w:rFonts w:cs="Times New Roman"/>
          <w:b/>
        </w:rPr>
        <w:t xml:space="preserve"> nyújtandó támogatáshoz</w:t>
      </w:r>
      <w:r w:rsidRPr="00476A19">
        <w:rPr>
          <w:rFonts w:cs="Times New Roman"/>
        </w:rPr>
        <w:t xml:space="preserve"> kapcsolódóan a Program során harmadik alkalommal nyílt lehetőség 2012-ben az infrastrukturális beruházásokhoz támogatás igénylésére. Kertészeti termelő tevékenységet szolgáló létesítmények építéséhez, illetve korszerűsítéséhez, tároló és manipuláló létesítmények építéséhez, valamint a kertészetek energiaellátását szolgáló beruházásokhoz kapcsolódóan lehetett támogatást igényelni. </w:t>
      </w:r>
    </w:p>
    <w:p w:rsidR="00476A19" w:rsidRPr="00476A19" w:rsidRDefault="00476A19" w:rsidP="00476A19">
      <w:pPr>
        <w:pStyle w:val="Listaszerbekezds"/>
        <w:rPr>
          <w:rFonts w:cs="Times New Roman"/>
        </w:rPr>
      </w:pPr>
    </w:p>
    <w:p w:rsidR="00011C3B" w:rsidRPr="00A276DA" w:rsidRDefault="00011C3B" w:rsidP="00495C8B">
      <w:pPr>
        <w:pStyle w:val="Listaszerbekezds"/>
        <w:numPr>
          <w:ilvl w:val="0"/>
          <w:numId w:val="49"/>
        </w:numPr>
        <w:suppressAutoHyphens w:val="0"/>
        <w:spacing w:after="0"/>
        <w:rPr>
          <w:rFonts w:cs="Times New Roman"/>
        </w:rPr>
      </w:pPr>
      <w:r>
        <w:rPr>
          <w:rFonts w:cs="Times New Roman"/>
        </w:rPr>
        <w:t xml:space="preserve">Az </w:t>
      </w:r>
      <w:r w:rsidRPr="00A409C3">
        <w:rPr>
          <w:rFonts w:cs="Times New Roman"/>
          <w:b/>
        </w:rPr>
        <w:t>állattartó telepek korszerűsítés</w:t>
      </w:r>
      <w:r w:rsidR="000618B3">
        <w:rPr>
          <w:rFonts w:cs="Times New Roman"/>
          <w:b/>
        </w:rPr>
        <w:t>éhez nyújtandó támogatás</w:t>
      </w:r>
      <w:r>
        <w:rPr>
          <w:rFonts w:cs="Times New Roman"/>
        </w:rPr>
        <w:t xml:space="preserve"> keretében az állattartók komplex infrastrukturális támogatást vehettek igénybe </w:t>
      </w:r>
      <w:r w:rsidRPr="0080025E">
        <w:rPr>
          <w:rFonts w:cs="Times New Roman"/>
        </w:rPr>
        <w:t>2012-ben trágyakezelés és tárolás, állati férőhelyek kialakítása,</w:t>
      </w:r>
      <w:r>
        <w:rPr>
          <w:rFonts w:cs="Times New Roman"/>
        </w:rPr>
        <w:t xml:space="preserve"> </w:t>
      </w:r>
      <w:r w:rsidRPr="0080025E">
        <w:rPr>
          <w:rFonts w:cs="Times New Roman"/>
        </w:rPr>
        <w:t>jó</w:t>
      </w:r>
      <w:r>
        <w:rPr>
          <w:rFonts w:cs="Times New Roman"/>
        </w:rPr>
        <w:t xml:space="preserve"> </w:t>
      </w:r>
      <w:r w:rsidRPr="0080025E">
        <w:rPr>
          <w:rFonts w:cs="Times New Roman"/>
        </w:rPr>
        <w:t xml:space="preserve">minőségű takarmány előállítása és a telepi állat-egészségügyi helyzet javítása céljából. </w:t>
      </w:r>
      <w:r>
        <w:rPr>
          <w:rFonts w:cs="Times New Roman"/>
        </w:rPr>
        <w:t>A jogcím 2007-ben 2 alkalommal, 2009-ben 1 alkalommal és 2011-</w:t>
      </w:r>
      <w:r w:rsidRPr="00A276DA">
        <w:rPr>
          <w:rFonts w:cs="Times New Roman"/>
        </w:rPr>
        <w:lastRenderedPageBreak/>
        <w:t>ben kizárólag a baromfitartó telepek korszerűsítéséhez kapcsolódóan került megnyitásra. A 2012-ben benyújtott kérelmek kapcsán közel 800 állattartó telep rész</w:t>
      </w:r>
      <w:r w:rsidR="00476A19" w:rsidRPr="00A276DA">
        <w:rPr>
          <w:rFonts w:cs="Times New Roman"/>
        </w:rPr>
        <w:t>esült támogatásban</w:t>
      </w:r>
    </w:p>
    <w:p w:rsidR="00011C3B" w:rsidRPr="00A276DA" w:rsidRDefault="00011C3B" w:rsidP="00011C3B">
      <w:pPr>
        <w:pStyle w:val="Listaszerbekezds"/>
        <w:spacing w:after="0"/>
        <w:rPr>
          <w:rFonts w:cs="Times New Roman"/>
        </w:rPr>
      </w:pPr>
    </w:p>
    <w:p w:rsidR="00011C3B" w:rsidRPr="00A276DA" w:rsidRDefault="00011C3B" w:rsidP="00495C8B">
      <w:pPr>
        <w:pStyle w:val="Listaszerbekezds"/>
        <w:numPr>
          <w:ilvl w:val="0"/>
          <w:numId w:val="49"/>
        </w:numPr>
        <w:suppressAutoHyphens w:val="0"/>
        <w:spacing w:after="0"/>
        <w:rPr>
          <w:rFonts w:cs="Times New Roman"/>
        </w:rPr>
      </w:pPr>
      <w:r w:rsidRPr="00A276DA">
        <w:rPr>
          <w:rFonts w:cs="Times New Roman"/>
        </w:rPr>
        <w:t xml:space="preserve">A </w:t>
      </w:r>
      <w:r w:rsidRPr="00A276DA">
        <w:rPr>
          <w:rFonts w:cs="Times New Roman"/>
          <w:b/>
        </w:rPr>
        <w:t>mezőgazdasági termékek értéknövelése</w:t>
      </w:r>
      <w:r w:rsidRPr="00A276DA">
        <w:rPr>
          <w:rFonts w:cs="Times New Roman"/>
        </w:rPr>
        <w:t xml:space="preserve"> céljából a versenyképesség javításához és a termékszerkezet átalakításához, élelmiszer-biztonsági és energiahatékonysági fejlesztésekhez, valamint vágópontok létrehozásához és korszerűsítéséhez beruházási támogatás került meghirdetésre 2012-ben. A jogcím ezt megelőzően 2008-ban és 2009-ben került megnyitásra. </w:t>
      </w:r>
    </w:p>
    <w:p w:rsidR="00011C3B" w:rsidRDefault="00011C3B" w:rsidP="00011C3B">
      <w:pPr>
        <w:pStyle w:val="Listaszerbekezds"/>
        <w:spacing w:after="0"/>
        <w:rPr>
          <w:rFonts w:cs="Times New Roman"/>
        </w:rPr>
      </w:pPr>
    </w:p>
    <w:p w:rsidR="00011C3B" w:rsidRDefault="00011C3B" w:rsidP="00495C8B">
      <w:pPr>
        <w:pStyle w:val="Listaszerbekezds"/>
        <w:numPr>
          <w:ilvl w:val="0"/>
          <w:numId w:val="49"/>
        </w:numPr>
        <w:suppressAutoHyphens w:val="0"/>
        <w:spacing w:after="0"/>
        <w:rPr>
          <w:rFonts w:cs="Times New Roman"/>
        </w:rPr>
      </w:pPr>
      <w:r w:rsidRPr="00B02C7D">
        <w:rPr>
          <w:rFonts w:cs="Times New Roman"/>
        </w:rPr>
        <w:t xml:space="preserve">A </w:t>
      </w:r>
      <w:r w:rsidRPr="00B02C7D">
        <w:rPr>
          <w:rFonts w:cs="Times New Roman"/>
          <w:b/>
        </w:rPr>
        <w:t>növénytermesztés létesítményeinek korszerűsítés</w:t>
      </w:r>
      <w:r w:rsidR="000618B3">
        <w:rPr>
          <w:rFonts w:cs="Times New Roman"/>
          <w:b/>
        </w:rPr>
        <w:t>éhez nyújtott támogatás</w:t>
      </w:r>
      <w:r w:rsidRPr="00B02C7D">
        <w:rPr>
          <w:rFonts w:cs="Times New Roman"/>
          <w:b/>
        </w:rPr>
        <w:t xml:space="preserve"> </w:t>
      </w:r>
      <w:r w:rsidRPr="00B02C7D">
        <w:rPr>
          <w:rFonts w:cs="Times New Roman"/>
        </w:rPr>
        <w:t xml:space="preserve">kapcsán a betakarítás utáni létesítmények (szárító, tisztító, tranzit tartály stb.) korszerűsítéséhez, a levegő-tisztaság védelmére vonatkozó szabályozásnak való megfelelés eléréséhez lehetett infrastrukturális támogatást igénybe venni a 2008. évben. </w:t>
      </w:r>
    </w:p>
    <w:p w:rsidR="00011C3B" w:rsidRPr="00B02C7D" w:rsidRDefault="00011C3B" w:rsidP="00011C3B">
      <w:pPr>
        <w:pStyle w:val="Listaszerbekezds"/>
        <w:rPr>
          <w:rFonts w:cs="Times New Roman"/>
        </w:rPr>
      </w:pPr>
    </w:p>
    <w:p w:rsidR="00011C3B" w:rsidRDefault="00011C3B" w:rsidP="00495C8B">
      <w:pPr>
        <w:pStyle w:val="Listaszerbekezds"/>
        <w:numPr>
          <w:ilvl w:val="0"/>
          <w:numId w:val="49"/>
        </w:numPr>
        <w:suppressAutoHyphens w:val="0"/>
        <w:spacing w:after="0"/>
        <w:rPr>
          <w:rFonts w:cs="Times New Roman"/>
        </w:rPr>
      </w:pPr>
      <w:r w:rsidRPr="0047113D">
        <w:rPr>
          <w:rFonts w:cs="Times New Roman"/>
        </w:rPr>
        <w:t xml:space="preserve">A </w:t>
      </w:r>
      <w:r w:rsidR="000618B3" w:rsidRPr="000618B3">
        <w:rPr>
          <w:rFonts w:cs="Times New Roman"/>
          <w:b/>
        </w:rPr>
        <w:t>mezőgazdasági termékek értéknövelése</w:t>
      </w:r>
      <w:r w:rsidR="006165EA">
        <w:rPr>
          <w:rFonts w:cs="Times New Roman"/>
          <w:b/>
        </w:rPr>
        <w:t xml:space="preserve"> intézkedéshez tartozó alintézkedés </w:t>
      </w:r>
      <w:r w:rsidR="006165EA" w:rsidRPr="006165EA">
        <w:rPr>
          <w:rFonts w:cs="Times New Roman"/>
        </w:rPr>
        <w:t>(</w:t>
      </w:r>
      <w:r w:rsidR="006165EA" w:rsidRPr="00604B6F">
        <w:t>Mezőgazdasági termékek értéknövelése félkész vagy végtermékek energiatermelési célú felhasználásra való előállításával</w:t>
      </w:r>
      <w:r w:rsidR="006165EA">
        <w:t>)</w:t>
      </w:r>
      <w:r w:rsidR="000618B3">
        <w:rPr>
          <w:rFonts w:cs="Times New Roman"/>
        </w:rPr>
        <w:t xml:space="preserve">, </w:t>
      </w:r>
      <w:r w:rsidRPr="000618B3">
        <w:rPr>
          <w:rFonts w:cs="Times New Roman"/>
        </w:rPr>
        <w:t>kis kapacitású nyersszesz, nyersolaj üzemek létesítése</w:t>
      </w:r>
      <w:r w:rsidRPr="0047113D">
        <w:rPr>
          <w:rFonts w:cs="Times New Roman"/>
        </w:rPr>
        <w:t xml:space="preserve"> </w:t>
      </w:r>
      <w:r w:rsidR="000618B3">
        <w:rPr>
          <w:rFonts w:cs="Times New Roman"/>
        </w:rPr>
        <w:t xml:space="preserve">révén a </w:t>
      </w:r>
      <w:r w:rsidRPr="0047113D">
        <w:rPr>
          <w:rFonts w:cs="Times New Roman"/>
        </w:rPr>
        <w:t>jogcím célja, hogy a mezőgazdasági eredetű alapanyagok bio-üzemanyag célú feldolgozásával javuljon a termelők versenyképessége, a mezőgazdasági szektor a bio-üzemanyag gyártási vertikumnak aktív szereplője legyen és növekedjen az Európai Unión belül a bio-üzemanyagok termelési volumene.</w:t>
      </w:r>
      <w:r>
        <w:rPr>
          <w:rFonts w:cs="Times New Roman"/>
        </w:rPr>
        <w:t xml:space="preserve"> A jogcím 2009-ben egy alkalommal került meghirdetésre.</w:t>
      </w:r>
    </w:p>
    <w:p w:rsidR="00011C3B" w:rsidRPr="008D6376" w:rsidRDefault="00011C3B" w:rsidP="00011C3B">
      <w:pPr>
        <w:spacing w:after="0"/>
        <w:rPr>
          <w:rFonts w:cs="Times New Roman"/>
        </w:rPr>
      </w:pPr>
    </w:p>
    <w:p w:rsidR="00011C3B" w:rsidRDefault="006165EA" w:rsidP="00495C8B">
      <w:pPr>
        <w:pStyle w:val="Listaszerbekezds"/>
        <w:numPr>
          <w:ilvl w:val="0"/>
          <w:numId w:val="49"/>
        </w:numPr>
        <w:suppressAutoHyphens w:val="0"/>
        <w:spacing w:after="0"/>
        <w:rPr>
          <w:rFonts w:cs="Times New Roman"/>
        </w:rPr>
      </w:pPr>
      <w:r w:rsidRPr="00B02C7D">
        <w:rPr>
          <w:rFonts w:cs="Times New Roman"/>
        </w:rPr>
        <w:t xml:space="preserve">A </w:t>
      </w:r>
      <w:r w:rsidRPr="000618B3">
        <w:rPr>
          <w:rFonts w:cs="Times New Roman"/>
          <w:b/>
        </w:rPr>
        <w:t>mezőga</w:t>
      </w:r>
      <w:r>
        <w:rPr>
          <w:rFonts w:cs="Times New Roman"/>
          <w:b/>
        </w:rPr>
        <w:t>zdasági energiafelhasználás megú</w:t>
      </w:r>
      <w:r w:rsidRPr="000618B3">
        <w:rPr>
          <w:rFonts w:cs="Times New Roman"/>
          <w:b/>
        </w:rPr>
        <w:t>juló energiaforrásokból történő előállításához nyújtandó támogatás</w:t>
      </w:r>
      <w:r>
        <w:rPr>
          <w:rFonts w:cs="Times New Roman"/>
        </w:rPr>
        <w:t xml:space="preserve"> (kazán csere), </w:t>
      </w:r>
      <w:r w:rsidRPr="000618B3">
        <w:rPr>
          <w:rFonts w:cs="Times New Roman"/>
        </w:rPr>
        <w:t>biomassza kazánok beszerzéséhez nyújtott támogatás</w:t>
      </w:r>
      <w:r>
        <w:rPr>
          <w:rFonts w:cs="Times New Roman"/>
        </w:rPr>
        <w:t>t.</w:t>
      </w:r>
      <w:r w:rsidRPr="000618B3">
        <w:rPr>
          <w:rFonts w:cs="Times New Roman"/>
        </w:rPr>
        <w:t xml:space="preserve"> </w:t>
      </w:r>
      <w:r>
        <w:rPr>
          <w:rFonts w:cs="Times New Roman"/>
        </w:rPr>
        <w:t xml:space="preserve">A jogcím a </w:t>
      </w:r>
      <w:r w:rsidRPr="00B02C7D">
        <w:rPr>
          <w:rFonts w:cs="Times New Roman"/>
        </w:rPr>
        <w:t>Program során egyszer került meghirdetésre a 2007. évben. A támogatás célja a mezőgazdaságban a megújuló energiaforrások kiterjedt használatának elősegítése, valamint a termelők fosszilis energiafüggőségének mérséklése</w:t>
      </w:r>
      <w:r>
        <w:rPr>
          <w:rFonts w:cs="Times New Roman"/>
        </w:rPr>
        <w:t>.</w:t>
      </w:r>
    </w:p>
    <w:p w:rsidR="00011C3B" w:rsidRPr="00B02C7D" w:rsidRDefault="00011C3B" w:rsidP="00011C3B">
      <w:pPr>
        <w:pStyle w:val="Listaszerbekezds"/>
        <w:spacing w:after="0"/>
        <w:rPr>
          <w:rFonts w:cs="Times New Roman"/>
        </w:rPr>
      </w:pPr>
    </w:p>
    <w:p w:rsidR="00011C3B" w:rsidRDefault="00011C3B" w:rsidP="00495C8B">
      <w:pPr>
        <w:pStyle w:val="Listaszerbekezds"/>
        <w:numPr>
          <w:ilvl w:val="0"/>
          <w:numId w:val="49"/>
        </w:numPr>
        <w:suppressAutoHyphens w:val="0"/>
        <w:spacing w:after="0"/>
        <w:rPr>
          <w:rFonts w:cs="Times New Roman"/>
        </w:rPr>
      </w:pPr>
      <w:r>
        <w:rPr>
          <w:rFonts w:cs="Times New Roman"/>
        </w:rPr>
        <w:t xml:space="preserve">A </w:t>
      </w:r>
      <w:r w:rsidRPr="00990A9B">
        <w:rPr>
          <w:rFonts w:cs="Times New Roman"/>
          <w:b/>
        </w:rPr>
        <w:t>GAZDANet program</w:t>
      </w:r>
      <w:r>
        <w:rPr>
          <w:rFonts w:cs="Times New Roman"/>
        </w:rPr>
        <w:t xml:space="preserve"> keretében a 0-4 EUME közötti üzemmérettel rendelkező mezőgazdasági termelők internet csatlakozásra alkalmas konfiguráció (asztali számítógép, laptop) beszerzéséhez igényelhettek támogatást. A jogcím 2012-ben első alkalommal került meghirdetésre. A GAZDANet program lebonyolítása a </w:t>
      </w:r>
      <w:r w:rsidRPr="003026EB">
        <w:rPr>
          <w:rFonts w:cs="Times New Roman"/>
        </w:rPr>
        <w:t>Nemzeti Agrárszaktanácsadási, Képzési és Vidékfejlesztési Intézet (NAKVI) közreműködésével történik.</w:t>
      </w:r>
    </w:p>
    <w:p w:rsidR="00011C3B" w:rsidRPr="008D6376" w:rsidRDefault="00011C3B" w:rsidP="00011C3B">
      <w:pPr>
        <w:pStyle w:val="Listaszerbekezds"/>
        <w:rPr>
          <w:rFonts w:cs="Times New Roman"/>
        </w:rPr>
      </w:pPr>
    </w:p>
    <w:p w:rsidR="00011C3B" w:rsidRDefault="00011C3B" w:rsidP="00495C8B">
      <w:pPr>
        <w:pStyle w:val="Listaszerbekezds"/>
        <w:numPr>
          <w:ilvl w:val="0"/>
          <w:numId w:val="49"/>
        </w:numPr>
        <w:suppressAutoHyphens w:val="0"/>
        <w:spacing w:after="0"/>
        <w:rPr>
          <w:rFonts w:cs="Times New Roman"/>
        </w:rPr>
      </w:pPr>
      <w:r w:rsidRPr="00DF531A">
        <w:rPr>
          <w:rFonts w:cs="Times New Roman"/>
          <w:b/>
        </w:rPr>
        <w:t>Önálló, építéssel nem járó gépek, technológiai berendezések beszerzéséhez nyújtott támogatás</w:t>
      </w:r>
      <w:r w:rsidRPr="00DF531A">
        <w:rPr>
          <w:rFonts w:cs="Times New Roman"/>
        </w:rPr>
        <w:t xml:space="preserve"> célja a mezőgazdasági gépállomány korösszetételének javítása, energiatakarékos gépek és technológiai berendezések beszerzése révén. A jogcím 2007-ben és 2009-ben került meghirdetésre.</w:t>
      </w:r>
    </w:p>
    <w:p w:rsidR="00011C3B" w:rsidRDefault="00011C3B" w:rsidP="00011C3B">
      <w:pPr>
        <w:pStyle w:val="Listaszerbekezds"/>
        <w:rPr>
          <w:rFonts w:cs="Times New Roman"/>
        </w:rPr>
      </w:pPr>
    </w:p>
    <w:p w:rsidR="00011C3B" w:rsidRPr="000F0202" w:rsidRDefault="00011C3B" w:rsidP="00011C3B">
      <w:pPr>
        <w:rPr>
          <w:rFonts w:cs="Times New Roman"/>
        </w:rPr>
      </w:pPr>
      <w:r w:rsidRPr="000F0202">
        <w:rPr>
          <w:rFonts w:cs="Times New Roman"/>
        </w:rPr>
        <w:t xml:space="preserve">Az </w:t>
      </w:r>
      <w:r w:rsidRPr="000F0202">
        <w:rPr>
          <w:rFonts w:cs="Times New Roman"/>
          <w:b/>
        </w:rPr>
        <w:t xml:space="preserve">erdők gazdasági értékének </w:t>
      </w:r>
      <w:r w:rsidR="00F40A58">
        <w:rPr>
          <w:rFonts w:cs="Times New Roman"/>
          <w:b/>
        </w:rPr>
        <w:t xml:space="preserve">javítása </w:t>
      </w:r>
      <w:r w:rsidRPr="000F0202">
        <w:rPr>
          <w:rFonts w:cs="Times New Roman"/>
        </w:rPr>
        <w:t xml:space="preserve">intézkedéshez 2 alintézkedés tartozik. </w:t>
      </w:r>
    </w:p>
    <w:p w:rsidR="00011C3B" w:rsidRDefault="00011C3B" w:rsidP="00495C8B">
      <w:pPr>
        <w:pStyle w:val="Listaszerbekezds"/>
        <w:numPr>
          <w:ilvl w:val="0"/>
          <w:numId w:val="50"/>
        </w:numPr>
        <w:suppressAutoHyphens w:val="0"/>
        <w:spacing w:after="0"/>
        <w:rPr>
          <w:rFonts w:cs="Times New Roman"/>
        </w:rPr>
      </w:pPr>
      <w:r w:rsidRPr="00AF2BB3">
        <w:rPr>
          <w:rFonts w:cs="Times New Roman"/>
          <w:b/>
        </w:rPr>
        <w:t>Az erdészeti célra használt géppark fejlesztéséhez és korszerűsítéséhez</w:t>
      </w:r>
      <w:r w:rsidRPr="000F0202">
        <w:rPr>
          <w:rFonts w:cs="Times New Roman"/>
        </w:rPr>
        <w:t xml:space="preserve"> nyújtandó támogatások célja az</w:t>
      </w:r>
      <w:r w:rsidRPr="000F0202">
        <w:t xml:space="preserve"> </w:t>
      </w:r>
      <w:r w:rsidRPr="000F0202">
        <w:rPr>
          <w:rFonts w:cs="Times New Roman"/>
        </w:rPr>
        <w:t>erdészeti ágazat technológiai színvonalának javítása, a géppark fejlesztése és korszerűsítése. A jogcím 2008-ban és 2010-ben került meghirdetésre.</w:t>
      </w:r>
      <w:r>
        <w:rPr>
          <w:rFonts w:cs="Times New Roman"/>
        </w:rPr>
        <w:t xml:space="preserve"> </w:t>
      </w:r>
    </w:p>
    <w:p w:rsidR="00011C3B" w:rsidRPr="000F0202" w:rsidRDefault="00011C3B" w:rsidP="00011C3B">
      <w:pPr>
        <w:pStyle w:val="Listaszerbekezds"/>
        <w:spacing w:after="0"/>
        <w:rPr>
          <w:rFonts w:cs="Times New Roman"/>
        </w:rPr>
      </w:pPr>
    </w:p>
    <w:p w:rsidR="00011C3B" w:rsidRDefault="00011C3B" w:rsidP="00495C8B">
      <w:pPr>
        <w:pStyle w:val="Listaszerbekezds"/>
        <w:numPr>
          <w:ilvl w:val="0"/>
          <w:numId w:val="50"/>
        </w:numPr>
        <w:suppressAutoHyphens w:val="0"/>
        <w:spacing w:after="0"/>
        <w:rPr>
          <w:rFonts w:cs="Times New Roman"/>
        </w:rPr>
      </w:pPr>
      <w:r w:rsidRPr="00AF2BB3">
        <w:rPr>
          <w:rFonts w:cs="Times New Roman"/>
          <w:b/>
        </w:rPr>
        <w:t>A fiatal erdők állományneveléséhez nyújtandó támogatások</w:t>
      </w:r>
      <w:r w:rsidRPr="000F0202">
        <w:rPr>
          <w:rFonts w:cs="Times New Roman"/>
        </w:rPr>
        <w:t xml:space="preserve"> keretében 2012-ben első alkalommal nyílt lehetőségük az erdőgazdálkod</w:t>
      </w:r>
      <w:r w:rsidR="006165EA">
        <w:rPr>
          <w:rFonts w:cs="Times New Roman"/>
        </w:rPr>
        <w:t>óknak az erdők gazdasági értéké</w:t>
      </w:r>
      <w:r w:rsidRPr="000F0202">
        <w:rPr>
          <w:rFonts w:cs="Times New Roman"/>
        </w:rPr>
        <w:t>t növelő ápolás, tisztítás és törzsnyesés kapcsán támogatás igénylésére.</w:t>
      </w:r>
    </w:p>
    <w:p w:rsidR="00011C3B" w:rsidRPr="00067957" w:rsidRDefault="00011C3B" w:rsidP="00011C3B">
      <w:pPr>
        <w:spacing w:after="0"/>
        <w:rPr>
          <w:rFonts w:cs="Times New Roman"/>
        </w:rPr>
      </w:pPr>
    </w:p>
    <w:p w:rsidR="00011C3B" w:rsidRDefault="00011C3B" w:rsidP="004869BB">
      <w:r w:rsidRPr="000F0202">
        <w:t xml:space="preserve">A </w:t>
      </w:r>
      <w:r w:rsidRPr="000F0202">
        <w:rPr>
          <w:b/>
        </w:rPr>
        <w:t>mez</w:t>
      </w:r>
      <w:r w:rsidR="00AF2BB3">
        <w:rPr>
          <w:b/>
        </w:rPr>
        <w:t xml:space="preserve">őgazdaság és erdészet fejlesztéséhez és korszerűsítéséhez kapcsolódó </w:t>
      </w:r>
      <w:r w:rsidRPr="000F0202">
        <w:rPr>
          <w:b/>
        </w:rPr>
        <w:t>infrastruktúra fejlesztés</w:t>
      </w:r>
      <w:r w:rsidRPr="000F0202">
        <w:t xml:space="preserve"> intézkedés kapcsán </w:t>
      </w:r>
      <w:r>
        <w:t xml:space="preserve">a Program végrehajtása során az </w:t>
      </w:r>
      <w:r w:rsidRPr="000F0202">
        <w:t>öntözés, a melioráció és a területi vízgazdálkodás mezőgazdasági üzemi és közösségi létesítményeinek fejlesztésére</w:t>
      </w:r>
      <w:r>
        <w:t xml:space="preserve"> már </w:t>
      </w:r>
      <w:r w:rsidR="006165EA">
        <w:t>harmadik</w:t>
      </w:r>
      <w:r>
        <w:t xml:space="preserve"> alkalommal</w:t>
      </w:r>
      <w:r w:rsidRPr="000F0202">
        <w:t xml:space="preserve">, valamint a mezőgazdasági utak fejlesztésére </w:t>
      </w:r>
      <w:r>
        <w:t xml:space="preserve">2. alkalommal </w:t>
      </w:r>
      <w:r w:rsidRPr="000F0202">
        <w:t>lehetett 2012-ben támogatást igényelni.</w:t>
      </w:r>
      <w:r>
        <w:t xml:space="preserve"> A </w:t>
      </w:r>
    </w:p>
    <w:p w:rsidR="00011C3B" w:rsidRPr="000F0202" w:rsidRDefault="00011C3B" w:rsidP="00011C3B">
      <w:pPr>
        <w:rPr>
          <w:rFonts w:cs="Times New Roman"/>
        </w:rPr>
      </w:pPr>
      <w:r w:rsidRPr="000F0202">
        <w:rPr>
          <w:rFonts w:cs="Times New Roman"/>
        </w:rPr>
        <w:lastRenderedPageBreak/>
        <w:t>A</w:t>
      </w:r>
      <w:r w:rsidR="00AF2BB3">
        <w:rPr>
          <w:rFonts w:cs="Times New Roman"/>
        </w:rPr>
        <w:t xml:space="preserve"> </w:t>
      </w:r>
      <w:r w:rsidR="00AF2BB3" w:rsidRPr="00AF2BB3">
        <w:rPr>
          <w:rFonts w:cs="Times New Roman"/>
          <w:b/>
        </w:rPr>
        <w:t>közösségi jogszabályokon alapuló előírások betartása</w:t>
      </w:r>
      <w:r w:rsidR="00AF2BB3">
        <w:rPr>
          <w:rFonts w:cs="Times New Roman"/>
        </w:rPr>
        <w:t>,</w:t>
      </w:r>
      <w:r w:rsidRPr="000F0202">
        <w:rPr>
          <w:rFonts w:cs="Times New Roman"/>
        </w:rPr>
        <w:t xml:space="preserve"> </w:t>
      </w:r>
      <w:r w:rsidRPr="00AF2BB3">
        <w:rPr>
          <w:rFonts w:cs="Times New Roman"/>
        </w:rPr>
        <w:t>juh és kecske állatállomány elektronikus jelölése</w:t>
      </w:r>
      <w:r w:rsidRPr="000F0202">
        <w:rPr>
          <w:rFonts w:cs="Times New Roman"/>
        </w:rPr>
        <w:t xml:space="preserve"> intézkedés kapcsán elektronikus egyedi jelölőeszközök beszerzésének utólagos megtérítéséhez vehetnek igénybe támogatást az állattartók. Támogatást igényelni először 2011-ben lehetett, </w:t>
      </w:r>
      <w:r>
        <w:rPr>
          <w:rFonts w:cs="Times New Roman"/>
        </w:rPr>
        <w:t xml:space="preserve">ezt követően </w:t>
      </w:r>
      <w:r w:rsidRPr="000F0202">
        <w:rPr>
          <w:rFonts w:cs="Times New Roman"/>
        </w:rPr>
        <w:t>2012-ben</w:t>
      </w:r>
      <w:r>
        <w:rPr>
          <w:rFonts w:cs="Times New Roman"/>
        </w:rPr>
        <w:t xml:space="preserve"> </w:t>
      </w:r>
      <w:r w:rsidR="00AF2BB3">
        <w:rPr>
          <w:rFonts w:cs="Times New Roman"/>
        </w:rPr>
        <w:t>két</w:t>
      </w:r>
      <w:r w:rsidRPr="000F0202">
        <w:rPr>
          <w:rFonts w:cs="Times New Roman"/>
        </w:rPr>
        <w:t xml:space="preserve"> kérelem benyújtási időszak került meghirdetésre.</w:t>
      </w:r>
      <w:r>
        <w:rPr>
          <w:rFonts w:cs="Times New Roman"/>
        </w:rPr>
        <w:t xml:space="preserve"> Az intézkedés révén több ezer juh- és kecsketartó részesült támogatásban.</w:t>
      </w:r>
    </w:p>
    <w:p w:rsidR="00011C3B" w:rsidRPr="00E63C68" w:rsidRDefault="00011C3B" w:rsidP="004869BB">
      <w:r w:rsidRPr="000F0202">
        <w:rPr>
          <w:b/>
        </w:rPr>
        <w:t>Termelői csoportok létrehozás</w:t>
      </w:r>
      <w:r w:rsidR="00AF2BB3">
        <w:rPr>
          <w:b/>
        </w:rPr>
        <w:t>ának támogatás</w:t>
      </w:r>
      <w:r w:rsidR="00EE7A01">
        <w:rPr>
          <w:b/>
        </w:rPr>
        <w:t>a</w:t>
      </w:r>
      <w:r w:rsidRPr="000F0202">
        <w:t xml:space="preserve"> intézkedés célja, hogy elősegítse a termelői csoportok tagjai termelésének és teljesítményének a piaci követelményekhez való igazítását, az áruk közös forgalmazását. A támogatást elismert termelői csoportok vehetik igénybe. A jogcím </w:t>
      </w:r>
      <w:r>
        <w:t xml:space="preserve">2007 óta több alkalommal nyílt meg és </w:t>
      </w:r>
      <w:r w:rsidRPr="000F0202">
        <w:t xml:space="preserve">2012-ben </w:t>
      </w:r>
      <w:r>
        <w:t xml:space="preserve">is </w:t>
      </w:r>
      <w:r w:rsidRPr="000F0202">
        <w:t>meghirdetésre került.</w:t>
      </w:r>
    </w:p>
    <w:p w:rsidR="00011C3B" w:rsidRPr="00EE7A01" w:rsidRDefault="00011C3B" w:rsidP="00EE7A01">
      <w:pPr>
        <w:rPr>
          <w:szCs w:val="22"/>
        </w:rPr>
      </w:pPr>
      <w:r w:rsidRPr="00CC7190">
        <w:t xml:space="preserve">Az </w:t>
      </w:r>
      <w:r w:rsidRPr="00CC7190">
        <w:rPr>
          <w:b/>
          <w:i/>
        </w:rPr>
        <w:t>előző programozási időszakról áthúzódó támogatási jogcímek</w:t>
      </w:r>
      <w:r w:rsidRPr="00CC7190">
        <w:t xml:space="preserve"> közé tartozik </w:t>
      </w:r>
      <w:r w:rsidRPr="00CC7190">
        <w:rPr>
          <w:b/>
        </w:rPr>
        <w:t>a</w:t>
      </w:r>
      <w:r w:rsidR="00CC0E30" w:rsidRPr="00CC7190">
        <w:rPr>
          <w:b/>
        </w:rPr>
        <w:t>z EU környezetvédelmi, állatjóléti és higiéniai követelményeinek való megfelelés támogatása, a Szerkezetátalakítás alatt álló félig önellátó gazdaságok támogatása és a</w:t>
      </w:r>
      <w:r w:rsidRPr="00CC7190">
        <w:rPr>
          <w:b/>
        </w:rPr>
        <w:t xml:space="preserve"> </w:t>
      </w:r>
      <w:r w:rsidR="00EE7A01" w:rsidRPr="00CC7190">
        <w:rPr>
          <w:b/>
        </w:rPr>
        <w:t>Termelői csoportok létrehozásához és működéséhez nyújtandó támogatás</w:t>
      </w:r>
      <w:r w:rsidRPr="00CC7190">
        <w:rPr>
          <w:b/>
        </w:rPr>
        <w:t>,</w:t>
      </w:r>
      <w:r w:rsidRPr="00CC7190">
        <w:t xml:space="preserve"> mely </w:t>
      </w:r>
      <w:r w:rsidR="00EE7A01" w:rsidRPr="00CC7190">
        <w:t xml:space="preserve">esetében </w:t>
      </w:r>
      <w:r w:rsidRPr="00CC7190">
        <w:t>az NVT-ről áthúzódó kötelezettségek kerülnek kifizetésre</w:t>
      </w:r>
      <w:r w:rsidR="00EE7A01" w:rsidRPr="00CC7190">
        <w:t xml:space="preserve"> a Program forrásai terhére</w:t>
      </w:r>
      <w:r w:rsidRPr="00CC7190">
        <w:t>.</w:t>
      </w:r>
      <w:r w:rsidRPr="00E63C68">
        <w:t xml:space="preserve"> </w:t>
      </w:r>
    </w:p>
    <w:p w:rsidR="00011C3B" w:rsidRDefault="00011C3B" w:rsidP="00011C3B">
      <w:pPr>
        <w:pStyle w:val="bra-cmebra"/>
      </w:pPr>
      <w:r w:rsidRPr="00F35797">
        <w:t>ábra</w:t>
      </w:r>
      <w:r w:rsidR="00673DDE">
        <w:t xml:space="preserve">: </w:t>
      </w:r>
      <w:r>
        <w:t>I. tengely 2012. évi kifizetéseinek megyénkénti eloszlása</w:t>
      </w:r>
    </w:p>
    <w:p w:rsidR="00CC7190" w:rsidRDefault="00CC7190" w:rsidP="00011C3B">
      <w:pPr>
        <w:pStyle w:val="j-bracm"/>
      </w:pPr>
      <w:r>
        <w:rPr>
          <w:noProof/>
        </w:rPr>
        <w:drawing>
          <wp:inline distT="0" distB="0" distL="0" distR="0" wp14:anchorId="189AD680" wp14:editId="0723B40F">
            <wp:extent cx="5759450" cy="3601845"/>
            <wp:effectExtent l="0" t="0" r="0" b="0"/>
            <wp:docPr id="3" name="Kép 3" descr="C:\Users\HullaiB\AppData\Local\Microsoft\Windows\Temporary Internet Files\Content.Outlook\VXZSLSDC\kifiz 1 t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llaiB\AppData\Local\Microsoft\Windows\Temporary Internet Files\Content.Outlook\VXZSLSDC\kifiz 1 tg.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601845"/>
                    </a:xfrm>
                    <a:prstGeom prst="rect">
                      <a:avLst/>
                    </a:prstGeom>
                    <a:noFill/>
                    <a:ln>
                      <a:noFill/>
                    </a:ln>
                  </pic:spPr>
                </pic:pic>
              </a:graphicData>
            </a:graphic>
          </wp:inline>
        </w:drawing>
      </w:r>
    </w:p>
    <w:p w:rsidR="00011C3B" w:rsidRDefault="00011C3B" w:rsidP="00011C3B">
      <w:pPr>
        <w:pStyle w:val="Normlforrs"/>
      </w:pPr>
      <w:r w:rsidRPr="00A07A0D">
        <w:t>Forrás: MVH</w:t>
      </w:r>
    </w:p>
    <w:p w:rsidR="00011C3B" w:rsidRPr="00896E03" w:rsidRDefault="00011C3B" w:rsidP="00DB48A3">
      <w:pPr>
        <w:pStyle w:val="Cmsor3"/>
      </w:pPr>
      <w:bookmarkStart w:id="216" w:name="_Toc297548934"/>
      <w:bookmarkStart w:id="217" w:name="_Toc297549725"/>
      <w:bookmarkStart w:id="218" w:name="_Toc232213997"/>
      <w:bookmarkStart w:id="219" w:name="_Toc261596923"/>
      <w:bookmarkEnd w:id="216"/>
      <w:bookmarkEnd w:id="217"/>
      <w:r w:rsidRPr="00896E03">
        <w:br w:type="page"/>
      </w:r>
      <w:bookmarkStart w:id="220" w:name="_Toc328638702"/>
      <w:bookmarkStart w:id="221" w:name="_Toc360176792"/>
      <w:r w:rsidRPr="00896E03">
        <w:lastRenderedPageBreak/>
        <w:t>Szakképzési és tájékoztatási tevékenységek intézkedés (111) rövid bemutatása</w:t>
      </w:r>
      <w:bookmarkEnd w:id="220"/>
      <w:bookmarkEnd w:id="221"/>
    </w:p>
    <w:p w:rsidR="00011C3B" w:rsidRPr="008951EE" w:rsidRDefault="00011C3B" w:rsidP="004869BB">
      <w:r w:rsidRPr="008951EE">
        <w:t>Az intézkedés általános célja az agrárágazatban dolgozók szaktudásának növelése annak érdekében, hogy versenyképességük és gazdálkodásuk fenntarthatósága javuljon.</w:t>
      </w:r>
    </w:p>
    <w:p w:rsidR="00011C3B" w:rsidRPr="008951EE" w:rsidRDefault="00011C3B" w:rsidP="004869BB">
      <w:r w:rsidRPr="008951EE">
        <w:t>Az intézkedés három alintézkedést foglal magában:</w:t>
      </w:r>
    </w:p>
    <w:p w:rsidR="00011C3B" w:rsidRPr="00604B6F" w:rsidRDefault="00011C3B" w:rsidP="00F413AA">
      <w:r w:rsidRPr="00604B6F">
        <w:t xml:space="preserve">Komplex </w:t>
      </w:r>
      <w:r w:rsidRPr="00AB7EB6">
        <w:t>tájékoztatási</w:t>
      </w:r>
      <w:r w:rsidRPr="00604B6F">
        <w:t xml:space="preserve"> tevékenység: gazdálkodói információs szolgálat alintézkedés 2007-ben indult, az </w:t>
      </w:r>
      <w:r w:rsidRPr="00EE7A01">
        <w:rPr>
          <w:b/>
        </w:rPr>
        <w:t>Általános agrárpolitikai és ügyfélszolgálati tájékoztatás</w:t>
      </w:r>
      <w:r w:rsidRPr="00604B6F">
        <w:t xml:space="preserve"> jogcím</w:t>
      </w:r>
      <w:r w:rsidR="00EE7A01">
        <w:t xml:space="preserve"> keretében</w:t>
      </w:r>
      <w:r w:rsidRPr="00604B6F">
        <w:t>.</w:t>
      </w:r>
      <w:r w:rsidR="00EE7A01">
        <w:t xml:space="preserve"> </w:t>
      </w:r>
      <w:r w:rsidRPr="00604B6F">
        <w:t xml:space="preserve">A jogcím </w:t>
      </w:r>
      <w:r w:rsidRPr="00AB7EB6">
        <w:t>kizárólagos</w:t>
      </w:r>
      <w:r w:rsidRPr="00604B6F">
        <w:t xml:space="preserve"> jogosultja a Magyar Agrárkamara, mely közbeszerzési eljárás útján került kiválasztásra. Ennek eredményeképpen 2007. november 30-án Hatósági Szerződés jött létre az MVH és a Magyar Agrárkamara között, melyben a Kamara 2013. december 31-ig vállalja a regisztrált mezőgazdasági termelők ingyenes tájékoztatását a Közös Agrárpolitika (KAP) által biztosított lehetőségekről, illetve az ahhoz kapcsolódó kötelezettségekről.</w:t>
      </w:r>
    </w:p>
    <w:p w:rsidR="00011C3B" w:rsidRPr="00604B6F" w:rsidRDefault="00011C3B" w:rsidP="00F413AA">
      <w:r w:rsidRPr="00604B6F">
        <w:t xml:space="preserve">Az </w:t>
      </w:r>
      <w:r w:rsidRPr="00EE7A01">
        <w:rPr>
          <w:b/>
        </w:rPr>
        <w:t>Innovatív technológiák elterjesztése bemutató-üzemi projektek útján gazdaságokban és erdészetekben</w:t>
      </w:r>
      <w:r w:rsidRPr="00604B6F">
        <w:t xml:space="preserve"> </w:t>
      </w:r>
      <w:r w:rsidRPr="003E69B6">
        <w:t>alintézkedés indítása</w:t>
      </w:r>
      <w:r w:rsidR="00EE7A01">
        <w:t xml:space="preserve"> áthúzódott 2013-ra</w:t>
      </w:r>
      <w:r w:rsidRPr="00604B6F">
        <w:t xml:space="preserve">. </w:t>
      </w:r>
      <w:r w:rsidRPr="00604B6F">
        <w:rPr>
          <w:bCs/>
        </w:rPr>
        <w:t>A hazai mezőgazdaságnak szüksége van azon beruházási támogatásokra, mely</w:t>
      </w:r>
      <w:r w:rsidR="00EE7A01">
        <w:rPr>
          <w:bCs/>
        </w:rPr>
        <w:t>ek</w:t>
      </w:r>
      <w:r w:rsidRPr="00604B6F">
        <w:rPr>
          <w:bCs/>
        </w:rPr>
        <w:t xml:space="preserve"> lehetővé teszik a műszaki, technológiai és gazdaságossági fejlesztéseket. Ezen fejlesztések alapkövei az új innovatív technológiák bevezetésének és a minőségi termékek gazdaságos előállításának. </w:t>
      </w:r>
      <w:r w:rsidR="006165EA">
        <w:rPr>
          <w:bCs/>
        </w:rPr>
        <w:t>A jogcím keretében megszervezésre kerülő üzemi bemutatók megismertetik a gazdálkodókat az új technológiákkal, és ösztönzően hatnak azok bevezetésére.</w:t>
      </w:r>
    </w:p>
    <w:p w:rsidR="00011C3B" w:rsidRDefault="00011C3B" w:rsidP="00F413AA">
      <w:r w:rsidRPr="00604B6F">
        <w:t xml:space="preserve">A </w:t>
      </w:r>
      <w:r w:rsidRPr="00EE7A01">
        <w:rPr>
          <w:b/>
        </w:rPr>
        <w:t xml:space="preserve">Mezőgazdasághoz és erdőgazdálkodáshoz kapcsolódó </w:t>
      </w:r>
      <w:r w:rsidR="00EE7A01" w:rsidRPr="00EE7A01">
        <w:rPr>
          <w:b/>
        </w:rPr>
        <w:t xml:space="preserve">szakmai </w:t>
      </w:r>
      <w:r w:rsidRPr="00EE7A01">
        <w:rPr>
          <w:b/>
        </w:rPr>
        <w:t>képzések</w:t>
      </w:r>
      <w:r w:rsidRPr="00604B6F">
        <w:t xml:space="preserve"> alintézkedés 2008. október hónapban indult el a Program I. és II. intézkedéscsoportjához kapcsolódó képzések tárgyában nyújtandó támogatások jogcímmel.</w:t>
      </w:r>
      <w:r>
        <w:t xml:space="preserve"> </w:t>
      </w:r>
    </w:p>
    <w:p w:rsidR="00011C3B" w:rsidRPr="00604B6F" w:rsidRDefault="007E5FDF" w:rsidP="002B6CB3">
      <w:pPr>
        <w:pStyle w:val="bra-cmetbla"/>
      </w:pPr>
      <w:fldSimple w:instr=" SEQ táblázat \* ARABIC ">
        <w:r w:rsidR="00E5031F">
          <w:rPr>
            <w:noProof/>
          </w:rPr>
          <w:t>16</w:t>
        </w:r>
      </w:fldSimple>
      <w:r w:rsidR="00673DDE">
        <w:t xml:space="preserve">. táblázat: </w:t>
      </w:r>
      <w:r w:rsidR="00011C3B" w:rsidRPr="00604B6F">
        <w:t xml:space="preserve">A Szakképzési és tájékoztatási tevékenységek intézkedés </w:t>
      </w:r>
      <w:r w:rsidR="00EE7A01">
        <w:t xml:space="preserve">(111) </w:t>
      </w:r>
      <w:r w:rsidR="00011C3B" w:rsidRPr="00604B6F">
        <w:t xml:space="preserve">indikátorainak megvalósulása </w:t>
      </w:r>
    </w:p>
    <w:tbl>
      <w:tblPr>
        <w:tblW w:w="54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
        <w:gridCol w:w="5876"/>
        <w:gridCol w:w="1749"/>
        <w:gridCol w:w="1749"/>
      </w:tblGrid>
      <w:tr w:rsidR="00011C3B" w:rsidRPr="004677FF" w:rsidTr="00011C3B">
        <w:trPr>
          <w:cantSplit/>
          <w:tblHeader/>
          <w:jc w:val="center"/>
        </w:trPr>
        <w:tc>
          <w:tcPr>
            <w:tcW w:w="299" w:type="pct"/>
            <w:shd w:val="clear" w:color="auto" w:fill="B3B3B3"/>
          </w:tcPr>
          <w:p w:rsidR="00011C3B" w:rsidRPr="004677FF" w:rsidRDefault="00011C3B" w:rsidP="00011C3B">
            <w:pPr>
              <w:spacing w:after="0"/>
              <w:jc w:val="center"/>
              <w:rPr>
                <w:b/>
                <w:sz w:val="20"/>
                <w:szCs w:val="20"/>
              </w:rPr>
            </w:pPr>
          </w:p>
        </w:tc>
        <w:tc>
          <w:tcPr>
            <w:tcW w:w="2946" w:type="pct"/>
            <w:shd w:val="clear" w:color="auto" w:fill="B3B3B3"/>
            <w:vAlign w:val="center"/>
          </w:tcPr>
          <w:p w:rsidR="00011C3B" w:rsidRPr="00BD037E" w:rsidRDefault="00011C3B" w:rsidP="00BD037E">
            <w:pPr>
              <w:spacing w:after="0"/>
              <w:jc w:val="center"/>
            </w:pPr>
            <w:r w:rsidRPr="00BD037E">
              <w:t>Indikátor leírása</w:t>
            </w:r>
          </w:p>
        </w:tc>
        <w:tc>
          <w:tcPr>
            <w:tcW w:w="877" w:type="pct"/>
            <w:shd w:val="clear" w:color="auto" w:fill="B3B3B3"/>
            <w:noWrap/>
            <w:vAlign w:val="center"/>
          </w:tcPr>
          <w:p w:rsidR="00011C3B" w:rsidRPr="00BD037E" w:rsidRDefault="00011C3B" w:rsidP="00BD037E">
            <w:pPr>
              <w:spacing w:after="0"/>
              <w:jc w:val="center"/>
            </w:pPr>
            <w:r w:rsidRPr="00BD037E">
              <w:t>Program szerinti tervadat</w:t>
            </w:r>
          </w:p>
        </w:tc>
        <w:tc>
          <w:tcPr>
            <w:tcW w:w="877" w:type="pct"/>
            <w:shd w:val="clear" w:color="auto" w:fill="B3B3B3"/>
            <w:vAlign w:val="center"/>
          </w:tcPr>
          <w:p w:rsidR="00011C3B" w:rsidRPr="004677FF" w:rsidRDefault="00011C3B" w:rsidP="00011C3B">
            <w:pPr>
              <w:spacing w:after="0"/>
              <w:jc w:val="center"/>
              <w:rPr>
                <w:b/>
                <w:sz w:val="20"/>
                <w:szCs w:val="20"/>
              </w:rPr>
            </w:pPr>
            <w:r w:rsidRPr="004677FF">
              <w:rPr>
                <w:b/>
                <w:sz w:val="20"/>
                <w:szCs w:val="20"/>
              </w:rPr>
              <w:t>Indikátorok kumulált értéke</w:t>
            </w:r>
          </w:p>
        </w:tc>
      </w:tr>
      <w:tr w:rsidR="00011C3B" w:rsidRPr="004677FF" w:rsidTr="00011C3B">
        <w:trPr>
          <w:cantSplit/>
          <w:jc w:val="center"/>
        </w:trPr>
        <w:tc>
          <w:tcPr>
            <w:tcW w:w="299" w:type="pct"/>
            <w:vMerge w:val="restart"/>
          </w:tcPr>
          <w:p w:rsidR="00011C3B" w:rsidRPr="004677FF" w:rsidRDefault="00011C3B" w:rsidP="00011C3B">
            <w:pPr>
              <w:spacing w:after="0"/>
              <w:rPr>
                <w:sz w:val="20"/>
                <w:szCs w:val="20"/>
              </w:rPr>
            </w:pPr>
            <w:r w:rsidRPr="004677FF">
              <w:rPr>
                <w:sz w:val="20"/>
                <w:szCs w:val="20"/>
              </w:rPr>
              <w:t>O</w:t>
            </w:r>
          </w:p>
        </w:tc>
        <w:tc>
          <w:tcPr>
            <w:tcW w:w="2946" w:type="pct"/>
            <w:shd w:val="clear" w:color="auto" w:fill="auto"/>
            <w:vAlign w:val="center"/>
          </w:tcPr>
          <w:p w:rsidR="00011C3B" w:rsidRPr="004677FF" w:rsidRDefault="00011C3B" w:rsidP="00011C3B">
            <w:pPr>
              <w:spacing w:after="0"/>
              <w:rPr>
                <w:sz w:val="20"/>
                <w:szCs w:val="20"/>
              </w:rPr>
            </w:pPr>
            <w:r w:rsidRPr="004677FF">
              <w:rPr>
                <w:sz w:val="20"/>
                <w:szCs w:val="20"/>
              </w:rPr>
              <w:t>Képzésben résztvevők száma</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115</w:t>
            </w:r>
            <w:r w:rsidR="00EE7A01">
              <w:rPr>
                <w:sz w:val="20"/>
                <w:szCs w:val="20"/>
                <w:lang w:val="en-GB"/>
              </w:rPr>
              <w:t> </w:t>
            </w:r>
            <w:r w:rsidRPr="004677FF">
              <w:rPr>
                <w:sz w:val="20"/>
                <w:szCs w:val="20"/>
                <w:lang w:val="en-GB"/>
              </w:rPr>
              <w:t>000</w:t>
            </w:r>
          </w:p>
        </w:tc>
        <w:tc>
          <w:tcPr>
            <w:tcW w:w="877" w:type="pct"/>
          </w:tcPr>
          <w:p w:rsidR="00011C3B" w:rsidRPr="004677FF" w:rsidRDefault="00011C3B" w:rsidP="00011C3B">
            <w:pPr>
              <w:spacing w:after="0"/>
              <w:jc w:val="right"/>
              <w:rPr>
                <w:sz w:val="20"/>
                <w:szCs w:val="20"/>
                <w:lang w:val="en-GB"/>
              </w:rPr>
            </w:pPr>
            <w:r>
              <w:rPr>
                <w:sz w:val="20"/>
                <w:szCs w:val="20"/>
                <w:lang w:val="en-GB"/>
              </w:rPr>
              <w:t>78 489</w:t>
            </w:r>
          </w:p>
        </w:tc>
      </w:tr>
      <w:tr w:rsidR="00011C3B" w:rsidRPr="004677FF" w:rsidTr="00011C3B">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4677FF" w:rsidRDefault="00011C3B" w:rsidP="00011C3B">
            <w:pPr>
              <w:spacing w:after="0"/>
              <w:rPr>
                <w:sz w:val="20"/>
                <w:szCs w:val="20"/>
              </w:rPr>
            </w:pPr>
            <w:r w:rsidRPr="004677FF">
              <w:rPr>
                <w:sz w:val="20"/>
                <w:szCs w:val="20"/>
              </w:rPr>
              <w:t>nem (férfi/nő)</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92</w:t>
            </w:r>
            <w:r w:rsidR="00EE7A01">
              <w:rPr>
                <w:sz w:val="20"/>
                <w:szCs w:val="20"/>
                <w:lang w:val="en-GB"/>
              </w:rPr>
              <w:t> </w:t>
            </w:r>
            <w:r w:rsidRPr="004677FF">
              <w:rPr>
                <w:sz w:val="20"/>
                <w:szCs w:val="20"/>
                <w:lang w:val="en-GB"/>
              </w:rPr>
              <w:t>000/23</w:t>
            </w:r>
            <w:r w:rsidR="00EE7A01">
              <w:rPr>
                <w:sz w:val="20"/>
                <w:szCs w:val="20"/>
                <w:lang w:val="en-GB"/>
              </w:rPr>
              <w:t> </w:t>
            </w:r>
            <w:r w:rsidRPr="004677FF">
              <w:rPr>
                <w:sz w:val="20"/>
                <w:szCs w:val="20"/>
                <w:lang w:val="en-GB"/>
              </w:rPr>
              <w:t>000</w:t>
            </w:r>
          </w:p>
        </w:tc>
        <w:tc>
          <w:tcPr>
            <w:tcW w:w="877" w:type="pct"/>
          </w:tcPr>
          <w:p w:rsidR="00011C3B" w:rsidRPr="004677FF" w:rsidRDefault="00011C3B" w:rsidP="00011C3B">
            <w:pPr>
              <w:spacing w:after="0"/>
              <w:jc w:val="right"/>
              <w:rPr>
                <w:sz w:val="20"/>
                <w:szCs w:val="20"/>
                <w:lang w:val="en-GB"/>
              </w:rPr>
            </w:pPr>
            <w:r>
              <w:rPr>
                <w:sz w:val="20"/>
                <w:szCs w:val="20"/>
                <w:lang w:val="en-GB"/>
              </w:rPr>
              <w:t>58 761/19 728</w:t>
            </w:r>
          </w:p>
        </w:tc>
      </w:tr>
      <w:tr w:rsidR="00011C3B" w:rsidRPr="004677FF" w:rsidTr="00011C3B">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4677FF" w:rsidRDefault="00011C3B" w:rsidP="00011C3B">
            <w:pPr>
              <w:spacing w:after="0"/>
              <w:rPr>
                <w:sz w:val="20"/>
                <w:szCs w:val="20"/>
              </w:rPr>
            </w:pPr>
            <w:r w:rsidRPr="004677FF">
              <w:rPr>
                <w:sz w:val="20"/>
                <w:szCs w:val="20"/>
              </w:rPr>
              <w:t>Korosztály</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 </w:t>
            </w:r>
          </w:p>
        </w:tc>
        <w:tc>
          <w:tcPr>
            <w:tcW w:w="877" w:type="pct"/>
          </w:tcPr>
          <w:p w:rsidR="00011C3B" w:rsidRPr="004677FF" w:rsidRDefault="00011C3B" w:rsidP="00011C3B">
            <w:pPr>
              <w:spacing w:after="0"/>
              <w:jc w:val="right"/>
              <w:rPr>
                <w:sz w:val="20"/>
                <w:szCs w:val="20"/>
                <w:lang w:val="en-GB"/>
              </w:rPr>
            </w:pP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40 év alatt</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72</w:t>
            </w:r>
            <w:r w:rsidR="00EE7A01">
              <w:rPr>
                <w:sz w:val="20"/>
                <w:szCs w:val="20"/>
                <w:lang w:val="en-GB"/>
              </w:rPr>
              <w:t xml:space="preserve"> </w:t>
            </w:r>
            <w:r w:rsidRPr="004677FF">
              <w:rPr>
                <w:sz w:val="20"/>
                <w:szCs w:val="20"/>
                <w:lang w:val="en-GB"/>
              </w:rPr>
              <w:t>450</w:t>
            </w:r>
          </w:p>
        </w:tc>
        <w:tc>
          <w:tcPr>
            <w:tcW w:w="877" w:type="pct"/>
          </w:tcPr>
          <w:p w:rsidR="00011C3B" w:rsidRPr="004677FF" w:rsidRDefault="00011C3B" w:rsidP="00011C3B">
            <w:pPr>
              <w:spacing w:after="0"/>
              <w:jc w:val="right"/>
              <w:rPr>
                <w:sz w:val="20"/>
                <w:szCs w:val="20"/>
                <w:lang w:val="en-GB"/>
              </w:rPr>
            </w:pPr>
            <w:r>
              <w:rPr>
                <w:sz w:val="20"/>
                <w:szCs w:val="20"/>
                <w:lang w:val="en-GB"/>
              </w:rPr>
              <w:t>16 551</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40 éves vagy idősebb</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42</w:t>
            </w:r>
            <w:r w:rsidR="00EE7A01">
              <w:rPr>
                <w:sz w:val="20"/>
                <w:szCs w:val="20"/>
                <w:lang w:val="en-GB"/>
              </w:rPr>
              <w:t xml:space="preserve"> </w:t>
            </w:r>
            <w:r w:rsidRPr="004677FF">
              <w:rPr>
                <w:sz w:val="20"/>
                <w:szCs w:val="20"/>
                <w:lang w:val="en-GB"/>
              </w:rPr>
              <w:t>550</w:t>
            </w:r>
          </w:p>
        </w:tc>
        <w:tc>
          <w:tcPr>
            <w:tcW w:w="877" w:type="pct"/>
          </w:tcPr>
          <w:p w:rsidR="00011C3B" w:rsidRPr="004677FF" w:rsidRDefault="00011C3B" w:rsidP="00011C3B">
            <w:pPr>
              <w:spacing w:after="0"/>
              <w:jc w:val="right"/>
              <w:rPr>
                <w:sz w:val="20"/>
                <w:szCs w:val="20"/>
                <w:lang w:val="en-GB"/>
              </w:rPr>
            </w:pPr>
            <w:r>
              <w:rPr>
                <w:sz w:val="20"/>
                <w:szCs w:val="20"/>
                <w:lang w:val="en-GB"/>
              </w:rPr>
              <w:t>61 938</w:t>
            </w:r>
          </w:p>
        </w:tc>
      </w:tr>
      <w:tr w:rsidR="00011C3B" w:rsidRPr="004677FF" w:rsidTr="00011C3B">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4677FF" w:rsidRDefault="00011C3B" w:rsidP="00011C3B">
            <w:pPr>
              <w:spacing w:after="0"/>
              <w:rPr>
                <w:sz w:val="20"/>
                <w:szCs w:val="20"/>
              </w:rPr>
            </w:pPr>
            <w:r w:rsidRPr="004677FF">
              <w:rPr>
                <w:sz w:val="20"/>
                <w:szCs w:val="20"/>
              </w:rPr>
              <w:t>tevékenységi kör</w:t>
            </w:r>
          </w:p>
        </w:tc>
        <w:tc>
          <w:tcPr>
            <w:tcW w:w="877" w:type="pct"/>
            <w:shd w:val="clear" w:color="auto" w:fill="auto"/>
            <w:noWrap/>
          </w:tcPr>
          <w:p w:rsidR="00011C3B" w:rsidRPr="004677FF" w:rsidRDefault="00011C3B" w:rsidP="00011C3B">
            <w:pPr>
              <w:spacing w:after="0"/>
              <w:jc w:val="right"/>
              <w:rPr>
                <w:sz w:val="20"/>
                <w:szCs w:val="20"/>
                <w:lang w:val="en-GB"/>
              </w:rPr>
            </w:pPr>
          </w:p>
        </w:tc>
        <w:tc>
          <w:tcPr>
            <w:tcW w:w="877" w:type="pct"/>
          </w:tcPr>
          <w:p w:rsidR="00011C3B" w:rsidRPr="004677FF" w:rsidRDefault="00011C3B" w:rsidP="00011C3B">
            <w:pPr>
              <w:spacing w:after="0"/>
              <w:jc w:val="right"/>
              <w:rPr>
                <w:sz w:val="20"/>
                <w:szCs w:val="20"/>
                <w:lang w:val="en-GB"/>
              </w:rPr>
            </w:pPr>
            <w:r>
              <w:rPr>
                <w:sz w:val="20"/>
                <w:szCs w:val="20"/>
                <w:lang w:val="en-GB"/>
              </w:rPr>
              <w:t>78 489</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ügyviteli, igazgatási (könyvelési) és értékesítési szakismeretek</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6</w:t>
            </w:r>
            <w:r w:rsidR="00EE7A01">
              <w:rPr>
                <w:sz w:val="20"/>
                <w:szCs w:val="20"/>
                <w:lang w:val="en-GB"/>
              </w:rPr>
              <w:t xml:space="preserve"> </w:t>
            </w:r>
            <w:r w:rsidRPr="004677FF">
              <w:rPr>
                <w:sz w:val="20"/>
                <w:szCs w:val="20"/>
                <w:lang w:val="en-GB"/>
              </w:rPr>
              <w:t>900</w:t>
            </w:r>
          </w:p>
        </w:tc>
        <w:tc>
          <w:tcPr>
            <w:tcW w:w="877" w:type="pct"/>
          </w:tcPr>
          <w:p w:rsidR="00011C3B" w:rsidRPr="004677FF" w:rsidRDefault="00011C3B" w:rsidP="00011C3B">
            <w:pPr>
              <w:spacing w:after="0"/>
              <w:jc w:val="right"/>
              <w:rPr>
                <w:sz w:val="20"/>
                <w:szCs w:val="20"/>
                <w:lang w:val="en-GB"/>
              </w:rPr>
            </w:pPr>
            <w:r>
              <w:rPr>
                <w:sz w:val="20"/>
                <w:szCs w:val="20"/>
                <w:lang w:val="en-GB"/>
              </w:rPr>
              <w:t>55 618</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ICT (infokommunikációs technológiai) képzés</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7</w:t>
            </w:r>
            <w:r w:rsidR="00EE7A01">
              <w:rPr>
                <w:sz w:val="20"/>
                <w:szCs w:val="20"/>
                <w:lang w:val="en-GB"/>
              </w:rPr>
              <w:t xml:space="preserve"> </w:t>
            </w:r>
            <w:r w:rsidRPr="004677FF">
              <w:rPr>
                <w:sz w:val="20"/>
                <w:szCs w:val="20"/>
                <w:lang w:val="en-GB"/>
              </w:rPr>
              <w:t>000</w:t>
            </w:r>
          </w:p>
        </w:tc>
        <w:tc>
          <w:tcPr>
            <w:tcW w:w="877" w:type="pct"/>
          </w:tcPr>
          <w:p w:rsidR="00011C3B" w:rsidRPr="004677FF" w:rsidRDefault="00011C3B" w:rsidP="00011C3B">
            <w:pPr>
              <w:spacing w:after="0"/>
              <w:jc w:val="right"/>
              <w:rPr>
                <w:sz w:val="20"/>
                <w:szCs w:val="20"/>
                <w:lang w:val="en-GB"/>
              </w:rPr>
            </w:pPr>
            <w:r>
              <w:rPr>
                <w:sz w:val="20"/>
                <w:szCs w:val="20"/>
                <w:lang w:val="en-GB"/>
              </w:rPr>
              <w:t>28</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új technikai eljárások és gépek/innovatív gyakorlatok</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25</w:t>
            </w:r>
            <w:r w:rsidR="00EE7A01">
              <w:rPr>
                <w:sz w:val="20"/>
                <w:szCs w:val="20"/>
                <w:lang w:val="en-GB"/>
              </w:rPr>
              <w:t xml:space="preserve"> </w:t>
            </w:r>
            <w:r w:rsidRPr="004677FF">
              <w:rPr>
                <w:sz w:val="20"/>
                <w:szCs w:val="20"/>
                <w:lang w:val="en-GB"/>
              </w:rPr>
              <w:t>300</w:t>
            </w:r>
          </w:p>
        </w:tc>
        <w:tc>
          <w:tcPr>
            <w:tcW w:w="877" w:type="pct"/>
          </w:tcPr>
          <w:p w:rsidR="00011C3B" w:rsidRPr="004677FF" w:rsidRDefault="00011C3B" w:rsidP="00011C3B">
            <w:pPr>
              <w:spacing w:after="0"/>
              <w:jc w:val="right"/>
              <w:rPr>
                <w:sz w:val="20"/>
                <w:szCs w:val="20"/>
                <w:lang w:val="en-GB"/>
              </w:rPr>
            </w:pPr>
            <w:r>
              <w:rPr>
                <w:sz w:val="20"/>
                <w:szCs w:val="20"/>
                <w:lang w:val="en-GB"/>
              </w:rPr>
              <w:t>2 543</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új szabványok</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11</w:t>
            </w:r>
            <w:r w:rsidR="00EE7A01">
              <w:rPr>
                <w:sz w:val="20"/>
                <w:szCs w:val="20"/>
                <w:lang w:val="en-GB"/>
              </w:rPr>
              <w:t xml:space="preserve"> </w:t>
            </w:r>
            <w:r w:rsidRPr="004677FF">
              <w:rPr>
                <w:sz w:val="20"/>
                <w:szCs w:val="20"/>
                <w:lang w:val="en-GB"/>
              </w:rPr>
              <w:t>500</w:t>
            </w:r>
          </w:p>
        </w:tc>
        <w:tc>
          <w:tcPr>
            <w:tcW w:w="877" w:type="pct"/>
          </w:tcPr>
          <w:p w:rsidR="00011C3B" w:rsidRPr="004677FF" w:rsidRDefault="00011C3B" w:rsidP="00011C3B">
            <w:pPr>
              <w:spacing w:after="0"/>
              <w:jc w:val="right"/>
              <w:rPr>
                <w:sz w:val="20"/>
                <w:szCs w:val="20"/>
                <w:lang w:val="en-GB"/>
              </w:rPr>
            </w:pPr>
            <w:r w:rsidRPr="004677FF">
              <w:rPr>
                <w:sz w:val="20"/>
                <w:szCs w:val="20"/>
                <w:lang w:val="en-GB"/>
              </w:rPr>
              <w:t>0</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termékminőség</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24</w:t>
            </w:r>
            <w:r w:rsidR="00EE7A01">
              <w:rPr>
                <w:sz w:val="20"/>
                <w:szCs w:val="20"/>
                <w:lang w:val="en-GB"/>
              </w:rPr>
              <w:t xml:space="preserve"> </w:t>
            </w:r>
            <w:r w:rsidRPr="004677FF">
              <w:rPr>
                <w:sz w:val="20"/>
                <w:szCs w:val="20"/>
                <w:lang w:val="en-GB"/>
              </w:rPr>
              <w:t>150</w:t>
            </w:r>
          </w:p>
        </w:tc>
        <w:tc>
          <w:tcPr>
            <w:tcW w:w="877" w:type="pct"/>
          </w:tcPr>
          <w:p w:rsidR="00011C3B" w:rsidRPr="004677FF" w:rsidRDefault="00011C3B" w:rsidP="00011C3B">
            <w:pPr>
              <w:spacing w:after="0"/>
              <w:jc w:val="right"/>
              <w:rPr>
                <w:sz w:val="20"/>
                <w:szCs w:val="20"/>
                <w:lang w:val="en-GB"/>
              </w:rPr>
            </w:pPr>
            <w:r w:rsidRPr="004677FF">
              <w:rPr>
                <w:sz w:val="20"/>
                <w:szCs w:val="20"/>
                <w:lang w:val="en-GB"/>
              </w:rPr>
              <w:t>138</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táj- és környezetvédelem</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26</w:t>
            </w:r>
            <w:r w:rsidR="00EE7A01">
              <w:rPr>
                <w:sz w:val="20"/>
                <w:szCs w:val="20"/>
                <w:lang w:val="en-GB"/>
              </w:rPr>
              <w:t xml:space="preserve"> </w:t>
            </w:r>
            <w:r w:rsidRPr="004677FF">
              <w:rPr>
                <w:sz w:val="20"/>
                <w:szCs w:val="20"/>
                <w:lang w:val="en-GB"/>
              </w:rPr>
              <w:t>450</w:t>
            </w:r>
          </w:p>
        </w:tc>
        <w:tc>
          <w:tcPr>
            <w:tcW w:w="877" w:type="pct"/>
          </w:tcPr>
          <w:p w:rsidR="00011C3B" w:rsidRPr="004677FF" w:rsidRDefault="00011C3B" w:rsidP="00011C3B">
            <w:pPr>
              <w:spacing w:after="0"/>
              <w:jc w:val="right"/>
              <w:rPr>
                <w:sz w:val="20"/>
                <w:szCs w:val="20"/>
                <w:lang w:val="en-GB"/>
              </w:rPr>
            </w:pPr>
            <w:r>
              <w:rPr>
                <w:sz w:val="20"/>
                <w:szCs w:val="20"/>
                <w:lang w:val="en-GB"/>
              </w:rPr>
              <w:t>12 990</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egyéb</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13</w:t>
            </w:r>
            <w:r w:rsidR="00EE7A01">
              <w:rPr>
                <w:sz w:val="20"/>
                <w:szCs w:val="20"/>
                <w:lang w:val="en-GB"/>
              </w:rPr>
              <w:t xml:space="preserve"> </w:t>
            </w:r>
            <w:r w:rsidRPr="004677FF">
              <w:rPr>
                <w:sz w:val="20"/>
                <w:szCs w:val="20"/>
                <w:lang w:val="en-GB"/>
              </w:rPr>
              <w:t>700</w:t>
            </w:r>
          </w:p>
        </w:tc>
        <w:tc>
          <w:tcPr>
            <w:tcW w:w="877" w:type="pct"/>
          </w:tcPr>
          <w:p w:rsidR="00011C3B" w:rsidRPr="004677FF" w:rsidRDefault="00011C3B" w:rsidP="00011C3B">
            <w:pPr>
              <w:spacing w:after="0"/>
              <w:jc w:val="right"/>
              <w:rPr>
                <w:sz w:val="20"/>
                <w:szCs w:val="20"/>
                <w:lang w:val="en-GB"/>
              </w:rPr>
            </w:pPr>
            <w:r>
              <w:rPr>
                <w:sz w:val="20"/>
                <w:szCs w:val="20"/>
                <w:lang w:val="en-GB"/>
              </w:rPr>
              <w:t>7 172</w:t>
            </w:r>
          </w:p>
        </w:tc>
      </w:tr>
      <w:tr w:rsidR="00011C3B" w:rsidRPr="004677FF" w:rsidTr="00011C3B">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4677FF" w:rsidRDefault="00011C3B" w:rsidP="00011C3B">
            <w:pPr>
              <w:spacing w:after="0"/>
              <w:rPr>
                <w:sz w:val="20"/>
                <w:szCs w:val="20"/>
              </w:rPr>
            </w:pPr>
            <w:r w:rsidRPr="004677FF">
              <w:rPr>
                <w:sz w:val="20"/>
                <w:szCs w:val="20"/>
              </w:rPr>
              <w:t>résztvevők csoportjai</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 </w:t>
            </w:r>
          </w:p>
        </w:tc>
        <w:tc>
          <w:tcPr>
            <w:tcW w:w="877" w:type="pct"/>
          </w:tcPr>
          <w:p w:rsidR="00011C3B" w:rsidRPr="004677FF" w:rsidRDefault="00011C3B" w:rsidP="00011C3B">
            <w:pPr>
              <w:spacing w:after="0"/>
              <w:jc w:val="right"/>
              <w:rPr>
                <w:sz w:val="20"/>
                <w:szCs w:val="20"/>
                <w:lang w:val="en-GB"/>
              </w:rPr>
            </w:pP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 xml:space="preserve">gazdálkodásban aktív résztvevők </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93</w:t>
            </w:r>
            <w:r w:rsidR="00EE7A01">
              <w:rPr>
                <w:sz w:val="20"/>
                <w:szCs w:val="20"/>
                <w:lang w:val="en-GB"/>
              </w:rPr>
              <w:t xml:space="preserve"> </w:t>
            </w:r>
            <w:r w:rsidRPr="004677FF">
              <w:rPr>
                <w:sz w:val="20"/>
                <w:szCs w:val="20"/>
                <w:lang w:val="en-GB"/>
              </w:rPr>
              <w:t>150</w:t>
            </w:r>
          </w:p>
        </w:tc>
        <w:tc>
          <w:tcPr>
            <w:tcW w:w="877" w:type="pct"/>
          </w:tcPr>
          <w:p w:rsidR="00011C3B" w:rsidRPr="004677FF" w:rsidRDefault="00011C3B" w:rsidP="00011C3B">
            <w:pPr>
              <w:spacing w:after="0"/>
              <w:jc w:val="right"/>
              <w:rPr>
                <w:sz w:val="20"/>
                <w:szCs w:val="20"/>
                <w:lang w:val="en-GB"/>
              </w:rPr>
            </w:pPr>
            <w:r>
              <w:rPr>
                <w:sz w:val="20"/>
                <w:szCs w:val="20"/>
                <w:lang w:val="en-GB"/>
              </w:rPr>
              <w:t>76 165</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élelmiszeriparban aktív résztvevők</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9</w:t>
            </w:r>
            <w:r w:rsidR="00EE7A01">
              <w:rPr>
                <w:sz w:val="20"/>
                <w:szCs w:val="20"/>
                <w:lang w:val="en-GB"/>
              </w:rPr>
              <w:t xml:space="preserve"> </w:t>
            </w:r>
            <w:r w:rsidRPr="004677FF">
              <w:rPr>
                <w:sz w:val="20"/>
                <w:szCs w:val="20"/>
                <w:lang w:val="en-GB"/>
              </w:rPr>
              <w:t>200</w:t>
            </w:r>
          </w:p>
        </w:tc>
        <w:tc>
          <w:tcPr>
            <w:tcW w:w="877" w:type="pct"/>
          </w:tcPr>
          <w:p w:rsidR="00011C3B" w:rsidRPr="004677FF" w:rsidRDefault="00011C3B" w:rsidP="00011C3B">
            <w:pPr>
              <w:spacing w:after="0"/>
              <w:jc w:val="right"/>
              <w:rPr>
                <w:sz w:val="20"/>
                <w:szCs w:val="20"/>
                <w:lang w:val="en-GB"/>
              </w:rPr>
            </w:pPr>
            <w:r>
              <w:rPr>
                <w:sz w:val="20"/>
                <w:szCs w:val="20"/>
                <w:lang w:val="en-GB"/>
              </w:rPr>
              <w:t>21</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erdőgazdálkodásban aktív résztvevő</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12</w:t>
            </w:r>
            <w:r w:rsidR="00EE7A01">
              <w:rPr>
                <w:sz w:val="20"/>
                <w:szCs w:val="20"/>
                <w:lang w:val="en-GB"/>
              </w:rPr>
              <w:t xml:space="preserve"> </w:t>
            </w:r>
            <w:r w:rsidRPr="004677FF">
              <w:rPr>
                <w:sz w:val="20"/>
                <w:szCs w:val="20"/>
                <w:lang w:val="en-GB"/>
              </w:rPr>
              <w:t>650</w:t>
            </w:r>
          </w:p>
        </w:tc>
        <w:tc>
          <w:tcPr>
            <w:tcW w:w="877" w:type="pct"/>
            <w:tcBorders>
              <w:bottom w:val="single" w:sz="4" w:space="0" w:color="auto"/>
            </w:tcBorders>
          </w:tcPr>
          <w:p w:rsidR="00011C3B" w:rsidRPr="004677FF" w:rsidRDefault="00011C3B" w:rsidP="00011C3B">
            <w:pPr>
              <w:spacing w:after="0"/>
              <w:jc w:val="right"/>
              <w:rPr>
                <w:sz w:val="20"/>
                <w:szCs w:val="20"/>
                <w:lang w:val="en-GB"/>
              </w:rPr>
            </w:pPr>
            <w:r>
              <w:rPr>
                <w:sz w:val="20"/>
                <w:szCs w:val="20"/>
                <w:lang w:val="en-GB"/>
              </w:rPr>
              <w:t>2 303</w:t>
            </w:r>
          </w:p>
        </w:tc>
      </w:tr>
      <w:tr w:rsidR="00011C3B" w:rsidRPr="004677FF" w:rsidTr="00011C3B">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4677FF" w:rsidRDefault="00011C3B" w:rsidP="00011C3B">
            <w:pPr>
              <w:spacing w:after="0"/>
              <w:rPr>
                <w:sz w:val="20"/>
                <w:szCs w:val="20"/>
              </w:rPr>
            </w:pPr>
            <w:r w:rsidRPr="004677FF">
              <w:rPr>
                <w:sz w:val="20"/>
                <w:szCs w:val="20"/>
              </w:rPr>
              <w:t>Képzési napok száma</w:t>
            </w:r>
          </w:p>
        </w:tc>
        <w:tc>
          <w:tcPr>
            <w:tcW w:w="877" w:type="pct"/>
            <w:shd w:val="clear" w:color="auto" w:fill="auto"/>
            <w:noWrap/>
          </w:tcPr>
          <w:p w:rsidR="00011C3B" w:rsidRPr="00433E42" w:rsidRDefault="00433E42" w:rsidP="00433E42">
            <w:pPr>
              <w:spacing w:after="0"/>
              <w:jc w:val="right"/>
              <w:rPr>
                <w:b/>
                <w:sz w:val="20"/>
                <w:szCs w:val="20"/>
                <w:lang w:val="en-GB"/>
              </w:rPr>
            </w:pPr>
            <w:r w:rsidRPr="00433E42">
              <w:rPr>
                <w:b/>
                <w:sz w:val="20"/>
                <w:szCs w:val="20"/>
                <w:lang w:val="en-GB"/>
              </w:rPr>
              <w:t xml:space="preserve">750 </w:t>
            </w:r>
            <w:r w:rsidR="00011C3B" w:rsidRPr="00433E42">
              <w:rPr>
                <w:b/>
                <w:sz w:val="20"/>
                <w:szCs w:val="20"/>
                <w:lang w:val="en-GB"/>
              </w:rPr>
              <w:t>000 nap</w:t>
            </w:r>
          </w:p>
        </w:tc>
        <w:tc>
          <w:tcPr>
            <w:tcW w:w="877" w:type="pct"/>
            <w:tcBorders>
              <w:bottom w:val="single" w:sz="4" w:space="0" w:color="auto"/>
            </w:tcBorders>
            <w:shd w:val="clear" w:color="auto" w:fill="auto"/>
          </w:tcPr>
          <w:p w:rsidR="00011C3B" w:rsidRPr="00433E42" w:rsidRDefault="00CC7190" w:rsidP="00433E42">
            <w:pPr>
              <w:spacing w:after="0"/>
              <w:jc w:val="right"/>
              <w:rPr>
                <w:b/>
                <w:sz w:val="20"/>
                <w:szCs w:val="20"/>
                <w:lang w:val="en-GB"/>
              </w:rPr>
            </w:pPr>
            <w:r w:rsidRPr="00433E42">
              <w:rPr>
                <w:b/>
                <w:sz w:val="20"/>
                <w:szCs w:val="20"/>
                <w:lang w:val="en-GB"/>
              </w:rPr>
              <w:t>2 30</w:t>
            </w:r>
            <w:r w:rsidR="00011C3B" w:rsidRPr="00433E42">
              <w:rPr>
                <w:b/>
                <w:sz w:val="20"/>
                <w:szCs w:val="20"/>
                <w:lang w:val="en-GB"/>
              </w:rPr>
              <w:t>3</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E03753">
            <w:pPr>
              <w:pStyle w:val="Normltblabal3pckkel"/>
            </w:pPr>
            <w:r w:rsidRPr="004677FF">
              <w:t>tanfolyam</w:t>
            </w:r>
          </w:p>
        </w:tc>
        <w:tc>
          <w:tcPr>
            <w:tcW w:w="877" w:type="pct"/>
            <w:shd w:val="clear" w:color="auto" w:fill="auto"/>
            <w:noWrap/>
          </w:tcPr>
          <w:p w:rsidR="00011C3B" w:rsidRPr="004677FF" w:rsidRDefault="00E03753" w:rsidP="00011C3B">
            <w:pPr>
              <w:spacing w:after="0"/>
              <w:jc w:val="right"/>
              <w:rPr>
                <w:sz w:val="20"/>
                <w:szCs w:val="20"/>
                <w:lang w:val="en-GB"/>
              </w:rPr>
            </w:pPr>
            <w:r>
              <w:rPr>
                <w:sz w:val="20"/>
                <w:szCs w:val="20"/>
                <w:lang w:val="en-GB"/>
              </w:rPr>
              <w:t xml:space="preserve">650 </w:t>
            </w:r>
            <w:r w:rsidR="00011C3B" w:rsidRPr="004677FF">
              <w:rPr>
                <w:sz w:val="20"/>
                <w:szCs w:val="20"/>
                <w:lang w:val="en-GB"/>
              </w:rPr>
              <w:t>000 nap</w:t>
            </w:r>
          </w:p>
        </w:tc>
        <w:tc>
          <w:tcPr>
            <w:tcW w:w="877" w:type="pct"/>
            <w:tcBorders>
              <w:bottom w:val="single" w:sz="4" w:space="0" w:color="auto"/>
            </w:tcBorders>
            <w:shd w:val="clear" w:color="auto" w:fill="auto"/>
          </w:tcPr>
          <w:p w:rsidR="00011C3B" w:rsidRPr="00E15BFF" w:rsidRDefault="00011C3B" w:rsidP="00011C3B">
            <w:pPr>
              <w:spacing w:after="0"/>
              <w:jc w:val="right"/>
              <w:rPr>
                <w:bCs/>
                <w:sz w:val="20"/>
                <w:szCs w:val="20"/>
              </w:rPr>
            </w:pPr>
            <w:r>
              <w:rPr>
                <w:bCs/>
                <w:sz w:val="20"/>
                <w:szCs w:val="20"/>
              </w:rPr>
              <w:t>233 043</w:t>
            </w: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4677FF" w:rsidRDefault="00011C3B" w:rsidP="00495C8B">
            <w:pPr>
              <w:numPr>
                <w:ilvl w:val="0"/>
                <w:numId w:val="36"/>
              </w:numPr>
              <w:spacing w:after="0"/>
              <w:rPr>
                <w:sz w:val="20"/>
                <w:szCs w:val="20"/>
              </w:rPr>
            </w:pPr>
            <w:r w:rsidRPr="004677FF">
              <w:rPr>
                <w:sz w:val="20"/>
                <w:szCs w:val="20"/>
              </w:rPr>
              <w:t>bemutató-üzemi program</w:t>
            </w:r>
          </w:p>
        </w:tc>
        <w:tc>
          <w:tcPr>
            <w:tcW w:w="877" w:type="pct"/>
            <w:shd w:val="clear" w:color="auto" w:fill="auto"/>
            <w:noWrap/>
          </w:tcPr>
          <w:p w:rsidR="00011C3B" w:rsidRPr="004677FF" w:rsidRDefault="00E03753" w:rsidP="00011C3B">
            <w:pPr>
              <w:spacing w:after="0"/>
              <w:jc w:val="right"/>
              <w:rPr>
                <w:sz w:val="20"/>
                <w:szCs w:val="20"/>
                <w:lang w:val="en-GB"/>
              </w:rPr>
            </w:pPr>
            <w:r>
              <w:rPr>
                <w:sz w:val="20"/>
                <w:szCs w:val="20"/>
                <w:lang w:val="en-GB"/>
              </w:rPr>
              <w:t xml:space="preserve">100 </w:t>
            </w:r>
            <w:r w:rsidR="00011C3B" w:rsidRPr="004677FF">
              <w:rPr>
                <w:sz w:val="20"/>
                <w:szCs w:val="20"/>
                <w:lang w:val="en-GB"/>
              </w:rPr>
              <w:t>000 nap</w:t>
            </w:r>
          </w:p>
        </w:tc>
        <w:tc>
          <w:tcPr>
            <w:tcW w:w="877" w:type="pct"/>
            <w:shd w:val="clear" w:color="auto" w:fill="auto"/>
          </w:tcPr>
          <w:p w:rsidR="00011C3B" w:rsidRPr="00E03753" w:rsidRDefault="00011C3B" w:rsidP="00011C3B">
            <w:pPr>
              <w:spacing w:after="0"/>
              <w:jc w:val="right"/>
              <w:rPr>
                <w:sz w:val="20"/>
                <w:szCs w:val="20"/>
              </w:rPr>
            </w:pPr>
            <w:r w:rsidRPr="00E03753">
              <w:rPr>
                <w:sz w:val="20"/>
                <w:szCs w:val="20"/>
              </w:rPr>
              <w:t>0</w:t>
            </w:r>
          </w:p>
        </w:tc>
      </w:tr>
      <w:tr w:rsidR="00011C3B" w:rsidRPr="004677FF" w:rsidTr="00011C3B">
        <w:trPr>
          <w:cantSplit/>
          <w:jc w:val="center"/>
        </w:trPr>
        <w:tc>
          <w:tcPr>
            <w:tcW w:w="299" w:type="pct"/>
            <w:vMerge w:val="restart"/>
          </w:tcPr>
          <w:p w:rsidR="00011C3B" w:rsidRPr="004677FF" w:rsidRDefault="00011C3B" w:rsidP="00011C3B">
            <w:pPr>
              <w:spacing w:after="0"/>
              <w:rPr>
                <w:sz w:val="20"/>
                <w:szCs w:val="20"/>
              </w:rPr>
            </w:pPr>
            <w:r w:rsidRPr="00A276DA">
              <w:rPr>
                <w:sz w:val="20"/>
                <w:szCs w:val="20"/>
              </w:rPr>
              <w:t>R</w:t>
            </w:r>
          </w:p>
        </w:tc>
        <w:tc>
          <w:tcPr>
            <w:tcW w:w="2946" w:type="pct"/>
            <w:shd w:val="clear" w:color="auto" w:fill="auto"/>
            <w:vAlign w:val="center"/>
          </w:tcPr>
          <w:p w:rsidR="00011C3B" w:rsidRPr="00A276DA" w:rsidRDefault="00011C3B" w:rsidP="007B5AEF">
            <w:pPr>
              <w:pStyle w:val="Tbla-bal"/>
            </w:pPr>
            <w:r w:rsidRPr="00A276DA">
              <w:t>A tanfolyamot sikeresen elvégző gazdálkodók vagy erdőtulajdonosok száma</w:t>
            </w:r>
          </w:p>
        </w:tc>
        <w:tc>
          <w:tcPr>
            <w:tcW w:w="877" w:type="pct"/>
            <w:shd w:val="clear" w:color="auto" w:fill="auto"/>
            <w:noWrap/>
          </w:tcPr>
          <w:p w:rsidR="00011C3B" w:rsidRPr="004677FF" w:rsidRDefault="00E03753" w:rsidP="00011C3B">
            <w:pPr>
              <w:spacing w:after="0"/>
              <w:ind w:hanging="14"/>
              <w:jc w:val="right"/>
              <w:rPr>
                <w:sz w:val="20"/>
                <w:szCs w:val="20"/>
                <w:lang w:val="en-GB"/>
              </w:rPr>
            </w:pPr>
            <w:r>
              <w:rPr>
                <w:sz w:val="20"/>
                <w:szCs w:val="20"/>
                <w:lang w:val="en-GB"/>
              </w:rPr>
              <w:t xml:space="preserve">55 </w:t>
            </w:r>
            <w:r w:rsidR="00011C3B" w:rsidRPr="004677FF">
              <w:rPr>
                <w:sz w:val="20"/>
                <w:szCs w:val="20"/>
                <w:lang w:val="en-GB"/>
              </w:rPr>
              <w:t>000 fő </w:t>
            </w:r>
          </w:p>
        </w:tc>
        <w:tc>
          <w:tcPr>
            <w:tcW w:w="877" w:type="pct"/>
          </w:tcPr>
          <w:p w:rsidR="00011C3B" w:rsidRPr="00E03753" w:rsidRDefault="00011C3B" w:rsidP="00011C3B">
            <w:pPr>
              <w:spacing w:after="0"/>
              <w:ind w:hanging="14"/>
              <w:jc w:val="right"/>
              <w:rPr>
                <w:sz w:val="20"/>
                <w:szCs w:val="20"/>
                <w:lang w:val="en-GB"/>
              </w:rPr>
            </w:pPr>
            <w:r w:rsidRPr="00E03753">
              <w:rPr>
                <w:sz w:val="20"/>
                <w:szCs w:val="20"/>
                <w:lang w:val="en-GB"/>
              </w:rPr>
              <w:t>65818</w:t>
            </w:r>
          </w:p>
        </w:tc>
      </w:tr>
      <w:tr w:rsidR="00011C3B" w:rsidRPr="004677FF" w:rsidTr="00011C3B">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A276DA" w:rsidRDefault="00011C3B" w:rsidP="00011C3B">
            <w:pPr>
              <w:spacing w:after="0"/>
              <w:rPr>
                <w:sz w:val="20"/>
                <w:szCs w:val="20"/>
              </w:rPr>
            </w:pPr>
            <w:r w:rsidRPr="00A276DA">
              <w:rPr>
                <w:sz w:val="20"/>
                <w:szCs w:val="20"/>
              </w:rPr>
              <w:t>nem (férfi/nő)</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40</w:t>
            </w:r>
            <w:r w:rsidR="00E03753">
              <w:rPr>
                <w:sz w:val="20"/>
                <w:szCs w:val="20"/>
                <w:lang w:val="en-GB"/>
              </w:rPr>
              <w:t xml:space="preserve"> </w:t>
            </w:r>
            <w:r w:rsidRPr="004677FF">
              <w:rPr>
                <w:sz w:val="20"/>
                <w:szCs w:val="20"/>
                <w:lang w:val="en-GB"/>
              </w:rPr>
              <w:t>200/14</w:t>
            </w:r>
            <w:r w:rsidR="00E03753">
              <w:rPr>
                <w:sz w:val="20"/>
                <w:szCs w:val="20"/>
                <w:lang w:val="en-GB"/>
              </w:rPr>
              <w:t xml:space="preserve"> </w:t>
            </w:r>
            <w:r w:rsidRPr="004677FF">
              <w:rPr>
                <w:sz w:val="20"/>
                <w:szCs w:val="20"/>
                <w:lang w:val="en-GB"/>
              </w:rPr>
              <w:t>800</w:t>
            </w:r>
          </w:p>
        </w:tc>
        <w:tc>
          <w:tcPr>
            <w:tcW w:w="877" w:type="pct"/>
          </w:tcPr>
          <w:p w:rsidR="00011C3B" w:rsidRPr="00E03753" w:rsidRDefault="00011C3B" w:rsidP="00011C3B">
            <w:pPr>
              <w:spacing w:after="0"/>
              <w:ind w:hanging="14"/>
              <w:jc w:val="right"/>
              <w:rPr>
                <w:sz w:val="20"/>
                <w:szCs w:val="20"/>
                <w:lang w:val="en-GB"/>
              </w:rPr>
            </w:pPr>
            <w:r w:rsidRPr="00E03753">
              <w:rPr>
                <w:sz w:val="20"/>
                <w:szCs w:val="20"/>
                <w:lang w:val="en-GB"/>
              </w:rPr>
              <w:t>47</w:t>
            </w:r>
            <w:r w:rsidR="00E03753" w:rsidRPr="00E03753">
              <w:rPr>
                <w:sz w:val="20"/>
                <w:szCs w:val="20"/>
                <w:lang w:val="en-GB"/>
              </w:rPr>
              <w:t xml:space="preserve"> </w:t>
            </w:r>
            <w:r w:rsidRPr="00E03753">
              <w:rPr>
                <w:sz w:val="20"/>
                <w:szCs w:val="20"/>
                <w:lang w:val="en-GB"/>
              </w:rPr>
              <w:t>869/17</w:t>
            </w:r>
            <w:r w:rsidR="00E03753" w:rsidRPr="00E03753">
              <w:rPr>
                <w:sz w:val="20"/>
                <w:szCs w:val="20"/>
                <w:lang w:val="en-GB"/>
              </w:rPr>
              <w:t xml:space="preserve"> </w:t>
            </w:r>
            <w:r w:rsidRPr="00E03753">
              <w:rPr>
                <w:sz w:val="20"/>
                <w:szCs w:val="20"/>
                <w:lang w:val="en-GB"/>
              </w:rPr>
              <w:t>949</w:t>
            </w:r>
          </w:p>
        </w:tc>
      </w:tr>
      <w:tr w:rsidR="00011C3B" w:rsidRPr="004677FF" w:rsidTr="00011C3B">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A276DA" w:rsidRDefault="00011C3B" w:rsidP="00011C3B">
            <w:pPr>
              <w:spacing w:after="0"/>
              <w:rPr>
                <w:sz w:val="20"/>
                <w:szCs w:val="20"/>
              </w:rPr>
            </w:pPr>
            <w:r w:rsidRPr="00A276DA">
              <w:rPr>
                <w:sz w:val="20"/>
                <w:szCs w:val="20"/>
              </w:rPr>
              <w:t>Korosztály</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 </w:t>
            </w:r>
          </w:p>
        </w:tc>
        <w:tc>
          <w:tcPr>
            <w:tcW w:w="877" w:type="pct"/>
          </w:tcPr>
          <w:p w:rsidR="00011C3B" w:rsidRPr="00E03753" w:rsidRDefault="00011C3B" w:rsidP="00011C3B">
            <w:pPr>
              <w:spacing w:after="0"/>
              <w:ind w:hanging="14"/>
              <w:jc w:val="right"/>
              <w:rPr>
                <w:sz w:val="20"/>
                <w:szCs w:val="20"/>
                <w:lang w:val="en-GB"/>
              </w:rPr>
            </w:pPr>
          </w:p>
        </w:tc>
      </w:tr>
      <w:tr w:rsidR="00011C3B" w:rsidRPr="004677FF" w:rsidTr="00011C3B">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A276DA" w:rsidRDefault="00011C3B" w:rsidP="00495C8B">
            <w:pPr>
              <w:numPr>
                <w:ilvl w:val="0"/>
                <w:numId w:val="36"/>
              </w:numPr>
              <w:spacing w:after="0"/>
              <w:rPr>
                <w:sz w:val="20"/>
                <w:szCs w:val="20"/>
              </w:rPr>
            </w:pPr>
            <w:r w:rsidRPr="00A276DA">
              <w:rPr>
                <w:sz w:val="20"/>
                <w:szCs w:val="20"/>
              </w:rPr>
              <w:t>40 év alatt</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35</w:t>
            </w:r>
            <w:r w:rsidR="00E03753">
              <w:rPr>
                <w:sz w:val="20"/>
                <w:szCs w:val="20"/>
                <w:lang w:val="en-GB"/>
              </w:rPr>
              <w:t xml:space="preserve"> </w:t>
            </w:r>
            <w:r w:rsidRPr="004677FF">
              <w:rPr>
                <w:sz w:val="20"/>
                <w:szCs w:val="20"/>
                <w:lang w:val="en-GB"/>
              </w:rPr>
              <w:t>700</w:t>
            </w:r>
          </w:p>
        </w:tc>
        <w:tc>
          <w:tcPr>
            <w:tcW w:w="877" w:type="pct"/>
          </w:tcPr>
          <w:p w:rsidR="00011C3B" w:rsidRPr="00E03753" w:rsidRDefault="00011C3B" w:rsidP="00011C3B">
            <w:pPr>
              <w:spacing w:after="0"/>
              <w:ind w:hanging="14"/>
              <w:jc w:val="right"/>
              <w:rPr>
                <w:sz w:val="20"/>
                <w:szCs w:val="20"/>
                <w:lang w:val="en-GB"/>
              </w:rPr>
            </w:pPr>
            <w:r w:rsidRPr="00E03753">
              <w:rPr>
                <w:sz w:val="20"/>
                <w:szCs w:val="20"/>
                <w:lang w:val="en-GB"/>
              </w:rPr>
              <w:t>11</w:t>
            </w:r>
            <w:r w:rsidR="00E03753" w:rsidRPr="00E03753">
              <w:rPr>
                <w:sz w:val="20"/>
                <w:szCs w:val="20"/>
                <w:lang w:val="en-GB"/>
              </w:rPr>
              <w:t xml:space="preserve"> </w:t>
            </w:r>
            <w:r w:rsidRPr="00E03753">
              <w:rPr>
                <w:sz w:val="20"/>
                <w:szCs w:val="20"/>
                <w:lang w:val="en-GB"/>
              </w:rPr>
              <w:t>531</w:t>
            </w:r>
          </w:p>
        </w:tc>
      </w:tr>
      <w:tr w:rsidR="00011C3B" w:rsidRPr="004677FF" w:rsidTr="00E03753">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A276DA" w:rsidRDefault="00011C3B" w:rsidP="00495C8B">
            <w:pPr>
              <w:numPr>
                <w:ilvl w:val="0"/>
                <w:numId w:val="36"/>
              </w:numPr>
              <w:spacing w:after="0"/>
              <w:rPr>
                <w:sz w:val="20"/>
                <w:szCs w:val="20"/>
              </w:rPr>
            </w:pPr>
            <w:r w:rsidRPr="00A276DA">
              <w:rPr>
                <w:sz w:val="20"/>
                <w:szCs w:val="20"/>
              </w:rPr>
              <w:t xml:space="preserve">40 éves vagy idősebb  </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19</w:t>
            </w:r>
            <w:r w:rsidR="00E03753">
              <w:rPr>
                <w:sz w:val="20"/>
                <w:szCs w:val="20"/>
                <w:lang w:val="en-GB"/>
              </w:rPr>
              <w:t xml:space="preserve"> </w:t>
            </w:r>
            <w:r w:rsidRPr="004677FF">
              <w:rPr>
                <w:sz w:val="20"/>
                <w:szCs w:val="20"/>
                <w:lang w:val="en-GB"/>
              </w:rPr>
              <w:t>300</w:t>
            </w:r>
          </w:p>
        </w:tc>
        <w:tc>
          <w:tcPr>
            <w:tcW w:w="877" w:type="pct"/>
            <w:shd w:val="clear" w:color="auto" w:fill="auto"/>
          </w:tcPr>
          <w:p w:rsidR="00011C3B" w:rsidRPr="00E03753" w:rsidRDefault="00011C3B" w:rsidP="00011C3B">
            <w:pPr>
              <w:spacing w:after="0"/>
              <w:ind w:hanging="14"/>
              <w:jc w:val="right"/>
              <w:rPr>
                <w:sz w:val="20"/>
                <w:szCs w:val="20"/>
                <w:lang w:val="en-GB"/>
              </w:rPr>
            </w:pPr>
            <w:r w:rsidRPr="00E03753">
              <w:rPr>
                <w:sz w:val="20"/>
                <w:szCs w:val="20"/>
                <w:lang w:val="en-GB"/>
              </w:rPr>
              <w:t>54</w:t>
            </w:r>
            <w:r w:rsidR="00E03753" w:rsidRPr="00E03753">
              <w:rPr>
                <w:sz w:val="20"/>
                <w:szCs w:val="20"/>
                <w:lang w:val="en-GB"/>
              </w:rPr>
              <w:t xml:space="preserve"> </w:t>
            </w:r>
            <w:r w:rsidRPr="00E03753">
              <w:rPr>
                <w:sz w:val="20"/>
                <w:szCs w:val="20"/>
                <w:lang w:val="en-GB"/>
              </w:rPr>
              <w:t>287</w:t>
            </w:r>
          </w:p>
        </w:tc>
      </w:tr>
      <w:tr w:rsidR="00011C3B" w:rsidRPr="004677FF" w:rsidTr="00E03753">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A276DA" w:rsidRDefault="00011C3B" w:rsidP="00011C3B">
            <w:pPr>
              <w:spacing w:after="0"/>
              <w:rPr>
                <w:sz w:val="20"/>
                <w:szCs w:val="20"/>
              </w:rPr>
            </w:pPr>
            <w:r w:rsidRPr="00A276DA">
              <w:rPr>
                <w:sz w:val="20"/>
                <w:szCs w:val="20"/>
              </w:rPr>
              <w:t>sikeres eredmények típusa</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 </w:t>
            </w:r>
          </w:p>
        </w:tc>
        <w:tc>
          <w:tcPr>
            <w:tcW w:w="877" w:type="pct"/>
            <w:shd w:val="clear" w:color="auto" w:fill="auto"/>
          </w:tcPr>
          <w:p w:rsidR="00011C3B" w:rsidRPr="00E03753" w:rsidRDefault="00011C3B" w:rsidP="00011C3B">
            <w:pPr>
              <w:spacing w:after="0"/>
              <w:ind w:hanging="14"/>
              <w:jc w:val="right"/>
              <w:rPr>
                <w:sz w:val="20"/>
                <w:szCs w:val="20"/>
                <w:lang w:val="en-GB"/>
              </w:rPr>
            </w:pPr>
          </w:p>
        </w:tc>
      </w:tr>
      <w:tr w:rsidR="00011C3B" w:rsidRPr="004677FF" w:rsidTr="00E03753">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A276DA" w:rsidRDefault="00011C3B" w:rsidP="00495C8B">
            <w:pPr>
              <w:numPr>
                <w:ilvl w:val="0"/>
                <w:numId w:val="36"/>
              </w:numPr>
              <w:spacing w:after="0"/>
              <w:rPr>
                <w:sz w:val="20"/>
                <w:szCs w:val="20"/>
              </w:rPr>
            </w:pPr>
            <w:r w:rsidRPr="00A276DA">
              <w:rPr>
                <w:sz w:val="20"/>
                <w:szCs w:val="20"/>
              </w:rPr>
              <w:t>tanúsítvány, bizonyítvány vagy diploma megszerzése</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20</w:t>
            </w:r>
            <w:r w:rsidR="00E03753">
              <w:rPr>
                <w:sz w:val="20"/>
                <w:szCs w:val="20"/>
                <w:lang w:val="en-GB"/>
              </w:rPr>
              <w:t xml:space="preserve"> </w:t>
            </w:r>
            <w:r w:rsidRPr="004677FF">
              <w:rPr>
                <w:sz w:val="20"/>
                <w:szCs w:val="20"/>
                <w:lang w:val="en-GB"/>
              </w:rPr>
              <w:t>000</w:t>
            </w:r>
          </w:p>
        </w:tc>
        <w:tc>
          <w:tcPr>
            <w:tcW w:w="877" w:type="pct"/>
            <w:shd w:val="clear" w:color="auto" w:fill="auto"/>
          </w:tcPr>
          <w:p w:rsidR="00011C3B" w:rsidRPr="00E03753" w:rsidRDefault="00011C3B" w:rsidP="00011C3B">
            <w:pPr>
              <w:spacing w:after="0"/>
              <w:ind w:hanging="14"/>
              <w:jc w:val="right"/>
              <w:rPr>
                <w:sz w:val="20"/>
                <w:szCs w:val="20"/>
                <w:lang w:val="en-GB"/>
              </w:rPr>
            </w:pPr>
            <w:r w:rsidRPr="00E03753">
              <w:rPr>
                <w:sz w:val="20"/>
                <w:szCs w:val="20"/>
                <w:lang w:val="en-GB"/>
              </w:rPr>
              <w:t>5</w:t>
            </w:r>
            <w:r w:rsidR="00E03753" w:rsidRPr="00E03753">
              <w:rPr>
                <w:sz w:val="20"/>
                <w:szCs w:val="20"/>
                <w:lang w:val="en-GB"/>
              </w:rPr>
              <w:t xml:space="preserve"> </w:t>
            </w:r>
            <w:r w:rsidRPr="00E03753">
              <w:rPr>
                <w:sz w:val="20"/>
                <w:szCs w:val="20"/>
                <w:lang w:val="en-GB"/>
              </w:rPr>
              <w:t>203</w:t>
            </w:r>
          </w:p>
        </w:tc>
      </w:tr>
      <w:tr w:rsidR="00011C3B" w:rsidRPr="004677FF" w:rsidTr="00E03753">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A276DA" w:rsidRDefault="00011C3B" w:rsidP="00495C8B">
            <w:pPr>
              <w:numPr>
                <w:ilvl w:val="0"/>
                <w:numId w:val="36"/>
              </w:numPr>
              <w:spacing w:after="0"/>
              <w:rPr>
                <w:sz w:val="20"/>
                <w:szCs w:val="20"/>
              </w:rPr>
            </w:pPr>
            <w:r w:rsidRPr="00A276DA">
              <w:rPr>
                <w:sz w:val="20"/>
                <w:szCs w:val="20"/>
              </w:rPr>
              <w:t>az elsajátított készség alkalmazása</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35</w:t>
            </w:r>
            <w:r w:rsidR="00E03753">
              <w:rPr>
                <w:sz w:val="20"/>
                <w:szCs w:val="20"/>
                <w:lang w:val="en-GB"/>
              </w:rPr>
              <w:t xml:space="preserve"> </w:t>
            </w:r>
            <w:r w:rsidRPr="004677FF">
              <w:rPr>
                <w:sz w:val="20"/>
                <w:szCs w:val="20"/>
                <w:lang w:val="en-GB"/>
              </w:rPr>
              <w:t>000</w:t>
            </w:r>
          </w:p>
        </w:tc>
        <w:tc>
          <w:tcPr>
            <w:tcW w:w="877" w:type="pct"/>
            <w:shd w:val="clear" w:color="auto" w:fill="auto"/>
          </w:tcPr>
          <w:p w:rsidR="00011C3B" w:rsidRPr="00E03753" w:rsidRDefault="00011C3B" w:rsidP="00011C3B">
            <w:pPr>
              <w:spacing w:after="0"/>
              <w:ind w:hanging="14"/>
              <w:jc w:val="right"/>
              <w:rPr>
                <w:sz w:val="20"/>
                <w:szCs w:val="20"/>
                <w:lang w:val="en-GB"/>
              </w:rPr>
            </w:pPr>
            <w:r w:rsidRPr="00E03753">
              <w:rPr>
                <w:sz w:val="20"/>
                <w:szCs w:val="20"/>
                <w:lang w:val="en-GB"/>
              </w:rPr>
              <w:t>60</w:t>
            </w:r>
            <w:r w:rsidR="00E03753" w:rsidRPr="00E03753">
              <w:rPr>
                <w:sz w:val="20"/>
                <w:szCs w:val="20"/>
                <w:lang w:val="en-GB"/>
              </w:rPr>
              <w:t xml:space="preserve"> </w:t>
            </w:r>
            <w:r w:rsidRPr="00E03753">
              <w:rPr>
                <w:sz w:val="20"/>
                <w:szCs w:val="20"/>
                <w:lang w:val="en-GB"/>
              </w:rPr>
              <w:t>615</w:t>
            </w:r>
          </w:p>
        </w:tc>
      </w:tr>
      <w:tr w:rsidR="00011C3B" w:rsidRPr="004677FF" w:rsidTr="00E03753">
        <w:trPr>
          <w:cantSplit/>
          <w:jc w:val="center"/>
        </w:trPr>
        <w:tc>
          <w:tcPr>
            <w:tcW w:w="299" w:type="pct"/>
            <w:vMerge/>
          </w:tcPr>
          <w:p w:rsidR="00011C3B" w:rsidRPr="004677FF" w:rsidRDefault="00011C3B" w:rsidP="00011C3B">
            <w:pPr>
              <w:spacing w:after="0"/>
              <w:rPr>
                <w:sz w:val="20"/>
                <w:szCs w:val="20"/>
              </w:rPr>
            </w:pPr>
          </w:p>
        </w:tc>
        <w:tc>
          <w:tcPr>
            <w:tcW w:w="2946" w:type="pct"/>
            <w:shd w:val="clear" w:color="auto" w:fill="auto"/>
            <w:vAlign w:val="center"/>
          </w:tcPr>
          <w:p w:rsidR="00011C3B" w:rsidRPr="00A276DA" w:rsidRDefault="00011C3B" w:rsidP="00011C3B">
            <w:pPr>
              <w:spacing w:after="0"/>
              <w:rPr>
                <w:sz w:val="20"/>
                <w:szCs w:val="20"/>
              </w:rPr>
            </w:pPr>
            <w:r w:rsidRPr="00A276DA">
              <w:rPr>
                <w:sz w:val="20"/>
                <w:szCs w:val="20"/>
              </w:rPr>
              <w:t>résztvevők csoportjai</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 </w:t>
            </w:r>
          </w:p>
        </w:tc>
        <w:tc>
          <w:tcPr>
            <w:tcW w:w="877" w:type="pct"/>
            <w:shd w:val="clear" w:color="auto" w:fill="auto"/>
          </w:tcPr>
          <w:p w:rsidR="00011C3B" w:rsidRPr="00E03753" w:rsidRDefault="00011C3B" w:rsidP="00011C3B">
            <w:pPr>
              <w:spacing w:after="0"/>
              <w:ind w:hanging="14"/>
              <w:jc w:val="right"/>
              <w:rPr>
                <w:sz w:val="20"/>
                <w:szCs w:val="20"/>
                <w:lang w:val="en-GB"/>
              </w:rPr>
            </w:pPr>
          </w:p>
        </w:tc>
      </w:tr>
      <w:tr w:rsidR="00011C3B" w:rsidRPr="004677FF" w:rsidTr="00E03753">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A276DA" w:rsidRDefault="00011C3B" w:rsidP="00495C8B">
            <w:pPr>
              <w:numPr>
                <w:ilvl w:val="0"/>
                <w:numId w:val="36"/>
              </w:numPr>
              <w:spacing w:after="0"/>
              <w:rPr>
                <w:sz w:val="20"/>
                <w:szCs w:val="20"/>
              </w:rPr>
            </w:pPr>
            <w:r w:rsidRPr="00A276DA">
              <w:rPr>
                <w:sz w:val="20"/>
                <w:szCs w:val="20"/>
              </w:rPr>
              <w:t xml:space="preserve">gazdálkodásban aktív résztvevők </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43</w:t>
            </w:r>
            <w:r w:rsidR="00E03753">
              <w:rPr>
                <w:sz w:val="20"/>
                <w:szCs w:val="20"/>
                <w:lang w:val="en-GB"/>
              </w:rPr>
              <w:t xml:space="preserve"> </w:t>
            </w:r>
            <w:r w:rsidRPr="004677FF">
              <w:rPr>
                <w:sz w:val="20"/>
                <w:szCs w:val="20"/>
                <w:lang w:val="en-GB"/>
              </w:rPr>
              <w:t>500</w:t>
            </w:r>
          </w:p>
        </w:tc>
        <w:tc>
          <w:tcPr>
            <w:tcW w:w="877" w:type="pct"/>
            <w:shd w:val="clear" w:color="auto" w:fill="auto"/>
          </w:tcPr>
          <w:p w:rsidR="00011C3B" w:rsidRPr="00E03753" w:rsidRDefault="00011C3B" w:rsidP="00011C3B">
            <w:pPr>
              <w:spacing w:after="0"/>
              <w:ind w:hanging="14"/>
              <w:jc w:val="right"/>
              <w:rPr>
                <w:sz w:val="20"/>
                <w:szCs w:val="20"/>
                <w:lang w:val="en-GB"/>
              </w:rPr>
            </w:pPr>
            <w:r w:rsidRPr="00E03753">
              <w:rPr>
                <w:sz w:val="20"/>
                <w:szCs w:val="20"/>
                <w:lang w:val="en-GB"/>
              </w:rPr>
              <w:t>59</w:t>
            </w:r>
            <w:r w:rsidR="00E03753" w:rsidRPr="00E03753">
              <w:rPr>
                <w:sz w:val="20"/>
                <w:szCs w:val="20"/>
                <w:lang w:val="en-GB"/>
              </w:rPr>
              <w:t xml:space="preserve"> </w:t>
            </w:r>
            <w:r w:rsidRPr="00E03753">
              <w:rPr>
                <w:sz w:val="20"/>
                <w:szCs w:val="20"/>
                <w:lang w:val="en-GB"/>
              </w:rPr>
              <w:t>984</w:t>
            </w:r>
          </w:p>
        </w:tc>
      </w:tr>
      <w:tr w:rsidR="00011C3B" w:rsidRPr="004677FF" w:rsidTr="00E03753">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A276DA" w:rsidRDefault="00011C3B" w:rsidP="00495C8B">
            <w:pPr>
              <w:numPr>
                <w:ilvl w:val="0"/>
                <w:numId w:val="36"/>
              </w:numPr>
              <w:spacing w:after="0"/>
              <w:rPr>
                <w:sz w:val="20"/>
                <w:szCs w:val="20"/>
              </w:rPr>
            </w:pPr>
            <w:r w:rsidRPr="00A276DA">
              <w:rPr>
                <w:sz w:val="20"/>
                <w:szCs w:val="20"/>
              </w:rPr>
              <w:t>élelmiszeriparban aktív résztvevők</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4</w:t>
            </w:r>
            <w:r w:rsidR="00E03753">
              <w:rPr>
                <w:sz w:val="20"/>
                <w:szCs w:val="20"/>
                <w:lang w:val="en-GB"/>
              </w:rPr>
              <w:t xml:space="preserve"> </w:t>
            </w:r>
            <w:r w:rsidRPr="004677FF">
              <w:rPr>
                <w:sz w:val="20"/>
                <w:szCs w:val="20"/>
                <w:lang w:val="en-GB"/>
              </w:rPr>
              <w:t>900</w:t>
            </w:r>
          </w:p>
        </w:tc>
        <w:tc>
          <w:tcPr>
            <w:tcW w:w="877" w:type="pct"/>
            <w:shd w:val="clear" w:color="auto" w:fill="auto"/>
          </w:tcPr>
          <w:p w:rsidR="00011C3B" w:rsidRPr="00E03753" w:rsidRDefault="00011C3B" w:rsidP="00011C3B">
            <w:pPr>
              <w:spacing w:after="0"/>
              <w:ind w:hanging="14"/>
              <w:jc w:val="right"/>
              <w:rPr>
                <w:sz w:val="20"/>
                <w:szCs w:val="20"/>
                <w:lang w:val="en-GB"/>
              </w:rPr>
            </w:pPr>
            <w:r w:rsidRPr="00E03753">
              <w:rPr>
                <w:sz w:val="20"/>
                <w:szCs w:val="20"/>
                <w:lang w:val="en-GB"/>
              </w:rPr>
              <w:t>21</w:t>
            </w:r>
          </w:p>
        </w:tc>
      </w:tr>
      <w:tr w:rsidR="00011C3B" w:rsidRPr="004677FF" w:rsidTr="00E03753">
        <w:trPr>
          <w:cantSplit/>
          <w:jc w:val="center"/>
        </w:trPr>
        <w:tc>
          <w:tcPr>
            <w:tcW w:w="299" w:type="pct"/>
            <w:vMerge/>
          </w:tcPr>
          <w:p w:rsidR="00011C3B" w:rsidRPr="004677FF" w:rsidRDefault="00011C3B" w:rsidP="00011C3B">
            <w:pPr>
              <w:spacing w:after="0"/>
              <w:ind w:left="570"/>
              <w:rPr>
                <w:sz w:val="20"/>
                <w:szCs w:val="20"/>
              </w:rPr>
            </w:pPr>
          </w:p>
        </w:tc>
        <w:tc>
          <w:tcPr>
            <w:tcW w:w="2946" w:type="pct"/>
            <w:shd w:val="clear" w:color="auto" w:fill="auto"/>
            <w:vAlign w:val="center"/>
          </w:tcPr>
          <w:p w:rsidR="00011C3B" w:rsidRPr="00A276DA" w:rsidRDefault="00011C3B" w:rsidP="00495C8B">
            <w:pPr>
              <w:numPr>
                <w:ilvl w:val="0"/>
                <w:numId w:val="36"/>
              </w:numPr>
              <w:spacing w:after="0"/>
              <w:rPr>
                <w:sz w:val="20"/>
                <w:szCs w:val="20"/>
              </w:rPr>
            </w:pPr>
            <w:r w:rsidRPr="00A276DA">
              <w:rPr>
                <w:sz w:val="20"/>
                <w:szCs w:val="20"/>
              </w:rPr>
              <w:t>erdőgazdálkodásban aktív résztvevő</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6</w:t>
            </w:r>
            <w:r w:rsidR="00E03753">
              <w:rPr>
                <w:sz w:val="20"/>
                <w:szCs w:val="20"/>
                <w:lang w:val="en-GB"/>
              </w:rPr>
              <w:t xml:space="preserve"> </w:t>
            </w:r>
            <w:r w:rsidRPr="004677FF">
              <w:rPr>
                <w:sz w:val="20"/>
                <w:szCs w:val="20"/>
                <w:lang w:val="en-GB"/>
              </w:rPr>
              <w:t>600</w:t>
            </w:r>
          </w:p>
        </w:tc>
        <w:tc>
          <w:tcPr>
            <w:tcW w:w="877" w:type="pct"/>
            <w:tcBorders>
              <w:bottom w:val="single" w:sz="4" w:space="0" w:color="auto"/>
            </w:tcBorders>
            <w:shd w:val="clear" w:color="auto" w:fill="auto"/>
          </w:tcPr>
          <w:p w:rsidR="00011C3B" w:rsidRPr="00E03753" w:rsidRDefault="00011C3B" w:rsidP="00011C3B">
            <w:pPr>
              <w:spacing w:after="0"/>
              <w:ind w:hanging="14"/>
              <w:jc w:val="right"/>
              <w:rPr>
                <w:sz w:val="20"/>
                <w:szCs w:val="20"/>
                <w:lang w:val="en-GB"/>
              </w:rPr>
            </w:pPr>
            <w:r w:rsidRPr="00E03753">
              <w:rPr>
                <w:sz w:val="20"/>
                <w:szCs w:val="20"/>
                <w:lang w:val="en-GB"/>
              </w:rPr>
              <w:t>5</w:t>
            </w:r>
            <w:r w:rsidR="00E03753" w:rsidRPr="00E03753">
              <w:rPr>
                <w:sz w:val="20"/>
                <w:szCs w:val="20"/>
                <w:lang w:val="en-GB"/>
              </w:rPr>
              <w:t xml:space="preserve"> </w:t>
            </w:r>
            <w:r w:rsidRPr="00E03753">
              <w:rPr>
                <w:sz w:val="20"/>
                <w:szCs w:val="20"/>
                <w:lang w:val="en-GB"/>
              </w:rPr>
              <w:t>813</w:t>
            </w:r>
          </w:p>
        </w:tc>
      </w:tr>
      <w:tr w:rsidR="00011C3B" w:rsidRPr="004677FF" w:rsidTr="00011C3B">
        <w:trPr>
          <w:cantSplit/>
          <w:jc w:val="center"/>
        </w:trPr>
        <w:tc>
          <w:tcPr>
            <w:tcW w:w="299" w:type="pct"/>
          </w:tcPr>
          <w:p w:rsidR="00011C3B" w:rsidRPr="00A276DA" w:rsidRDefault="00011C3B" w:rsidP="00011C3B">
            <w:pPr>
              <w:spacing w:after="0"/>
              <w:rPr>
                <w:sz w:val="20"/>
                <w:szCs w:val="20"/>
              </w:rPr>
            </w:pPr>
            <w:r w:rsidRPr="00A276DA">
              <w:rPr>
                <w:sz w:val="20"/>
                <w:szCs w:val="20"/>
              </w:rPr>
              <w:t>I</w:t>
            </w:r>
          </w:p>
        </w:tc>
        <w:tc>
          <w:tcPr>
            <w:tcW w:w="2946" w:type="pct"/>
            <w:shd w:val="clear" w:color="auto" w:fill="auto"/>
            <w:vAlign w:val="center"/>
          </w:tcPr>
          <w:p w:rsidR="00011C3B" w:rsidRPr="00A276DA" w:rsidRDefault="00011C3B" w:rsidP="00011C3B">
            <w:pPr>
              <w:spacing w:after="0"/>
              <w:rPr>
                <w:sz w:val="20"/>
                <w:szCs w:val="20"/>
              </w:rPr>
            </w:pPr>
            <w:r w:rsidRPr="00A276DA">
              <w:rPr>
                <w:sz w:val="20"/>
                <w:szCs w:val="20"/>
              </w:rPr>
              <w:t>A teljes munkaidőben foglalkoztatottak létszámára átszámított bruttó hozzáadott érték változás</w:t>
            </w:r>
          </w:p>
        </w:tc>
        <w:tc>
          <w:tcPr>
            <w:tcW w:w="877" w:type="pct"/>
            <w:shd w:val="clear" w:color="auto" w:fill="auto"/>
            <w:noWrap/>
          </w:tcPr>
          <w:p w:rsidR="00011C3B" w:rsidRPr="004677FF" w:rsidRDefault="00011C3B" w:rsidP="00011C3B">
            <w:pPr>
              <w:spacing w:after="0"/>
              <w:jc w:val="right"/>
              <w:rPr>
                <w:sz w:val="20"/>
                <w:szCs w:val="20"/>
                <w:lang w:val="en-GB"/>
              </w:rPr>
            </w:pPr>
            <w:r w:rsidRPr="004677FF">
              <w:rPr>
                <w:sz w:val="20"/>
                <w:szCs w:val="20"/>
                <w:lang w:val="en-GB"/>
              </w:rPr>
              <w:t>840 EUR</w:t>
            </w:r>
          </w:p>
        </w:tc>
        <w:tc>
          <w:tcPr>
            <w:tcW w:w="877" w:type="pct"/>
            <w:shd w:val="clear" w:color="auto" w:fill="auto"/>
          </w:tcPr>
          <w:p w:rsidR="00011C3B" w:rsidRPr="004677FF" w:rsidRDefault="00011C3B" w:rsidP="00011C3B">
            <w:pPr>
              <w:spacing w:after="0"/>
              <w:ind w:hanging="14"/>
              <w:jc w:val="right"/>
              <w:rPr>
                <w:sz w:val="20"/>
                <w:szCs w:val="20"/>
                <w:lang w:val="en-GB"/>
              </w:rPr>
            </w:pPr>
            <w:r w:rsidRPr="0057130D">
              <w:rPr>
                <w:sz w:val="20"/>
                <w:szCs w:val="20"/>
                <w:lang w:val="en-GB"/>
              </w:rPr>
              <w:t>-</w:t>
            </w:r>
          </w:p>
        </w:tc>
      </w:tr>
    </w:tbl>
    <w:p w:rsidR="00011C3B" w:rsidRPr="00EA6C22" w:rsidRDefault="00011C3B" w:rsidP="00E71166">
      <w:pPr>
        <w:pStyle w:val="bra-cmetbla"/>
      </w:pPr>
      <w:r w:rsidRPr="00EA6C22">
        <w:t>Kiegészítő program</w:t>
      </w:r>
      <w:r w:rsidR="00E03753" w:rsidRPr="00EA6C22">
        <w:t xml:space="preserve"> </w:t>
      </w:r>
      <w:r w:rsidRPr="00EA6C22">
        <w:t>specifikus indikátorok és számszerűsített célértékek</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5875"/>
        <w:gridCol w:w="1750"/>
        <w:gridCol w:w="1806"/>
      </w:tblGrid>
      <w:tr w:rsidR="00011C3B" w:rsidRPr="00604B6F" w:rsidTr="00011C3B">
        <w:trPr>
          <w:cantSplit/>
          <w:jc w:val="center"/>
        </w:trPr>
        <w:tc>
          <w:tcPr>
            <w:tcW w:w="583" w:type="dxa"/>
            <w:shd w:val="clear" w:color="auto" w:fill="B3B3B3"/>
          </w:tcPr>
          <w:p w:rsidR="00011C3B" w:rsidRPr="00604B6F" w:rsidRDefault="00011C3B" w:rsidP="00011C3B">
            <w:pPr>
              <w:spacing w:after="0"/>
              <w:jc w:val="center"/>
              <w:rPr>
                <w:b/>
                <w:sz w:val="20"/>
                <w:szCs w:val="20"/>
              </w:rPr>
            </w:pPr>
          </w:p>
        </w:tc>
        <w:tc>
          <w:tcPr>
            <w:tcW w:w="5875" w:type="dxa"/>
            <w:shd w:val="clear" w:color="auto" w:fill="B3B3B3"/>
            <w:vAlign w:val="center"/>
          </w:tcPr>
          <w:p w:rsidR="00011C3B" w:rsidRPr="00604B6F" w:rsidRDefault="00011C3B" w:rsidP="00011C3B">
            <w:pPr>
              <w:spacing w:after="0"/>
              <w:jc w:val="center"/>
              <w:rPr>
                <w:b/>
                <w:sz w:val="20"/>
                <w:szCs w:val="20"/>
              </w:rPr>
            </w:pPr>
            <w:r w:rsidRPr="00604B6F">
              <w:rPr>
                <w:b/>
                <w:sz w:val="20"/>
                <w:szCs w:val="20"/>
              </w:rPr>
              <w:t>Indikátor leírása</w:t>
            </w:r>
          </w:p>
        </w:tc>
        <w:tc>
          <w:tcPr>
            <w:tcW w:w="1750" w:type="dxa"/>
            <w:shd w:val="clear" w:color="auto" w:fill="B3B3B3"/>
            <w:vAlign w:val="center"/>
          </w:tcPr>
          <w:p w:rsidR="00011C3B" w:rsidRPr="00604B6F" w:rsidRDefault="00011C3B" w:rsidP="00011C3B">
            <w:pPr>
              <w:spacing w:after="0"/>
              <w:jc w:val="center"/>
              <w:rPr>
                <w:b/>
                <w:sz w:val="20"/>
                <w:szCs w:val="20"/>
              </w:rPr>
            </w:pPr>
            <w:r w:rsidRPr="00604B6F">
              <w:rPr>
                <w:b/>
                <w:sz w:val="20"/>
                <w:szCs w:val="20"/>
              </w:rPr>
              <w:t>Program szerinti tervadat</w:t>
            </w:r>
          </w:p>
        </w:tc>
        <w:tc>
          <w:tcPr>
            <w:tcW w:w="1806" w:type="dxa"/>
            <w:tcBorders>
              <w:bottom w:val="single" w:sz="4" w:space="0" w:color="auto"/>
            </w:tcBorders>
            <w:shd w:val="clear" w:color="auto" w:fill="B3B3B3"/>
            <w:vAlign w:val="center"/>
          </w:tcPr>
          <w:p w:rsidR="00011C3B" w:rsidRPr="00604B6F" w:rsidRDefault="00011C3B" w:rsidP="00011C3B">
            <w:pPr>
              <w:spacing w:after="0"/>
              <w:jc w:val="center"/>
              <w:rPr>
                <w:b/>
                <w:sz w:val="20"/>
                <w:szCs w:val="20"/>
              </w:rPr>
            </w:pPr>
            <w:r w:rsidRPr="00604B6F">
              <w:rPr>
                <w:b/>
                <w:sz w:val="20"/>
                <w:szCs w:val="20"/>
              </w:rPr>
              <w:t>Indikátorok kumulált értéke</w:t>
            </w:r>
          </w:p>
        </w:tc>
      </w:tr>
      <w:tr w:rsidR="00011C3B" w:rsidRPr="00604B6F" w:rsidTr="00011C3B">
        <w:trPr>
          <w:cantSplit/>
          <w:trHeight w:val="790"/>
          <w:jc w:val="center"/>
        </w:trPr>
        <w:tc>
          <w:tcPr>
            <w:tcW w:w="583" w:type="dxa"/>
            <w:tcBorders>
              <w:bottom w:val="single" w:sz="4" w:space="0" w:color="auto"/>
            </w:tcBorders>
          </w:tcPr>
          <w:p w:rsidR="00011C3B" w:rsidRPr="00604B6F" w:rsidRDefault="00011C3B" w:rsidP="00011C3B">
            <w:pPr>
              <w:pStyle w:val="TableText"/>
              <w:spacing w:before="0" w:after="0"/>
              <w:rPr>
                <w:kern w:val="22"/>
                <w:sz w:val="20"/>
                <w:szCs w:val="20"/>
              </w:rPr>
            </w:pPr>
            <w:r w:rsidRPr="00604B6F">
              <w:rPr>
                <w:kern w:val="22"/>
                <w:sz w:val="20"/>
                <w:szCs w:val="20"/>
              </w:rPr>
              <w:t>O</w:t>
            </w:r>
          </w:p>
        </w:tc>
        <w:tc>
          <w:tcPr>
            <w:tcW w:w="5875" w:type="dxa"/>
            <w:tcBorders>
              <w:bottom w:val="single" w:sz="4" w:space="0" w:color="auto"/>
            </w:tcBorders>
          </w:tcPr>
          <w:p w:rsidR="00011C3B" w:rsidRPr="00604B6F" w:rsidRDefault="00011C3B" w:rsidP="00011C3B">
            <w:pPr>
              <w:pStyle w:val="TableText"/>
              <w:spacing w:before="0" w:after="0"/>
              <w:rPr>
                <w:kern w:val="22"/>
                <w:sz w:val="20"/>
                <w:szCs w:val="20"/>
              </w:rPr>
            </w:pPr>
            <w:r w:rsidRPr="00604B6F">
              <w:rPr>
                <w:kern w:val="22"/>
                <w:sz w:val="20"/>
                <w:szCs w:val="20"/>
              </w:rPr>
              <w:t>Információs szolgáltatást igénybevevő gazdálkodók száma</w:t>
            </w:r>
          </w:p>
          <w:p w:rsidR="00011C3B" w:rsidRPr="00604B6F" w:rsidRDefault="00011C3B" w:rsidP="00011C3B">
            <w:pPr>
              <w:pStyle w:val="TableText"/>
              <w:spacing w:before="0" w:after="0"/>
              <w:rPr>
                <w:kern w:val="22"/>
                <w:sz w:val="20"/>
                <w:szCs w:val="20"/>
              </w:rPr>
            </w:pPr>
            <w:r w:rsidRPr="00604B6F">
              <w:rPr>
                <w:kern w:val="22"/>
                <w:sz w:val="20"/>
                <w:szCs w:val="20"/>
              </w:rPr>
              <w:t>A komplex tájékoztatási tevékenységben részt vevő gazdálkodók száma (az információs pontokat felkeresők)</w:t>
            </w:r>
          </w:p>
        </w:tc>
        <w:tc>
          <w:tcPr>
            <w:tcW w:w="1750" w:type="dxa"/>
            <w:tcBorders>
              <w:bottom w:val="single" w:sz="4" w:space="0" w:color="auto"/>
            </w:tcBorders>
          </w:tcPr>
          <w:p w:rsidR="00011C3B" w:rsidRPr="00604B6F" w:rsidRDefault="00011C3B" w:rsidP="00011C3B">
            <w:pPr>
              <w:pStyle w:val="TableText"/>
              <w:spacing w:before="0" w:after="0"/>
              <w:jc w:val="right"/>
              <w:rPr>
                <w:kern w:val="22"/>
                <w:sz w:val="20"/>
                <w:szCs w:val="20"/>
              </w:rPr>
            </w:pPr>
            <w:r w:rsidRPr="00604B6F">
              <w:rPr>
                <w:kern w:val="22"/>
                <w:sz w:val="20"/>
                <w:szCs w:val="20"/>
              </w:rPr>
              <w:t>120</w:t>
            </w:r>
            <w:r w:rsidR="00E03753">
              <w:rPr>
                <w:kern w:val="22"/>
                <w:sz w:val="20"/>
                <w:szCs w:val="20"/>
              </w:rPr>
              <w:t xml:space="preserve"> </w:t>
            </w:r>
            <w:r w:rsidRPr="00604B6F">
              <w:rPr>
                <w:kern w:val="22"/>
                <w:sz w:val="20"/>
                <w:szCs w:val="20"/>
              </w:rPr>
              <w:t>000 fő</w:t>
            </w:r>
          </w:p>
          <w:p w:rsidR="00011C3B" w:rsidRPr="00604B6F" w:rsidRDefault="00011C3B" w:rsidP="00011C3B">
            <w:pPr>
              <w:pStyle w:val="TableText"/>
              <w:spacing w:before="0" w:after="0"/>
              <w:jc w:val="right"/>
              <w:rPr>
                <w:kern w:val="22"/>
                <w:sz w:val="20"/>
                <w:szCs w:val="20"/>
              </w:rPr>
            </w:pPr>
            <w:r w:rsidRPr="00604B6F">
              <w:rPr>
                <w:kern w:val="22"/>
                <w:sz w:val="20"/>
                <w:szCs w:val="20"/>
              </w:rPr>
              <w:t>270 000 fő</w:t>
            </w:r>
          </w:p>
        </w:tc>
        <w:tc>
          <w:tcPr>
            <w:tcW w:w="1806" w:type="dxa"/>
            <w:tcBorders>
              <w:bottom w:val="single" w:sz="4" w:space="0" w:color="auto"/>
            </w:tcBorders>
            <w:shd w:val="clear" w:color="auto" w:fill="auto"/>
          </w:tcPr>
          <w:p w:rsidR="00011C3B" w:rsidRPr="00082BC8" w:rsidRDefault="00CC7190" w:rsidP="00CC7190">
            <w:pPr>
              <w:pStyle w:val="TableText"/>
              <w:spacing w:before="0" w:after="0"/>
              <w:jc w:val="right"/>
              <w:rPr>
                <w:kern w:val="22"/>
                <w:sz w:val="20"/>
                <w:szCs w:val="20"/>
                <w:highlight w:val="yellow"/>
              </w:rPr>
            </w:pPr>
            <w:r>
              <w:rPr>
                <w:kern w:val="22"/>
                <w:sz w:val="20"/>
                <w:szCs w:val="20"/>
              </w:rPr>
              <w:t>54 728</w:t>
            </w:r>
          </w:p>
        </w:tc>
      </w:tr>
    </w:tbl>
    <w:p w:rsidR="00011C3B" w:rsidRPr="0092118A" w:rsidRDefault="00011C3B" w:rsidP="00011C3B">
      <w:pPr>
        <w:pStyle w:val="Normlforrs"/>
        <w:rPr>
          <w:szCs w:val="22"/>
        </w:rPr>
      </w:pPr>
      <w:r w:rsidRPr="00604B6F">
        <w:t>Forrás: MVH</w:t>
      </w:r>
    </w:p>
    <w:p w:rsidR="00011C3B" w:rsidRDefault="00011C3B" w:rsidP="00D65862">
      <w:r w:rsidRPr="00604B6F">
        <w:t>Az indikátorértékek azt jelzik, hogy a tervezettől eltérően az idősebb gazdálkodók nagyobb arányban vesznek részt a képzéseken, mint a 40 évnél fiatalabbak. Ennek oka, hogy a fiatalok többen iskolai rendszerű képzésben megszerezték a szakképesítést, illetve nagyobb mértékben támaszkodnak az önálló információszerzésre (pl. Internet, szakmai kiadványok, szakmai rendezvények útján), mint az idősebbek. Az ICT képzésben jelentős lemaradás mutatkozik. A GAZDANet támogatási jogcím elindítását követően az ahhoz kapcsolódó kötelező informatikai képzés miatt</w:t>
      </w:r>
      <w:r w:rsidR="00D3437A">
        <w:t xml:space="preserve"> az ICT képzések száma növekedni fog</w:t>
      </w:r>
      <w:r w:rsidRPr="00604B6F">
        <w:t>.</w:t>
      </w:r>
    </w:p>
    <w:p w:rsidR="00011C3B" w:rsidRPr="00604B6F" w:rsidRDefault="00011C3B" w:rsidP="00715E86">
      <w:pPr>
        <w:pStyle w:val="Cmsor4"/>
      </w:pPr>
      <w:r w:rsidRPr="00604B6F">
        <w:t>Általános agrárpolitikai és ügyfélszolgálati tájékoztatás támogatási jogcím megvalósulása</w:t>
      </w:r>
    </w:p>
    <w:p w:rsidR="00011C3B" w:rsidRDefault="00011C3B" w:rsidP="00D65862">
      <w:r w:rsidRPr="00DA27DF">
        <w:t xml:space="preserve">A Program Irányító Hatósága az alintézkedés hatékony működtetése érdekében Ügyfélszolgálati Bizottságot állított fel. A Bizottság </w:t>
      </w:r>
      <w:r w:rsidRPr="00604B6F">
        <w:t>befogadja, felülvizsgálja és szükség szerint módosítja a MAK által készített tervezeteket, dokumentumokat (Tájékoztatási Terv, éves Tájékoztatási Jelentés), valamint felügyeli és koordinálja az ügyfélszolgálati tájékoztató tevékenységet.</w:t>
      </w:r>
    </w:p>
    <w:p w:rsidR="00011C3B" w:rsidRPr="00604B6F" w:rsidRDefault="00011C3B" w:rsidP="00D65862">
      <w:r w:rsidRPr="003939EE">
        <w:t>A jogcímet érintően jogszabály módosítás 201</w:t>
      </w:r>
      <w:r w:rsidR="009E3A09">
        <w:t>2</w:t>
      </w:r>
      <w:r w:rsidRPr="003939EE">
        <w:t>-ben nem történt.</w:t>
      </w:r>
    </w:p>
    <w:p w:rsidR="00011C3B" w:rsidRDefault="00011C3B" w:rsidP="00D65862">
      <w:r w:rsidRPr="00BE54D9">
        <w:t>A Hatósági Szerződés éves szinten közel 8 M eurót (2,4 Mrd Ft) biztosít a Kamarának feladatai ellátására, mely 2013. december 31-ig összesen közel 48 M euró (15 Mrd Ft</w:t>
      </w:r>
      <w:r>
        <w:t>)</w:t>
      </w:r>
      <w:r w:rsidRPr="00BE54D9">
        <w:t xml:space="preserve"> vissza nem</w:t>
      </w:r>
      <w:r w:rsidRPr="00604B6F">
        <w:t xml:space="preserve"> térítendő támogatást jelent.</w:t>
      </w:r>
      <w:r w:rsidRPr="00604B6F">
        <w:rPr>
          <w:b/>
        </w:rPr>
        <w:t xml:space="preserve"> </w:t>
      </w:r>
      <w:r w:rsidRPr="00604B6F">
        <w:t>Támogatás intenzitás: 100%.</w:t>
      </w:r>
    </w:p>
    <w:p w:rsidR="00011C3B" w:rsidRDefault="00011C3B" w:rsidP="00D65862">
      <w:r>
        <w:t>Kifizetési kérelem benyújtási időszak kéthavonta a Hatósági Szerződésben rögzítetteknek megfelelően, tárgyév január 1-31., március 1-31., május 1-31., július 1-31., szeptember 1-30. és november 1-30. hónapokban van.</w:t>
      </w:r>
    </w:p>
    <w:p w:rsidR="00011C3B" w:rsidRDefault="007E5FDF" w:rsidP="00673DDE">
      <w:pPr>
        <w:pStyle w:val="bra-cmetbla"/>
      </w:pPr>
      <w:fldSimple w:instr=" SEQ táblázat \* ARABIC ">
        <w:r w:rsidR="00E5031F">
          <w:rPr>
            <w:noProof/>
          </w:rPr>
          <w:t>17</w:t>
        </w:r>
      </w:fldSimple>
      <w:r w:rsidR="00673DDE">
        <w:t xml:space="preserve">. táblázat: </w:t>
      </w:r>
      <w:r w:rsidR="00011C3B" w:rsidRPr="00F35797">
        <w:t>Az általános agrárpolitikai ügyfélszolgálati táj</w:t>
      </w:r>
      <w:r w:rsidR="00011C3B">
        <w:t>ékoztatás támogatási jogcím</w:t>
      </w:r>
      <w:r w:rsidR="00011C3B">
        <w:br/>
        <w:t>2012</w:t>
      </w:r>
      <w:r w:rsidR="00011C3B" w:rsidRPr="00F35797">
        <w:t>. évi eredményei</w:t>
      </w:r>
    </w:p>
    <w:p w:rsidR="00011C3B" w:rsidRPr="00F35797" w:rsidRDefault="00B452BF" w:rsidP="00011C3B">
      <w:pPr>
        <w:keepNext/>
        <w:suppressAutoHyphens w:val="0"/>
        <w:jc w:val="center"/>
        <w:rPr>
          <w:rFonts w:eastAsia="Times New Roman" w:cs="Times New Roman"/>
          <w:b/>
          <w:kern w:val="0"/>
          <w:szCs w:val="22"/>
        </w:rPr>
      </w:pPr>
      <w:r>
        <w:rPr>
          <w:noProof/>
        </w:rPr>
        <w:drawing>
          <wp:inline distT="0" distB="0" distL="0" distR="0" wp14:anchorId="7FBF68D4" wp14:editId="6D2594DC">
            <wp:extent cx="5167630" cy="1882140"/>
            <wp:effectExtent l="0" t="0" r="0" b="3810"/>
            <wp:docPr id="7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011C3B" w:rsidRDefault="00011C3B" w:rsidP="004869BB">
      <w:r w:rsidRPr="00E962EE">
        <w:t xml:space="preserve">A 2012. évben 6 db kifizetési kérelmet nyújtott be a MAK, </w:t>
      </w:r>
      <w:r w:rsidR="006461A7" w:rsidRPr="00E962EE">
        <w:t xml:space="preserve">melyre </w:t>
      </w:r>
      <w:r w:rsidRPr="00E962EE">
        <w:t>6 M euró (</w:t>
      </w:r>
      <w:r w:rsidR="006461A7" w:rsidRPr="00E962EE">
        <w:t>1 750</w:t>
      </w:r>
      <w:r w:rsidRPr="00E962EE">
        <w:t xml:space="preserve"> M Ft) </w:t>
      </w:r>
      <w:r w:rsidR="006461A7" w:rsidRPr="00E962EE">
        <w:t>összegű kifizetés történt</w:t>
      </w:r>
      <w:r w:rsidRPr="00E962EE">
        <w:t xml:space="preserve">. Ezek alapján a támogatási konstrukció kezdete óta </w:t>
      </w:r>
      <w:r w:rsidR="006461A7" w:rsidRPr="00E962EE">
        <w:t xml:space="preserve">összesen </w:t>
      </w:r>
      <w:r w:rsidRPr="00E962EE">
        <w:t>36,4 M euró (10</w:t>
      </w:r>
      <w:r w:rsidR="003A56F0" w:rsidRPr="00E962EE">
        <w:t> </w:t>
      </w:r>
      <w:r w:rsidRPr="00E962EE">
        <w:t>62</w:t>
      </w:r>
      <w:r w:rsidR="003A56F0" w:rsidRPr="00E962EE">
        <w:t>6</w:t>
      </w:r>
      <w:r w:rsidRPr="00E962EE">
        <w:t xml:space="preserve"> M Ft) kifizetése történt meg.</w:t>
      </w:r>
    </w:p>
    <w:p w:rsidR="00011C3B" w:rsidRPr="00604B6F" w:rsidRDefault="00011C3B" w:rsidP="00715E86">
      <w:pPr>
        <w:pStyle w:val="Cmsor4"/>
      </w:pPr>
      <w:r w:rsidRPr="00604B6F">
        <w:t>Mezőgazdasághoz és erdőgazdálkodáshoz kapcsolódó szakmai képzések támogatási jogcím megvalósulása</w:t>
      </w:r>
    </w:p>
    <w:p w:rsidR="00011C3B" w:rsidRDefault="00011C3B" w:rsidP="004869BB">
      <w:r w:rsidRPr="00324B70">
        <w:t xml:space="preserve">A 2008-ban megjelent támogatási jogcím célja a mezőgazdasági termelők és erdőgazdálkodók részére térítésmentes képzések keretében olyan szakmai, gazdálkodási és aktuális agrárszabályozási ismereteket nyújtani, amelyek segítségével fokozni tudják piaci versenyképességüket, jobban meg tudnak felelni a környezettudatos, fenntartható gazdálkodás követelményeinek, valamint hatékonyabban, és szabályszerűen fel tudják használni a Program egyes intézkedései keretében elnyert támogatásokat. 2009-ben kiválasztásra került az a 39 képző szervezet, melyek a képzéseket </w:t>
      </w:r>
      <w:r w:rsidRPr="001730DC">
        <w:t xml:space="preserve">bonyolítják. </w:t>
      </w:r>
      <w:r w:rsidR="009E3A09" w:rsidRPr="009E3A09">
        <w:t xml:space="preserve">A támogatott képzéseket </w:t>
      </w:r>
      <w:r w:rsidR="003A56F0" w:rsidRPr="009E3A09">
        <w:t xml:space="preserve">2012. év során </w:t>
      </w:r>
      <w:r w:rsidR="003A56F0">
        <w:t>is</w:t>
      </w:r>
      <w:r w:rsidR="003A56F0" w:rsidRPr="009E3A09">
        <w:t xml:space="preserve"> </w:t>
      </w:r>
      <w:r w:rsidR="009E3A09" w:rsidRPr="009E3A09">
        <w:t>folyamatosan szervezték a képző szervezetek. A támogatás mértéke az elszámolható kiadás 100%-a.</w:t>
      </w:r>
      <w:r w:rsidR="009E3A09">
        <w:t xml:space="preserve"> </w:t>
      </w:r>
    </w:p>
    <w:p w:rsidR="00011C3B" w:rsidRDefault="009E3A09" w:rsidP="004869BB">
      <w:r w:rsidRPr="009E3A09">
        <w:t>Az ügyfél az egyesített támogatási és kifizetési kérelmét, a képzés befejezését követően - az ÚMVP Képző Szervezetek integrált elektronikus rendszerében rögzített adatok alapján - a rendeletben meghatározott benyújtási időszakokban, ele</w:t>
      </w:r>
      <w:r>
        <w:t xml:space="preserve">ktronikus űrlapon nyújthatta be </w:t>
      </w:r>
      <w:r w:rsidR="003A56F0">
        <w:t xml:space="preserve">az </w:t>
      </w:r>
      <w:r>
        <w:t>egységes</w:t>
      </w:r>
      <w:r w:rsidR="00011C3B">
        <w:t xml:space="preserve"> támogatási és kifizetési kérel</w:t>
      </w:r>
      <w:r>
        <w:t>e</w:t>
      </w:r>
      <w:r w:rsidR="00011C3B">
        <w:t>m</w:t>
      </w:r>
      <w:r>
        <w:t>mel, amelynek</w:t>
      </w:r>
      <w:r w:rsidR="00011C3B">
        <w:t xml:space="preserve"> benyújtására 2012-ben – meghosszabbított benyújtási időszakban – az ügyfeleknek két alkalommal volt lehetősége.</w:t>
      </w:r>
    </w:p>
    <w:p w:rsidR="00011C3B" w:rsidRDefault="00011C3B" w:rsidP="004869BB">
      <w:r>
        <w:t xml:space="preserve">Az egyesített támogatási és kifizetési kérelem benyújtás révén a folyamat lerövidül, tekintettel arra, hogy a jogosultság megállapításával együtt a jóváhagyott támogatás kifizetésre </w:t>
      </w:r>
      <w:r w:rsidR="003A56F0">
        <w:t xml:space="preserve">is </w:t>
      </w:r>
      <w:r>
        <w:t xml:space="preserve">kerül az ügyfél részére, az ügyfélnek nem kell ehhez a támogatási határozat jogerőre emelkedését követően külön kifizetési kérelmet benyújtania. </w:t>
      </w:r>
    </w:p>
    <w:p w:rsidR="009E3A09" w:rsidRPr="00324B70" w:rsidRDefault="009E3A09" w:rsidP="004869BB">
      <w:r w:rsidRPr="009E3A09">
        <w:t>A módosítás további célja</w:t>
      </w:r>
      <w:r w:rsidR="002C0AE0">
        <w:t xml:space="preserve"> volt, hogy a m</w:t>
      </w:r>
      <w:r w:rsidRPr="009E3A09">
        <w:t xml:space="preserve">ezőgazdasági szállításra vonatkozó képzés keretében </w:t>
      </w:r>
      <w:r w:rsidR="00CB7703">
        <w:t xml:space="preserve">az IH </w:t>
      </w:r>
      <w:r w:rsidRPr="009E3A09">
        <w:t>lehetővé tegy</w:t>
      </w:r>
      <w:r w:rsidR="00CB7703">
        <w:t>e</w:t>
      </w:r>
      <w:r w:rsidRPr="009E3A09">
        <w:t xml:space="preserve"> a gazdálkodók részére a mezőgazdasági vegyszerek és üzemanyagok mezőgazdasági vontatóval történő közúti szállítására jogosító engedély támogatott formában való megszerzését</w:t>
      </w:r>
      <w:r>
        <w:t>.</w:t>
      </w:r>
    </w:p>
    <w:p w:rsidR="00011C3B" w:rsidRPr="00F92037" w:rsidRDefault="007E5FDF" w:rsidP="00F92037">
      <w:pPr>
        <w:pStyle w:val="bra-cmetbla"/>
      </w:pPr>
      <w:fldSimple w:instr=" SEQ táblázat \* ARABIC ">
        <w:r w:rsidR="00E5031F">
          <w:rPr>
            <w:noProof/>
          </w:rPr>
          <w:t>18</w:t>
        </w:r>
      </w:fldSimple>
      <w:r w:rsidR="00673DDE">
        <w:t xml:space="preserve">. táblázat: </w:t>
      </w:r>
      <w:r w:rsidR="00011C3B" w:rsidRPr="00F92037">
        <w:t>Mezőgazdasághoz és erdőgazdálkodáshoz kapcsolódó szakmai képzések támogatási jogcím</w:t>
      </w:r>
      <w:r w:rsidR="00011C3B" w:rsidRPr="00F92037">
        <w:br/>
        <w:t>2012. évi eredményei</w:t>
      </w:r>
    </w:p>
    <w:p w:rsidR="00011C3B" w:rsidRPr="00F92037" w:rsidRDefault="00B452BF" w:rsidP="00F92037">
      <w:pPr>
        <w:pStyle w:val="bra-cmetbla"/>
      </w:pPr>
      <w:r w:rsidRPr="00F92037">
        <w:rPr>
          <w:noProof/>
        </w:rPr>
        <w:drawing>
          <wp:inline distT="0" distB="0" distL="0" distR="0" wp14:anchorId="55CCA1E6" wp14:editId="266BD6A3">
            <wp:extent cx="5167630" cy="1882140"/>
            <wp:effectExtent l="0" t="0" r="0" b="3810"/>
            <wp:docPr id="7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011C3B" w:rsidRPr="00604B6F" w:rsidRDefault="00011C3B" w:rsidP="004869BB">
      <w:r w:rsidRPr="00B94329">
        <w:t xml:space="preserve">A 2011-ben benyújtott 6 949 db egységes támogatási és kifizetési kérelemből 184 db-ot elutasított az MVH, ami a benyújtott kérelmeknek 2,6%-a. 2012-ben az MVH 3 608 db egységes támogatási és kifizetési kérelmet hagyott jóvá. A jogcímre 2012-ben 1,1 M euró (330 M Ft) kifizetése történt meg. </w:t>
      </w:r>
    </w:p>
    <w:p w:rsidR="00011C3B" w:rsidRPr="00604B6F" w:rsidRDefault="00011C3B" w:rsidP="004869BB">
      <w:r w:rsidRPr="00A105D5">
        <w:t>A beérkezett kérelmek területi megoszlását tekintve</w:t>
      </w:r>
      <w:r w:rsidRPr="00604B6F">
        <w:t xml:space="preserve"> a legnagyobb érdeklődés a jogcím iránt </w:t>
      </w:r>
      <w:r>
        <w:t xml:space="preserve">Nógrád </w:t>
      </w:r>
      <w:r w:rsidRPr="00604B6F">
        <w:t xml:space="preserve">megyében volt, </w:t>
      </w:r>
      <w:r w:rsidRPr="0033390A">
        <w:t>és itt történt a legnagyobb összegű kifizetés</w:t>
      </w:r>
      <w:r w:rsidR="00665DFE" w:rsidRPr="0033390A">
        <w:t xml:space="preserve"> is</w:t>
      </w:r>
      <w:r w:rsidRPr="0033390A">
        <w:t>. A legkevesebb</w:t>
      </w:r>
      <w:r w:rsidRPr="00604B6F">
        <w:t xml:space="preserve"> számú kérelem Budapestről ill. </w:t>
      </w:r>
      <w:r>
        <w:t xml:space="preserve">Csongrád </w:t>
      </w:r>
      <w:r w:rsidRPr="00604B6F">
        <w:t xml:space="preserve">megyéből érkezett be, </w:t>
      </w:r>
      <w:r w:rsidRPr="00FB7942">
        <w:t>a legkisebb összegű kifizetés Békés megyében történt.</w:t>
      </w:r>
      <w:r w:rsidRPr="00604B6F">
        <w:t xml:space="preserve"> </w:t>
      </w:r>
    </w:p>
    <w:p w:rsidR="00011C3B" w:rsidRPr="00896E03" w:rsidRDefault="00011C3B" w:rsidP="00DB48A3">
      <w:pPr>
        <w:pStyle w:val="Cmsor3"/>
      </w:pPr>
      <w:bookmarkStart w:id="222" w:name="_Toc326607455"/>
      <w:bookmarkStart w:id="223" w:name="_Toc326607543"/>
      <w:bookmarkStart w:id="224" w:name="_Toc326748758"/>
      <w:bookmarkStart w:id="225" w:name="_Toc326762206"/>
      <w:bookmarkStart w:id="226" w:name="_Toc328638703"/>
      <w:bookmarkStart w:id="227" w:name="_Toc360176793"/>
      <w:bookmarkEnd w:id="222"/>
      <w:bookmarkEnd w:id="223"/>
      <w:bookmarkEnd w:id="224"/>
      <w:bookmarkEnd w:id="225"/>
      <w:r w:rsidRPr="00896E03">
        <w:t>Fiatal gazdák induló támogatása intézkedés (112) rövid bemutatása</w:t>
      </w:r>
      <w:bookmarkEnd w:id="226"/>
      <w:bookmarkEnd w:id="227"/>
    </w:p>
    <w:p w:rsidR="00011C3B" w:rsidRPr="00367A3A" w:rsidRDefault="00011C3B" w:rsidP="004869BB">
      <w:r w:rsidRPr="00367A3A">
        <w:t>Az intézkedés célja a fiatal mezőgazdasági termelők gazdaságalapításának, valamint a birtokstruktúra átalakításának előmozdítása, a mezőgazdasági munkaerő korstruktúrájának javítása, a vidék népességmegtartó képességének növelése és a mezőgazdasági tevékenység hosszú távú fenntartása.</w:t>
      </w:r>
    </w:p>
    <w:p w:rsidR="004A70DD" w:rsidRDefault="00011C3B" w:rsidP="004869BB">
      <w:r w:rsidRPr="00367A3A">
        <w:t xml:space="preserve">Az intézkedés </w:t>
      </w:r>
      <w:r w:rsidR="004A70DD">
        <w:t>háromszo</w:t>
      </w:r>
      <w:r w:rsidR="004A70DD" w:rsidRPr="00367A3A">
        <w:t xml:space="preserve">r </w:t>
      </w:r>
      <w:r w:rsidRPr="00367A3A">
        <w:t>került meghirdetésre</w:t>
      </w:r>
      <w:r w:rsidR="004A70DD">
        <w:t>,</w:t>
      </w:r>
      <w:r w:rsidRPr="00367A3A">
        <w:t xml:space="preserve"> </w:t>
      </w:r>
      <w:r w:rsidR="004A70DD">
        <w:t>három</w:t>
      </w:r>
      <w:r w:rsidRPr="00367A3A">
        <w:t xml:space="preserve"> különálló jogcímrendelet</w:t>
      </w:r>
      <w:r>
        <w:t xml:space="preserve"> kereté</w:t>
      </w:r>
      <w:r w:rsidRPr="00367A3A">
        <w:t xml:space="preserve">ben, mely lefedi az intézkedés egészét. </w:t>
      </w:r>
    </w:p>
    <w:p w:rsidR="004A70DD" w:rsidRDefault="00011C3B" w:rsidP="004869BB">
      <w:r w:rsidRPr="00367A3A">
        <w:t xml:space="preserve">2007-ben indult a Fiatal mezőgazdasági termelők számára nyújtandó támogatások jogcím, melyre 2007-ben és 2008-ban lehetett támogatási kérelmet benyújtani. </w:t>
      </w:r>
    </w:p>
    <w:p w:rsidR="009E3A09" w:rsidRDefault="00011C3B" w:rsidP="004869BB">
      <w:r w:rsidRPr="00367A3A">
        <w:t xml:space="preserve">A 2009. évben nyújtandó támogatásokra vonatkozóan az IH indokoltnak látta egy új, a Fiatal mezőgazdasági termelők indulásához a 2009. évtől nyújtandó támogatások elnevezésű jogcímrendelet kiadását, a támogatás célja azonban a 2007-ben megjelenthez képest változatlan maradt. 2009-ben ennek az új rendeletnek megfelelően lehetett támogatási kérelmet benyújtani. </w:t>
      </w:r>
    </w:p>
    <w:p w:rsidR="00011C3B" w:rsidRDefault="009E3A09" w:rsidP="004869BB">
      <w:r>
        <w:t xml:space="preserve">Ezt követően 2012-ben hasonló megfontolások mentén került kidolgozásra </w:t>
      </w:r>
      <w:r w:rsidRPr="00B46F65">
        <w:t>a Fiatal mezőgazda</w:t>
      </w:r>
      <w:r>
        <w:t>sági termelők indulásához a 2012. évben</w:t>
      </w:r>
      <w:r w:rsidRPr="00B46F65">
        <w:t xml:space="preserve"> nyújtandó támogatások elnevezésű jogcímrendelet</w:t>
      </w:r>
      <w:r>
        <w:t xml:space="preserve"> a 2007-ben megjelent jogcímrendelttel azonos célok megvalósítása érdekében. Harmadik alkalommal 2012-ben ezen új jogcímrendelet alapján lehetett támogatási kérelmet benyújtani.</w:t>
      </w:r>
    </w:p>
    <w:p w:rsidR="009E3A09" w:rsidRPr="00B46F65" w:rsidRDefault="009E3A09" w:rsidP="00D53DF7">
      <w:pPr>
        <w:rPr>
          <w:szCs w:val="20"/>
        </w:rPr>
      </w:pPr>
      <w:r w:rsidRPr="00B46F65">
        <w:rPr>
          <w:szCs w:val="20"/>
        </w:rPr>
        <w:t>A 2007-ben megjelent 67/2007. (VII. 26.) FVM rendelet 201</w:t>
      </w:r>
      <w:r>
        <w:rPr>
          <w:szCs w:val="20"/>
        </w:rPr>
        <w:t>2</w:t>
      </w:r>
      <w:r w:rsidRPr="00B46F65">
        <w:rPr>
          <w:szCs w:val="20"/>
        </w:rPr>
        <w:t xml:space="preserve">-ben </w:t>
      </w:r>
      <w:r>
        <w:rPr>
          <w:szCs w:val="20"/>
        </w:rPr>
        <w:t>nem</w:t>
      </w:r>
      <w:r w:rsidRPr="00B46F65">
        <w:rPr>
          <w:szCs w:val="20"/>
        </w:rPr>
        <w:t xml:space="preserve"> módosult</w:t>
      </w:r>
      <w:r>
        <w:rPr>
          <w:szCs w:val="20"/>
        </w:rPr>
        <w:t>.</w:t>
      </w:r>
      <w:r w:rsidRPr="00B46F65">
        <w:rPr>
          <w:szCs w:val="20"/>
        </w:rPr>
        <w:t xml:space="preserve"> </w:t>
      </w:r>
    </w:p>
    <w:p w:rsidR="009E3A09" w:rsidRPr="00A02C40" w:rsidRDefault="009E3A09" w:rsidP="00D53DF7">
      <w:pPr>
        <w:rPr>
          <w:szCs w:val="20"/>
        </w:rPr>
      </w:pPr>
      <w:r w:rsidRPr="00B46F65">
        <w:rPr>
          <w:szCs w:val="20"/>
        </w:rPr>
        <w:t>A 2009-ben megjelent 113/2009. (VIII. 29.) FVM rendelet 201</w:t>
      </w:r>
      <w:r>
        <w:rPr>
          <w:szCs w:val="20"/>
        </w:rPr>
        <w:t>2</w:t>
      </w:r>
      <w:r w:rsidRPr="00B46F65">
        <w:rPr>
          <w:szCs w:val="20"/>
        </w:rPr>
        <w:t xml:space="preserve">-ben </w:t>
      </w:r>
      <w:r>
        <w:rPr>
          <w:szCs w:val="20"/>
        </w:rPr>
        <w:t>egy alkalommal</w:t>
      </w:r>
      <w:r w:rsidRPr="00B46F65">
        <w:rPr>
          <w:szCs w:val="20"/>
        </w:rPr>
        <w:t xml:space="preserve"> módosult a </w:t>
      </w:r>
      <w:r>
        <w:rPr>
          <w:szCs w:val="20"/>
        </w:rPr>
        <w:t>17/2012</w:t>
      </w:r>
      <w:r w:rsidRPr="00A02C40">
        <w:rPr>
          <w:szCs w:val="20"/>
        </w:rPr>
        <w:t>. (</w:t>
      </w:r>
      <w:r>
        <w:rPr>
          <w:szCs w:val="20"/>
        </w:rPr>
        <w:t>II. 29.) VM rendelet keretében</w:t>
      </w:r>
      <w:r w:rsidR="002C0AE0">
        <w:rPr>
          <w:szCs w:val="20"/>
        </w:rPr>
        <w:t>. A</w:t>
      </w:r>
      <w:r w:rsidRPr="00A02C40">
        <w:rPr>
          <w:bCs/>
          <w:szCs w:val="20"/>
        </w:rPr>
        <w:t xml:space="preserve"> </w:t>
      </w:r>
      <w:r w:rsidRPr="00A02C40">
        <w:rPr>
          <w:szCs w:val="20"/>
        </w:rPr>
        <w:t xml:space="preserve">tervezhetőséget és kiszámíthatóságot biztosító jogalkotói szándék miatt </w:t>
      </w:r>
      <w:r>
        <w:rPr>
          <w:szCs w:val="20"/>
        </w:rPr>
        <w:t>i</w:t>
      </w:r>
      <w:r w:rsidRPr="00A02C40">
        <w:rPr>
          <w:szCs w:val="20"/>
        </w:rPr>
        <w:t>ndokolt</w:t>
      </w:r>
      <w:r>
        <w:rPr>
          <w:szCs w:val="20"/>
        </w:rPr>
        <w:t>tá</w:t>
      </w:r>
      <w:r w:rsidRPr="00A02C40">
        <w:rPr>
          <w:szCs w:val="20"/>
        </w:rPr>
        <w:t xml:space="preserve"> </w:t>
      </w:r>
      <w:r>
        <w:rPr>
          <w:szCs w:val="20"/>
        </w:rPr>
        <w:t>vált</w:t>
      </w:r>
      <w:r w:rsidRPr="00A02C40">
        <w:rPr>
          <w:szCs w:val="20"/>
        </w:rPr>
        <w:t xml:space="preserve"> az SFH értékeknek a támogatási kérelembenyújtás időpontjában való rögzítése</w:t>
      </w:r>
      <w:r w:rsidRPr="00A02C40">
        <w:rPr>
          <w:bCs/>
          <w:szCs w:val="20"/>
        </w:rPr>
        <w:t xml:space="preserve">, amelyet követően </w:t>
      </w:r>
      <w:r w:rsidRPr="00A02C40">
        <w:rPr>
          <w:szCs w:val="20"/>
        </w:rPr>
        <w:t>a vállalt EUME méretet a működtetési időszak egésze alatt a támogatási kérelembenyújtás évének január 1-jén érvényes Európai Központi Bank (EKB) által rögzített árfolyamon és a rendelet mellékletében meghatározott SFH értékek alapján kell figyelembe venni.</w:t>
      </w:r>
    </w:p>
    <w:p w:rsidR="009E3A09" w:rsidRPr="003E35A2" w:rsidRDefault="009E3A09" w:rsidP="00D90F4C">
      <w:r w:rsidRPr="003E35A2">
        <w:lastRenderedPageBreak/>
        <w:t xml:space="preserve">Az intézkedés 2012. évi, harmadik alkalommal történő megnyitásához kihirdetésre került az Európai Mezőgazdasági </w:t>
      </w:r>
      <w:r w:rsidRPr="00D90F4C">
        <w:t>Vidékfejlesztési</w:t>
      </w:r>
      <w:r w:rsidRPr="003E35A2">
        <w:t xml:space="preserve"> Alapból a fiatal mezőgazdasági termelők indulásához a 2012. évben igényelhető támogatások részletes feltételeiről szóló 57/2012. (VI. 21.) VM rendelet. </w:t>
      </w:r>
    </w:p>
    <w:p w:rsidR="00011C3B" w:rsidRPr="00F92037" w:rsidRDefault="007E5FDF" w:rsidP="00F92037">
      <w:pPr>
        <w:pStyle w:val="bra-cmetbla"/>
      </w:pPr>
      <w:fldSimple w:instr=" SEQ táblázat \* ARABIC ">
        <w:r w:rsidR="00E5031F">
          <w:rPr>
            <w:noProof/>
          </w:rPr>
          <w:t>19</w:t>
        </w:r>
      </w:fldSimple>
      <w:r w:rsidR="00673DDE">
        <w:t xml:space="preserve">. táblázat: </w:t>
      </w:r>
      <w:r w:rsidR="00011C3B" w:rsidRPr="00F92037">
        <w:t xml:space="preserve">Fiatal gazdák induló támogatása intézkedés </w:t>
      </w:r>
      <w:r w:rsidR="00884E96" w:rsidRPr="00F92037">
        <w:t xml:space="preserve">(112) </w:t>
      </w:r>
      <w:r w:rsidR="00011C3B" w:rsidRPr="00F92037">
        <w:t>indikátorainak megvalósulása</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5963"/>
        <w:gridCol w:w="1507"/>
        <w:gridCol w:w="1710"/>
      </w:tblGrid>
      <w:tr w:rsidR="00011C3B" w:rsidRPr="00FF4235" w:rsidTr="00011C3B">
        <w:trPr>
          <w:cantSplit/>
          <w:tblHeader/>
          <w:jc w:val="center"/>
        </w:trPr>
        <w:tc>
          <w:tcPr>
            <w:tcW w:w="610" w:type="dxa"/>
            <w:shd w:val="clear" w:color="auto" w:fill="B3B3B3"/>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hAnsi="Times New Roman" w:cs="Times New Roman"/>
                <w:b/>
                <w:sz w:val="20"/>
                <w:szCs w:val="20"/>
              </w:rPr>
            </w:pPr>
          </w:p>
        </w:tc>
        <w:tc>
          <w:tcPr>
            <w:tcW w:w="5963" w:type="dxa"/>
            <w:shd w:val="clear" w:color="auto" w:fill="B3B3B3"/>
            <w:vAlign w:val="center"/>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0"/>
                <w:szCs w:val="20"/>
              </w:rPr>
            </w:pPr>
            <w:r w:rsidRPr="00FF4235">
              <w:rPr>
                <w:rFonts w:ascii="Times New Roman" w:hAnsi="Times New Roman" w:cs="Times New Roman"/>
                <w:b/>
                <w:sz w:val="20"/>
                <w:szCs w:val="20"/>
              </w:rPr>
              <w:t>Indikátor leírása</w:t>
            </w:r>
          </w:p>
        </w:tc>
        <w:tc>
          <w:tcPr>
            <w:tcW w:w="1507" w:type="dxa"/>
            <w:shd w:val="clear" w:color="auto" w:fill="B3B3B3"/>
            <w:vAlign w:val="center"/>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0"/>
                <w:szCs w:val="20"/>
              </w:rPr>
            </w:pPr>
            <w:r w:rsidRPr="00FF4235">
              <w:rPr>
                <w:rFonts w:ascii="Times New Roman" w:hAnsi="Times New Roman" w:cs="Times New Roman"/>
                <w:b/>
                <w:sz w:val="20"/>
                <w:szCs w:val="20"/>
              </w:rPr>
              <w:t>Program szerinti tervadat</w:t>
            </w:r>
          </w:p>
        </w:tc>
        <w:tc>
          <w:tcPr>
            <w:tcW w:w="1710" w:type="dxa"/>
            <w:shd w:val="clear" w:color="auto" w:fill="B3B3B3"/>
            <w:vAlign w:val="center"/>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b/>
                <w:sz w:val="20"/>
                <w:szCs w:val="20"/>
              </w:rPr>
            </w:pPr>
            <w:r w:rsidRPr="00FF4235">
              <w:rPr>
                <w:rFonts w:ascii="Times New Roman" w:hAnsi="Times New Roman" w:cs="Times New Roman"/>
                <w:b/>
                <w:sz w:val="20"/>
                <w:szCs w:val="20"/>
              </w:rPr>
              <w:t>Indikátorok kumulált értéke</w:t>
            </w:r>
          </w:p>
        </w:tc>
      </w:tr>
      <w:tr w:rsidR="00011C3B" w:rsidRPr="00FF4235" w:rsidTr="00011C3B">
        <w:trPr>
          <w:cantSplit/>
          <w:jc w:val="center"/>
        </w:trPr>
        <w:tc>
          <w:tcPr>
            <w:tcW w:w="610" w:type="dxa"/>
            <w:vMerge w:val="restart"/>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O</w:t>
            </w:r>
          </w:p>
        </w:tc>
        <w:tc>
          <w:tcPr>
            <w:tcW w:w="5963"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Támogatott fiatal gazdák száma</w:t>
            </w:r>
          </w:p>
        </w:tc>
        <w:tc>
          <w:tcPr>
            <w:tcW w:w="1507" w:type="dxa"/>
          </w:tcPr>
          <w:p w:rsidR="00011C3B" w:rsidRPr="00FF4235" w:rsidRDefault="00011C3B" w:rsidP="00392551">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F4235">
              <w:rPr>
                <w:rFonts w:ascii="Times New Roman" w:hAnsi="Times New Roman" w:cs="Times New Roman"/>
                <w:sz w:val="20"/>
                <w:szCs w:val="20"/>
                <w:lang w:val="en-GB"/>
              </w:rPr>
              <w:t>2</w:t>
            </w:r>
            <w:r w:rsidR="00392551">
              <w:rPr>
                <w:rFonts w:ascii="Times New Roman" w:hAnsi="Times New Roman" w:cs="Times New Roman"/>
                <w:sz w:val="20"/>
                <w:szCs w:val="20"/>
                <w:lang w:val="en-GB"/>
              </w:rPr>
              <w:t>0</w:t>
            </w:r>
            <w:r w:rsidRPr="00FF4235">
              <w:rPr>
                <w:rFonts w:ascii="Times New Roman" w:hAnsi="Times New Roman" w:cs="Times New Roman"/>
                <w:sz w:val="20"/>
                <w:szCs w:val="20"/>
                <w:lang w:val="en-GB"/>
              </w:rPr>
              <w:t>00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3 296</w:t>
            </w:r>
          </w:p>
        </w:tc>
      </w:tr>
      <w:tr w:rsidR="00011C3B" w:rsidRPr="00FF4235" w:rsidTr="00011C3B">
        <w:trPr>
          <w:cantSplit/>
          <w:jc w:val="center"/>
        </w:trPr>
        <w:tc>
          <w:tcPr>
            <w:tcW w:w="610" w:type="dxa"/>
            <w:vMerge/>
          </w:tcPr>
          <w:p w:rsidR="00011C3B" w:rsidRPr="00FF4235" w:rsidRDefault="00011C3B" w:rsidP="00011C3B">
            <w:pPr>
              <w:pStyle w:val="Szvegtrzs"/>
              <w:spacing w:after="0"/>
              <w:jc w:val="left"/>
              <w:rPr>
                <w:sz w:val="20"/>
                <w:szCs w:val="20"/>
              </w:rPr>
            </w:pPr>
          </w:p>
        </w:tc>
        <w:tc>
          <w:tcPr>
            <w:tcW w:w="5963" w:type="dxa"/>
          </w:tcPr>
          <w:p w:rsidR="00011C3B" w:rsidRPr="00FF4235" w:rsidRDefault="00011C3B" w:rsidP="00011C3B">
            <w:pPr>
              <w:pStyle w:val="Szvegtrzs"/>
              <w:spacing w:after="0"/>
              <w:jc w:val="left"/>
              <w:rPr>
                <w:sz w:val="20"/>
                <w:szCs w:val="20"/>
              </w:rPr>
            </w:pPr>
            <w:r w:rsidRPr="00FF4235">
              <w:rPr>
                <w:sz w:val="20"/>
                <w:szCs w:val="20"/>
              </w:rPr>
              <w:t>nem (férfi/nő)</w:t>
            </w:r>
          </w:p>
        </w:tc>
        <w:tc>
          <w:tcPr>
            <w:tcW w:w="1507" w:type="dxa"/>
          </w:tcPr>
          <w:p w:rsidR="00011C3B" w:rsidRPr="00FF4235" w:rsidRDefault="00011C3B" w:rsidP="00392551">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F4235">
              <w:rPr>
                <w:rFonts w:ascii="Times New Roman" w:hAnsi="Times New Roman" w:cs="Times New Roman"/>
                <w:sz w:val="20"/>
                <w:szCs w:val="20"/>
                <w:lang w:val="en-GB"/>
              </w:rPr>
              <w:t>1</w:t>
            </w:r>
            <w:r w:rsidR="004A70DD">
              <w:rPr>
                <w:rFonts w:ascii="Times New Roman" w:hAnsi="Times New Roman" w:cs="Times New Roman"/>
                <w:sz w:val="20"/>
                <w:szCs w:val="20"/>
                <w:lang w:val="en-GB"/>
              </w:rPr>
              <w:t xml:space="preserve"> </w:t>
            </w:r>
            <w:r w:rsidRPr="00FF4235">
              <w:rPr>
                <w:rFonts w:ascii="Times New Roman" w:hAnsi="Times New Roman" w:cs="Times New Roman"/>
                <w:sz w:val="20"/>
                <w:szCs w:val="20"/>
                <w:lang w:val="en-GB"/>
              </w:rPr>
              <w:t>7</w:t>
            </w:r>
            <w:r w:rsidR="00392551">
              <w:rPr>
                <w:rFonts w:ascii="Times New Roman" w:hAnsi="Times New Roman" w:cs="Times New Roman"/>
                <w:sz w:val="20"/>
                <w:szCs w:val="20"/>
                <w:lang w:val="en-GB"/>
              </w:rPr>
              <w:t>00</w:t>
            </w:r>
            <w:r w:rsidRPr="00FF4235">
              <w:rPr>
                <w:rFonts w:ascii="Times New Roman" w:hAnsi="Times New Roman" w:cs="Times New Roman"/>
                <w:sz w:val="20"/>
                <w:szCs w:val="20"/>
                <w:lang w:val="en-GB"/>
              </w:rPr>
              <w:t>/</w:t>
            </w:r>
            <w:r w:rsidR="00392551">
              <w:rPr>
                <w:rFonts w:ascii="Times New Roman" w:hAnsi="Times New Roman" w:cs="Times New Roman"/>
                <w:sz w:val="20"/>
                <w:szCs w:val="20"/>
                <w:lang w:val="en-GB"/>
              </w:rPr>
              <w:t>300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2</w:t>
            </w:r>
            <w:r w:rsidR="004A70DD">
              <w:rPr>
                <w:rFonts w:ascii="Times New Roman" w:hAnsi="Times New Roman" w:cs="Calibri"/>
                <w:sz w:val="20"/>
                <w:szCs w:val="20"/>
                <w:lang w:val="en-GB"/>
              </w:rPr>
              <w:t xml:space="preserve"> </w:t>
            </w:r>
            <w:r>
              <w:rPr>
                <w:rFonts w:ascii="Times New Roman" w:hAnsi="Times New Roman" w:cs="Calibri"/>
                <w:sz w:val="20"/>
                <w:szCs w:val="20"/>
                <w:lang w:val="en-GB"/>
              </w:rPr>
              <w:t>051/1</w:t>
            </w:r>
            <w:r w:rsidR="004A70DD">
              <w:rPr>
                <w:rFonts w:ascii="Times New Roman" w:hAnsi="Times New Roman" w:cs="Calibri"/>
                <w:sz w:val="20"/>
                <w:szCs w:val="20"/>
                <w:lang w:val="en-GB"/>
              </w:rPr>
              <w:t xml:space="preserve"> </w:t>
            </w:r>
            <w:r>
              <w:rPr>
                <w:rFonts w:ascii="Times New Roman" w:hAnsi="Times New Roman" w:cs="Calibri"/>
                <w:sz w:val="20"/>
                <w:szCs w:val="20"/>
                <w:lang w:val="en-GB"/>
              </w:rPr>
              <w:t>245</w:t>
            </w:r>
          </w:p>
        </w:tc>
      </w:tr>
      <w:tr w:rsidR="00011C3B" w:rsidRPr="00FF4235" w:rsidTr="00011C3B">
        <w:trPr>
          <w:cantSplit/>
          <w:jc w:val="center"/>
        </w:trPr>
        <w:tc>
          <w:tcPr>
            <w:tcW w:w="610" w:type="dxa"/>
            <w:vMerge/>
          </w:tcPr>
          <w:p w:rsidR="00011C3B" w:rsidRPr="00FF4235" w:rsidRDefault="00011C3B" w:rsidP="00011C3B">
            <w:pPr>
              <w:pStyle w:val="Szvegtrzs"/>
              <w:spacing w:after="0"/>
              <w:jc w:val="left"/>
              <w:rPr>
                <w:sz w:val="20"/>
                <w:szCs w:val="20"/>
              </w:rPr>
            </w:pPr>
          </w:p>
        </w:tc>
        <w:tc>
          <w:tcPr>
            <w:tcW w:w="5963" w:type="dxa"/>
          </w:tcPr>
          <w:p w:rsidR="00011C3B" w:rsidRPr="00FF4235" w:rsidRDefault="00011C3B" w:rsidP="00011C3B">
            <w:pPr>
              <w:pStyle w:val="Szvegtrzs"/>
              <w:spacing w:after="0"/>
              <w:jc w:val="left"/>
              <w:rPr>
                <w:sz w:val="20"/>
                <w:szCs w:val="20"/>
              </w:rPr>
            </w:pPr>
            <w:r w:rsidRPr="00FF4235">
              <w:rPr>
                <w:sz w:val="20"/>
                <w:szCs w:val="20"/>
              </w:rPr>
              <w:t>mezőgazdasági terület (TF 8, a 2003/369/EK alapján)</w:t>
            </w:r>
          </w:p>
        </w:tc>
        <w:tc>
          <w:tcPr>
            <w:tcW w:w="1507"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rPr>
            </w:pPr>
            <w:r w:rsidRPr="00FF4235">
              <w:rPr>
                <w:rFonts w:ascii="Times New Roman" w:hAnsi="Times New Roman" w:cs="Times New Roman"/>
                <w:sz w:val="20"/>
                <w:szCs w:val="20"/>
              </w:rPr>
              <w:t> </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rPr>
            </w:pP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Szántóföldi növénytermesztés – bio/egyéb</w:t>
            </w:r>
          </w:p>
        </w:tc>
        <w:tc>
          <w:tcPr>
            <w:tcW w:w="1507"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F4235">
              <w:rPr>
                <w:rFonts w:ascii="Times New Roman" w:hAnsi="Times New Roman" w:cs="Times New Roman"/>
                <w:sz w:val="20"/>
                <w:szCs w:val="20"/>
                <w:lang w:val="en-GB"/>
              </w:rPr>
              <w:t>1</w:t>
            </w:r>
            <w:r w:rsidR="00392551">
              <w:rPr>
                <w:rFonts w:ascii="Times New Roman" w:hAnsi="Times New Roman" w:cs="Times New Roman"/>
                <w:sz w:val="20"/>
                <w:szCs w:val="20"/>
                <w:lang w:val="en-GB"/>
              </w:rPr>
              <w:t>50/1130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30/979</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Kertészet – bio/egyéb</w:t>
            </w:r>
          </w:p>
        </w:tc>
        <w:tc>
          <w:tcPr>
            <w:tcW w:w="1507" w:type="dxa"/>
          </w:tcPr>
          <w:p w:rsidR="00011C3B" w:rsidRPr="00FF4235" w:rsidRDefault="00392551" w:rsidP="00011C3B">
            <w:pPr>
              <w:spacing w:after="0"/>
              <w:jc w:val="right"/>
              <w:rPr>
                <w:sz w:val="20"/>
                <w:szCs w:val="20"/>
                <w:lang w:val="en-GB"/>
              </w:rPr>
            </w:pPr>
            <w:r>
              <w:rPr>
                <w:sz w:val="20"/>
                <w:szCs w:val="20"/>
                <w:lang w:val="en-GB"/>
              </w:rPr>
              <w:t>30/80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48/283</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Borászat – bio/egyéb</w:t>
            </w:r>
          </w:p>
        </w:tc>
        <w:tc>
          <w:tcPr>
            <w:tcW w:w="1507" w:type="dxa"/>
          </w:tcPr>
          <w:p w:rsidR="00011C3B" w:rsidRPr="00FF4235" w:rsidRDefault="00392551" w:rsidP="00011C3B">
            <w:pPr>
              <w:spacing w:after="0"/>
              <w:jc w:val="right"/>
              <w:rPr>
                <w:sz w:val="20"/>
                <w:szCs w:val="20"/>
                <w:lang w:val="en-GB"/>
              </w:rPr>
            </w:pPr>
            <w:r>
              <w:rPr>
                <w:sz w:val="20"/>
                <w:szCs w:val="20"/>
                <w:lang w:val="en-GB"/>
              </w:rPr>
              <w:t>20/40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8/69</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Monokultúra – bio/egyéb</w:t>
            </w:r>
          </w:p>
        </w:tc>
        <w:tc>
          <w:tcPr>
            <w:tcW w:w="1507" w:type="dxa"/>
          </w:tcPr>
          <w:p w:rsidR="00011C3B" w:rsidRPr="00FF4235" w:rsidRDefault="00392551" w:rsidP="00011C3B">
            <w:pPr>
              <w:spacing w:after="0"/>
              <w:jc w:val="right"/>
              <w:rPr>
                <w:sz w:val="20"/>
                <w:szCs w:val="20"/>
                <w:lang w:val="en-GB"/>
              </w:rPr>
            </w:pPr>
            <w:r>
              <w:rPr>
                <w:sz w:val="20"/>
                <w:szCs w:val="20"/>
                <w:lang w:val="en-GB"/>
              </w:rPr>
              <w:t>20/90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56/260</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Tejtermelés – bio/egyéb</w:t>
            </w:r>
          </w:p>
        </w:tc>
        <w:tc>
          <w:tcPr>
            <w:tcW w:w="1507" w:type="dxa"/>
          </w:tcPr>
          <w:p w:rsidR="00011C3B" w:rsidRPr="00FF4235" w:rsidRDefault="00392551" w:rsidP="00011C3B">
            <w:pPr>
              <w:spacing w:after="0"/>
              <w:jc w:val="right"/>
              <w:rPr>
                <w:sz w:val="20"/>
                <w:szCs w:val="20"/>
                <w:lang w:val="en-GB"/>
              </w:rPr>
            </w:pPr>
            <w:r>
              <w:rPr>
                <w:sz w:val="20"/>
                <w:szCs w:val="20"/>
                <w:lang w:val="en-GB"/>
              </w:rPr>
              <w:t>5/50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8/70</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Legeltetéses állattartás (kivéve tejtermelés) – bio/egyéb</w:t>
            </w:r>
          </w:p>
        </w:tc>
        <w:tc>
          <w:tcPr>
            <w:tcW w:w="1507" w:type="dxa"/>
          </w:tcPr>
          <w:p w:rsidR="00011C3B" w:rsidRPr="00FF4235" w:rsidRDefault="00392551" w:rsidP="00011C3B">
            <w:pPr>
              <w:spacing w:after="0"/>
              <w:jc w:val="right"/>
              <w:rPr>
                <w:sz w:val="20"/>
                <w:szCs w:val="20"/>
                <w:lang w:val="en-GB"/>
              </w:rPr>
            </w:pPr>
            <w:r>
              <w:rPr>
                <w:sz w:val="20"/>
                <w:szCs w:val="20"/>
                <w:lang w:val="en-GB"/>
              </w:rPr>
              <w:t>10/70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17/158</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Sertés és/vagy baromfi – bio/egyéb</w:t>
            </w:r>
          </w:p>
        </w:tc>
        <w:tc>
          <w:tcPr>
            <w:tcW w:w="1507" w:type="dxa"/>
          </w:tcPr>
          <w:p w:rsidR="00011C3B" w:rsidRPr="00FF4235" w:rsidRDefault="00392551" w:rsidP="00011C3B">
            <w:pPr>
              <w:spacing w:after="0"/>
              <w:jc w:val="right"/>
              <w:rPr>
                <w:sz w:val="20"/>
                <w:szCs w:val="20"/>
                <w:lang w:val="en-GB"/>
              </w:rPr>
            </w:pPr>
            <w:r>
              <w:rPr>
                <w:sz w:val="20"/>
                <w:szCs w:val="20"/>
                <w:lang w:val="en-GB"/>
              </w:rPr>
              <w:t>15/30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15/172</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Vegyes (növénytermesztés + állattartás) – bio/egyéb</w:t>
            </w:r>
          </w:p>
        </w:tc>
        <w:tc>
          <w:tcPr>
            <w:tcW w:w="1507" w:type="dxa"/>
          </w:tcPr>
          <w:p w:rsidR="00011C3B" w:rsidRPr="00FF4235" w:rsidRDefault="00392551" w:rsidP="00011C3B">
            <w:pPr>
              <w:spacing w:after="0"/>
              <w:jc w:val="right"/>
              <w:rPr>
                <w:sz w:val="20"/>
                <w:szCs w:val="20"/>
                <w:lang w:val="en-GB"/>
              </w:rPr>
            </w:pPr>
            <w:r>
              <w:rPr>
                <w:sz w:val="20"/>
                <w:szCs w:val="20"/>
                <w:lang w:val="en-GB"/>
              </w:rPr>
              <w:t>60/200</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Pr>
                <w:rFonts w:ascii="Times New Roman" w:hAnsi="Times New Roman" w:cs="Calibri"/>
                <w:sz w:val="20"/>
                <w:szCs w:val="20"/>
                <w:lang w:val="en-GB"/>
              </w:rPr>
              <w:t>76/1047</w:t>
            </w:r>
          </w:p>
        </w:tc>
      </w:tr>
      <w:tr w:rsidR="00011C3B" w:rsidRPr="00FF4235" w:rsidTr="00011C3B">
        <w:trPr>
          <w:cantSplit/>
          <w:jc w:val="center"/>
        </w:trPr>
        <w:tc>
          <w:tcPr>
            <w:tcW w:w="610" w:type="dxa"/>
            <w:vMerge/>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kapcsolódás a gazdaságátadási intézkedéssel</w:t>
            </w:r>
          </w:p>
        </w:tc>
        <w:tc>
          <w:tcPr>
            <w:tcW w:w="1507" w:type="dxa"/>
          </w:tcPr>
          <w:p w:rsidR="00011C3B" w:rsidRPr="00FF4235" w:rsidRDefault="00011C3B" w:rsidP="00011C3B">
            <w:pPr>
              <w:spacing w:after="0"/>
              <w:jc w:val="right"/>
              <w:rPr>
                <w:sz w:val="20"/>
                <w:szCs w:val="20"/>
                <w:lang w:val="en-GB"/>
              </w:rPr>
            </w:pPr>
            <w:r w:rsidRPr="00FF4235">
              <w:rPr>
                <w:sz w:val="20"/>
                <w:szCs w:val="20"/>
                <w:lang w:val="en-GB"/>
              </w:rPr>
              <w:t> </w:t>
            </w:r>
          </w:p>
        </w:tc>
        <w:tc>
          <w:tcPr>
            <w:tcW w:w="1710"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A korán nyugdíjba vonuló gazdálkodók birtokain</w:t>
            </w:r>
          </w:p>
        </w:tc>
        <w:tc>
          <w:tcPr>
            <w:tcW w:w="1507" w:type="dxa"/>
          </w:tcPr>
          <w:p w:rsidR="00011C3B" w:rsidRPr="00FB7942" w:rsidRDefault="00392551" w:rsidP="00011C3B">
            <w:pPr>
              <w:spacing w:after="0"/>
              <w:jc w:val="right"/>
              <w:rPr>
                <w:rFonts w:cs="Times New Roman"/>
                <w:sz w:val="20"/>
                <w:szCs w:val="20"/>
                <w:lang w:val="en-GB"/>
              </w:rPr>
            </w:pPr>
            <w:r>
              <w:rPr>
                <w:rFonts w:cs="Times New Roman"/>
                <w:sz w:val="20"/>
                <w:szCs w:val="20"/>
                <w:lang w:val="en-GB"/>
              </w:rPr>
              <w:t>960</w:t>
            </w:r>
          </w:p>
        </w:tc>
        <w:tc>
          <w:tcPr>
            <w:tcW w:w="1710" w:type="dxa"/>
          </w:tcPr>
          <w:p w:rsidR="00011C3B" w:rsidRPr="00FB7942"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B7942">
              <w:rPr>
                <w:rFonts w:ascii="Times New Roman" w:hAnsi="Times New Roman" w:cs="Times New Roman"/>
                <w:sz w:val="20"/>
                <w:szCs w:val="20"/>
                <w:lang w:val="en-GB"/>
              </w:rPr>
              <w:t>110</w:t>
            </w:r>
          </w:p>
        </w:tc>
      </w:tr>
      <w:tr w:rsidR="00011C3B" w:rsidRPr="00FF4235"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egyéb birtokokon</w:t>
            </w:r>
          </w:p>
        </w:tc>
        <w:tc>
          <w:tcPr>
            <w:tcW w:w="1507" w:type="dxa"/>
          </w:tcPr>
          <w:p w:rsidR="00011C3B" w:rsidRPr="00FB7942" w:rsidRDefault="00011C3B" w:rsidP="00011C3B">
            <w:pPr>
              <w:spacing w:after="0"/>
              <w:jc w:val="right"/>
              <w:rPr>
                <w:rFonts w:cs="Times New Roman"/>
                <w:sz w:val="20"/>
                <w:szCs w:val="20"/>
                <w:lang w:val="en-GB"/>
              </w:rPr>
            </w:pPr>
            <w:r w:rsidRPr="00FB7942">
              <w:rPr>
                <w:rFonts w:cs="Times New Roman"/>
                <w:sz w:val="20"/>
                <w:szCs w:val="20"/>
                <w:lang w:val="en-GB"/>
              </w:rPr>
              <w:t>1</w:t>
            </w:r>
            <w:r w:rsidR="004A70DD">
              <w:rPr>
                <w:rFonts w:cs="Times New Roman"/>
                <w:sz w:val="20"/>
                <w:szCs w:val="20"/>
                <w:lang w:val="en-GB"/>
              </w:rPr>
              <w:t xml:space="preserve"> </w:t>
            </w:r>
            <w:r w:rsidR="00392551">
              <w:rPr>
                <w:rFonts w:cs="Times New Roman"/>
                <w:sz w:val="20"/>
                <w:szCs w:val="20"/>
                <w:lang w:val="en-GB"/>
              </w:rPr>
              <w:t>040</w:t>
            </w:r>
          </w:p>
        </w:tc>
        <w:tc>
          <w:tcPr>
            <w:tcW w:w="1710" w:type="dxa"/>
          </w:tcPr>
          <w:p w:rsidR="00011C3B" w:rsidRPr="00FB7942"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B7942">
              <w:rPr>
                <w:rFonts w:ascii="Times New Roman" w:hAnsi="Times New Roman" w:cs="Times New Roman"/>
                <w:sz w:val="20"/>
                <w:szCs w:val="20"/>
                <w:lang w:val="en-GB"/>
              </w:rPr>
              <w:t>3</w:t>
            </w:r>
            <w:r w:rsidR="004A70DD">
              <w:rPr>
                <w:rFonts w:ascii="Times New Roman" w:hAnsi="Times New Roman" w:cs="Times New Roman"/>
                <w:sz w:val="20"/>
                <w:szCs w:val="20"/>
                <w:lang w:val="en-GB"/>
              </w:rPr>
              <w:t xml:space="preserve"> </w:t>
            </w:r>
            <w:r w:rsidRPr="00FB7942">
              <w:rPr>
                <w:rFonts w:ascii="Times New Roman" w:hAnsi="Times New Roman" w:cs="Times New Roman"/>
                <w:sz w:val="20"/>
                <w:szCs w:val="20"/>
                <w:lang w:val="en-GB"/>
              </w:rPr>
              <w:t>186</w:t>
            </w:r>
          </w:p>
        </w:tc>
      </w:tr>
      <w:tr w:rsidR="00011C3B" w:rsidRPr="00FF4235" w:rsidTr="00011C3B">
        <w:trPr>
          <w:cantSplit/>
          <w:jc w:val="center"/>
        </w:trPr>
        <w:tc>
          <w:tcPr>
            <w:tcW w:w="610" w:type="dxa"/>
            <w:vMerge/>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A beruházás teljes összege (euró)</w:t>
            </w:r>
          </w:p>
        </w:tc>
        <w:tc>
          <w:tcPr>
            <w:tcW w:w="1507" w:type="dxa"/>
          </w:tcPr>
          <w:p w:rsidR="00011C3B" w:rsidRPr="00FB7942" w:rsidRDefault="00392551" w:rsidP="00011C3B">
            <w:pPr>
              <w:spacing w:after="0"/>
              <w:jc w:val="right"/>
              <w:rPr>
                <w:rFonts w:cs="Times New Roman"/>
                <w:sz w:val="20"/>
                <w:szCs w:val="20"/>
                <w:lang w:val="en-GB"/>
              </w:rPr>
            </w:pPr>
            <w:r>
              <w:rPr>
                <w:rFonts w:cs="Times New Roman"/>
                <w:sz w:val="20"/>
                <w:szCs w:val="20"/>
                <w:lang w:val="en-GB"/>
              </w:rPr>
              <w:t>42</w:t>
            </w:r>
            <w:r w:rsidR="00011C3B" w:rsidRPr="00FB7942">
              <w:rPr>
                <w:rFonts w:cs="Times New Roman"/>
                <w:sz w:val="20"/>
                <w:szCs w:val="20"/>
                <w:lang w:val="en-GB"/>
              </w:rPr>
              <w:t xml:space="preserve"> millió </w:t>
            </w:r>
          </w:p>
        </w:tc>
        <w:tc>
          <w:tcPr>
            <w:tcW w:w="1710" w:type="dxa"/>
          </w:tcPr>
          <w:p w:rsidR="00011C3B" w:rsidRPr="00FB7942" w:rsidRDefault="00011C3B" w:rsidP="00011C3B">
            <w:pPr>
              <w:pStyle w:val="xl25"/>
              <w:pBdr>
                <w:top w:val="none" w:sz="0" w:space="0" w:color="auto"/>
                <w:left w:val="none" w:sz="0" w:space="0" w:color="auto"/>
                <w:bottom w:val="none" w:sz="0" w:space="0" w:color="auto"/>
                <w:right w:val="none" w:sz="0" w:space="0" w:color="auto"/>
              </w:pBdr>
              <w:tabs>
                <w:tab w:val="center" w:pos="830"/>
                <w:tab w:val="right" w:pos="1660"/>
              </w:tabs>
              <w:spacing w:before="0" w:beforeAutospacing="0" w:after="0" w:afterAutospacing="0"/>
              <w:jc w:val="right"/>
              <w:rPr>
                <w:rFonts w:ascii="Times New Roman" w:eastAsia="Times New Roman" w:hAnsi="Times New Roman" w:cs="Times New Roman"/>
                <w:sz w:val="20"/>
                <w:szCs w:val="20"/>
              </w:rPr>
            </w:pPr>
            <w:r w:rsidRPr="00FB7942">
              <w:rPr>
                <w:rFonts w:ascii="Times New Roman" w:eastAsia="Times New Roman" w:hAnsi="Times New Roman" w:cs="Times New Roman"/>
                <w:sz w:val="20"/>
                <w:szCs w:val="20"/>
              </w:rPr>
              <w:t>119,3 millió</w:t>
            </w:r>
          </w:p>
        </w:tc>
      </w:tr>
      <w:tr w:rsidR="00011C3B" w:rsidRPr="000E0FD3" w:rsidTr="00011C3B">
        <w:trPr>
          <w:cantSplit/>
          <w:jc w:val="center"/>
        </w:trPr>
        <w:tc>
          <w:tcPr>
            <w:tcW w:w="610" w:type="dxa"/>
            <w:vMerge w:val="restart"/>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R</w:t>
            </w:r>
          </w:p>
        </w:tc>
        <w:tc>
          <w:tcPr>
            <w:tcW w:w="5963"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A bruttó hozzáadott érték növekedése a támogatott gazdaságok esetén (euró)</w:t>
            </w:r>
          </w:p>
        </w:tc>
        <w:tc>
          <w:tcPr>
            <w:tcW w:w="1507" w:type="dxa"/>
          </w:tcPr>
          <w:p w:rsidR="00011C3B" w:rsidRPr="00FB7942" w:rsidRDefault="00011C3B" w:rsidP="00392551">
            <w:pPr>
              <w:spacing w:after="0"/>
              <w:jc w:val="right"/>
              <w:rPr>
                <w:rFonts w:cs="Times New Roman"/>
                <w:sz w:val="20"/>
                <w:szCs w:val="20"/>
                <w:lang w:val="en-GB"/>
              </w:rPr>
            </w:pPr>
            <w:r w:rsidRPr="00FB7942">
              <w:rPr>
                <w:rFonts w:cs="Times New Roman"/>
                <w:sz w:val="20"/>
                <w:szCs w:val="20"/>
                <w:lang w:val="en-GB"/>
              </w:rPr>
              <w:t>1</w:t>
            </w:r>
            <w:r w:rsidR="00392551">
              <w:rPr>
                <w:rFonts w:cs="Times New Roman"/>
                <w:sz w:val="20"/>
                <w:szCs w:val="20"/>
                <w:lang w:val="en-GB"/>
              </w:rPr>
              <w:t>4</w:t>
            </w:r>
            <w:r w:rsidRPr="00FB7942">
              <w:rPr>
                <w:rFonts w:cs="Times New Roman"/>
                <w:sz w:val="20"/>
                <w:szCs w:val="20"/>
                <w:lang w:val="en-GB"/>
              </w:rPr>
              <w:t xml:space="preserve">0 millió </w:t>
            </w:r>
          </w:p>
        </w:tc>
        <w:tc>
          <w:tcPr>
            <w:tcW w:w="1710" w:type="dxa"/>
          </w:tcPr>
          <w:p w:rsidR="00011C3B" w:rsidRPr="000E0FD3" w:rsidRDefault="00011C3B" w:rsidP="00E714DA">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eastAsia="Times New Roman" w:hAnsi="Times New Roman" w:cs="Times New Roman"/>
                <w:sz w:val="20"/>
                <w:szCs w:val="20"/>
              </w:rPr>
            </w:pPr>
            <w:r w:rsidRPr="000E0FD3">
              <w:rPr>
                <w:rFonts w:ascii="Times New Roman" w:eastAsia="Times New Roman" w:hAnsi="Times New Roman" w:cs="Times New Roman"/>
                <w:sz w:val="20"/>
                <w:szCs w:val="20"/>
              </w:rPr>
              <w:t>7</w:t>
            </w:r>
            <w:r w:rsidR="00E714DA">
              <w:rPr>
                <w:rFonts w:ascii="Times New Roman" w:eastAsia="Times New Roman" w:hAnsi="Times New Roman" w:cs="Times New Roman"/>
                <w:sz w:val="20"/>
                <w:szCs w:val="20"/>
              </w:rPr>
              <w:t>,</w:t>
            </w:r>
            <w:r w:rsidRPr="000E0FD3">
              <w:rPr>
                <w:rFonts w:ascii="Times New Roman" w:eastAsia="Times New Roman" w:hAnsi="Times New Roman" w:cs="Times New Roman"/>
                <w:sz w:val="20"/>
                <w:szCs w:val="20"/>
              </w:rPr>
              <w:t>1</w:t>
            </w:r>
            <w:r w:rsidR="00E714DA">
              <w:rPr>
                <w:rFonts w:ascii="Times New Roman" w:eastAsia="Times New Roman" w:hAnsi="Times New Roman" w:cs="Times New Roman"/>
                <w:sz w:val="20"/>
                <w:szCs w:val="20"/>
              </w:rPr>
              <w:t>3</w:t>
            </w:r>
            <w:r w:rsidRPr="000E0FD3">
              <w:rPr>
                <w:rFonts w:ascii="Times New Roman" w:eastAsia="Times New Roman" w:hAnsi="Times New Roman" w:cs="Times New Roman"/>
                <w:sz w:val="20"/>
                <w:szCs w:val="20"/>
              </w:rPr>
              <w:t xml:space="preserve"> millió</w:t>
            </w:r>
          </w:p>
        </w:tc>
      </w:tr>
      <w:tr w:rsidR="00011C3B" w:rsidRPr="000E0FD3" w:rsidTr="00011C3B">
        <w:trPr>
          <w:cantSplit/>
          <w:jc w:val="center"/>
        </w:trPr>
        <w:tc>
          <w:tcPr>
            <w:tcW w:w="610" w:type="dxa"/>
            <w:vMerge/>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Intézkedés</w:t>
            </w:r>
          </w:p>
        </w:tc>
        <w:tc>
          <w:tcPr>
            <w:tcW w:w="1507" w:type="dxa"/>
          </w:tcPr>
          <w:p w:rsidR="00011C3B" w:rsidRPr="00FB7942" w:rsidRDefault="00011C3B" w:rsidP="00011C3B">
            <w:pPr>
              <w:spacing w:after="0"/>
              <w:jc w:val="right"/>
              <w:rPr>
                <w:rFonts w:cs="Times New Roman"/>
                <w:sz w:val="20"/>
                <w:szCs w:val="20"/>
                <w:lang w:val="en-GB"/>
              </w:rPr>
            </w:pPr>
            <w:r w:rsidRPr="00FB7942">
              <w:rPr>
                <w:rFonts w:cs="Times New Roman"/>
                <w:sz w:val="20"/>
                <w:szCs w:val="20"/>
                <w:lang w:val="en-GB"/>
              </w:rPr>
              <w:t> </w:t>
            </w:r>
          </w:p>
        </w:tc>
        <w:tc>
          <w:tcPr>
            <w:tcW w:w="1710" w:type="dxa"/>
          </w:tcPr>
          <w:p w:rsidR="00011C3B" w:rsidRPr="000E0FD3"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p>
        </w:tc>
      </w:tr>
      <w:tr w:rsidR="00011C3B" w:rsidRPr="000E0FD3" w:rsidTr="00011C3B">
        <w:trPr>
          <w:cantSplit/>
          <w:jc w:val="center"/>
        </w:trPr>
        <w:tc>
          <w:tcPr>
            <w:tcW w:w="610" w:type="dxa"/>
            <w:vMerge/>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011C3B" w:rsidRPr="00FF4235"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ágazat:</w:t>
            </w:r>
          </w:p>
        </w:tc>
        <w:tc>
          <w:tcPr>
            <w:tcW w:w="1507" w:type="dxa"/>
          </w:tcPr>
          <w:p w:rsidR="00011C3B" w:rsidRPr="00FB7942" w:rsidRDefault="00011C3B" w:rsidP="00011C3B">
            <w:pPr>
              <w:spacing w:after="0"/>
              <w:jc w:val="right"/>
              <w:rPr>
                <w:rFonts w:cs="Times New Roman"/>
                <w:sz w:val="20"/>
                <w:szCs w:val="20"/>
                <w:lang w:val="en-GB"/>
              </w:rPr>
            </w:pPr>
            <w:r w:rsidRPr="00FB7942">
              <w:rPr>
                <w:rFonts w:cs="Times New Roman"/>
                <w:sz w:val="20"/>
                <w:szCs w:val="20"/>
                <w:lang w:val="en-GB"/>
              </w:rPr>
              <w:t> </w:t>
            </w:r>
          </w:p>
        </w:tc>
        <w:tc>
          <w:tcPr>
            <w:tcW w:w="1710" w:type="dxa"/>
          </w:tcPr>
          <w:p w:rsidR="00011C3B" w:rsidRPr="000E0FD3"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p>
        </w:tc>
      </w:tr>
      <w:tr w:rsidR="00011C3B" w:rsidRPr="000E0FD3"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mezőgazdaság</w:t>
            </w:r>
          </w:p>
        </w:tc>
        <w:tc>
          <w:tcPr>
            <w:tcW w:w="1507" w:type="dxa"/>
          </w:tcPr>
          <w:p w:rsidR="00011C3B" w:rsidRPr="00FB7942" w:rsidRDefault="00392551" w:rsidP="00011C3B">
            <w:pPr>
              <w:spacing w:after="0"/>
              <w:jc w:val="right"/>
              <w:rPr>
                <w:rFonts w:cs="Times New Roman"/>
                <w:sz w:val="20"/>
                <w:szCs w:val="20"/>
                <w:lang w:val="en-GB"/>
              </w:rPr>
            </w:pPr>
            <w:r>
              <w:rPr>
                <w:rFonts w:cs="Times New Roman"/>
                <w:sz w:val="20"/>
                <w:szCs w:val="20"/>
                <w:lang w:val="en-GB"/>
              </w:rPr>
              <w:t>120</w:t>
            </w:r>
            <w:r w:rsidR="00011C3B" w:rsidRPr="00FB7942">
              <w:rPr>
                <w:rFonts w:cs="Times New Roman"/>
                <w:sz w:val="20"/>
                <w:szCs w:val="20"/>
                <w:lang w:val="en-GB"/>
              </w:rPr>
              <w:t xml:space="preserve"> millió</w:t>
            </w:r>
          </w:p>
        </w:tc>
        <w:tc>
          <w:tcPr>
            <w:tcW w:w="1710" w:type="dxa"/>
          </w:tcPr>
          <w:p w:rsidR="00011C3B" w:rsidRPr="000E0FD3"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0E0FD3">
              <w:rPr>
                <w:rFonts w:ascii="Times New Roman" w:hAnsi="Times New Roman" w:cs="Times New Roman"/>
                <w:sz w:val="20"/>
                <w:szCs w:val="20"/>
              </w:rPr>
              <w:t>7,13 millió</w:t>
            </w:r>
          </w:p>
        </w:tc>
      </w:tr>
      <w:tr w:rsidR="00011C3B" w:rsidRPr="000E0FD3"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élelmiszeripar</w:t>
            </w:r>
          </w:p>
        </w:tc>
        <w:tc>
          <w:tcPr>
            <w:tcW w:w="1507" w:type="dxa"/>
          </w:tcPr>
          <w:p w:rsidR="00011C3B" w:rsidRPr="00FB7942" w:rsidRDefault="00392551" w:rsidP="00011C3B">
            <w:pPr>
              <w:spacing w:after="0"/>
              <w:jc w:val="right"/>
              <w:rPr>
                <w:rFonts w:cs="Times New Roman"/>
                <w:sz w:val="20"/>
                <w:szCs w:val="20"/>
                <w:lang w:val="en-GB"/>
              </w:rPr>
            </w:pPr>
            <w:r>
              <w:rPr>
                <w:rFonts w:cs="Times New Roman"/>
                <w:sz w:val="20"/>
                <w:szCs w:val="20"/>
                <w:lang w:val="en-GB"/>
              </w:rPr>
              <w:t>13</w:t>
            </w:r>
            <w:r w:rsidR="00011C3B" w:rsidRPr="00FB7942">
              <w:rPr>
                <w:rFonts w:cs="Times New Roman"/>
                <w:sz w:val="20"/>
                <w:szCs w:val="20"/>
                <w:lang w:val="en-GB"/>
              </w:rPr>
              <w:t xml:space="preserve"> millió</w:t>
            </w:r>
          </w:p>
        </w:tc>
        <w:tc>
          <w:tcPr>
            <w:tcW w:w="1710" w:type="dxa"/>
          </w:tcPr>
          <w:p w:rsidR="00011C3B" w:rsidRPr="000E0FD3"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0E0FD3">
              <w:rPr>
                <w:rFonts w:ascii="Times New Roman" w:hAnsi="Times New Roman" w:cs="Times New Roman"/>
                <w:sz w:val="20"/>
                <w:szCs w:val="20"/>
              </w:rPr>
              <w:t>-0,003 millió</w:t>
            </w:r>
          </w:p>
        </w:tc>
      </w:tr>
      <w:tr w:rsidR="00011C3B" w:rsidRPr="000E0FD3" w:rsidTr="00011C3B">
        <w:trPr>
          <w:cantSplit/>
          <w:jc w:val="center"/>
        </w:trPr>
        <w:tc>
          <w:tcPr>
            <w:tcW w:w="610" w:type="dxa"/>
            <w:vMerge/>
          </w:tcPr>
          <w:p w:rsidR="00011C3B" w:rsidRPr="00FF4235" w:rsidRDefault="00011C3B" w:rsidP="00011C3B">
            <w:pPr>
              <w:spacing w:after="0"/>
              <w:ind w:left="570"/>
              <w:rPr>
                <w:sz w:val="20"/>
                <w:szCs w:val="20"/>
              </w:rPr>
            </w:pPr>
          </w:p>
        </w:tc>
        <w:tc>
          <w:tcPr>
            <w:tcW w:w="5963" w:type="dxa"/>
          </w:tcPr>
          <w:p w:rsidR="00011C3B" w:rsidRPr="00FF4235" w:rsidRDefault="00011C3B" w:rsidP="00D65862">
            <w:pPr>
              <w:pStyle w:val="Normltblabal3pckkel"/>
            </w:pPr>
            <w:r w:rsidRPr="00FF4235">
              <w:t>erdőgazdálkodás</w:t>
            </w:r>
          </w:p>
        </w:tc>
        <w:tc>
          <w:tcPr>
            <w:tcW w:w="1507" w:type="dxa"/>
          </w:tcPr>
          <w:p w:rsidR="00011C3B" w:rsidRPr="00FB7942" w:rsidRDefault="00392551" w:rsidP="00011C3B">
            <w:pPr>
              <w:spacing w:after="0"/>
              <w:jc w:val="right"/>
              <w:rPr>
                <w:rFonts w:cs="Times New Roman"/>
                <w:sz w:val="20"/>
                <w:szCs w:val="20"/>
                <w:lang w:val="en-GB"/>
              </w:rPr>
            </w:pPr>
            <w:r>
              <w:rPr>
                <w:rFonts w:cs="Times New Roman"/>
                <w:sz w:val="20"/>
                <w:szCs w:val="20"/>
                <w:lang w:val="en-GB"/>
              </w:rPr>
              <w:t>7</w:t>
            </w:r>
            <w:r w:rsidR="00011C3B" w:rsidRPr="00FB7942">
              <w:rPr>
                <w:rFonts w:cs="Times New Roman"/>
                <w:sz w:val="20"/>
                <w:szCs w:val="20"/>
                <w:lang w:val="en-GB"/>
              </w:rPr>
              <w:t xml:space="preserve"> millió</w:t>
            </w:r>
          </w:p>
        </w:tc>
        <w:tc>
          <w:tcPr>
            <w:tcW w:w="1710" w:type="dxa"/>
          </w:tcPr>
          <w:p w:rsidR="00011C3B" w:rsidRPr="000E0FD3"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0E0FD3">
              <w:rPr>
                <w:rFonts w:ascii="Times New Roman" w:hAnsi="Times New Roman" w:cs="Times New Roman"/>
                <w:sz w:val="20"/>
                <w:szCs w:val="20"/>
              </w:rPr>
              <w:t>0</w:t>
            </w:r>
          </w:p>
        </w:tc>
      </w:tr>
      <w:tr w:rsidR="00011C3B" w:rsidRPr="00FF4235" w:rsidTr="00011C3B">
        <w:trPr>
          <w:cantSplit/>
          <w:jc w:val="center"/>
        </w:trPr>
        <w:tc>
          <w:tcPr>
            <w:tcW w:w="610" w:type="dxa"/>
          </w:tcPr>
          <w:p w:rsidR="00011C3B" w:rsidRPr="00A276DA"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A276DA">
              <w:rPr>
                <w:rFonts w:ascii="Times New Roman" w:eastAsia="Times New Roman" w:hAnsi="Times New Roman" w:cs="Times New Roman"/>
                <w:sz w:val="20"/>
                <w:szCs w:val="20"/>
              </w:rPr>
              <w:t>I</w:t>
            </w:r>
          </w:p>
        </w:tc>
        <w:tc>
          <w:tcPr>
            <w:tcW w:w="5963" w:type="dxa"/>
          </w:tcPr>
          <w:p w:rsidR="00011C3B" w:rsidRPr="00A276DA"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A276DA">
              <w:rPr>
                <w:rFonts w:ascii="Times New Roman" w:eastAsia="Times New Roman" w:hAnsi="Times New Roman" w:cs="Times New Roman"/>
                <w:sz w:val="20"/>
                <w:szCs w:val="20"/>
              </w:rPr>
              <w:t>Nettó hozzáadott érték PPS-ben kifejezve (euró)</w:t>
            </w:r>
          </w:p>
        </w:tc>
        <w:tc>
          <w:tcPr>
            <w:tcW w:w="1507" w:type="dxa"/>
          </w:tcPr>
          <w:p w:rsidR="00011C3B" w:rsidRPr="00A276DA" w:rsidRDefault="00392551" w:rsidP="00011C3B">
            <w:pPr>
              <w:spacing w:after="0"/>
              <w:jc w:val="right"/>
              <w:rPr>
                <w:rFonts w:cs="Times New Roman"/>
                <w:sz w:val="20"/>
                <w:szCs w:val="20"/>
                <w:lang w:val="en-GB"/>
              </w:rPr>
            </w:pPr>
            <w:r>
              <w:rPr>
                <w:rFonts w:cs="Times New Roman"/>
                <w:sz w:val="20"/>
                <w:szCs w:val="20"/>
                <w:lang w:val="en-GB"/>
              </w:rPr>
              <w:t>110</w:t>
            </w:r>
            <w:r w:rsidR="00011C3B" w:rsidRPr="00A276DA">
              <w:rPr>
                <w:rFonts w:cs="Times New Roman"/>
                <w:sz w:val="20"/>
                <w:szCs w:val="20"/>
                <w:lang w:val="en-GB"/>
              </w:rPr>
              <w:t xml:space="preserve"> millió </w:t>
            </w:r>
          </w:p>
        </w:tc>
        <w:tc>
          <w:tcPr>
            <w:tcW w:w="1710" w:type="dxa"/>
          </w:tcPr>
          <w:p w:rsidR="00011C3B" w:rsidRPr="00A276DA" w:rsidRDefault="00011C3B" w:rsidP="00011C3B">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eastAsia="Times New Roman" w:hAnsi="Times New Roman" w:cs="Times New Roman"/>
                <w:sz w:val="20"/>
                <w:szCs w:val="20"/>
              </w:rPr>
            </w:pPr>
            <w:r w:rsidRPr="00A276DA">
              <w:rPr>
                <w:rFonts w:ascii="Times New Roman" w:eastAsia="Times New Roman" w:hAnsi="Times New Roman" w:cs="Times New Roman"/>
                <w:sz w:val="20"/>
                <w:szCs w:val="20"/>
              </w:rPr>
              <w:t>NA</w:t>
            </w:r>
          </w:p>
        </w:tc>
      </w:tr>
    </w:tbl>
    <w:p w:rsidR="00011C3B" w:rsidRPr="00367A3A" w:rsidRDefault="00011C3B" w:rsidP="00011C3B">
      <w:pPr>
        <w:pStyle w:val="Normlforrs"/>
      </w:pPr>
      <w:r w:rsidRPr="00367A3A">
        <w:t>Forrás: MVH</w:t>
      </w:r>
    </w:p>
    <w:p w:rsidR="00011C3B" w:rsidRDefault="00011C3B" w:rsidP="004869BB">
      <w:r w:rsidRPr="00604B6F">
        <w:t>Az intézkedés a meghatározott célok szempontjából releváns. A jelentős számú beérkezett kérelem is alátámasztja, hogy van igény a támogatás iránt, továbbá a gazdatársadalom korfája is indokolja a fejlesztést. Az intézkedés</w:t>
      </w:r>
      <w:r w:rsidR="004A70DD">
        <w:t xml:space="preserve"> </w:t>
      </w:r>
      <w:r w:rsidR="00E962EE">
        <w:t>célkitűzéseként</w:t>
      </w:r>
      <w:r w:rsidRPr="00604B6F">
        <w:t xml:space="preserve"> meghatározott </w:t>
      </w:r>
      <w:r>
        <w:t xml:space="preserve">támogatott fiatal gazdák száma </w:t>
      </w:r>
      <w:r w:rsidRPr="00604B6F">
        <w:t>output indikátor</w:t>
      </w:r>
      <w:r>
        <w:t xml:space="preserve"> meghaladta a célértéket, az intézkedés a programozási időszak lezárulta előtt elérte a célértéket</w:t>
      </w:r>
      <w:r w:rsidRPr="00604B6F">
        <w:t xml:space="preserve">. </w:t>
      </w:r>
    </w:p>
    <w:p w:rsidR="00ED13EB" w:rsidRDefault="00ED13EB" w:rsidP="00ED13EB">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442DA"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Pr="00B67120">
        <w:rPr>
          <w:rFonts w:cs="Times New Roman"/>
        </w:rPr>
        <w:t>A BHÉ értékeket a társasági adóbevallással nem rendelkező kedvezményezettek esetén FAD</w:t>
      </w:r>
      <w:r>
        <w:rPr>
          <w:rFonts w:cs="Times New Roman"/>
        </w:rPr>
        <w:t>N mutatóra alapozott becslésre alapozva számolta az AKI, a becslés során figyelembe vette</w:t>
      </w:r>
      <w:r w:rsidRPr="00B67120">
        <w:rPr>
          <w:rFonts w:cs="Times New Roman"/>
        </w:rPr>
        <w:t xml:space="preserve"> azok legjellemzőbb mezőgazdasági ágazatukat valamint méretüket.</w:t>
      </w:r>
    </w:p>
    <w:p w:rsidR="00011C3B" w:rsidRPr="000E0FD3" w:rsidRDefault="00E442DA" w:rsidP="00ED13EB">
      <w:r>
        <w:lastRenderedPageBreak/>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r>
        <w:rPr>
          <w:rFonts w:eastAsia="Times New Roman"/>
        </w:rPr>
        <w:t xml:space="preserve"> </w:t>
      </w:r>
    </w:p>
    <w:p w:rsidR="00011C3B" w:rsidRPr="00604B6F" w:rsidRDefault="00011C3B" w:rsidP="00715E86">
      <w:pPr>
        <w:pStyle w:val="Cmsor4"/>
      </w:pPr>
      <w:r w:rsidRPr="00604B6F">
        <w:t>Fiatal mezőgazdasági termelők számára nyújtandó támogatások jogcím megvalósulása</w:t>
      </w:r>
    </w:p>
    <w:p w:rsidR="006B5015" w:rsidRDefault="006B5015" w:rsidP="00011C3B">
      <w:pPr>
        <w:pStyle w:val="j-felsorols1"/>
        <w:numPr>
          <w:ilvl w:val="0"/>
          <w:numId w:val="0"/>
        </w:numPr>
        <w:spacing w:before="120" w:after="120"/>
        <w:rPr>
          <w:szCs w:val="20"/>
        </w:rPr>
      </w:pPr>
      <w:r w:rsidRPr="00B46F65">
        <w:rPr>
          <w:szCs w:val="20"/>
        </w:rPr>
        <w:t>A 201</w:t>
      </w:r>
      <w:r>
        <w:rPr>
          <w:szCs w:val="20"/>
        </w:rPr>
        <w:t>2</w:t>
      </w:r>
      <w:r w:rsidRPr="00B46F65">
        <w:rPr>
          <w:szCs w:val="20"/>
        </w:rPr>
        <w:t xml:space="preserve">. évben </w:t>
      </w:r>
      <w:r w:rsidRPr="006B5015">
        <w:rPr>
          <w:szCs w:val="20"/>
        </w:rPr>
        <w:t xml:space="preserve">a 67/2007. (VII. 26.) FVM rendelet alapján támogatásban részesült ügyfeleknek 2012. január 1-31. között lehetőségük nyílt a támogatási összeg 10%-ának igénylésére. </w:t>
      </w:r>
    </w:p>
    <w:p w:rsidR="00011C3B" w:rsidRPr="00A57363" w:rsidRDefault="006B5015" w:rsidP="00D65862">
      <w:r w:rsidRPr="006B5015">
        <w:t xml:space="preserve">A </w:t>
      </w:r>
      <w:r w:rsidRPr="006B5015">
        <w:rPr>
          <w:bCs/>
        </w:rPr>
        <w:t>113/2009. (VIII. 29.) FVM rendelet</w:t>
      </w:r>
      <w:r w:rsidRPr="006B5015">
        <w:t xml:space="preserve"> alapján támogatott</w:t>
      </w:r>
      <w:r w:rsidRPr="00B46F65">
        <w:t xml:space="preserve"> ügyfeleknek, a 201</w:t>
      </w:r>
      <w:r>
        <w:t>2</w:t>
      </w:r>
      <w:r w:rsidRPr="00B46F65">
        <w:t>. évben a támogatás 90%-ára vonatkozóan négy benyújtási időszakban nyílt lehetőségük kifizetési kérelem benyújtására. A benyújtási időszakok a következő szerint alakultak: 201</w:t>
      </w:r>
      <w:r>
        <w:t>2</w:t>
      </w:r>
      <w:r w:rsidRPr="00B46F65">
        <w:t>.</w:t>
      </w:r>
      <w:r>
        <w:t xml:space="preserve"> </w:t>
      </w:r>
      <w:r w:rsidRPr="00B46F65">
        <w:t>január 1-31., április 1-</w:t>
      </w:r>
      <w:r>
        <w:t>30</w:t>
      </w:r>
      <w:r w:rsidRPr="00B46F65">
        <w:t>., július 1-31., október 1-31.</w:t>
      </w:r>
      <w:r>
        <w:t xml:space="preserve"> </w:t>
      </w:r>
      <w:r w:rsidR="00011C3B" w:rsidRPr="00A57363">
        <w:t xml:space="preserve">A 113/2009. (VIII.29.) FVM rendelet alapján támogatott ügyfelek a 2012. március 1-31. között első alkalommal nyújthattak be kifizetési kérelmet a támogatási összeg 10%-ára vonatkozóan, amennyiben a gazdaság mérete elérte a 4. évre vállalt EUME méretet. </w:t>
      </w:r>
    </w:p>
    <w:p w:rsidR="009E3A09" w:rsidRDefault="009E3A09" w:rsidP="00D65862">
      <w:r>
        <w:t xml:space="preserve">A 2012-ben megjelent 57/2012. (VI. 21.) VM rendelet alapján 2012. július 16. és augusztus 16. között lehetett támogatási kérelmeket benyújtani. </w:t>
      </w:r>
    </w:p>
    <w:p w:rsidR="00011C3B" w:rsidRDefault="007E5FDF" w:rsidP="00673DDE">
      <w:pPr>
        <w:pStyle w:val="bra-cmetbla"/>
        <w:rPr>
          <w:rFonts w:eastAsia="Times New Roman" w:cs="Times New Roman"/>
          <w:szCs w:val="22"/>
        </w:rPr>
      </w:pPr>
      <w:fldSimple w:instr=" SEQ táblázat \* ARABIC ">
        <w:r w:rsidR="00E5031F">
          <w:rPr>
            <w:noProof/>
          </w:rPr>
          <w:t>20</w:t>
        </w:r>
      </w:fldSimple>
      <w:r w:rsidR="00673DDE">
        <w:t xml:space="preserve">. táblázat: </w:t>
      </w:r>
      <w:r w:rsidR="00011C3B" w:rsidRPr="00F35797">
        <w:t xml:space="preserve">Fiatal mezőgazdasági termelők számára nyújtandó támogatások </w:t>
      </w:r>
      <w:r w:rsidR="00011C3B" w:rsidRPr="00F35797">
        <w:rPr>
          <w:rFonts w:eastAsia="Times New Roman" w:cs="Times New Roman"/>
          <w:szCs w:val="22"/>
        </w:rPr>
        <w:t>jogcím</w:t>
      </w:r>
      <w:r w:rsidR="00011C3B" w:rsidRPr="00F35797">
        <w:rPr>
          <w:rFonts w:eastAsia="Times New Roman" w:cs="Times New Roman"/>
          <w:szCs w:val="22"/>
        </w:rPr>
        <w:br/>
        <w:t>201</w:t>
      </w:r>
      <w:r w:rsidR="00011C3B">
        <w:rPr>
          <w:rFonts w:eastAsia="Times New Roman" w:cs="Times New Roman"/>
          <w:szCs w:val="22"/>
        </w:rPr>
        <w:t>2</w:t>
      </w:r>
      <w:r w:rsidR="00011C3B" w:rsidRPr="00F35797">
        <w:rPr>
          <w:rFonts w:eastAsia="Times New Roman" w:cs="Times New Roman"/>
          <w:szCs w:val="22"/>
        </w:rPr>
        <w:t>. évi eredményei</w:t>
      </w:r>
    </w:p>
    <w:p w:rsidR="00011C3B" w:rsidRPr="00F35797" w:rsidRDefault="00B452BF" w:rsidP="00011C3B">
      <w:pPr>
        <w:keepNext/>
        <w:suppressAutoHyphens w:val="0"/>
        <w:jc w:val="center"/>
        <w:rPr>
          <w:rFonts w:eastAsia="Times New Roman" w:cs="Times New Roman"/>
          <w:b/>
          <w:kern w:val="0"/>
          <w:szCs w:val="22"/>
        </w:rPr>
      </w:pPr>
      <w:r>
        <w:rPr>
          <w:noProof/>
        </w:rPr>
        <w:drawing>
          <wp:inline distT="0" distB="0" distL="0" distR="0" wp14:anchorId="1215FC24" wp14:editId="7076AB25">
            <wp:extent cx="5167630" cy="1882140"/>
            <wp:effectExtent l="0" t="0" r="0" b="3810"/>
            <wp:docPr id="1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011C3B" w:rsidRPr="004869BB" w:rsidRDefault="00011C3B" w:rsidP="00D65862">
      <w:r w:rsidRPr="003E35A2">
        <w:t xml:space="preserve">Forráshiány miatt </w:t>
      </w:r>
      <w:r w:rsidR="00884E96" w:rsidRPr="003E35A2">
        <w:t xml:space="preserve">2012-ben </w:t>
      </w:r>
      <w:r w:rsidRPr="003E35A2">
        <w:t>853 db támogatási kérelem került elutasításra</w:t>
      </w:r>
      <w:r w:rsidRPr="004869BB">
        <w:t xml:space="preserve">, a 2012-ben teljesített kifizetés összege 1,4 M euró (395 M Ft) került. </w:t>
      </w:r>
    </w:p>
    <w:p w:rsidR="00011C3B" w:rsidRDefault="00011C3B" w:rsidP="00D65862">
      <w:r w:rsidRPr="00FB7942">
        <w:t>A kifizetések regionális eloszlását tekintve elmondható, hogy a legtöbb kifizetés a jogcímre Szabolcs-Szatmár-Bereg megyében történt.</w:t>
      </w:r>
    </w:p>
    <w:p w:rsidR="00011C3B" w:rsidRPr="00896E03" w:rsidRDefault="00011C3B" w:rsidP="00DB48A3">
      <w:pPr>
        <w:pStyle w:val="Cmsor3"/>
      </w:pPr>
      <w:bookmarkStart w:id="228" w:name="_Toc328638704"/>
      <w:bookmarkStart w:id="229" w:name="_Toc360176794"/>
      <w:r w:rsidRPr="00896E03">
        <w:t>Mezőgazdasági termelők gazdaságátadási támogatása intézkedés (113) rövid bemutatása</w:t>
      </w:r>
      <w:bookmarkEnd w:id="228"/>
      <w:bookmarkEnd w:id="229"/>
    </w:p>
    <w:p w:rsidR="00011C3B" w:rsidRPr="00604B6F" w:rsidRDefault="00011C3B" w:rsidP="004869BB">
      <w:r w:rsidRPr="00604B6F">
        <w:t>A támogatás célja a mezőgazdasági termelő tevékenységet végzők korösszetételének javítása – a fiatal mezőgazdasági termelők támogatásával összehangoltan – az elaprózódott birtokszerkezet ésszerű koncentrálódásának elősegítése és a gazdaságok átlagos méretének növelése.</w:t>
      </w:r>
    </w:p>
    <w:p w:rsidR="00011C3B" w:rsidRPr="00604B6F" w:rsidRDefault="00011C3B" w:rsidP="004869BB">
      <w:r w:rsidRPr="00604B6F">
        <w:t xml:space="preserve">Az intézkedés nem tartalmaz alintézkedéseket, a 2007-ben megjelent </w:t>
      </w:r>
      <w:r w:rsidRPr="00604B6F">
        <w:rPr>
          <w:i/>
        </w:rPr>
        <w:t>Mezőgazdasági termelők gazdaságátadásához nyújtandó támogatás</w:t>
      </w:r>
      <w:r w:rsidRPr="00604B6F">
        <w:t xml:space="preserve"> jogcím lefedi a teljes intézkedést. Az intézkedésen belüli egy jogcím </w:t>
      </w:r>
      <w:r w:rsidR="00D3437A">
        <w:t>háromszor</w:t>
      </w:r>
      <w:r w:rsidRPr="00604B6F">
        <w:t xml:space="preserve"> került meghirdetésre; első alkalommal 2007-2008. fordulóján, 2010 tavaszán</w:t>
      </w:r>
      <w:r w:rsidR="00D3437A">
        <w:t xml:space="preserve">, </w:t>
      </w:r>
      <w:r w:rsidR="00D3437A" w:rsidRPr="009A3C1D">
        <w:t>majd 2012-ben ismételten meghirdetésre került</w:t>
      </w:r>
      <w:r w:rsidRPr="00604B6F">
        <w:t>.</w:t>
      </w:r>
    </w:p>
    <w:p w:rsidR="00011C3B" w:rsidRPr="00A44696" w:rsidRDefault="007E5FDF" w:rsidP="00673DDE">
      <w:pPr>
        <w:pStyle w:val="bra-cmetbla"/>
      </w:pPr>
      <w:fldSimple w:instr=" SEQ táblázat \* ARABIC ">
        <w:r w:rsidR="00E5031F">
          <w:rPr>
            <w:noProof/>
          </w:rPr>
          <w:t>21</w:t>
        </w:r>
      </w:fldSimple>
      <w:r w:rsidR="00673DDE">
        <w:t xml:space="preserve">. táblázat: </w:t>
      </w:r>
      <w:r w:rsidR="00011C3B" w:rsidRPr="00A44696">
        <w:t>Mezőgazdasági termelők gazdaságátadási támogatása intézkedés</w:t>
      </w:r>
      <w:r w:rsidR="00842AB6">
        <w:t xml:space="preserve"> (113)</w:t>
      </w:r>
      <w:r w:rsidR="00011C3B" w:rsidRPr="00A44696">
        <w:t xml:space="preserve"> indikátorainak megvalósulása</w:t>
      </w:r>
    </w:p>
    <w:tbl>
      <w:tblPr>
        <w:tblW w:w="5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2"/>
        <w:gridCol w:w="5783"/>
        <w:gridCol w:w="1585"/>
        <w:gridCol w:w="1788"/>
      </w:tblGrid>
      <w:tr w:rsidR="00011C3B" w:rsidRPr="00FF4235" w:rsidTr="00011C3B">
        <w:trPr>
          <w:jc w:val="center"/>
        </w:trPr>
        <w:tc>
          <w:tcPr>
            <w:tcW w:w="304" w:type="pct"/>
            <w:shd w:val="clear" w:color="auto" w:fill="B3B3B3"/>
          </w:tcPr>
          <w:p w:rsidR="00011C3B" w:rsidRPr="00FF4235" w:rsidRDefault="00011C3B" w:rsidP="00011C3B">
            <w:pPr>
              <w:spacing w:after="0"/>
              <w:jc w:val="center"/>
              <w:rPr>
                <w:b/>
                <w:sz w:val="20"/>
                <w:szCs w:val="20"/>
              </w:rPr>
            </w:pPr>
          </w:p>
        </w:tc>
        <w:tc>
          <w:tcPr>
            <w:tcW w:w="2966" w:type="pct"/>
            <w:shd w:val="clear" w:color="auto" w:fill="B3B3B3"/>
            <w:vAlign w:val="center"/>
          </w:tcPr>
          <w:p w:rsidR="00011C3B" w:rsidRPr="00BD037E" w:rsidRDefault="00011C3B" w:rsidP="00BD037E">
            <w:pPr>
              <w:spacing w:after="0"/>
              <w:jc w:val="center"/>
            </w:pPr>
            <w:r w:rsidRPr="00BD037E">
              <w:t>Indikátor leírása</w:t>
            </w:r>
          </w:p>
        </w:tc>
        <w:tc>
          <w:tcPr>
            <w:tcW w:w="813" w:type="pct"/>
            <w:shd w:val="clear" w:color="auto" w:fill="B3B3B3"/>
            <w:vAlign w:val="center"/>
          </w:tcPr>
          <w:p w:rsidR="00011C3B" w:rsidRPr="00BD037E" w:rsidRDefault="00011C3B" w:rsidP="00BD037E">
            <w:pPr>
              <w:spacing w:after="0"/>
              <w:jc w:val="center"/>
            </w:pPr>
            <w:r w:rsidRPr="00BD037E">
              <w:t>Program szerinti tervadat</w:t>
            </w:r>
          </w:p>
        </w:tc>
        <w:tc>
          <w:tcPr>
            <w:tcW w:w="917" w:type="pct"/>
            <w:shd w:val="clear" w:color="auto" w:fill="B3B3B3"/>
            <w:vAlign w:val="center"/>
          </w:tcPr>
          <w:p w:rsidR="00011C3B" w:rsidRPr="00FF4235" w:rsidRDefault="00011C3B" w:rsidP="00011C3B">
            <w:pPr>
              <w:spacing w:after="0"/>
              <w:jc w:val="center"/>
              <w:rPr>
                <w:b/>
                <w:sz w:val="20"/>
                <w:szCs w:val="20"/>
              </w:rPr>
            </w:pPr>
            <w:r w:rsidRPr="00FF4235">
              <w:rPr>
                <w:b/>
                <w:sz w:val="20"/>
                <w:szCs w:val="20"/>
              </w:rPr>
              <w:t>Indikátorok kumulált értéke</w:t>
            </w:r>
          </w:p>
        </w:tc>
      </w:tr>
      <w:tr w:rsidR="00011C3B" w:rsidRPr="00FF4235" w:rsidTr="00011C3B">
        <w:trPr>
          <w:jc w:val="center"/>
        </w:trPr>
        <w:tc>
          <w:tcPr>
            <w:tcW w:w="304" w:type="pct"/>
            <w:vMerge w:val="restart"/>
          </w:tcPr>
          <w:p w:rsidR="00011C3B" w:rsidRPr="00FF4235" w:rsidRDefault="00011C3B" w:rsidP="00011C3B">
            <w:pPr>
              <w:spacing w:after="0"/>
              <w:rPr>
                <w:sz w:val="20"/>
                <w:szCs w:val="20"/>
              </w:rPr>
            </w:pPr>
            <w:r w:rsidRPr="00FF4235">
              <w:rPr>
                <w:sz w:val="20"/>
                <w:szCs w:val="20"/>
              </w:rPr>
              <w:t>O</w:t>
            </w:r>
          </w:p>
        </w:tc>
        <w:tc>
          <w:tcPr>
            <w:tcW w:w="2966" w:type="pct"/>
            <w:shd w:val="clear" w:color="auto" w:fill="auto"/>
            <w:vAlign w:val="bottom"/>
          </w:tcPr>
          <w:p w:rsidR="00011C3B" w:rsidRPr="00FF4235" w:rsidRDefault="00011C3B" w:rsidP="007B5AEF">
            <w:pPr>
              <w:pStyle w:val="Tbla-bal"/>
            </w:pPr>
            <w:r w:rsidRPr="00FF4235">
              <w:t>A gazdaságukat átadó gazdák száma</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 xml:space="preserve">4500 </w:t>
            </w:r>
            <w:r w:rsidR="00011C3B" w:rsidRPr="00FF4235">
              <w:rPr>
                <w:sz w:val="20"/>
                <w:szCs w:val="20"/>
                <w:lang w:val="en-GB"/>
              </w:rPr>
              <w:t>fő</w:t>
            </w:r>
          </w:p>
        </w:tc>
        <w:tc>
          <w:tcPr>
            <w:tcW w:w="917" w:type="pct"/>
          </w:tcPr>
          <w:p w:rsidR="00011C3B" w:rsidRPr="00FF4235" w:rsidRDefault="00011C3B" w:rsidP="00011C3B">
            <w:pPr>
              <w:spacing w:after="0"/>
              <w:jc w:val="right"/>
              <w:rPr>
                <w:rFonts w:cs="Calibri"/>
                <w:sz w:val="20"/>
                <w:szCs w:val="20"/>
              </w:rPr>
            </w:pPr>
            <w:r w:rsidRPr="00FF4235">
              <w:rPr>
                <w:rFonts w:cs="Calibri"/>
                <w:sz w:val="20"/>
                <w:szCs w:val="20"/>
              </w:rPr>
              <w:t>68</w:t>
            </w:r>
          </w:p>
        </w:tc>
      </w:tr>
      <w:tr w:rsidR="00011C3B" w:rsidRPr="00FF4235" w:rsidTr="00011C3B">
        <w:trPr>
          <w:jc w:val="center"/>
        </w:trPr>
        <w:tc>
          <w:tcPr>
            <w:tcW w:w="304" w:type="pct"/>
            <w:vMerge/>
          </w:tcPr>
          <w:p w:rsidR="00011C3B" w:rsidRPr="00FF4235" w:rsidRDefault="00011C3B" w:rsidP="00011C3B">
            <w:pPr>
              <w:spacing w:after="0"/>
              <w:rPr>
                <w:sz w:val="20"/>
                <w:szCs w:val="20"/>
              </w:rPr>
            </w:pPr>
          </w:p>
        </w:tc>
        <w:tc>
          <w:tcPr>
            <w:tcW w:w="2966" w:type="pct"/>
            <w:shd w:val="clear" w:color="auto" w:fill="auto"/>
            <w:vAlign w:val="bottom"/>
          </w:tcPr>
          <w:p w:rsidR="00011C3B" w:rsidRPr="00FF4235" w:rsidRDefault="00011C3B" w:rsidP="007B5AEF">
            <w:pPr>
              <w:pStyle w:val="Tbla-bal"/>
            </w:pPr>
            <w:r w:rsidRPr="00FF4235">
              <w:t>nem (férfi/nő)</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4300/200</w:t>
            </w:r>
          </w:p>
        </w:tc>
        <w:tc>
          <w:tcPr>
            <w:tcW w:w="917" w:type="pct"/>
          </w:tcPr>
          <w:p w:rsidR="00011C3B" w:rsidRPr="00FF4235" w:rsidRDefault="00011C3B" w:rsidP="00011C3B">
            <w:pPr>
              <w:spacing w:after="0"/>
              <w:jc w:val="right"/>
              <w:rPr>
                <w:rFonts w:cs="Calibri"/>
                <w:sz w:val="20"/>
                <w:szCs w:val="20"/>
                <w:lang w:val="en-GB"/>
              </w:rPr>
            </w:pPr>
            <w:r w:rsidRPr="00FF4235">
              <w:rPr>
                <w:rFonts w:cs="Calibri"/>
                <w:sz w:val="20"/>
                <w:szCs w:val="20"/>
                <w:lang w:val="en-GB"/>
              </w:rPr>
              <w:t>62/6</w:t>
            </w:r>
          </w:p>
        </w:tc>
      </w:tr>
      <w:tr w:rsidR="00011C3B" w:rsidRPr="00FF4235" w:rsidTr="00011C3B">
        <w:trPr>
          <w:jc w:val="center"/>
        </w:trPr>
        <w:tc>
          <w:tcPr>
            <w:tcW w:w="304" w:type="pct"/>
            <w:vMerge/>
          </w:tcPr>
          <w:p w:rsidR="00011C3B" w:rsidRPr="00FF4235" w:rsidRDefault="00011C3B" w:rsidP="00011C3B">
            <w:pPr>
              <w:spacing w:after="0"/>
              <w:rPr>
                <w:sz w:val="20"/>
                <w:szCs w:val="20"/>
              </w:rPr>
            </w:pPr>
          </w:p>
        </w:tc>
        <w:tc>
          <w:tcPr>
            <w:tcW w:w="2966" w:type="pct"/>
            <w:shd w:val="clear" w:color="auto" w:fill="auto"/>
            <w:vAlign w:val="bottom"/>
          </w:tcPr>
          <w:p w:rsidR="00011C3B" w:rsidRPr="00FF4235" w:rsidRDefault="00011C3B" w:rsidP="007B5AEF">
            <w:pPr>
              <w:pStyle w:val="Tbla-bal"/>
            </w:pPr>
            <w:r w:rsidRPr="00FF4235">
              <w:t>Korosztály</w:t>
            </w:r>
          </w:p>
        </w:tc>
        <w:tc>
          <w:tcPr>
            <w:tcW w:w="813" w:type="pct"/>
            <w:shd w:val="clear" w:color="auto" w:fill="auto"/>
          </w:tcPr>
          <w:p w:rsidR="00011C3B" w:rsidRPr="00FF4235" w:rsidRDefault="00011C3B" w:rsidP="00011C3B">
            <w:pPr>
              <w:spacing w:after="0"/>
              <w:jc w:val="right"/>
              <w:rPr>
                <w:sz w:val="20"/>
                <w:szCs w:val="20"/>
                <w:lang w:val="en-GB"/>
              </w:rPr>
            </w:pPr>
            <w:r w:rsidRPr="00FF4235">
              <w:rPr>
                <w:sz w:val="20"/>
                <w:szCs w:val="20"/>
                <w:lang w:val="en-GB"/>
              </w:rPr>
              <w:t> </w:t>
            </w:r>
          </w:p>
        </w:tc>
        <w:tc>
          <w:tcPr>
            <w:tcW w:w="917" w:type="pct"/>
            <w:tcBorders>
              <w:bottom w:val="single" w:sz="4" w:space="0" w:color="auto"/>
            </w:tcBorders>
          </w:tcPr>
          <w:p w:rsidR="00011C3B" w:rsidRPr="00FF4235" w:rsidRDefault="00011C3B" w:rsidP="00011C3B">
            <w:pPr>
              <w:spacing w:after="0"/>
              <w:jc w:val="right"/>
              <w:rPr>
                <w:rFonts w:cs="Calibri"/>
                <w:sz w:val="20"/>
                <w:szCs w:val="20"/>
                <w:lang w:val="en-GB"/>
              </w:rPr>
            </w:pPr>
          </w:p>
        </w:tc>
      </w:tr>
      <w:tr w:rsidR="00011C3B" w:rsidRPr="00FF4235" w:rsidTr="00011C3B">
        <w:trPr>
          <w:jc w:val="center"/>
        </w:trPr>
        <w:tc>
          <w:tcPr>
            <w:tcW w:w="304" w:type="pct"/>
            <w:vMerge/>
          </w:tcPr>
          <w:p w:rsidR="00011C3B" w:rsidRPr="00FF4235" w:rsidRDefault="00011C3B" w:rsidP="00011C3B">
            <w:pPr>
              <w:spacing w:after="0"/>
              <w:ind w:left="570"/>
              <w:rPr>
                <w:sz w:val="20"/>
                <w:szCs w:val="20"/>
              </w:rPr>
            </w:pPr>
          </w:p>
        </w:tc>
        <w:tc>
          <w:tcPr>
            <w:tcW w:w="2966" w:type="pct"/>
            <w:shd w:val="clear" w:color="auto" w:fill="auto"/>
            <w:vAlign w:val="bottom"/>
          </w:tcPr>
          <w:p w:rsidR="00011C3B" w:rsidRPr="00FF4235" w:rsidRDefault="00011C3B" w:rsidP="004869BB">
            <w:pPr>
              <w:pStyle w:val="Normltblabal3pckkel"/>
            </w:pPr>
            <w:r w:rsidRPr="00FF4235">
              <w:t>55 és 64 év között</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3100</w:t>
            </w:r>
          </w:p>
        </w:tc>
        <w:tc>
          <w:tcPr>
            <w:tcW w:w="917" w:type="pct"/>
            <w:shd w:val="clear" w:color="auto" w:fill="auto"/>
          </w:tcPr>
          <w:p w:rsidR="00011C3B" w:rsidRPr="00FF4235" w:rsidRDefault="00011C3B" w:rsidP="00011C3B">
            <w:pPr>
              <w:spacing w:after="0"/>
              <w:jc w:val="right"/>
              <w:rPr>
                <w:rFonts w:cs="Calibri"/>
                <w:sz w:val="20"/>
                <w:szCs w:val="20"/>
                <w:lang w:val="en-GB"/>
              </w:rPr>
            </w:pPr>
            <w:r w:rsidRPr="00FF4235">
              <w:rPr>
                <w:rFonts w:cs="Calibri"/>
                <w:sz w:val="20"/>
                <w:szCs w:val="20"/>
                <w:lang w:val="en-GB"/>
              </w:rPr>
              <w:t>63</w:t>
            </w:r>
          </w:p>
        </w:tc>
      </w:tr>
      <w:tr w:rsidR="00011C3B" w:rsidRPr="00FF4235" w:rsidTr="00011C3B">
        <w:trPr>
          <w:jc w:val="center"/>
        </w:trPr>
        <w:tc>
          <w:tcPr>
            <w:tcW w:w="304" w:type="pct"/>
            <w:vMerge/>
          </w:tcPr>
          <w:p w:rsidR="00011C3B" w:rsidRPr="00FF4235" w:rsidRDefault="00011C3B" w:rsidP="00011C3B">
            <w:pPr>
              <w:spacing w:after="0"/>
              <w:ind w:left="570"/>
              <w:rPr>
                <w:sz w:val="20"/>
                <w:szCs w:val="20"/>
              </w:rPr>
            </w:pPr>
          </w:p>
        </w:tc>
        <w:tc>
          <w:tcPr>
            <w:tcW w:w="2966" w:type="pct"/>
            <w:shd w:val="clear" w:color="auto" w:fill="auto"/>
            <w:vAlign w:val="bottom"/>
          </w:tcPr>
          <w:p w:rsidR="00011C3B" w:rsidRPr="00FF4235" w:rsidRDefault="00011C3B" w:rsidP="004869BB">
            <w:pPr>
              <w:pStyle w:val="Normltblabal3pckkel"/>
            </w:pPr>
            <w:r w:rsidRPr="00FF4235">
              <w:t>&gt;64</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1400</w:t>
            </w:r>
          </w:p>
        </w:tc>
        <w:tc>
          <w:tcPr>
            <w:tcW w:w="917" w:type="pct"/>
          </w:tcPr>
          <w:p w:rsidR="00011C3B" w:rsidRPr="00FF4235" w:rsidRDefault="00011C3B" w:rsidP="00011C3B">
            <w:pPr>
              <w:spacing w:after="0"/>
              <w:jc w:val="right"/>
              <w:rPr>
                <w:rFonts w:cs="Calibri"/>
                <w:sz w:val="20"/>
                <w:szCs w:val="20"/>
                <w:lang w:val="en-GB"/>
              </w:rPr>
            </w:pPr>
            <w:r w:rsidRPr="00FF4235">
              <w:rPr>
                <w:rFonts w:cs="Calibri"/>
                <w:sz w:val="20"/>
                <w:szCs w:val="20"/>
                <w:lang w:val="en-GB"/>
              </w:rPr>
              <w:t>5</w:t>
            </w:r>
          </w:p>
        </w:tc>
      </w:tr>
      <w:tr w:rsidR="00011C3B" w:rsidRPr="00FF4235" w:rsidTr="00011C3B">
        <w:trPr>
          <w:jc w:val="center"/>
        </w:trPr>
        <w:tc>
          <w:tcPr>
            <w:tcW w:w="304" w:type="pct"/>
            <w:vMerge/>
          </w:tcPr>
          <w:p w:rsidR="00011C3B" w:rsidRPr="00FF4235" w:rsidRDefault="00011C3B" w:rsidP="00011C3B">
            <w:pPr>
              <w:spacing w:after="0"/>
              <w:rPr>
                <w:sz w:val="20"/>
                <w:szCs w:val="20"/>
              </w:rPr>
            </w:pPr>
          </w:p>
        </w:tc>
        <w:tc>
          <w:tcPr>
            <w:tcW w:w="2966" w:type="pct"/>
            <w:shd w:val="clear" w:color="auto" w:fill="auto"/>
            <w:vAlign w:val="bottom"/>
          </w:tcPr>
          <w:p w:rsidR="00011C3B" w:rsidRPr="00FF4235" w:rsidRDefault="00011C3B" w:rsidP="007B5AEF">
            <w:pPr>
              <w:pStyle w:val="Tbla-bal"/>
            </w:pPr>
            <w:r w:rsidRPr="00FF4235">
              <w:t>Az átadó gazdák alkalmazottainak száma</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150</w:t>
            </w:r>
            <w:r w:rsidR="00011C3B" w:rsidRPr="00FF4235">
              <w:rPr>
                <w:sz w:val="20"/>
                <w:szCs w:val="20"/>
                <w:lang w:val="en-GB"/>
              </w:rPr>
              <w:t xml:space="preserve"> fő</w:t>
            </w:r>
          </w:p>
        </w:tc>
        <w:tc>
          <w:tcPr>
            <w:tcW w:w="917" w:type="pct"/>
          </w:tcPr>
          <w:p w:rsidR="00011C3B" w:rsidRPr="00FF4235" w:rsidRDefault="00011C3B" w:rsidP="00011C3B">
            <w:pPr>
              <w:spacing w:after="0"/>
              <w:jc w:val="right"/>
              <w:rPr>
                <w:rFonts w:cs="Calibri"/>
                <w:sz w:val="20"/>
                <w:szCs w:val="20"/>
                <w:lang w:val="en-GB"/>
              </w:rPr>
            </w:pPr>
            <w:r>
              <w:rPr>
                <w:rFonts w:cs="Calibri"/>
                <w:sz w:val="20"/>
                <w:szCs w:val="20"/>
                <w:lang w:val="en-GB"/>
              </w:rPr>
              <w:t>5</w:t>
            </w:r>
          </w:p>
        </w:tc>
      </w:tr>
      <w:tr w:rsidR="00011C3B" w:rsidRPr="00FF4235" w:rsidTr="00011C3B">
        <w:trPr>
          <w:jc w:val="center"/>
        </w:trPr>
        <w:tc>
          <w:tcPr>
            <w:tcW w:w="304" w:type="pct"/>
            <w:vMerge/>
          </w:tcPr>
          <w:p w:rsidR="00011C3B" w:rsidRPr="00FF4235" w:rsidRDefault="00011C3B" w:rsidP="00011C3B">
            <w:pPr>
              <w:spacing w:after="0"/>
              <w:rPr>
                <w:sz w:val="20"/>
                <w:szCs w:val="20"/>
              </w:rPr>
            </w:pPr>
          </w:p>
        </w:tc>
        <w:tc>
          <w:tcPr>
            <w:tcW w:w="2966" w:type="pct"/>
            <w:shd w:val="clear" w:color="auto" w:fill="auto"/>
            <w:vAlign w:val="bottom"/>
          </w:tcPr>
          <w:p w:rsidR="00011C3B" w:rsidRPr="00FF4235" w:rsidRDefault="00011C3B" w:rsidP="007B5AEF">
            <w:pPr>
              <w:pStyle w:val="Tbla-bal"/>
            </w:pPr>
            <w:r w:rsidRPr="00FF4235">
              <w:t>nem (férfi/nő)</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125/25</w:t>
            </w:r>
          </w:p>
        </w:tc>
        <w:tc>
          <w:tcPr>
            <w:tcW w:w="917" w:type="pct"/>
          </w:tcPr>
          <w:p w:rsidR="00011C3B" w:rsidRPr="00FF4235" w:rsidRDefault="00011C3B" w:rsidP="00011C3B">
            <w:pPr>
              <w:spacing w:after="0"/>
              <w:jc w:val="right"/>
              <w:rPr>
                <w:rFonts w:cs="Calibri"/>
                <w:sz w:val="20"/>
                <w:szCs w:val="20"/>
                <w:lang w:val="en-GB"/>
              </w:rPr>
            </w:pPr>
            <w:r>
              <w:rPr>
                <w:rFonts w:cs="Calibri"/>
                <w:sz w:val="20"/>
                <w:szCs w:val="20"/>
                <w:lang w:val="en-GB"/>
              </w:rPr>
              <w:t>1</w:t>
            </w:r>
            <w:r w:rsidRPr="00FF4235">
              <w:rPr>
                <w:rFonts w:cs="Calibri"/>
                <w:sz w:val="20"/>
                <w:szCs w:val="20"/>
                <w:lang w:val="en-GB"/>
              </w:rPr>
              <w:t>/0</w:t>
            </w:r>
          </w:p>
        </w:tc>
      </w:tr>
      <w:tr w:rsidR="00011C3B" w:rsidRPr="00FF4235" w:rsidTr="00011C3B">
        <w:trPr>
          <w:jc w:val="center"/>
        </w:trPr>
        <w:tc>
          <w:tcPr>
            <w:tcW w:w="304" w:type="pct"/>
            <w:vMerge/>
          </w:tcPr>
          <w:p w:rsidR="00011C3B" w:rsidRPr="00FF4235" w:rsidRDefault="00011C3B" w:rsidP="00011C3B">
            <w:pPr>
              <w:spacing w:after="0"/>
              <w:rPr>
                <w:sz w:val="20"/>
                <w:szCs w:val="20"/>
              </w:rPr>
            </w:pPr>
          </w:p>
        </w:tc>
        <w:tc>
          <w:tcPr>
            <w:tcW w:w="2966" w:type="pct"/>
            <w:shd w:val="clear" w:color="auto" w:fill="auto"/>
            <w:vAlign w:val="bottom"/>
          </w:tcPr>
          <w:p w:rsidR="00011C3B" w:rsidRPr="00FF4235" w:rsidRDefault="00011C3B" w:rsidP="007B5AEF">
            <w:pPr>
              <w:pStyle w:val="Tbla-bal"/>
            </w:pPr>
            <w:r w:rsidRPr="00FF4235">
              <w:t>Korosztály</w:t>
            </w:r>
          </w:p>
        </w:tc>
        <w:tc>
          <w:tcPr>
            <w:tcW w:w="813" w:type="pct"/>
            <w:shd w:val="clear" w:color="auto" w:fill="auto"/>
          </w:tcPr>
          <w:p w:rsidR="00011C3B" w:rsidRPr="00FF4235" w:rsidRDefault="00011C3B" w:rsidP="00011C3B">
            <w:pPr>
              <w:spacing w:after="0"/>
              <w:jc w:val="right"/>
              <w:rPr>
                <w:sz w:val="20"/>
                <w:szCs w:val="20"/>
                <w:lang w:val="en-GB"/>
              </w:rPr>
            </w:pPr>
            <w:r w:rsidRPr="00FF4235">
              <w:rPr>
                <w:sz w:val="20"/>
                <w:szCs w:val="20"/>
                <w:lang w:val="en-GB"/>
              </w:rPr>
              <w:t> </w:t>
            </w:r>
          </w:p>
        </w:tc>
        <w:tc>
          <w:tcPr>
            <w:tcW w:w="917" w:type="pct"/>
          </w:tcPr>
          <w:p w:rsidR="00011C3B" w:rsidRPr="00FF4235" w:rsidRDefault="00011C3B" w:rsidP="00011C3B">
            <w:pPr>
              <w:spacing w:after="0"/>
              <w:jc w:val="right"/>
              <w:rPr>
                <w:rFonts w:cs="Calibri"/>
                <w:sz w:val="20"/>
                <w:szCs w:val="20"/>
                <w:lang w:val="en-GB"/>
              </w:rPr>
            </w:pPr>
          </w:p>
        </w:tc>
      </w:tr>
      <w:tr w:rsidR="00011C3B" w:rsidRPr="00FF4235" w:rsidTr="00011C3B">
        <w:trPr>
          <w:jc w:val="center"/>
        </w:trPr>
        <w:tc>
          <w:tcPr>
            <w:tcW w:w="304" w:type="pct"/>
            <w:vMerge/>
          </w:tcPr>
          <w:p w:rsidR="00011C3B" w:rsidRPr="00FF4235" w:rsidRDefault="00011C3B" w:rsidP="00011C3B">
            <w:pPr>
              <w:spacing w:after="0"/>
              <w:ind w:left="570"/>
              <w:rPr>
                <w:sz w:val="20"/>
                <w:szCs w:val="20"/>
              </w:rPr>
            </w:pPr>
          </w:p>
        </w:tc>
        <w:tc>
          <w:tcPr>
            <w:tcW w:w="2966" w:type="pct"/>
            <w:shd w:val="clear" w:color="auto" w:fill="auto"/>
            <w:vAlign w:val="bottom"/>
          </w:tcPr>
          <w:p w:rsidR="00011C3B" w:rsidRPr="00FF4235" w:rsidRDefault="00011C3B" w:rsidP="004869BB">
            <w:pPr>
              <w:pStyle w:val="Normltblabal3pckkel"/>
            </w:pPr>
            <w:r w:rsidRPr="00FF4235">
              <w:t>55 ≤ életkor ≤ 64</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90</w:t>
            </w:r>
          </w:p>
        </w:tc>
        <w:tc>
          <w:tcPr>
            <w:tcW w:w="917" w:type="pct"/>
            <w:tcBorders>
              <w:bottom w:val="single" w:sz="4" w:space="0" w:color="auto"/>
            </w:tcBorders>
          </w:tcPr>
          <w:p w:rsidR="00011C3B" w:rsidRPr="00FF4235" w:rsidRDefault="00011C3B" w:rsidP="00011C3B">
            <w:pPr>
              <w:spacing w:after="0"/>
              <w:jc w:val="right"/>
              <w:rPr>
                <w:rFonts w:cs="Calibri"/>
                <w:sz w:val="20"/>
                <w:szCs w:val="20"/>
                <w:lang w:val="en-GB"/>
              </w:rPr>
            </w:pPr>
            <w:r>
              <w:rPr>
                <w:rFonts w:cs="Calibri"/>
                <w:sz w:val="20"/>
                <w:szCs w:val="20"/>
                <w:lang w:val="en-GB"/>
              </w:rPr>
              <w:t>1</w:t>
            </w:r>
          </w:p>
        </w:tc>
      </w:tr>
      <w:tr w:rsidR="00011C3B" w:rsidRPr="00FF4235" w:rsidTr="00011C3B">
        <w:trPr>
          <w:jc w:val="center"/>
        </w:trPr>
        <w:tc>
          <w:tcPr>
            <w:tcW w:w="304" w:type="pct"/>
            <w:vMerge/>
          </w:tcPr>
          <w:p w:rsidR="00011C3B" w:rsidRPr="00FF4235" w:rsidRDefault="00011C3B" w:rsidP="00011C3B">
            <w:pPr>
              <w:spacing w:after="0"/>
              <w:ind w:left="570"/>
              <w:rPr>
                <w:sz w:val="20"/>
                <w:szCs w:val="20"/>
              </w:rPr>
            </w:pPr>
          </w:p>
        </w:tc>
        <w:tc>
          <w:tcPr>
            <w:tcW w:w="2966" w:type="pct"/>
            <w:shd w:val="clear" w:color="auto" w:fill="auto"/>
            <w:vAlign w:val="bottom"/>
          </w:tcPr>
          <w:p w:rsidR="00011C3B" w:rsidRPr="00FF4235" w:rsidRDefault="00011C3B" w:rsidP="004869BB">
            <w:pPr>
              <w:pStyle w:val="Normltblabal3pckkel"/>
            </w:pPr>
            <w:r w:rsidRPr="00FF4235">
              <w:t>&gt;64</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60</w:t>
            </w:r>
          </w:p>
        </w:tc>
        <w:tc>
          <w:tcPr>
            <w:tcW w:w="917" w:type="pct"/>
            <w:tcBorders>
              <w:bottom w:val="single" w:sz="4" w:space="0" w:color="auto"/>
            </w:tcBorders>
            <w:shd w:val="clear" w:color="auto" w:fill="auto"/>
          </w:tcPr>
          <w:p w:rsidR="00011C3B" w:rsidRPr="00FF4235" w:rsidRDefault="00011C3B" w:rsidP="00011C3B">
            <w:pPr>
              <w:spacing w:after="0"/>
              <w:jc w:val="right"/>
              <w:rPr>
                <w:rFonts w:cs="Calibri"/>
                <w:sz w:val="20"/>
                <w:szCs w:val="20"/>
                <w:lang w:val="en-GB"/>
              </w:rPr>
            </w:pPr>
            <w:r w:rsidRPr="00FF4235">
              <w:rPr>
                <w:rFonts w:cs="Calibri"/>
                <w:sz w:val="20"/>
                <w:szCs w:val="20"/>
                <w:lang w:val="en-GB"/>
              </w:rPr>
              <w:t>0</w:t>
            </w:r>
          </w:p>
        </w:tc>
      </w:tr>
      <w:tr w:rsidR="00011C3B" w:rsidRPr="00FF4235" w:rsidTr="00011C3B">
        <w:trPr>
          <w:jc w:val="center"/>
        </w:trPr>
        <w:tc>
          <w:tcPr>
            <w:tcW w:w="304" w:type="pct"/>
            <w:vMerge/>
          </w:tcPr>
          <w:p w:rsidR="00011C3B" w:rsidRPr="00FF4235" w:rsidRDefault="00011C3B" w:rsidP="00011C3B">
            <w:pPr>
              <w:spacing w:after="0"/>
              <w:rPr>
                <w:sz w:val="20"/>
                <w:szCs w:val="20"/>
              </w:rPr>
            </w:pPr>
          </w:p>
        </w:tc>
        <w:tc>
          <w:tcPr>
            <w:tcW w:w="2966" w:type="pct"/>
            <w:shd w:val="clear" w:color="auto" w:fill="auto"/>
            <w:vAlign w:val="bottom"/>
          </w:tcPr>
          <w:p w:rsidR="00011C3B" w:rsidRPr="00FF4235" w:rsidRDefault="00011C3B" w:rsidP="007B5AEF">
            <w:pPr>
              <w:pStyle w:val="Tbla-bal"/>
            </w:pPr>
            <w:r w:rsidRPr="00FF4235">
              <w:t>Összes átadott gazdaság (hektárban)</w:t>
            </w:r>
          </w:p>
        </w:tc>
        <w:tc>
          <w:tcPr>
            <w:tcW w:w="813" w:type="pct"/>
            <w:shd w:val="clear" w:color="auto" w:fill="auto"/>
          </w:tcPr>
          <w:p w:rsidR="00011C3B" w:rsidRPr="00FF4235" w:rsidRDefault="009D1671" w:rsidP="00011C3B">
            <w:pPr>
              <w:spacing w:after="0"/>
              <w:jc w:val="right"/>
              <w:rPr>
                <w:sz w:val="20"/>
                <w:szCs w:val="20"/>
                <w:lang w:val="en-GB"/>
              </w:rPr>
            </w:pPr>
            <w:r>
              <w:rPr>
                <w:sz w:val="20"/>
                <w:szCs w:val="20"/>
                <w:lang w:val="en-GB"/>
              </w:rPr>
              <w:t>60 000</w:t>
            </w:r>
            <w:r w:rsidR="00011C3B" w:rsidRPr="00FF4235">
              <w:rPr>
                <w:sz w:val="20"/>
                <w:szCs w:val="20"/>
                <w:lang w:val="en-GB"/>
              </w:rPr>
              <w:t xml:space="preserve"> ha </w:t>
            </w:r>
          </w:p>
        </w:tc>
        <w:tc>
          <w:tcPr>
            <w:tcW w:w="917" w:type="pct"/>
            <w:tcBorders>
              <w:bottom w:val="single" w:sz="4" w:space="0" w:color="auto"/>
            </w:tcBorders>
            <w:shd w:val="clear" w:color="auto" w:fill="auto"/>
          </w:tcPr>
          <w:p w:rsidR="00011C3B" w:rsidRPr="00FF4235" w:rsidRDefault="00011C3B" w:rsidP="00011C3B">
            <w:pPr>
              <w:spacing w:after="0"/>
              <w:jc w:val="right"/>
              <w:rPr>
                <w:rFonts w:cs="Calibri"/>
                <w:sz w:val="20"/>
                <w:szCs w:val="20"/>
              </w:rPr>
            </w:pPr>
            <w:r w:rsidRPr="00FF4235">
              <w:rPr>
                <w:rFonts w:cs="Calibri"/>
                <w:sz w:val="20"/>
                <w:szCs w:val="20"/>
              </w:rPr>
              <w:t>1 986,76</w:t>
            </w:r>
          </w:p>
        </w:tc>
      </w:tr>
      <w:tr w:rsidR="00011C3B" w:rsidRPr="00ED13EB" w:rsidTr="00011C3B">
        <w:trPr>
          <w:jc w:val="center"/>
        </w:trPr>
        <w:tc>
          <w:tcPr>
            <w:tcW w:w="304" w:type="pct"/>
            <w:vMerge w:val="restart"/>
          </w:tcPr>
          <w:p w:rsidR="00011C3B" w:rsidRPr="00ED13EB" w:rsidRDefault="00011C3B" w:rsidP="00011C3B">
            <w:pPr>
              <w:spacing w:after="0"/>
              <w:rPr>
                <w:sz w:val="20"/>
                <w:szCs w:val="20"/>
              </w:rPr>
            </w:pPr>
            <w:r w:rsidRPr="00ED13EB">
              <w:rPr>
                <w:sz w:val="20"/>
                <w:szCs w:val="20"/>
              </w:rPr>
              <w:t>R</w:t>
            </w:r>
          </w:p>
        </w:tc>
        <w:tc>
          <w:tcPr>
            <w:tcW w:w="2966" w:type="pct"/>
            <w:shd w:val="clear" w:color="auto" w:fill="auto"/>
            <w:vAlign w:val="bottom"/>
          </w:tcPr>
          <w:p w:rsidR="00011C3B" w:rsidRPr="00ED13EB" w:rsidRDefault="00011C3B" w:rsidP="007B5AEF">
            <w:pPr>
              <w:pStyle w:val="Tbla-bal"/>
            </w:pPr>
            <w:r w:rsidRPr="00ED13EB">
              <w:t>A támogatott gazdaságok mezőgazdasági bruttó hozzáadott érték növekedése (euró)</w:t>
            </w:r>
          </w:p>
        </w:tc>
        <w:tc>
          <w:tcPr>
            <w:tcW w:w="813" w:type="pct"/>
            <w:shd w:val="clear" w:color="auto" w:fill="auto"/>
          </w:tcPr>
          <w:p w:rsidR="00011C3B" w:rsidRPr="00ED13EB" w:rsidRDefault="009D1671" w:rsidP="00011C3B">
            <w:pPr>
              <w:spacing w:after="0"/>
              <w:jc w:val="right"/>
              <w:rPr>
                <w:sz w:val="20"/>
                <w:szCs w:val="20"/>
                <w:lang w:val="en-GB"/>
              </w:rPr>
            </w:pPr>
            <w:r>
              <w:rPr>
                <w:sz w:val="20"/>
                <w:szCs w:val="20"/>
                <w:lang w:val="en-GB"/>
              </w:rPr>
              <w:t>71,6</w:t>
            </w:r>
            <w:r w:rsidR="00011C3B" w:rsidRPr="00ED13EB">
              <w:rPr>
                <w:sz w:val="20"/>
                <w:szCs w:val="20"/>
                <w:lang w:val="en-GB"/>
              </w:rPr>
              <w:t xml:space="preserve"> millió </w:t>
            </w:r>
          </w:p>
        </w:tc>
        <w:tc>
          <w:tcPr>
            <w:tcW w:w="917" w:type="pct"/>
            <w:shd w:val="clear" w:color="auto" w:fill="auto"/>
          </w:tcPr>
          <w:p w:rsidR="00011C3B" w:rsidRPr="00ED13EB" w:rsidRDefault="00011C3B" w:rsidP="00011C3B">
            <w:pPr>
              <w:spacing w:after="0"/>
              <w:jc w:val="right"/>
              <w:rPr>
                <w:sz w:val="20"/>
                <w:szCs w:val="20"/>
              </w:rPr>
            </w:pPr>
            <w:r w:rsidRPr="00ED13EB">
              <w:rPr>
                <w:sz w:val="20"/>
                <w:szCs w:val="20"/>
              </w:rPr>
              <w:t>0,392 millió</w:t>
            </w:r>
          </w:p>
        </w:tc>
      </w:tr>
      <w:tr w:rsidR="00011C3B" w:rsidRPr="00ED13EB" w:rsidTr="00011C3B">
        <w:trPr>
          <w:jc w:val="center"/>
        </w:trPr>
        <w:tc>
          <w:tcPr>
            <w:tcW w:w="304" w:type="pct"/>
            <w:vMerge/>
          </w:tcPr>
          <w:p w:rsidR="00011C3B" w:rsidRPr="00ED13EB" w:rsidRDefault="00011C3B" w:rsidP="00011C3B">
            <w:pPr>
              <w:spacing w:after="0"/>
              <w:rPr>
                <w:sz w:val="20"/>
                <w:szCs w:val="20"/>
              </w:rPr>
            </w:pPr>
          </w:p>
        </w:tc>
        <w:tc>
          <w:tcPr>
            <w:tcW w:w="2966" w:type="pct"/>
            <w:shd w:val="clear" w:color="auto" w:fill="auto"/>
            <w:vAlign w:val="bottom"/>
          </w:tcPr>
          <w:p w:rsidR="00011C3B" w:rsidRPr="00ED13EB" w:rsidRDefault="00011C3B" w:rsidP="007B5AEF">
            <w:pPr>
              <w:pStyle w:val="Tbla-bal"/>
            </w:pPr>
            <w:r w:rsidRPr="00ED13EB">
              <w:t>Intézkedés</w:t>
            </w:r>
          </w:p>
        </w:tc>
        <w:tc>
          <w:tcPr>
            <w:tcW w:w="813" w:type="pct"/>
            <w:shd w:val="clear" w:color="auto" w:fill="auto"/>
          </w:tcPr>
          <w:p w:rsidR="00011C3B" w:rsidRPr="00ED13EB" w:rsidRDefault="00011C3B" w:rsidP="00011C3B">
            <w:pPr>
              <w:spacing w:after="0"/>
              <w:jc w:val="right"/>
              <w:rPr>
                <w:sz w:val="20"/>
                <w:szCs w:val="20"/>
                <w:lang w:val="en-GB"/>
              </w:rPr>
            </w:pPr>
            <w:r w:rsidRPr="00ED13EB">
              <w:rPr>
                <w:sz w:val="20"/>
                <w:szCs w:val="20"/>
                <w:lang w:val="en-GB"/>
              </w:rPr>
              <w:t> </w:t>
            </w:r>
          </w:p>
        </w:tc>
        <w:tc>
          <w:tcPr>
            <w:tcW w:w="917" w:type="pct"/>
            <w:shd w:val="clear" w:color="auto" w:fill="auto"/>
          </w:tcPr>
          <w:p w:rsidR="00011C3B" w:rsidRPr="00ED13EB" w:rsidRDefault="00011C3B" w:rsidP="00011C3B">
            <w:pPr>
              <w:spacing w:after="0"/>
              <w:jc w:val="right"/>
              <w:rPr>
                <w:sz w:val="20"/>
                <w:szCs w:val="20"/>
                <w:lang w:val="en-GB"/>
              </w:rPr>
            </w:pPr>
          </w:p>
        </w:tc>
      </w:tr>
      <w:tr w:rsidR="00011C3B" w:rsidRPr="00ED13EB" w:rsidTr="00011C3B">
        <w:trPr>
          <w:jc w:val="center"/>
        </w:trPr>
        <w:tc>
          <w:tcPr>
            <w:tcW w:w="304" w:type="pct"/>
            <w:vMerge/>
          </w:tcPr>
          <w:p w:rsidR="00011C3B" w:rsidRPr="00ED13EB" w:rsidRDefault="00011C3B" w:rsidP="00011C3B">
            <w:pPr>
              <w:spacing w:after="0"/>
              <w:rPr>
                <w:sz w:val="20"/>
                <w:szCs w:val="20"/>
              </w:rPr>
            </w:pPr>
          </w:p>
        </w:tc>
        <w:tc>
          <w:tcPr>
            <w:tcW w:w="2966" w:type="pct"/>
            <w:shd w:val="clear" w:color="auto" w:fill="auto"/>
            <w:vAlign w:val="bottom"/>
          </w:tcPr>
          <w:p w:rsidR="00011C3B" w:rsidRPr="00ED13EB" w:rsidRDefault="00011C3B" w:rsidP="007B5AEF">
            <w:pPr>
              <w:pStyle w:val="Tbla-bal"/>
            </w:pPr>
            <w:r w:rsidRPr="00ED13EB">
              <w:t>ágazat:</w:t>
            </w:r>
          </w:p>
        </w:tc>
        <w:tc>
          <w:tcPr>
            <w:tcW w:w="813" w:type="pct"/>
            <w:shd w:val="clear" w:color="auto" w:fill="auto"/>
          </w:tcPr>
          <w:p w:rsidR="00011C3B" w:rsidRPr="00ED13EB" w:rsidRDefault="00011C3B" w:rsidP="00011C3B">
            <w:pPr>
              <w:spacing w:after="0"/>
              <w:jc w:val="right"/>
              <w:rPr>
                <w:sz w:val="20"/>
                <w:szCs w:val="20"/>
                <w:lang w:val="en-GB"/>
              </w:rPr>
            </w:pPr>
            <w:r w:rsidRPr="00ED13EB">
              <w:rPr>
                <w:sz w:val="20"/>
                <w:szCs w:val="20"/>
                <w:lang w:val="en-GB"/>
              </w:rPr>
              <w:t> </w:t>
            </w:r>
          </w:p>
        </w:tc>
        <w:tc>
          <w:tcPr>
            <w:tcW w:w="917" w:type="pct"/>
            <w:tcBorders>
              <w:bottom w:val="single" w:sz="4" w:space="0" w:color="auto"/>
            </w:tcBorders>
            <w:shd w:val="clear" w:color="auto" w:fill="auto"/>
          </w:tcPr>
          <w:p w:rsidR="00011C3B" w:rsidRPr="00ED13EB" w:rsidRDefault="00011C3B" w:rsidP="00011C3B">
            <w:pPr>
              <w:spacing w:after="0"/>
              <w:jc w:val="right"/>
              <w:rPr>
                <w:sz w:val="20"/>
                <w:szCs w:val="20"/>
                <w:lang w:val="en-GB"/>
              </w:rPr>
            </w:pPr>
          </w:p>
        </w:tc>
      </w:tr>
      <w:tr w:rsidR="00011C3B" w:rsidRPr="00ED13EB" w:rsidTr="00011C3B">
        <w:trPr>
          <w:jc w:val="center"/>
        </w:trPr>
        <w:tc>
          <w:tcPr>
            <w:tcW w:w="304" w:type="pct"/>
            <w:vMerge/>
          </w:tcPr>
          <w:p w:rsidR="00011C3B" w:rsidRPr="00ED13EB" w:rsidRDefault="00011C3B" w:rsidP="00011C3B">
            <w:pPr>
              <w:spacing w:after="0"/>
              <w:ind w:left="570"/>
              <w:rPr>
                <w:sz w:val="20"/>
                <w:szCs w:val="20"/>
              </w:rPr>
            </w:pPr>
          </w:p>
        </w:tc>
        <w:tc>
          <w:tcPr>
            <w:tcW w:w="2966" w:type="pct"/>
            <w:shd w:val="clear" w:color="auto" w:fill="auto"/>
            <w:vAlign w:val="bottom"/>
          </w:tcPr>
          <w:p w:rsidR="00011C3B" w:rsidRPr="00ED13EB" w:rsidRDefault="00011C3B" w:rsidP="004869BB">
            <w:pPr>
              <w:pStyle w:val="Normltblabal3pckkel"/>
            </w:pPr>
            <w:r w:rsidRPr="00ED13EB">
              <w:t>Mezőgazdaság</w:t>
            </w:r>
          </w:p>
        </w:tc>
        <w:tc>
          <w:tcPr>
            <w:tcW w:w="813" w:type="pct"/>
            <w:shd w:val="clear" w:color="auto" w:fill="auto"/>
          </w:tcPr>
          <w:p w:rsidR="00011C3B" w:rsidRPr="00ED13EB" w:rsidRDefault="009D1671" w:rsidP="00011C3B">
            <w:pPr>
              <w:spacing w:after="0"/>
              <w:jc w:val="right"/>
              <w:rPr>
                <w:sz w:val="20"/>
                <w:szCs w:val="20"/>
                <w:lang w:val="en-GB"/>
              </w:rPr>
            </w:pPr>
            <w:r>
              <w:rPr>
                <w:sz w:val="20"/>
                <w:szCs w:val="20"/>
                <w:lang w:val="en-GB"/>
              </w:rPr>
              <w:t>65</w:t>
            </w:r>
            <w:r w:rsidR="00011C3B" w:rsidRPr="00ED13EB">
              <w:rPr>
                <w:sz w:val="20"/>
                <w:szCs w:val="20"/>
                <w:lang w:val="en-GB"/>
              </w:rPr>
              <w:t xml:space="preserve"> </w:t>
            </w:r>
          </w:p>
        </w:tc>
        <w:tc>
          <w:tcPr>
            <w:tcW w:w="917" w:type="pct"/>
            <w:shd w:val="clear" w:color="auto" w:fill="auto"/>
          </w:tcPr>
          <w:p w:rsidR="00011C3B" w:rsidRPr="00ED13EB" w:rsidRDefault="00011C3B" w:rsidP="00011C3B">
            <w:pPr>
              <w:spacing w:after="0"/>
              <w:jc w:val="right"/>
              <w:rPr>
                <w:sz w:val="20"/>
                <w:szCs w:val="20"/>
                <w:lang w:val="en-GB"/>
              </w:rPr>
            </w:pPr>
            <w:r w:rsidRPr="00ED13EB">
              <w:rPr>
                <w:sz w:val="20"/>
                <w:szCs w:val="20"/>
              </w:rPr>
              <w:t>0,392 millió</w:t>
            </w:r>
          </w:p>
        </w:tc>
      </w:tr>
      <w:tr w:rsidR="00011C3B" w:rsidRPr="00ED13EB" w:rsidTr="00011C3B">
        <w:trPr>
          <w:jc w:val="center"/>
        </w:trPr>
        <w:tc>
          <w:tcPr>
            <w:tcW w:w="304" w:type="pct"/>
            <w:vMerge/>
          </w:tcPr>
          <w:p w:rsidR="00011C3B" w:rsidRPr="00ED13EB" w:rsidRDefault="00011C3B" w:rsidP="00011C3B">
            <w:pPr>
              <w:spacing w:after="0"/>
              <w:ind w:left="570"/>
              <w:rPr>
                <w:sz w:val="20"/>
                <w:szCs w:val="20"/>
              </w:rPr>
            </w:pPr>
          </w:p>
        </w:tc>
        <w:tc>
          <w:tcPr>
            <w:tcW w:w="2966" w:type="pct"/>
            <w:shd w:val="clear" w:color="auto" w:fill="auto"/>
            <w:vAlign w:val="bottom"/>
          </w:tcPr>
          <w:p w:rsidR="00011C3B" w:rsidRPr="00ED13EB" w:rsidRDefault="00011C3B" w:rsidP="004869BB">
            <w:pPr>
              <w:pStyle w:val="Normltblabal3pckkel"/>
            </w:pPr>
            <w:r w:rsidRPr="00ED13EB">
              <w:t>Élelmiszeripar</w:t>
            </w:r>
          </w:p>
        </w:tc>
        <w:tc>
          <w:tcPr>
            <w:tcW w:w="813" w:type="pct"/>
            <w:shd w:val="clear" w:color="auto" w:fill="auto"/>
          </w:tcPr>
          <w:p w:rsidR="00011C3B" w:rsidRPr="00ED13EB" w:rsidRDefault="009D1671" w:rsidP="00011C3B">
            <w:pPr>
              <w:spacing w:after="0"/>
              <w:jc w:val="right"/>
              <w:rPr>
                <w:sz w:val="20"/>
                <w:szCs w:val="20"/>
                <w:lang w:val="en-GB"/>
              </w:rPr>
            </w:pPr>
            <w:r>
              <w:rPr>
                <w:sz w:val="20"/>
                <w:szCs w:val="20"/>
                <w:lang w:val="en-GB"/>
              </w:rPr>
              <w:t>4</w:t>
            </w:r>
            <w:r w:rsidR="00011C3B" w:rsidRPr="00ED13EB">
              <w:rPr>
                <w:sz w:val="20"/>
                <w:szCs w:val="20"/>
                <w:lang w:val="en-GB"/>
              </w:rPr>
              <w:t xml:space="preserve"> </w:t>
            </w:r>
          </w:p>
        </w:tc>
        <w:tc>
          <w:tcPr>
            <w:tcW w:w="917" w:type="pct"/>
            <w:shd w:val="clear" w:color="auto" w:fill="auto"/>
          </w:tcPr>
          <w:p w:rsidR="00011C3B" w:rsidRPr="00ED13EB" w:rsidRDefault="00011C3B" w:rsidP="00011C3B">
            <w:pPr>
              <w:spacing w:after="0"/>
              <w:jc w:val="right"/>
              <w:rPr>
                <w:sz w:val="20"/>
                <w:szCs w:val="20"/>
                <w:lang w:val="en-GB"/>
              </w:rPr>
            </w:pPr>
            <w:r w:rsidRPr="00ED13EB">
              <w:rPr>
                <w:sz w:val="20"/>
                <w:szCs w:val="20"/>
                <w:lang w:val="en-GB"/>
              </w:rPr>
              <w:t>0</w:t>
            </w:r>
          </w:p>
        </w:tc>
      </w:tr>
      <w:tr w:rsidR="00011C3B" w:rsidRPr="00ED13EB" w:rsidTr="00011C3B">
        <w:trPr>
          <w:jc w:val="center"/>
        </w:trPr>
        <w:tc>
          <w:tcPr>
            <w:tcW w:w="304" w:type="pct"/>
            <w:vMerge/>
          </w:tcPr>
          <w:p w:rsidR="00011C3B" w:rsidRPr="00ED13EB" w:rsidRDefault="00011C3B" w:rsidP="00011C3B">
            <w:pPr>
              <w:spacing w:after="0"/>
              <w:ind w:left="570"/>
              <w:rPr>
                <w:sz w:val="20"/>
                <w:szCs w:val="20"/>
              </w:rPr>
            </w:pPr>
          </w:p>
        </w:tc>
        <w:tc>
          <w:tcPr>
            <w:tcW w:w="2966" w:type="pct"/>
            <w:shd w:val="clear" w:color="auto" w:fill="auto"/>
            <w:vAlign w:val="bottom"/>
          </w:tcPr>
          <w:p w:rsidR="00011C3B" w:rsidRPr="00ED13EB" w:rsidRDefault="00011C3B" w:rsidP="004869BB">
            <w:pPr>
              <w:pStyle w:val="Normltblabal3pckkel"/>
            </w:pPr>
            <w:r w:rsidRPr="00ED13EB">
              <w:t>Erdőgazdálkodás</w:t>
            </w:r>
          </w:p>
        </w:tc>
        <w:tc>
          <w:tcPr>
            <w:tcW w:w="813" w:type="pct"/>
            <w:shd w:val="clear" w:color="auto" w:fill="auto"/>
          </w:tcPr>
          <w:p w:rsidR="00011C3B" w:rsidRPr="00ED13EB" w:rsidRDefault="009D1671" w:rsidP="00011C3B">
            <w:pPr>
              <w:spacing w:after="0"/>
              <w:jc w:val="right"/>
              <w:rPr>
                <w:sz w:val="20"/>
                <w:szCs w:val="20"/>
                <w:lang w:val="en-GB"/>
              </w:rPr>
            </w:pPr>
            <w:r>
              <w:rPr>
                <w:sz w:val="20"/>
                <w:szCs w:val="20"/>
                <w:lang w:val="en-GB"/>
              </w:rPr>
              <w:t>2,6</w:t>
            </w:r>
            <w:r w:rsidR="00011C3B" w:rsidRPr="00ED13EB">
              <w:rPr>
                <w:sz w:val="20"/>
                <w:szCs w:val="20"/>
                <w:lang w:val="en-GB"/>
              </w:rPr>
              <w:t xml:space="preserve"> </w:t>
            </w:r>
          </w:p>
        </w:tc>
        <w:tc>
          <w:tcPr>
            <w:tcW w:w="917" w:type="pct"/>
            <w:tcBorders>
              <w:bottom w:val="single" w:sz="4" w:space="0" w:color="auto"/>
            </w:tcBorders>
            <w:shd w:val="clear" w:color="auto" w:fill="auto"/>
          </w:tcPr>
          <w:p w:rsidR="00011C3B" w:rsidRPr="00ED13EB" w:rsidRDefault="00011C3B" w:rsidP="00011C3B">
            <w:pPr>
              <w:spacing w:after="0"/>
              <w:jc w:val="right"/>
              <w:rPr>
                <w:sz w:val="20"/>
                <w:szCs w:val="20"/>
                <w:lang w:val="en-GB"/>
              </w:rPr>
            </w:pPr>
            <w:r w:rsidRPr="00ED13EB">
              <w:rPr>
                <w:sz w:val="20"/>
                <w:szCs w:val="20"/>
                <w:lang w:val="en-GB"/>
              </w:rPr>
              <w:t>0</w:t>
            </w:r>
          </w:p>
        </w:tc>
      </w:tr>
      <w:tr w:rsidR="00011C3B" w:rsidRPr="00ED13EB" w:rsidTr="00ED13EB">
        <w:trPr>
          <w:jc w:val="center"/>
        </w:trPr>
        <w:tc>
          <w:tcPr>
            <w:tcW w:w="304" w:type="pct"/>
            <w:vMerge w:val="restart"/>
            <w:shd w:val="clear" w:color="auto" w:fill="auto"/>
          </w:tcPr>
          <w:p w:rsidR="00011C3B" w:rsidRPr="00ED13EB" w:rsidRDefault="00011C3B" w:rsidP="00011C3B">
            <w:pPr>
              <w:spacing w:after="0"/>
              <w:rPr>
                <w:sz w:val="20"/>
                <w:szCs w:val="20"/>
              </w:rPr>
            </w:pPr>
            <w:r w:rsidRPr="00ED13EB">
              <w:rPr>
                <w:sz w:val="20"/>
                <w:szCs w:val="20"/>
              </w:rPr>
              <w:t>I</w:t>
            </w:r>
          </w:p>
        </w:tc>
        <w:tc>
          <w:tcPr>
            <w:tcW w:w="2966" w:type="pct"/>
            <w:shd w:val="clear" w:color="auto" w:fill="auto"/>
            <w:vAlign w:val="bottom"/>
          </w:tcPr>
          <w:p w:rsidR="00011C3B" w:rsidRPr="00ED13EB" w:rsidRDefault="00011C3B" w:rsidP="007B5AEF">
            <w:pPr>
              <w:pStyle w:val="Tbla-bal"/>
            </w:pPr>
            <w:r w:rsidRPr="00ED13EB">
              <w:t>Nettó hozzáadott érték PPS-ben kifejezve (euró)</w:t>
            </w:r>
          </w:p>
        </w:tc>
        <w:tc>
          <w:tcPr>
            <w:tcW w:w="813" w:type="pct"/>
            <w:shd w:val="clear" w:color="auto" w:fill="auto"/>
          </w:tcPr>
          <w:p w:rsidR="00011C3B" w:rsidRPr="00ED13EB" w:rsidRDefault="00011C3B" w:rsidP="00011C3B">
            <w:pPr>
              <w:spacing w:after="0"/>
              <w:jc w:val="right"/>
              <w:rPr>
                <w:sz w:val="20"/>
                <w:szCs w:val="20"/>
                <w:lang w:val="en-GB"/>
              </w:rPr>
            </w:pPr>
            <w:r w:rsidRPr="00ED13EB">
              <w:rPr>
                <w:sz w:val="20"/>
                <w:szCs w:val="20"/>
                <w:lang w:val="en-GB"/>
              </w:rPr>
              <w:t>8</w:t>
            </w:r>
            <w:r w:rsidR="009D1671">
              <w:rPr>
                <w:sz w:val="20"/>
                <w:szCs w:val="20"/>
                <w:lang w:val="en-GB"/>
              </w:rPr>
              <w:t>1</w:t>
            </w:r>
            <w:r w:rsidRPr="00ED13EB">
              <w:rPr>
                <w:sz w:val="20"/>
                <w:szCs w:val="20"/>
                <w:lang w:val="en-GB"/>
              </w:rPr>
              <w:t xml:space="preserve"> </w:t>
            </w:r>
          </w:p>
        </w:tc>
        <w:tc>
          <w:tcPr>
            <w:tcW w:w="917" w:type="pct"/>
            <w:shd w:val="clear" w:color="auto" w:fill="auto"/>
          </w:tcPr>
          <w:p w:rsidR="00011C3B" w:rsidRPr="00ED13EB" w:rsidRDefault="00011C3B" w:rsidP="00011C3B">
            <w:pPr>
              <w:spacing w:after="0"/>
              <w:jc w:val="right"/>
              <w:rPr>
                <w:sz w:val="20"/>
                <w:szCs w:val="20"/>
              </w:rPr>
            </w:pPr>
            <w:r w:rsidRPr="00ED13EB">
              <w:rPr>
                <w:sz w:val="20"/>
                <w:szCs w:val="20"/>
              </w:rPr>
              <w:t>NA</w:t>
            </w:r>
          </w:p>
        </w:tc>
      </w:tr>
      <w:tr w:rsidR="00011C3B" w:rsidRPr="00ED13EB" w:rsidTr="00ED13EB">
        <w:trPr>
          <w:jc w:val="center"/>
        </w:trPr>
        <w:tc>
          <w:tcPr>
            <w:tcW w:w="304" w:type="pct"/>
            <w:vMerge/>
            <w:shd w:val="clear" w:color="auto" w:fill="auto"/>
          </w:tcPr>
          <w:p w:rsidR="00011C3B" w:rsidRPr="00ED13EB" w:rsidRDefault="00011C3B" w:rsidP="00011C3B">
            <w:pPr>
              <w:spacing w:after="0"/>
              <w:rPr>
                <w:sz w:val="20"/>
                <w:szCs w:val="20"/>
              </w:rPr>
            </w:pPr>
          </w:p>
        </w:tc>
        <w:tc>
          <w:tcPr>
            <w:tcW w:w="2966" w:type="pct"/>
            <w:shd w:val="clear" w:color="auto" w:fill="auto"/>
            <w:vAlign w:val="bottom"/>
          </w:tcPr>
          <w:p w:rsidR="00011C3B" w:rsidRPr="00ED13EB" w:rsidRDefault="00011C3B" w:rsidP="007B5AEF">
            <w:pPr>
              <w:pStyle w:val="Tbla-bal"/>
            </w:pPr>
            <w:r w:rsidRPr="00ED13EB">
              <w:t>A bruttó hozzáadott érték változása teljes munkaidő egyenértékhez viszonyítva (euró)</w:t>
            </w:r>
          </w:p>
        </w:tc>
        <w:tc>
          <w:tcPr>
            <w:tcW w:w="813" w:type="pct"/>
            <w:shd w:val="clear" w:color="auto" w:fill="auto"/>
          </w:tcPr>
          <w:p w:rsidR="00011C3B" w:rsidRPr="00ED13EB" w:rsidRDefault="009D1671" w:rsidP="00011C3B">
            <w:pPr>
              <w:spacing w:after="0"/>
              <w:jc w:val="right"/>
              <w:rPr>
                <w:sz w:val="20"/>
                <w:szCs w:val="20"/>
                <w:lang w:val="en-GB"/>
              </w:rPr>
            </w:pPr>
            <w:r>
              <w:rPr>
                <w:sz w:val="20"/>
                <w:szCs w:val="20"/>
                <w:lang w:val="en-GB"/>
              </w:rPr>
              <w:t>20 000</w:t>
            </w:r>
            <w:r w:rsidR="00011C3B" w:rsidRPr="00ED13EB">
              <w:rPr>
                <w:sz w:val="20"/>
                <w:szCs w:val="20"/>
                <w:lang w:val="en-GB"/>
              </w:rPr>
              <w:t xml:space="preserve"> </w:t>
            </w:r>
          </w:p>
        </w:tc>
        <w:tc>
          <w:tcPr>
            <w:tcW w:w="917" w:type="pct"/>
            <w:shd w:val="clear" w:color="auto" w:fill="auto"/>
          </w:tcPr>
          <w:p w:rsidR="00011C3B" w:rsidRPr="00ED13EB" w:rsidRDefault="00011C3B" w:rsidP="00011C3B">
            <w:pPr>
              <w:spacing w:after="0"/>
              <w:jc w:val="right"/>
              <w:rPr>
                <w:sz w:val="20"/>
                <w:szCs w:val="20"/>
                <w:lang w:val="en-GB"/>
              </w:rPr>
            </w:pPr>
            <w:r w:rsidRPr="00ED13EB">
              <w:rPr>
                <w:sz w:val="20"/>
                <w:szCs w:val="20"/>
                <w:lang w:val="en-GB"/>
              </w:rPr>
              <w:t>NA</w:t>
            </w:r>
          </w:p>
        </w:tc>
      </w:tr>
    </w:tbl>
    <w:p w:rsidR="00011C3B" w:rsidRPr="00380857" w:rsidRDefault="00011C3B" w:rsidP="00011C3B">
      <w:pPr>
        <w:pStyle w:val="Normlforrs"/>
      </w:pPr>
      <w:r w:rsidRPr="00380857">
        <w:t>Forrás: MVH</w:t>
      </w:r>
    </w:p>
    <w:p w:rsidR="00011C3B" w:rsidRDefault="00011C3B" w:rsidP="004869BB">
      <w:r w:rsidRPr="00604B6F">
        <w:t>Az intézkedés céljai relevánsak, azonban a konkrét megvalósítási mód, támogatási mérték a hazai körülmények a várthoz képest kevésbé ösztönözt</w:t>
      </w:r>
      <w:r w:rsidR="00842AB6">
        <w:t>ék</w:t>
      </w:r>
      <w:r w:rsidRPr="00604B6F">
        <w:t xml:space="preserve"> gazdaságátadásra az idősebb gazdákat. Az intézkedés megvalósítását akadályozta az ellentétes hatást kifejtő szabályozási környezet is.</w:t>
      </w:r>
    </w:p>
    <w:p w:rsidR="00ED13EB" w:rsidRDefault="00ED13EB" w:rsidP="00ED13EB">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D13EB"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00E442DA" w:rsidRPr="00B67120">
        <w:rPr>
          <w:rFonts w:cs="Times New Roman"/>
        </w:rPr>
        <w:t>A BHÉ értékeket a társasági adóbevallással nem rendelkező kedvezményezettek esetén FAD</w:t>
      </w:r>
      <w:r w:rsidR="00E442DA">
        <w:rPr>
          <w:rFonts w:cs="Times New Roman"/>
        </w:rPr>
        <w:t>N mutatóra alapozott becslésre alapozva számolta az AKI, a becslés során figyelembe vette</w:t>
      </w:r>
      <w:r w:rsidR="00E442DA" w:rsidRPr="00B67120">
        <w:rPr>
          <w:rFonts w:cs="Times New Roman"/>
        </w:rPr>
        <w:t xml:space="preserve"> azok legjellemzőbb mezőgazdasági ágazatukat valamint méretüket.</w:t>
      </w:r>
    </w:p>
    <w:p w:rsidR="00ED13EB" w:rsidRPr="000E0FD3" w:rsidRDefault="00ED13EB" w:rsidP="00ED13EB">
      <w:r>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p>
    <w:p w:rsidR="00011C3B" w:rsidRPr="00604B6F" w:rsidRDefault="00011C3B" w:rsidP="00715E86">
      <w:pPr>
        <w:pStyle w:val="Cmsor4"/>
      </w:pPr>
      <w:r w:rsidRPr="00604B6F">
        <w:lastRenderedPageBreak/>
        <w:t>Mezőgazdasági termelők gazdaságátadásához nyújtandó támogatás jogcím megvalósulása</w:t>
      </w:r>
    </w:p>
    <w:p w:rsidR="008B0CF9" w:rsidRPr="00D65862" w:rsidRDefault="008B0CF9" w:rsidP="00D65862">
      <w:r w:rsidRPr="00D65862">
        <w:t>A mezőgazdasági termelők gazdaságátadásához nyújtandó támogatás intézkedés ismételt megnyitása érdekében 2012-ben megkezdődött a jogcím felülvizsgálata, szakmai tartalmának végrehajtási tapasztalatokon alapuló frissítése, valamint az új jogcímrendelet kidolgozása. Az intézkedés 2012. évi, harmadik alkalommal történő megnyitásához kihirdetésre került az Európai Mezőgazdasági Vidékfejlesztési Alapból a mezőgazdasági termelők gazdaságátadásához igényelhető támogatások részletes feltételeiről szóló 121/2012. (XI.28.) VM rendelet. E rendelet alapján támogatási kérelem benyújtásra 2012. december 17. és 2013. február 15. között volt lehetőség.</w:t>
      </w:r>
    </w:p>
    <w:p w:rsidR="008B0CF9" w:rsidRPr="00D65862" w:rsidRDefault="006B5015" w:rsidP="00DA27DF">
      <w:r w:rsidRPr="00D65862">
        <w:t xml:space="preserve">Kedvezményezett </w:t>
      </w:r>
      <w:r w:rsidR="008B0CF9" w:rsidRPr="00D65862">
        <w:t>a mezőgazdasági termelő tevékenységet végező egyéni vállalkozó vagy mezőgazdasági őstermelő (a továbbiakban együtt: átadó gazdálkodó), továbbá az átadó gazdálkodó munkavállalója</w:t>
      </w:r>
      <w:r w:rsidR="00842AB6">
        <w:t>. A kedvezményezett a jogcím keretében</w:t>
      </w:r>
      <w:r w:rsidR="00842AB6" w:rsidRPr="00D65862">
        <w:t xml:space="preserve"> jövedelempótló típusú támogatást vehet igénybe</w:t>
      </w:r>
      <w:r w:rsidR="008B0CF9" w:rsidRPr="00D65862">
        <w:t>.</w:t>
      </w:r>
    </w:p>
    <w:p w:rsidR="008B0CF9" w:rsidRPr="00D65862" w:rsidRDefault="008B0CF9" w:rsidP="00DA27DF">
      <w:r w:rsidRPr="00D65862">
        <w:t>Kifizetési kérelmet a támogatási kérelmet jóváhagyó határozat kézhezvételét követő 90 napon belül lehet benyújtani az MVH honlapján közzétett formanyomtatványon. Amennyiben a benyújtott kifizetési kérelem vonatkozásában az MVH elutasító határozatot hoz, az átadó gazdálkodó újabb kifizetési kérelmet nyújthat be 2013. november 1. és november 30. között.</w:t>
      </w:r>
    </w:p>
    <w:p w:rsidR="00011C3B" w:rsidRPr="00D65862" w:rsidRDefault="00011C3B" w:rsidP="00DA27DF">
      <w:r w:rsidRPr="00D65862">
        <w:t>A jogcím a kis kérelemszám miatt nem rendelkezik szoftveres ügyintézői felülettel, így a kérelmek ügyintézése papír alapon történik. Az eljárásrend összetettsége végett a benyújtott kifizetési kérelmek nagy részénél szükség volt az ügyintézési határidő meghosszabbítására.</w:t>
      </w:r>
    </w:p>
    <w:p w:rsidR="00011C3B" w:rsidRDefault="007E5FDF" w:rsidP="00673DDE">
      <w:pPr>
        <w:pStyle w:val="bra-cmetbla"/>
      </w:pPr>
      <w:fldSimple w:instr=" SEQ táblázat \* ARABIC ">
        <w:r w:rsidR="00E5031F">
          <w:rPr>
            <w:noProof/>
          </w:rPr>
          <w:t>22</w:t>
        </w:r>
      </w:fldSimple>
      <w:r w:rsidR="00673DDE">
        <w:t xml:space="preserve">. táblázat: </w:t>
      </w:r>
      <w:r w:rsidR="00011C3B" w:rsidRPr="00067CE1">
        <w:t>Mezőgazdasági termelők gazdaságátadásához nyújtandó támogatás jogcím</w:t>
      </w:r>
      <w:r w:rsidR="00011C3B" w:rsidRPr="00067CE1">
        <w:br/>
        <w:t>201</w:t>
      </w:r>
      <w:r w:rsidR="00011C3B">
        <w:t>2</w:t>
      </w:r>
      <w:r w:rsidR="00011C3B" w:rsidRPr="00067CE1">
        <w:t>. évi eredményei</w:t>
      </w:r>
    </w:p>
    <w:p w:rsidR="00011C3B" w:rsidRPr="00067CE1" w:rsidRDefault="00B452BF" w:rsidP="00011C3B">
      <w:pPr>
        <w:keepNext/>
        <w:jc w:val="center"/>
        <w:rPr>
          <w:b/>
          <w:szCs w:val="22"/>
        </w:rPr>
      </w:pPr>
      <w:r>
        <w:rPr>
          <w:noProof/>
        </w:rPr>
        <w:drawing>
          <wp:inline distT="0" distB="0" distL="0" distR="0" wp14:anchorId="1390A1E1" wp14:editId="2E9EFCBF">
            <wp:extent cx="5167630" cy="1882140"/>
            <wp:effectExtent l="0" t="0" r="0" b="3810"/>
            <wp:docPr id="1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011C3B" w:rsidRDefault="00842AB6" w:rsidP="004869BB">
      <w:r>
        <w:t xml:space="preserve">2012-ben </w:t>
      </w:r>
      <w:r w:rsidR="00011C3B" w:rsidRPr="002A541F">
        <w:t>47 db kifizetési kérelem került jóváhagyásra, 188 ezer euró (55,2 M Ft) értékben, összesen 242 ezer euró (70,6 M Ft) kifizetése történt meg 2012-ben az áthúzódó kifizetések miatt.</w:t>
      </w:r>
      <w:r w:rsidR="00011C3B">
        <w:t xml:space="preserve"> </w:t>
      </w:r>
    </w:p>
    <w:p w:rsidR="00011C3B" w:rsidRPr="00067CE1" w:rsidRDefault="00011C3B" w:rsidP="00DA27DF">
      <w:r w:rsidRPr="00FB7942">
        <w:t>A kifizetések regionális eloszlását tekintve elmondható, hogy a legtöbb kifizetés a jogcímre Szabolcs-Szatmár-Bereg megyében</w:t>
      </w:r>
      <w:r w:rsidR="00F23C8D">
        <w:t xml:space="preserve"> volt</w:t>
      </w:r>
      <w:r w:rsidRPr="00FB7942">
        <w:t xml:space="preserve">, </w:t>
      </w:r>
      <w:r w:rsidRPr="00E962EE">
        <w:t>a</w:t>
      </w:r>
      <w:r w:rsidR="00842AB6" w:rsidRPr="00E962EE">
        <w:t>zonban</w:t>
      </w:r>
      <w:r w:rsidRPr="00E962EE">
        <w:t xml:space="preserve"> B</w:t>
      </w:r>
      <w:r w:rsidR="00842AB6" w:rsidRPr="00E962EE">
        <w:t>orsod</w:t>
      </w:r>
      <w:r w:rsidRPr="00E962EE">
        <w:t>-A</w:t>
      </w:r>
      <w:r w:rsidR="00842AB6" w:rsidRPr="00E962EE">
        <w:t>baúj</w:t>
      </w:r>
      <w:r w:rsidRPr="00E962EE">
        <w:t>-Z</w:t>
      </w:r>
      <w:r w:rsidR="00842AB6" w:rsidRPr="00E962EE">
        <w:t>emplén</w:t>
      </w:r>
      <w:r w:rsidRPr="00E962EE">
        <w:t>, Heves és Tolna megyében nem történt kifizetés.</w:t>
      </w:r>
    </w:p>
    <w:p w:rsidR="00011C3B" w:rsidRPr="00896E03" w:rsidRDefault="00011C3B" w:rsidP="00DB48A3">
      <w:pPr>
        <w:pStyle w:val="Cmsor3"/>
      </w:pPr>
      <w:bookmarkStart w:id="230" w:name="hétfő"/>
      <w:bookmarkStart w:id="231" w:name="_Toc328638705"/>
      <w:bookmarkStart w:id="232" w:name="_Toc360176795"/>
      <w:bookmarkEnd w:id="230"/>
      <w:r w:rsidRPr="00896E03">
        <w:t>Szaktanácsadói szolgáltatások igénybevétele (114) intézkedés rövid bemutatása</w:t>
      </w:r>
      <w:bookmarkEnd w:id="231"/>
      <w:bookmarkEnd w:id="232"/>
    </w:p>
    <w:p w:rsidR="00011C3B" w:rsidRPr="00604B6F" w:rsidRDefault="00011C3B" w:rsidP="00DA27DF">
      <w:r w:rsidRPr="00604B6F">
        <w:t xml:space="preserve">Az intézkedés célja a mezőgazdasági termelők és erdőgazdálkodók számára kedvezményes áron nyújtott </w:t>
      </w:r>
      <w:r w:rsidRPr="00D65862">
        <w:t>szaktanácsadás</w:t>
      </w:r>
      <w:r w:rsidRPr="00604B6F">
        <w:t xml:space="preserve"> útján a gazdálkodásuk versenyképességének fokozása, a kölcsönös megfeleltetés, és a munkabiztonság követelményeinek betartásának elősegítése. </w:t>
      </w:r>
      <w:r w:rsidRPr="00604B6F">
        <w:rPr>
          <w:szCs w:val="22"/>
        </w:rPr>
        <w:t>Az intézkedés keretében a mezőgazd</w:t>
      </w:r>
      <w:r w:rsidRPr="00604B6F">
        <w:t xml:space="preserve">asági termelők és erdőgazdálkodók számára vissza nem térítendő támogatás adható olyan szaktanácsadói szolgáltatások igénybevételéből származó költségek viseléséhez, amelyek gazdaságuk összteljesítményének javítására, a helyes mezőgazdasági és környezeti állapot </w:t>
      </w:r>
      <w:r w:rsidRPr="00604B6F">
        <w:lastRenderedPageBreak/>
        <w:t>fenntartásával összefüggő előírások, valamint a 1782/2003/EK rendeletben meghatározott üzemvezetési követelmények és a munkahelyi biztonságra vonatkozó közösségi előírások megismerésére irányulnak.</w:t>
      </w:r>
    </w:p>
    <w:p w:rsidR="008B0CF9" w:rsidRPr="00DA27DF" w:rsidRDefault="008B0CF9" w:rsidP="00DA27DF">
      <w:r w:rsidRPr="00B46F65">
        <w:t xml:space="preserve">Az intézkedés nem tartalmaz alintézkedéseket. A 2007-ben megjelent </w:t>
      </w:r>
      <w:r w:rsidRPr="00B46F65">
        <w:rPr>
          <w:i/>
        </w:rPr>
        <w:t>Szaktanácsadói szolgáltatások igénybevételéhez nyújtandó támogatások</w:t>
      </w:r>
      <w:r w:rsidRPr="00DA27DF">
        <w:t xml:space="preserve"> jogcímrendelet az intézkedés egészét lefedi.</w:t>
      </w:r>
    </w:p>
    <w:p w:rsidR="008B0CF9" w:rsidRDefault="008B0CF9" w:rsidP="00D65862">
      <w:pPr>
        <w:rPr>
          <w:szCs w:val="20"/>
        </w:rPr>
      </w:pPr>
      <w:r w:rsidRPr="00B46F65">
        <w:t xml:space="preserve">A szaktanácsadási szolgáltatásnak minden esetben kötelező eleme a kölcsönös megfeleltetésre, a helyes </w:t>
      </w:r>
      <w:r w:rsidRPr="00D65862">
        <w:t>mezőgazdasági</w:t>
      </w:r>
      <w:r w:rsidRPr="00B46F65">
        <w:t xml:space="preserve"> és környezeti állapotra, valamint </w:t>
      </w:r>
      <w:r>
        <w:t xml:space="preserve">a munkabiztonságra </w:t>
      </w:r>
      <w:r w:rsidRPr="00B46F65">
        <w:t>vonatkozó tanácsadás. Ezek keretében a környezetvédelemmel, talaj- és vízvédelemmel, természetvédelemmel és a fenntartható gazdálkodás megvalósításával kapcsolatos tanácsokat kaptak a gazdálkodók</w:t>
      </w:r>
      <w:r>
        <w:rPr>
          <w:szCs w:val="20"/>
        </w:rPr>
        <w:t>.</w:t>
      </w:r>
    </w:p>
    <w:p w:rsidR="00011C3B" w:rsidRPr="00604B6F" w:rsidRDefault="007E5FDF" w:rsidP="00E71166">
      <w:pPr>
        <w:pStyle w:val="bra-cmetbla"/>
      </w:pPr>
      <w:fldSimple w:instr=" SEQ táblázat \* ARABIC ">
        <w:r w:rsidR="00E5031F">
          <w:rPr>
            <w:noProof/>
          </w:rPr>
          <w:t>23</w:t>
        </w:r>
      </w:fldSimple>
      <w:r w:rsidR="00673DDE">
        <w:t xml:space="preserve">. táblázat: </w:t>
      </w:r>
      <w:r w:rsidR="00011C3B" w:rsidRPr="00604B6F">
        <w:t xml:space="preserve">A Szaktanácsadói szolgáltatások igénybevétele intézkedés </w:t>
      </w:r>
      <w:r w:rsidR="002B6866">
        <w:t xml:space="preserve">(114) </w:t>
      </w:r>
      <w:r w:rsidR="00011C3B" w:rsidRPr="00604B6F">
        <w:t>indikátorainak megvalósulása</w:t>
      </w:r>
    </w:p>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6198"/>
        <w:gridCol w:w="1471"/>
        <w:gridCol w:w="1496"/>
      </w:tblGrid>
      <w:tr w:rsidR="00011C3B" w:rsidRPr="00CD0210" w:rsidTr="00011C3B">
        <w:trPr>
          <w:cantSplit/>
          <w:tblHeader/>
          <w:jc w:val="center"/>
        </w:trPr>
        <w:tc>
          <w:tcPr>
            <w:tcW w:w="308" w:type="pct"/>
            <w:shd w:val="clear" w:color="auto" w:fill="B3B3B3"/>
          </w:tcPr>
          <w:p w:rsidR="00011C3B" w:rsidRPr="00CD0210" w:rsidRDefault="00011C3B" w:rsidP="00E71166">
            <w:pPr>
              <w:pStyle w:val="Tbla-cm"/>
            </w:pPr>
          </w:p>
        </w:tc>
        <w:tc>
          <w:tcPr>
            <w:tcW w:w="3173" w:type="pct"/>
            <w:shd w:val="clear" w:color="auto" w:fill="B3B3B3"/>
            <w:vAlign w:val="center"/>
          </w:tcPr>
          <w:p w:rsidR="00011C3B" w:rsidRPr="00CD0210" w:rsidRDefault="00011C3B" w:rsidP="00E71166">
            <w:pPr>
              <w:pStyle w:val="Tbla-cm"/>
            </w:pPr>
            <w:r w:rsidRPr="00CD0210">
              <w:t>Indikátor leírása</w:t>
            </w:r>
          </w:p>
        </w:tc>
        <w:tc>
          <w:tcPr>
            <w:tcW w:w="753" w:type="pct"/>
            <w:shd w:val="clear" w:color="auto" w:fill="B3B3B3"/>
            <w:vAlign w:val="center"/>
          </w:tcPr>
          <w:p w:rsidR="00011C3B" w:rsidRPr="00CD0210" w:rsidRDefault="00011C3B" w:rsidP="00E71166">
            <w:pPr>
              <w:pStyle w:val="Tbla-cm"/>
            </w:pPr>
            <w:r w:rsidRPr="00CD0210">
              <w:t>Program szerinti tervadat</w:t>
            </w:r>
          </w:p>
        </w:tc>
        <w:tc>
          <w:tcPr>
            <w:tcW w:w="766" w:type="pct"/>
            <w:shd w:val="clear" w:color="auto" w:fill="B3B3B3"/>
            <w:vAlign w:val="center"/>
          </w:tcPr>
          <w:p w:rsidR="00011C3B" w:rsidRPr="00CD0210" w:rsidRDefault="00011C3B" w:rsidP="00E71166">
            <w:pPr>
              <w:pStyle w:val="Tbla-cm"/>
            </w:pPr>
            <w:r w:rsidRPr="00CD0210">
              <w:t>Indikátorok kumulált értéke</w:t>
            </w:r>
          </w:p>
        </w:tc>
      </w:tr>
      <w:tr w:rsidR="00011C3B" w:rsidRPr="00CD0210" w:rsidTr="00011C3B">
        <w:trPr>
          <w:jc w:val="center"/>
        </w:trPr>
        <w:tc>
          <w:tcPr>
            <w:tcW w:w="308" w:type="pct"/>
            <w:vMerge w:val="restart"/>
          </w:tcPr>
          <w:p w:rsidR="00011C3B" w:rsidRPr="00CD0210" w:rsidRDefault="00011C3B" w:rsidP="00011C3B">
            <w:pPr>
              <w:spacing w:after="0"/>
              <w:rPr>
                <w:sz w:val="20"/>
                <w:szCs w:val="20"/>
              </w:rPr>
            </w:pPr>
            <w:r w:rsidRPr="00CD0210">
              <w:rPr>
                <w:sz w:val="20"/>
                <w:szCs w:val="20"/>
              </w:rPr>
              <w:t>O</w:t>
            </w:r>
          </w:p>
        </w:tc>
        <w:tc>
          <w:tcPr>
            <w:tcW w:w="3173" w:type="pct"/>
            <w:shd w:val="clear" w:color="auto" w:fill="auto"/>
          </w:tcPr>
          <w:p w:rsidR="00011C3B" w:rsidRPr="00CD0210" w:rsidRDefault="00011C3B" w:rsidP="00011C3B">
            <w:pPr>
              <w:spacing w:after="0"/>
              <w:rPr>
                <w:sz w:val="20"/>
                <w:szCs w:val="20"/>
              </w:rPr>
            </w:pPr>
            <w:r w:rsidRPr="00CD0210">
              <w:rPr>
                <w:sz w:val="20"/>
                <w:szCs w:val="20"/>
              </w:rPr>
              <w:t>Támogatott mezőgazdasági termelők száma</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25 000 fő</w:t>
            </w:r>
          </w:p>
        </w:tc>
        <w:tc>
          <w:tcPr>
            <w:tcW w:w="766" w:type="pct"/>
            <w:shd w:val="clear" w:color="auto" w:fill="auto"/>
          </w:tcPr>
          <w:p w:rsidR="00011C3B" w:rsidRPr="00CD0210" w:rsidRDefault="00011C3B" w:rsidP="00011C3B">
            <w:pPr>
              <w:spacing w:after="0"/>
              <w:ind w:right="70"/>
              <w:jc w:val="right"/>
              <w:rPr>
                <w:sz w:val="20"/>
                <w:szCs w:val="20"/>
              </w:rPr>
            </w:pPr>
            <w:r w:rsidRPr="00CD0210">
              <w:rPr>
                <w:sz w:val="20"/>
                <w:szCs w:val="20"/>
              </w:rPr>
              <w:t xml:space="preserve">13 </w:t>
            </w:r>
            <w:r>
              <w:rPr>
                <w:sz w:val="20"/>
                <w:szCs w:val="20"/>
              </w:rPr>
              <w:t>960</w:t>
            </w:r>
          </w:p>
        </w:tc>
      </w:tr>
      <w:tr w:rsidR="00011C3B" w:rsidRPr="00CD0210" w:rsidTr="00011C3B">
        <w:trPr>
          <w:jc w:val="center"/>
        </w:trPr>
        <w:tc>
          <w:tcPr>
            <w:tcW w:w="308" w:type="pct"/>
            <w:vMerge/>
          </w:tcPr>
          <w:p w:rsidR="00011C3B" w:rsidRPr="00CD0210" w:rsidRDefault="00011C3B" w:rsidP="00011C3B">
            <w:pPr>
              <w:spacing w:after="0"/>
              <w:rPr>
                <w:sz w:val="20"/>
                <w:szCs w:val="20"/>
              </w:rPr>
            </w:pPr>
          </w:p>
        </w:tc>
        <w:tc>
          <w:tcPr>
            <w:tcW w:w="3173" w:type="pct"/>
            <w:shd w:val="clear" w:color="auto" w:fill="auto"/>
          </w:tcPr>
          <w:p w:rsidR="00011C3B" w:rsidRPr="00CD0210" w:rsidRDefault="00011C3B" w:rsidP="00011C3B">
            <w:pPr>
              <w:spacing w:after="0"/>
              <w:rPr>
                <w:sz w:val="20"/>
                <w:szCs w:val="20"/>
              </w:rPr>
            </w:pPr>
            <w:r w:rsidRPr="00CD0210">
              <w:rPr>
                <w:sz w:val="20"/>
                <w:szCs w:val="20"/>
              </w:rPr>
              <w:t>A gazdáknak adott tanács típusa:</w:t>
            </w:r>
          </w:p>
        </w:tc>
        <w:tc>
          <w:tcPr>
            <w:tcW w:w="753" w:type="pct"/>
            <w:shd w:val="clear" w:color="auto" w:fill="auto"/>
          </w:tcPr>
          <w:p w:rsidR="00011C3B" w:rsidRPr="00CD0210" w:rsidRDefault="00011C3B" w:rsidP="00011C3B">
            <w:pPr>
              <w:spacing w:after="0"/>
              <w:ind w:right="70"/>
              <w:jc w:val="right"/>
              <w:rPr>
                <w:sz w:val="20"/>
                <w:szCs w:val="20"/>
              </w:rPr>
            </w:pPr>
            <w:r w:rsidRPr="00CD0210">
              <w:rPr>
                <w:sz w:val="20"/>
                <w:szCs w:val="20"/>
              </w:rPr>
              <w:t> </w:t>
            </w:r>
          </w:p>
        </w:tc>
        <w:tc>
          <w:tcPr>
            <w:tcW w:w="766" w:type="pct"/>
            <w:shd w:val="clear" w:color="auto" w:fill="auto"/>
          </w:tcPr>
          <w:p w:rsidR="00011C3B" w:rsidRPr="00CD0210" w:rsidRDefault="00011C3B" w:rsidP="00011C3B">
            <w:pPr>
              <w:spacing w:after="0"/>
              <w:ind w:right="70"/>
              <w:jc w:val="right"/>
              <w:rPr>
                <w:sz w:val="20"/>
                <w:szCs w:val="20"/>
              </w:rPr>
            </w:pPr>
          </w:p>
        </w:tc>
      </w:tr>
      <w:tr w:rsidR="00011C3B" w:rsidRPr="00CD0210" w:rsidTr="00011C3B">
        <w:trPr>
          <w:jc w:val="center"/>
        </w:trPr>
        <w:tc>
          <w:tcPr>
            <w:tcW w:w="308" w:type="pct"/>
            <w:vMerge/>
          </w:tcPr>
          <w:p w:rsidR="00011C3B" w:rsidRPr="00CD0210" w:rsidRDefault="00011C3B" w:rsidP="00011C3B">
            <w:pPr>
              <w:spacing w:after="0"/>
              <w:rPr>
                <w:sz w:val="20"/>
                <w:szCs w:val="20"/>
              </w:rPr>
            </w:pPr>
          </w:p>
        </w:tc>
        <w:tc>
          <w:tcPr>
            <w:tcW w:w="3173" w:type="pct"/>
            <w:shd w:val="clear" w:color="auto" w:fill="auto"/>
          </w:tcPr>
          <w:p w:rsidR="00011C3B" w:rsidRPr="00CD0210" w:rsidRDefault="00011C3B" w:rsidP="00011C3B">
            <w:pPr>
              <w:spacing w:after="0"/>
              <w:rPr>
                <w:sz w:val="20"/>
                <w:szCs w:val="20"/>
              </w:rPr>
            </w:pPr>
            <w:r w:rsidRPr="00CD0210">
              <w:rPr>
                <w:sz w:val="20"/>
                <w:szCs w:val="20"/>
              </w:rPr>
              <w:t>Jogszabályba foglalt menedzsment követelmények (1782/03 rendelet III. melléklete) és a helyes mezőgazdasági és környezeti állapot (1782/03 rendelet IV. melléklete)</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25 000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11 039</w:t>
            </w:r>
          </w:p>
        </w:tc>
      </w:tr>
      <w:tr w:rsidR="00011C3B" w:rsidRPr="00CD0210" w:rsidTr="00011C3B">
        <w:trPr>
          <w:jc w:val="center"/>
        </w:trPr>
        <w:tc>
          <w:tcPr>
            <w:tcW w:w="308" w:type="pct"/>
            <w:vMerge/>
          </w:tcPr>
          <w:p w:rsidR="00011C3B" w:rsidRPr="00CD0210" w:rsidRDefault="00011C3B" w:rsidP="00011C3B">
            <w:pPr>
              <w:spacing w:after="0"/>
              <w:rPr>
                <w:sz w:val="20"/>
                <w:szCs w:val="20"/>
              </w:rPr>
            </w:pPr>
          </w:p>
        </w:tc>
        <w:tc>
          <w:tcPr>
            <w:tcW w:w="3173" w:type="pct"/>
            <w:shd w:val="clear" w:color="auto" w:fill="auto"/>
          </w:tcPr>
          <w:p w:rsidR="00011C3B" w:rsidRPr="00CD0210" w:rsidRDefault="00011C3B" w:rsidP="00011C3B">
            <w:pPr>
              <w:spacing w:after="0"/>
              <w:rPr>
                <w:sz w:val="20"/>
                <w:szCs w:val="20"/>
              </w:rPr>
            </w:pPr>
            <w:r w:rsidRPr="00CD0210">
              <w:rPr>
                <w:sz w:val="20"/>
                <w:szCs w:val="20"/>
              </w:rPr>
              <w:t xml:space="preserve">a kölcsönös megfeleltetésen (1782/2003/EK) kívüli, más szakterületek: </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25 000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13 854</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 xml:space="preserve">környezetvédelem, beleértve az agrár-környezetvédelmet </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6 000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3 078</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foglalkoztatás-biztonsági standardok</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25 000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176</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állatjóllét</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3 000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355</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köz-, állati- és növényegészség</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5 000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780</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menedzsment (gazdasági teljesítmény, könyvelés, stb.),</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3 000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5 380</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biotermelés</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2700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136</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egyéb</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5 000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3 949</w:t>
            </w:r>
          </w:p>
        </w:tc>
      </w:tr>
      <w:tr w:rsidR="00011C3B" w:rsidRPr="00CD0210" w:rsidTr="00011C3B">
        <w:trPr>
          <w:jc w:val="center"/>
        </w:trPr>
        <w:tc>
          <w:tcPr>
            <w:tcW w:w="308" w:type="pct"/>
            <w:vMerge/>
          </w:tcPr>
          <w:p w:rsidR="00011C3B" w:rsidRPr="00CD0210" w:rsidRDefault="00011C3B" w:rsidP="00011C3B">
            <w:pPr>
              <w:spacing w:after="0"/>
              <w:rPr>
                <w:sz w:val="20"/>
                <w:szCs w:val="20"/>
              </w:rPr>
            </w:pPr>
          </w:p>
        </w:tc>
        <w:tc>
          <w:tcPr>
            <w:tcW w:w="3173" w:type="pct"/>
            <w:shd w:val="clear" w:color="auto" w:fill="auto"/>
          </w:tcPr>
          <w:p w:rsidR="00011C3B" w:rsidRPr="00CD0210" w:rsidRDefault="00011C3B" w:rsidP="00011C3B">
            <w:pPr>
              <w:spacing w:after="0"/>
              <w:rPr>
                <w:sz w:val="20"/>
                <w:szCs w:val="20"/>
              </w:rPr>
            </w:pPr>
            <w:r w:rsidRPr="00CD0210">
              <w:rPr>
                <w:sz w:val="20"/>
                <w:szCs w:val="20"/>
              </w:rPr>
              <w:t xml:space="preserve">A közvetlen kifizetések összege, melyet a kedvezményezettek kapnak évente (1782/2003 rendelet 14(2) cikke): 1782/2003) : </w:t>
            </w:r>
          </w:p>
        </w:tc>
        <w:tc>
          <w:tcPr>
            <w:tcW w:w="753" w:type="pct"/>
            <w:shd w:val="clear" w:color="auto" w:fill="auto"/>
          </w:tcPr>
          <w:p w:rsidR="00011C3B" w:rsidRPr="00CD0210" w:rsidRDefault="00011C3B" w:rsidP="00011C3B">
            <w:pPr>
              <w:spacing w:after="0"/>
              <w:ind w:right="70"/>
              <w:jc w:val="right"/>
              <w:rPr>
                <w:sz w:val="20"/>
                <w:szCs w:val="20"/>
              </w:rPr>
            </w:pPr>
            <w:r w:rsidRPr="00CD0210">
              <w:rPr>
                <w:sz w:val="20"/>
                <w:szCs w:val="20"/>
              </w:rPr>
              <w:t> </w:t>
            </w:r>
          </w:p>
        </w:tc>
        <w:tc>
          <w:tcPr>
            <w:tcW w:w="766" w:type="pct"/>
            <w:shd w:val="clear" w:color="auto" w:fill="auto"/>
          </w:tcPr>
          <w:p w:rsidR="00011C3B" w:rsidRPr="00CD0210" w:rsidRDefault="00011C3B" w:rsidP="00011C3B">
            <w:pPr>
              <w:spacing w:after="0"/>
              <w:ind w:right="70"/>
              <w:jc w:val="right"/>
              <w:rPr>
                <w:sz w:val="20"/>
                <w:szCs w:val="20"/>
              </w:rPr>
            </w:pP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 15.000 €</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17 800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14 032</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&gt; 15.000 €</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7 200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10 861</w:t>
            </w:r>
          </w:p>
        </w:tc>
      </w:tr>
      <w:tr w:rsidR="00011C3B" w:rsidRPr="00CD0210" w:rsidTr="00011C3B">
        <w:trPr>
          <w:jc w:val="center"/>
        </w:trPr>
        <w:tc>
          <w:tcPr>
            <w:tcW w:w="308" w:type="pct"/>
            <w:vMerge/>
          </w:tcPr>
          <w:p w:rsidR="00011C3B" w:rsidRPr="00CD0210" w:rsidRDefault="00011C3B" w:rsidP="00011C3B">
            <w:pPr>
              <w:spacing w:after="0"/>
              <w:rPr>
                <w:sz w:val="20"/>
                <w:szCs w:val="20"/>
              </w:rPr>
            </w:pPr>
          </w:p>
        </w:tc>
        <w:tc>
          <w:tcPr>
            <w:tcW w:w="3173" w:type="pct"/>
            <w:shd w:val="clear" w:color="auto" w:fill="auto"/>
          </w:tcPr>
          <w:p w:rsidR="00011C3B" w:rsidRPr="00CD0210" w:rsidRDefault="00011C3B" w:rsidP="00011C3B">
            <w:pPr>
              <w:spacing w:after="0"/>
              <w:rPr>
                <w:sz w:val="20"/>
                <w:szCs w:val="20"/>
              </w:rPr>
            </w:pPr>
            <w:r w:rsidRPr="00CD0210">
              <w:rPr>
                <w:sz w:val="20"/>
                <w:szCs w:val="20"/>
              </w:rPr>
              <w:t>A támogatott erdőtulajdonosok száma</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4 000 fő</w:t>
            </w:r>
          </w:p>
        </w:tc>
        <w:tc>
          <w:tcPr>
            <w:tcW w:w="766" w:type="pct"/>
            <w:shd w:val="clear" w:color="auto" w:fill="auto"/>
          </w:tcPr>
          <w:p w:rsidR="00011C3B" w:rsidRPr="00CD0210" w:rsidRDefault="00011C3B" w:rsidP="00011C3B">
            <w:pPr>
              <w:spacing w:after="0"/>
              <w:ind w:right="70"/>
              <w:jc w:val="right"/>
              <w:rPr>
                <w:sz w:val="20"/>
                <w:szCs w:val="20"/>
              </w:rPr>
            </w:pPr>
            <w:r>
              <w:rPr>
                <w:sz w:val="20"/>
                <w:szCs w:val="20"/>
              </w:rPr>
              <w:t>957</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menedzsment (gazdasági teljesítmény, könyvelés, stb.),</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1</w:t>
            </w:r>
            <w:r w:rsidR="002B6866">
              <w:rPr>
                <w:sz w:val="20"/>
                <w:szCs w:val="20"/>
                <w:lang w:val="en-GB"/>
              </w:rPr>
              <w:t xml:space="preserve"> </w:t>
            </w:r>
            <w:r w:rsidRPr="00CD0210">
              <w:rPr>
                <w:sz w:val="20"/>
                <w:szCs w:val="20"/>
                <w:lang w:val="en-GB"/>
              </w:rPr>
              <w:t>200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114</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környezetvédelem</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1</w:t>
            </w:r>
            <w:r w:rsidR="002B6866">
              <w:rPr>
                <w:sz w:val="20"/>
                <w:szCs w:val="20"/>
                <w:lang w:val="en-GB"/>
              </w:rPr>
              <w:t xml:space="preserve"> </w:t>
            </w:r>
            <w:r w:rsidRPr="00CD0210">
              <w:rPr>
                <w:sz w:val="20"/>
                <w:szCs w:val="20"/>
                <w:lang w:val="en-GB"/>
              </w:rPr>
              <w:t>500</w:t>
            </w:r>
          </w:p>
        </w:tc>
        <w:tc>
          <w:tcPr>
            <w:tcW w:w="766" w:type="pct"/>
            <w:shd w:val="clear" w:color="auto" w:fill="auto"/>
          </w:tcPr>
          <w:p w:rsidR="00011C3B" w:rsidRPr="00CD0210" w:rsidRDefault="00011C3B" w:rsidP="00011C3B">
            <w:pPr>
              <w:spacing w:after="0"/>
              <w:ind w:right="70"/>
              <w:jc w:val="right"/>
              <w:rPr>
                <w:sz w:val="20"/>
                <w:szCs w:val="20"/>
                <w:lang w:val="en-GB"/>
              </w:rPr>
            </w:pPr>
            <w:r>
              <w:rPr>
                <w:sz w:val="20"/>
                <w:szCs w:val="20"/>
                <w:lang w:val="en-GB"/>
              </w:rPr>
              <w:t>483</w:t>
            </w:r>
          </w:p>
        </w:tc>
      </w:tr>
      <w:tr w:rsidR="00011C3B" w:rsidRPr="00CD0210" w:rsidTr="00011C3B">
        <w:trPr>
          <w:jc w:val="center"/>
        </w:trPr>
        <w:tc>
          <w:tcPr>
            <w:tcW w:w="308" w:type="pct"/>
            <w:vMerge/>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egyéb</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1</w:t>
            </w:r>
            <w:r w:rsidR="002B6866">
              <w:rPr>
                <w:sz w:val="20"/>
                <w:szCs w:val="20"/>
                <w:lang w:val="en-GB"/>
              </w:rPr>
              <w:t xml:space="preserve"> </w:t>
            </w:r>
            <w:r w:rsidRPr="00CD0210">
              <w:rPr>
                <w:sz w:val="20"/>
                <w:szCs w:val="20"/>
                <w:lang w:val="en-GB"/>
              </w:rPr>
              <w:t>300</w:t>
            </w:r>
          </w:p>
        </w:tc>
        <w:tc>
          <w:tcPr>
            <w:tcW w:w="766" w:type="pct"/>
            <w:tcBorders>
              <w:bottom w:val="single" w:sz="4" w:space="0" w:color="auto"/>
            </w:tcBorders>
            <w:shd w:val="clear" w:color="auto" w:fill="auto"/>
          </w:tcPr>
          <w:p w:rsidR="00011C3B" w:rsidRPr="00CD0210" w:rsidRDefault="00011C3B" w:rsidP="00011C3B">
            <w:pPr>
              <w:spacing w:after="0"/>
              <w:ind w:right="70"/>
              <w:jc w:val="right"/>
              <w:rPr>
                <w:sz w:val="20"/>
                <w:szCs w:val="20"/>
                <w:lang w:val="en-GB"/>
              </w:rPr>
            </w:pPr>
            <w:r>
              <w:rPr>
                <w:sz w:val="20"/>
                <w:szCs w:val="20"/>
                <w:lang w:val="en-GB"/>
              </w:rPr>
              <w:t>584</w:t>
            </w:r>
          </w:p>
        </w:tc>
      </w:tr>
      <w:tr w:rsidR="00011C3B" w:rsidRPr="00CD0210" w:rsidTr="00ED13EB">
        <w:trPr>
          <w:jc w:val="center"/>
        </w:trPr>
        <w:tc>
          <w:tcPr>
            <w:tcW w:w="308" w:type="pct"/>
            <w:vMerge w:val="restart"/>
            <w:shd w:val="clear" w:color="auto" w:fill="auto"/>
          </w:tcPr>
          <w:p w:rsidR="00011C3B" w:rsidRPr="00CD0210" w:rsidRDefault="00011C3B" w:rsidP="00011C3B">
            <w:pPr>
              <w:spacing w:after="0"/>
              <w:rPr>
                <w:sz w:val="20"/>
                <w:szCs w:val="20"/>
              </w:rPr>
            </w:pPr>
            <w:r w:rsidRPr="00CD0210">
              <w:rPr>
                <w:sz w:val="20"/>
                <w:szCs w:val="20"/>
              </w:rPr>
              <w:t>R</w:t>
            </w:r>
          </w:p>
        </w:tc>
        <w:tc>
          <w:tcPr>
            <w:tcW w:w="3173" w:type="pct"/>
            <w:shd w:val="clear" w:color="auto" w:fill="auto"/>
          </w:tcPr>
          <w:p w:rsidR="00011C3B" w:rsidRPr="00CD0210" w:rsidRDefault="00011C3B" w:rsidP="00011C3B">
            <w:pPr>
              <w:spacing w:after="0"/>
              <w:rPr>
                <w:sz w:val="20"/>
                <w:szCs w:val="20"/>
              </w:rPr>
            </w:pPr>
            <w:r w:rsidRPr="00CD0210">
              <w:rPr>
                <w:sz w:val="20"/>
                <w:szCs w:val="20"/>
              </w:rPr>
              <w:t>A támogatott gazdaságok mezőgazdasági bruttó hozzáadott érték növekedése (euró)</w:t>
            </w:r>
          </w:p>
        </w:tc>
        <w:tc>
          <w:tcPr>
            <w:tcW w:w="753" w:type="pct"/>
            <w:shd w:val="clear" w:color="auto" w:fill="auto"/>
            <w:noWrap/>
            <w:vAlign w:val="bottom"/>
          </w:tcPr>
          <w:p w:rsidR="00011C3B" w:rsidRPr="00CD0210" w:rsidRDefault="00011C3B" w:rsidP="00011C3B">
            <w:pPr>
              <w:spacing w:after="0"/>
              <w:ind w:right="70"/>
              <w:rPr>
                <w:sz w:val="20"/>
                <w:szCs w:val="20"/>
              </w:rPr>
            </w:pPr>
          </w:p>
        </w:tc>
        <w:tc>
          <w:tcPr>
            <w:tcW w:w="766" w:type="pct"/>
            <w:shd w:val="clear" w:color="auto" w:fill="auto"/>
          </w:tcPr>
          <w:p w:rsidR="00011C3B" w:rsidRPr="00CD0210" w:rsidRDefault="00011C3B" w:rsidP="00011C3B">
            <w:pPr>
              <w:spacing w:after="0"/>
              <w:ind w:right="70"/>
              <w:jc w:val="right"/>
              <w:rPr>
                <w:sz w:val="20"/>
                <w:szCs w:val="20"/>
              </w:rPr>
            </w:pPr>
          </w:p>
        </w:tc>
      </w:tr>
      <w:tr w:rsidR="00011C3B" w:rsidRPr="00CD0210" w:rsidTr="00ED13EB">
        <w:trPr>
          <w:jc w:val="center"/>
        </w:trPr>
        <w:tc>
          <w:tcPr>
            <w:tcW w:w="308" w:type="pct"/>
            <w:vMerge/>
            <w:shd w:val="clear" w:color="auto" w:fill="auto"/>
          </w:tcPr>
          <w:p w:rsidR="00011C3B" w:rsidRPr="00CD0210" w:rsidRDefault="00011C3B" w:rsidP="00011C3B">
            <w:pPr>
              <w:spacing w:after="0"/>
              <w:rPr>
                <w:sz w:val="20"/>
                <w:szCs w:val="20"/>
              </w:rPr>
            </w:pPr>
          </w:p>
        </w:tc>
        <w:tc>
          <w:tcPr>
            <w:tcW w:w="3173" w:type="pct"/>
            <w:shd w:val="clear" w:color="auto" w:fill="auto"/>
          </w:tcPr>
          <w:p w:rsidR="00011C3B" w:rsidRPr="00CD0210" w:rsidRDefault="00011C3B" w:rsidP="00011C3B">
            <w:pPr>
              <w:spacing w:after="0"/>
              <w:rPr>
                <w:sz w:val="20"/>
                <w:szCs w:val="20"/>
              </w:rPr>
            </w:pPr>
            <w:r w:rsidRPr="00CD0210">
              <w:rPr>
                <w:sz w:val="20"/>
                <w:szCs w:val="20"/>
              </w:rPr>
              <w:t>Intézkedés</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 xml:space="preserve">9 millió </w:t>
            </w:r>
          </w:p>
        </w:tc>
        <w:tc>
          <w:tcPr>
            <w:tcW w:w="766" w:type="pct"/>
            <w:shd w:val="clear" w:color="auto" w:fill="auto"/>
          </w:tcPr>
          <w:p w:rsidR="00011C3B" w:rsidRPr="00CD0210" w:rsidRDefault="00011C3B" w:rsidP="00011C3B">
            <w:pPr>
              <w:spacing w:after="0"/>
              <w:ind w:right="70"/>
              <w:jc w:val="right"/>
              <w:rPr>
                <w:sz w:val="20"/>
                <w:szCs w:val="20"/>
              </w:rPr>
            </w:pPr>
            <w:r>
              <w:rPr>
                <w:sz w:val="20"/>
                <w:szCs w:val="20"/>
                <w:lang w:val="en-GB"/>
              </w:rPr>
              <w:t>94,01</w:t>
            </w:r>
            <w:r w:rsidRPr="00017030">
              <w:rPr>
                <w:sz w:val="20"/>
                <w:szCs w:val="20"/>
                <w:lang w:val="en-GB"/>
              </w:rPr>
              <w:t xml:space="preserve"> millió</w:t>
            </w:r>
          </w:p>
        </w:tc>
      </w:tr>
      <w:tr w:rsidR="00011C3B" w:rsidRPr="00CD0210" w:rsidTr="00ED13EB">
        <w:trPr>
          <w:jc w:val="center"/>
        </w:trPr>
        <w:tc>
          <w:tcPr>
            <w:tcW w:w="308" w:type="pct"/>
            <w:vMerge/>
            <w:shd w:val="clear" w:color="auto" w:fill="auto"/>
          </w:tcPr>
          <w:p w:rsidR="00011C3B" w:rsidRPr="00CD0210" w:rsidRDefault="00011C3B" w:rsidP="00011C3B">
            <w:pPr>
              <w:spacing w:after="0"/>
              <w:rPr>
                <w:sz w:val="20"/>
                <w:szCs w:val="20"/>
              </w:rPr>
            </w:pPr>
          </w:p>
        </w:tc>
        <w:tc>
          <w:tcPr>
            <w:tcW w:w="3173" w:type="pct"/>
            <w:shd w:val="clear" w:color="auto" w:fill="auto"/>
          </w:tcPr>
          <w:p w:rsidR="00011C3B" w:rsidRPr="00CD0210" w:rsidRDefault="00011C3B" w:rsidP="00011C3B">
            <w:pPr>
              <w:spacing w:after="0"/>
              <w:rPr>
                <w:sz w:val="20"/>
                <w:szCs w:val="20"/>
              </w:rPr>
            </w:pPr>
            <w:r w:rsidRPr="00CD0210">
              <w:rPr>
                <w:sz w:val="20"/>
                <w:szCs w:val="20"/>
              </w:rPr>
              <w:t>ágazat:</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 </w:t>
            </w:r>
          </w:p>
        </w:tc>
        <w:tc>
          <w:tcPr>
            <w:tcW w:w="766" w:type="pct"/>
            <w:shd w:val="clear" w:color="auto" w:fill="auto"/>
          </w:tcPr>
          <w:p w:rsidR="00011C3B" w:rsidRPr="00CD0210" w:rsidRDefault="00011C3B" w:rsidP="00011C3B">
            <w:pPr>
              <w:spacing w:after="0"/>
              <w:ind w:right="70"/>
              <w:jc w:val="right"/>
              <w:rPr>
                <w:sz w:val="20"/>
                <w:szCs w:val="20"/>
                <w:lang w:val="en-GB"/>
              </w:rPr>
            </w:pPr>
          </w:p>
        </w:tc>
      </w:tr>
      <w:tr w:rsidR="00011C3B" w:rsidRPr="00CD0210" w:rsidTr="00ED13EB">
        <w:trPr>
          <w:jc w:val="center"/>
        </w:trPr>
        <w:tc>
          <w:tcPr>
            <w:tcW w:w="308" w:type="pct"/>
            <w:vMerge/>
            <w:shd w:val="clear" w:color="auto" w:fill="auto"/>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46"/>
              </w:numPr>
              <w:spacing w:after="0"/>
              <w:rPr>
                <w:sz w:val="20"/>
                <w:szCs w:val="20"/>
              </w:rPr>
            </w:pPr>
            <w:r w:rsidRPr="00CD0210">
              <w:rPr>
                <w:sz w:val="20"/>
                <w:szCs w:val="20"/>
              </w:rPr>
              <w:t>mezőgazdaság</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8</w:t>
            </w:r>
          </w:p>
        </w:tc>
        <w:tc>
          <w:tcPr>
            <w:tcW w:w="766" w:type="pct"/>
            <w:shd w:val="clear" w:color="auto" w:fill="auto"/>
          </w:tcPr>
          <w:p w:rsidR="00011C3B" w:rsidRPr="00430C03" w:rsidRDefault="00011C3B" w:rsidP="00E442DA">
            <w:pPr>
              <w:spacing w:after="0"/>
              <w:ind w:right="70" w:firstLine="0"/>
              <w:jc w:val="right"/>
              <w:rPr>
                <w:sz w:val="20"/>
                <w:szCs w:val="20"/>
                <w:lang w:val="en-GB"/>
              </w:rPr>
            </w:pPr>
            <w:r w:rsidRPr="00430C03">
              <w:rPr>
                <w:sz w:val="20"/>
                <w:szCs w:val="20"/>
                <w:lang w:val="en-GB"/>
              </w:rPr>
              <w:t>82,737 millió</w:t>
            </w:r>
          </w:p>
        </w:tc>
      </w:tr>
      <w:tr w:rsidR="00011C3B" w:rsidRPr="00CD0210" w:rsidTr="00ED13EB">
        <w:trPr>
          <w:jc w:val="center"/>
        </w:trPr>
        <w:tc>
          <w:tcPr>
            <w:tcW w:w="308" w:type="pct"/>
            <w:vMerge/>
            <w:shd w:val="clear" w:color="auto" w:fill="auto"/>
          </w:tcPr>
          <w:p w:rsidR="00011C3B" w:rsidRPr="00CD0210" w:rsidRDefault="00011C3B" w:rsidP="00011C3B">
            <w:pPr>
              <w:spacing w:after="0"/>
              <w:ind w:left="570"/>
              <w:rPr>
                <w:sz w:val="20"/>
                <w:szCs w:val="20"/>
              </w:rPr>
            </w:pPr>
          </w:p>
        </w:tc>
        <w:tc>
          <w:tcPr>
            <w:tcW w:w="3173"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élelmiszeripar</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0</w:t>
            </w:r>
          </w:p>
        </w:tc>
        <w:tc>
          <w:tcPr>
            <w:tcW w:w="766" w:type="pct"/>
            <w:shd w:val="clear" w:color="auto" w:fill="auto"/>
          </w:tcPr>
          <w:p w:rsidR="00011C3B" w:rsidRPr="00430C03" w:rsidRDefault="00011C3B" w:rsidP="00011C3B">
            <w:pPr>
              <w:spacing w:after="0"/>
              <w:ind w:right="70"/>
              <w:jc w:val="right"/>
              <w:rPr>
                <w:sz w:val="20"/>
                <w:szCs w:val="20"/>
                <w:lang w:val="en-GB"/>
              </w:rPr>
            </w:pPr>
            <w:r w:rsidRPr="00430C03">
              <w:rPr>
                <w:sz w:val="20"/>
                <w:szCs w:val="20"/>
                <w:lang w:val="en-GB"/>
              </w:rPr>
              <w:t>6,036 millió</w:t>
            </w:r>
          </w:p>
        </w:tc>
      </w:tr>
      <w:tr w:rsidR="00011C3B" w:rsidRPr="00CD0210" w:rsidTr="00ED13EB">
        <w:trPr>
          <w:jc w:val="center"/>
        </w:trPr>
        <w:tc>
          <w:tcPr>
            <w:tcW w:w="308" w:type="pct"/>
            <w:vMerge/>
            <w:shd w:val="clear" w:color="auto" w:fill="auto"/>
          </w:tcPr>
          <w:p w:rsidR="00011C3B" w:rsidRPr="00CD0210" w:rsidRDefault="00011C3B" w:rsidP="00011C3B">
            <w:pPr>
              <w:spacing w:after="0"/>
              <w:ind w:left="570"/>
              <w:rPr>
                <w:sz w:val="20"/>
                <w:szCs w:val="20"/>
              </w:rPr>
            </w:pPr>
          </w:p>
        </w:tc>
        <w:tc>
          <w:tcPr>
            <w:tcW w:w="3173" w:type="pct"/>
            <w:shd w:val="clear" w:color="auto" w:fill="auto"/>
          </w:tcPr>
          <w:p w:rsidR="00011C3B" w:rsidRPr="00ED13EB" w:rsidRDefault="00011C3B" w:rsidP="00495C8B">
            <w:pPr>
              <w:numPr>
                <w:ilvl w:val="0"/>
                <w:numId w:val="36"/>
              </w:numPr>
              <w:spacing w:after="0"/>
              <w:rPr>
                <w:sz w:val="20"/>
                <w:szCs w:val="20"/>
              </w:rPr>
            </w:pPr>
            <w:r w:rsidRPr="00ED13EB">
              <w:rPr>
                <w:sz w:val="20"/>
                <w:szCs w:val="20"/>
              </w:rPr>
              <w:t>erdőgazdálkodás</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1</w:t>
            </w:r>
          </w:p>
        </w:tc>
        <w:tc>
          <w:tcPr>
            <w:tcW w:w="766" w:type="pct"/>
            <w:tcBorders>
              <w:bottom w:val="single" w:sz="4" w:space="0" w:color="auto"/>
            </w:tcBorders>
            <w:shd w:val="clear" w:color="auto" w:fill="auto"/>
          </w:tcPr>
          <w:p w:rsidR="00011C3B" w:rsidRPr="00430C03" w:rsidRDefault="00011C3B" w:rsidP="00011C3B">
            <w:pPr>
              <w:spacing w:after="0"/>
              <w:ind w:right="70"/>
              <w:jc w:val="right"/>
              <w:rPr>
                <w:sz w:val="20"/>
                <w:szCs w:val="20"/>
                <w:lang w:val="en-GB"/>
              </w:rPr>
            </w:pPr>
            <w:r w:rsidRPr="00430C03">
              <w:rPr>
                <w:sz w:val="20"/>
                <w:szCs w:val="20"/>
                <w:lang w:val="en-GB"/>
              </w:rPr>
              <w:t>5,237 millió</w:t>
            </w:r>
          </w:p>
        </w:tc>
      </w:tr>
      <w:tr w:rsidR="00011C3B" w:rsidRPr="00ED13EB" w:rsidTr="00ED13EB">
        <w:trPr>
          <w:jc w:val="center"/>
        </w:trPr>
        <w:tc>
          <w:tcPr>
            <w:tcW w:w="308" w:type="pct"/>
            <w:shd w:val="clear" w:color="auto" w:fill="auto"/>
          </w:tcPr>
          <w:p w:rsidR="00011C3B" w:rsidRPr="00CD0210" w:rsidRDefault="00011C3B" w:rsidP="00011C3B">
            <w:pPr>
              <w:spacing w:after="0"/>
              <w:rPr>
                <w:sz w:val="20"/>
                <w:szCs w:val="20"/>
              </w:rPr>
            </w:pPr>
            <w:r w:rsidRPr="00CD0210">
              <w:rPr>
                <w:sz w:val="20"/>
                <w:szCs w:val="20"/>
              </w:rPr>
              <w:t>I</w:t>
            </w:r>
          </w:p>
        </w:tc>
        <w:tc>
          <w:tcPr>
            <w:tcW w:w="3173" w:type="pct"/>
            <w:shd w:val="clear" w:color="auto" w:fill="auto"/>
          </w:tcPr>
          <w:p w:rsidR="00011C3B" w:rsidRPr="00ED13EB" w:rsidRDefault="00011C3B" w:rsidP="00011C3B">
            <w:pPr>
              <w:spacing w:after="0"/>
              <w:rPr>
                <w:sz w:val="20"/>
                <w:szCs w:val="20"/>
              </w:rPr>
            </w:pPr>
            <w:r w:rsidRPr="00ED13EB">
              <w:rPr>
                <w:sz w:val="20"/>
                <w:szCs w:val="20"/>
              </w:rPr>
              <w:t>A bruttó hozzáadott érték változása teljes munkaidő egyenértékhez viszonyítva (euró)</w:t>
            </w:r>
          </w:p>
        </w:tc>
        <w:tc>
          <w:tcPr>
            <w:tcW w:w="753" w:type="pct"/>
            <w:shd w:val="clear" w:color="auto" w:fill="auto"/>
          </w:tcPr>
          <w:p w:rsidR="00011C3B" w:rsidRPr="00CD0210" w:rsidRDefault="00011C3B" w:rsidP="00011C3B">
            <w:pPr>
              <w:spacing w:after="0"/>
              <w:ind w:right="70"/>
              <w:jc w:val="right"/>
              <w:rPr>
                <w:sz w:val="20"/>
                <w:szCs w:val="20"/>
                <w:lang w:val="en-GB"/>
              </w:rPr>
            </w:pPr>
            <w:r w:rsidRPr="00CD0210">
              <w:rPr>
                <w:sz w:val="20"/>
                <w:szCs w:val="20"/>
                <w:lang w:val="en-GB"/>
              </w:rPr>
              <w:t>308</w:t>
            </w:r>
          </w:p>
        </w:tc>
        <w:tc>
          <w:tcPr>
            <w:tcW w:w="766" w:type="pct"/>
            <w:shd w:val="clear" w:color="auto" w:fill="auto"/>
          </w:tcPr>
          <w:p w:rsidR="00011C3B" w:rsidRPr="00ED13EB" w:rsidRDefault="00011C3B" w:rsidP="00011C3B">
            <w:pPr>
              <w:spacing w:after="0"/>
              <w:ind w:right="70"/>
              <w:jc w:val="right"/>
              <w:rPr>
                <w:sz w:val="20"/>
                <w:szCs w:val="20"/>
                <w:lang w:val="en-GB"/>
              </w:rPr>
            </w:pPr>
            <w:r w:rsidRPr="00ED13EB">
              <w:rPr>
                <w:sz w:val="20"/>
                <w:szCs w:val="20"/>
                <w:lang w:val="en-GB"/>
              </w:rPr>
              <w:t>NA</w:t>
            </w:r>
          </w:p>
        </w:tc>
      </w:tr>
    </w:tbl>
    <w:p w:rsidR="00011C3B" w:rsidRPr="00EA6C22" w:rsidRDefault="00011C3B" w:rsidP="00E71166">
      <w:pPr>
        <w:pStyle w:val="bra-cmetbla"/>
      </w:pPr>
      <w:r w:rsidRPr="00EA6C22">
        <w:t>Kiegészítő program</w:t>
      </w:r>
      <w:r w:rsidR="002B6866" w:rsidRPr="00EA6C22">
        <w:t xml:space="preserve"> </w:t>
      </w:r>
      <w:r w:rsidRPr="00EA6C22">
        <w:t>specifikus indikátorok:</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610"/>
        <w:gridCol w:w="6218"/>
        <w:gridCol w:w="1404"/>
        <w:gridCol w:w="1430"/>
      </w:tblGrid>
      <w:tr w:rsidR="00011C3B" w:rsidRPr="00CD0210" w:rsidTr="00011C3B">
        <w:trPr>
          <w:cantSplit/>
          <w:tblHeader/>
          <w:jc w:val="center"/>
        </w:trPr>
        <w:tc>
          <w:tcPr>
            <w:tcW w:w="610" w:type="dxa"/>
            <w:tcBorders>
              <w:bottom w:val="single" w:sz="4" w:space="0" w:color="auto"/>
            </w:tcBorders>
            <w:shd w:val="clear" w:color="auto" w:fill="B3B3B3"/>
          </w:tcPr>
          <w:p w:rsidR="00011C3B" w:rsidRPr="00CD0210" w:rsidRDefault="00011C3B" w:rsidP="00E71166">
            <w:pPr>
              <w:pStyle w:val="Tbla-cm"/>
            </w:pPr>
          </w:p>
        </w:tc>
        <w:tc>
          <w:tcPr>
            <w:tcW w:w="6218" w:type="dxa"/>
            <w:tcBorders>
              <w:bottom w:val="single" w:sz="4" w:space="0" w:color="auto"/>
            </w:tcBorders>
            <w:shd w:val="clear" w:color="auto" w:fill="B3B3B3"/>
          </w:tcPr>
          <w:p w:rsidR="00011C3B" w:rsidRPr="00CD0210" w:rsidRDefault="00011C3B" w:rsidP="00E71166">
            <w:pPr>
              <w:pStyle w:val="Tbla-cm"/>
              <w:rPr>
                <w:rFonts w:eastAsia="Times New Roman"/>
                <w:bCs/>
              </w:rPr>
            </w:pPr>
            <w:r w:rsidRPr="00CD0210">
              <w:t>Indikátor leírása</w:t>
            </w:r>
          </w:p>
        </w:tc>
        <w:tc>
          <w:tcPr>
            <w:tcW w:w="1404" w:type="dxa"/>
            <w:tcBorders>
              <w:bottom w:val="single" w:sz="4" w:space="0" w:color="auto"/>
            </w:tcBorders>
            <w:shd w:val="clear" w:color="auto" w:fill="B3B3B3"/>
            <w:vAlign w:val="center"/>
          </w:tcPr>
          <w:p w:rsidR="00011C3B" w:rsidRPr="00BD037E" w:rsidRDefault="00011C3B" w:rsidP="00E71166">
            <w:pPr>
              <w:pStyle w:val="Tbla-cm"/>
            </w:pPr>
            <w:r w:rsidRPr="00BD037E">
              <w:t>Program szerinti tervadat</w:t>
            </w:r>
          </w:p>
        </w:tc>
        <w:tc>
          <w:tcPr>
            <w:tcW w:w="1430" w:type="dxa"/>
            <w:tcBorders>
              <w:bottom w:val="single" w:sz="4" w:space="0" w:color="auto"/>
            </w:tcBorders>
            <w:shd w:val="clear" w:color="auto" w:fill="B3B3B3"/>
          </w:tcPr>
          <w:p w:rsidR="00011C3B" w:rsidRPr="00CD0210" w:rsidRDefault="00011C3B" w:rsidP="00E71166">
            <w:pPr>
              <w:pStyle w:val="Tbla-cm"/>
            </w:pPr>
            <w:r w:rsidRPr="00CD0210">
              <w:t>Indikátorok kumulált értéke</w:t>
            </w:r>
          </w:p>
        </w:tc>
      </w:tr>
      <w:tr w:rsidR="00011C3B" w:rsidRPr="00CD0210" w:rsidTr="00011C3B">
        <w:trPr>
          <w:cantSplit/>
          <w:jc w:val="center"/>
        </w:trPr>
        <w:tc>
          <w:tcPr>
            <w:tcW w:w="610" w:type="dxa"/>
          </w:tcPr>
          <w:p w:rsidR="00011C3B" w:rsidRPr="00CD0210" w:rsidRDefault="00011C3B" w:rsidP="00011C3B">
            <w:pPr>
              <w:pStyle w:val="TableText"/>
              <w:keepNext/>
              <w:spacing w:before="0" w:after="0"/>
              <w:rPr>
                <w:rFonts w:eastAsia="Times New Roman"/>
                <w:sz w:val="20"/>
                <w:szCs w:val="20"/>
              </w:rPr>
            </w:pPr>
            <w:r w:rsidRPr="00CD0210">
              <w:rPr>
                <w:rFonts w:eastAsia="Times New Roman"/>
                <w:sz w:val="20"/>
                <w:szCs w:val="20"/>
              </w:rPr>
              <w:t>O</w:t>
            </w:r>
          </w:p>
        </w:tc>
        <w:tc>
          <w:tcPr>
            <w:tcW w:w="6218" w:type="dxa"/>
            <w:shd w:val="clear" w:color="auto" w:fill="auto"/>
          </w:tcPr>
          <w:p w:rsidR="00011C3B" w:rsidRPr="00CD0210" w:rsidRDefault="00011C3B" w:rsidP="00011C3B">
            <w:pPr>
              <w:pStyle w:val="TableText"/>
              <w:keepNext/>
              <w:spacing w:before="0" w:after="0"/>
              <w:rPr>
                <w:rFonts w:eastAsia="Times New Roman"/>
                <w:sz w:val="20"/>
                <w:szCs w:val="20"/>
              </w:rPr>
            </w:pPr>
            <w:r w:rsidRPr="00CD0210">
              <w:rPr>
                <w:rFonts w:eastAsia="Times New Roman"/>
                <w:sz w:val="20"/>
                <w:szCs w:val="20"/>
              </w:rPr>
              <w:t>A következők számára nyújtott szaktanácsadási szolgáltatás</w:t>
            </w:r>
          </w:p>
          <w:p w:rsidR="00011C3B" w:rsidRPr="00CD0210" w:rsidRDefault="00011C3B" w:rsidP="00495C8B">
            <w:pPr>
              <w:keepNext/>
              <w:numPr>
                <w:ilvl w:val="0"/>
                <w:numId w:val="36"/>
              </w:numPr>
              <w:spacing w:after="0"/>
              <w:rPr>
                <w:sz w:val="20"/>
                <w:szCs w:val="20"/>
              </w:rPr>
            </w:pPr>
            <w:r w:rsidRPr="00CD0210">
              <w:rPr>
                <w:sz w:val="20"/>
                <w:szCs w:val="20"/>
              </w:rPr>
              <w:t>mezőgazdasági termelők,</w:t>
            </w:r>
          </w:p>
          <w:p w:rsidR="00011C3B" w:rsidRPr="00CD0210" w:rsidRDefault="00011C3B" w:rsidP="00495C8B">
            <w:pPr>
              <w:keepNext/>
              <w:numPr>
                <w:ilvl w:val="0"/>
                <w:numId w:val="36"/>
              </w:numPr>
              <w:spacing w:after="0"/>
              <w:rPr>
                <w:sz w:val="20"/>
                <w:szCs w:val="20"/>
              </w:rPr>
            </w:pPr>
            <w:r w:rsidRPr="00CD0210">
              <w:rPr>
                <w:sz w:val="20"/>
                <w:szCs w:val="20"/>
              </w:rPr>
              <w:t>erdőtulajdonosok,</w:t>
            </w:r>
          </w:p>
        </w:tc>
        <w:tc>
          <w:tcPr>
            <w:tcW w:w="1404" w:type="dxa"/>
            <w:shd w:val="clear" w:color="auto" w:fill="auto"/>
          </w:tcPr>
          <w:p w:rsidR="00011C3B" w:rsidRPr="00CD0210" w:rsidRDefault="00011C3B" w:rsidP="00011C3B">
            <w:pPr>
              <w:pStyle w:val="TableText"/>
              <w:keepNext/>
              <w:spacing w:before="0" w:after="0"/>
              <w:jc w:val="right"/>
              <w:rPr>
                <w:sz w:val="20"/>
                <w:szCs w:val="20"/>
                <w:lang w:val="en-GB"/>
              </w:rPr>
            </w:pPr>
          </w:p>
          <w:p w:rsidR="00011C3B" w:rsidRPr="00CD0210" w:rsidRDefault="00011C3B" w:rsidP="00011C3B">
            <w:pPr>
              <w:pStyle w:val="TableText"/>
              <w:keepNext/>
              <w:spacing w:before="0" w:after="0"/>
              <w:jc w:val="right"/>
              <w:rPr>
                <w:sz w:val="20"/>
                <w:szCs w:val="20"/>
                <w:lang w:val="en-GB"/>
              </w:rPr>
            </w:pPr>
            <w:r w:rsidRPr="00CD0210">
              <w:rPr>
                <w:sz w:val="20"/>
                <w:szCs w:val="20"/>
                <w:lang w:val="en-GB"/>
              </w:rPr>
              <w:t>40</w:t>
            </w:r>
            <w:r w:rsidR="002B6866">
              <w:rPr>
                <w:sz w:val="20"/>
                <w:szCs w:val="20"/>
                <w:lang w:val="en-GB"/>
              </w:rPr>
              <w:t xml:space="preserve"> </w:t>
            </w:r>
            <w:r w:rsidRPr="00CD0210">
              <w:rPr>
                <w:sz w:val="20"/>
                <w:szCs w:val="20"/>
                <w:lang w:val="en-GB"/>
              </w:rPr>
              <w:t xml:space="preserve">000 </w:t>
            </w:r>
          </w:p>
          <w:p w:rsidR="00011C3B" w:rsidRPr="00CD0210" w:rsidRDefault="00011C3B" w:rsidP="00011C3B">
            <w:pPr>
              <w:pStyle w:val="TableText"/>
              <w:keepNext/>
              <w:spacing w:before="0" w:after="0"/>
              <w:jc w:val="right"/>
              <w:rPr>
                <w:sz w:val="20"/>
                <w:szCs w:val="20"/>
                <w:lang w:val="en-GB"/>
              </w:rPr>
            </w:pPr>
            <w:r w:rsidRPr="00CD0210">
              <w:rPr>
                <w:sz w:val="20"/>
                <w:szCs w:val="20"/>
                <w:lang w:val="en-GB"/>
              </w:rPr>
              <w:t>5</w:t>
            </w:r>
            <w:r w:rsidR="002B6866">
              <w:rPr>
                <w:sz w:val="20"/>
                <w:szCs w:val="20"/>
                <w:lang w:val="en-GB"/>
              </w:rPr>
              <w:t xml:space="preserve"> </w:t>
            </w:r>
            <w:r w:rsidRPr="00CD0210">
              <w:rPr>
                <w:sz w:val="20"/>
                <w:szCs w:val="20"/>
                <w:lang w:val="en-GB"/>
              </w:rPr>
              <w:t>000</w:t>
            </w:r>
          </w:p>
        </w:tc>
        <w:tc>
          <w:tcPr>
            <w:tcW w:w="1430" w:type="dxa"/>
            <w:tcBorders>
              <w:bottom w:val="single" w:sz="4" w:space="0" w:color="auto"/>
            </w:tcBorders>
            <w:shd w:val="clear" w:color="auto" w:fill="auto"/>
          </w:tcPr>
          <w:p w:rsidR="00011C3B" w:rsidRPr="004A2CBA" w:rsidRDefault="00011C3B" w:rsidP="00011C3B">
            <w:pPr>
              <w:pStyle w:val="TableText"/>
              <w:keepNext/>
              <w:spacing w:before="0" w:after="0"/>
              <w:jc w:val="right"/>
              <w:rPr>
                <w:sz w:val="20"/>
                <w:szCs w:val="20"/>
                <w:highlight w:val="yellow"/>
                <w:lang w:val="en-GB"/>
              </w:rPr>
            </w:pPr>
          </w:p>
          <w:p w:rsidR="00011C3B" w:rsidRPr="00084059" w:rsidRDefault="00011C3B" w:rsidP="00011C3B">
            <w:pPr>
              <w:pStyle w:val="TableText"/>
              <w:keepNext/>
              <w:spacing w:before="0" w:after="0"/>
              <w:jc w:val="right"/>
              <w:rPr>
                <w:sz w:val="20"/>
                <w:szCs w:val="20"/>
                <w:lang w:val="en-GB"/>
              </w:rPr>
            </w:pPr>
            <w:r w:rsidRPr="00084059">
              <w:rPr>
                <w:sz w:val="20"/>
                <w:szCs w:val="20"/>
                <w:lang w:val="en-GB"/>
              </w:rPr>
              <w:t>13 960</w:t>
            </w:r>
          </w:p>
          <w:p w:rsidR="00011C3B" w:rsidRPr="004A2CBA" w:rsidRDefault="00011C3B" w:rsidP="00011C3B">
            <w:pPr>
              <w:pStyle w:val="TableText"/>
              <w:keepNext/>
              <w:spacing w:before="0" w:after="0"/>
              <w:jc w:val="right"/>
              <w:rPr>
                <w:sz w:val="20"/>
                <w:szCs w:val="20"/>
                <w:highlight w:val="yellow"/>
                <w:lang w:val="en-GB"/>
              </w:rPr>
            </w:pPr>
            <w:r w:rsidRPr="00084059">
              <w:rPr>
                <w:sz w:val="20"/>
                <w:szCs w:val="20"/>
                <w:lang w:val="en-GB"/>
              </w:rPr>
              <w:t>9</w:t>
            </w:r>
            <w:r w:rsidR="005B71E6">
              <w:rPr>
                <w:sz w:val="20"/>
                <w:szCs w:val="20"/>
                <w:lang w:val="en-GB"/>
              </w:rPr>
              <w:t>61</w:t>
            </w:r>
          </w:p>
        </w:tc>
      </w:tr>
      <w:tr w:rsidR="00011C3B" w:rsidRPr="00CD0210" w:rsidTr="00011C3B">
        <w:trPr>
          <w:jc w:val="center"/>
        </w:trPr>
        <w:tc>
          <w:tcPr>
            <w:tcW w:w="610" w:type="dxa"/>
          </w:tcPr>
          <w:p w:rsidR="00011C3B" w:rsidRPr="00ED13EB" w:rsidRDefault="00011C3B" w:rsidP="00011C3B">
            <w:pPr>
              <w:pStyle w:val="TableText"/>
              <w:spacing w:before="0" w:after="0"/>
              <w:rPr>
                <w:rFonts w:eastAsia="Times New Roman"/>
                <w:sz w:val="20"/>
                <w:szCs w:val="20"/>
              </w:rPr>
            </w:pPr>
            <w:r w:rsidRPr="00ED13EB">
              <w:rPr>
                <w:rFonts w:eastAsia="Times New Roman"/>
                <w:sz w:val="20"/>
                <w:szCs w:val="20"/>
              </w:rPr>
              <w:t>R</w:t>
            </w:r>
          </w:p>
        </w:tc>
        <w:tc>
          <w:tcPr>
            <w:tcW w:w="6218" w:type="dxa"/>
            <w:shd w:val="clear" w:color="auto" w:fill="auto"/>
          </w:tcPr>
          <w:p w:rsidR="00011C3B" w:rsidRPr="00ED13EB" w:rsidRDefault="00011C3B" w:rsidP="00011C3B">
            <w:pPr>
              <w:pStyle w:val="TableText"/>
              <w:spacing w:before="0" w:after="0"/>
              <w:rPr>
                <w:rFonts w:eastAsia="Times New Roman"/>
                <w:sz w:val="20"/>
                <w:szCs w:val="20"/>
              </w:rPr>
            </w:pPr>
            <w:r w:rsidRPr="00ED13EB">
              <w:rPr>
                <w:rFonts w:eastAsia="Times New Roman"/>
                <w:sz w:val="20"/>
                <w:szCs w:val="20"/>
              </w:rPr>
              <w:t>A szaktanácsadási szolgáltatást igénybe vevő agrárvállalkozások száma a célcsoportba tartozó vállalkozások össz-számához képest</w:t>
            </w:r>
          </w:p>
        </w:tc>
        <w:tc>
          <w:tcPr>
            <w:tcW w:w="1404" w:type="dxa"/>
            <w:shd w:val="clear" w:color="auto" w:fill="auto"/>
          </w:tcPr>
          <w:p w:rsidR="00011C3B" w:rsidRPr="00ED13EB" w:rsidRDefault="00011C3B" w:rsidP="00011C3B">
            <w:pPr>
              <w:spacing w:after="0"/>
              <w:jc w:val="right"/>
              <w:rPr>
                <w:sz w:val="20"/>
                <w:szCs w:val="20"/>
                <w:lang w:val="en-GB"/>
              </w:rPr>
            </w:pPr>
            <w:r w:rsidRPr="00ED13EB">
              <w:rPr>
                <w:sz w:val="20"/>
                <w:szCs w:val="20"/>
                <w:lang w:val="en-GB"/>
              </w:rPr>
              <w:t>12,5%</w:t>
            </w:r>
          </w:p>
        </w:tc>
        <w:tc>
          <w:tcPr>
            <w:tcW w:w="1430" w:type="dxa"/>
            <w:shd w:val="clear" w:color="auto" w:fill="auto"/>
          </w:tcPr>
          <w:p w:rsidR="00011C3B" w:rsidRPr="00ED13EB" w:rsidRDefault="00011C3B" w:rsidP="00011C3B">
            <w:pPr>
              <w:pStyle w:val="TableText"/>
              <w:spacing w:before="0" w:after="0"/>
              <w:jc w:val="right"/>
              <w:rPr>
                <w:sz w:val="20"/>
                <w:szCs w:val="20"/>
                <w:lang w:val="en-GB"/>
              </w:rPr>
            </w:pPr>
            <w:r w:rsidRPr="00ED13EB">
              <w:rPr>
                <w:sz w:val="20"/>
                <w:szCs w:val="20"/>
                <w:lang w:val="en-GB"/>
              </w:rPr>
              <w:t>NA</w:t>
            </w:r>
          </w:p>
        </w:tc>
      </w:tr>
    </w:tbl>
    <w:p w:rsidR="00011C3B" w:rsidRPr="00313ED5" w:rsidRDefault="00011C3B" w:rsidP="00313ED5">
      <w:r w:rsidRPr="00313ED5">
        <w:t>Forrás: MVH</w:t>
      </w:r>
    </w:p>
    <w:p w:rsidR="00011C3B" w:rsidRDefault="00011C3B" w:rsidP="004869BB">
      <w:r w:rsidRPr="001E73D4">
        <w:lastRenderedPageBreak/>
        <w:t>Az indikátorértékek alapján látható, hogy a foglalkoztatás-biztonsági szabványokra vonatkozó tanácsadás jelentősen elmarad a tervezett értéktől. Ennek oka, hogy a tervadat tartalmazza a minden támogatott szolgáltatásnál kötelezően igénybe veendő munkabiztonsági tanácsadást, a tényadatban viszont csak azoknak a szolgáltatásoknak a száma került feltüntetésre, ahol a gazdálkodó a kötelező tanácsadáson kívül rendelt meg foglalkozás-biztonsági szabványokra vonatkozó tanácsadást.</w:t>
      </w:r>
    </w:p>
    <w:p w:rsidR="00E442DA" w:rsidRDefault="00E442DA" w:rsidP="00E442DA">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442DA"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Pr="00B67120">
        <w:rPr>
          <w:rFonts w:cs="Times New Roman"/>
        </w:rPr>
        <w:t>A BHÉ értékeket a társasági adóbevallással nem rendelkező kedvezményezettek esetén FAD</w:t>
      </w:r>
      <w:r>
        <w:rPr>
          <w:rFonts w:cs="Times New Roman"/>
        </w:rPr>
        <w:t>N mutatóra alapozott becslésre alapozva számolta az AKI, a becslés során figyelembe vette</w:t>
      </w:r>
      <w:r w:rsidRPr="00B67120">
        <w:rPr>
          <w:rFonts w:cs="Times New Roman"/>
        </w:rPr>
        <w:t xml:space="preserve"> azok legjellemzőbb mezőgazdasági ágazatukat valamint méretüket.</w:t>
      </w:r>
    </w:p>
    <w:p w:rsidR="00E442DA" w:rsidRPr="00604B6F" w:rsidRDefault="00E442DA" w:rsidP="00E442DA">
      <w:pPr>
        <w:rPr>
          <w:rFonts w:eastAsia="Times New Roman" w:cs="Times New Roman"/>
          <w:kern w:val="0"/>
          <w:sz w:val="20"/>
        </w:rPr>
      </w:pPr>
      <w:r>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p>
    <w:p w:rsidR="00011C3B" w:rsidRPr="00604B6F" w:rsidRDefault="00011C3B" w:rsidP="00715E86">
      <w:pPr>
        <w:pStyle w:val="Cmsor4"/>
      </w:pPr>
      <w:r w:rsidRPr="00604B6F">
        <w:t>Szaktanácsadói szolgáltatások igénybevételéhez nyújtandó támogatások jogcím megvalósulása</w:t>
      </w:r>
    </w:p>
    <w:p w:rsidR="008B0CF9" w:rsidRPr="00EA609F" w:rsidRDefault="008B0CF9" w:rsidP="00D53DF7">
      <w:pPr>
        <w:rPr>
          <w:szCs w:val="20"/>
        </w:rPr>
      </w:pPr>
      <w:r w:rsidRPr="00EA609F">
        <w:rPr>
          <w:szCs w:val="20"/>
        </w:rPr>
        <w:t xml:space="preserve">A támogatás igénybevételi feltételeiről az 52/2007 (VI.28.) FVM jogcímrendelet rendelkezik. </w:t>
      </w:r>
    </w:p>
    <w:p w:rsidR="008B0CF9" w:rsidRDefault="008B0CF9" w:rsidP="00D53DF7">
      <w:pPr>
        <w:rPr>
          <w:szCs w:val="20"/>
        </w:rPr>
      </w:pPr>
      <w:r>
        <w:rPr>
          <w:szCs w:val="20"/>
        </w:rPr>
        <w:t xml:space="preserve">A </w:t>
      </w:r>
      <w:r w:rsidRPr="00324CB4">
        <w:rPr>
          <w:szCs w:val="20"/>
        </w:rPr>
        <w:t>2011</w:t>
      </w:r>
      <w:r>
        <w:rPr>
          <w:szCs w:val="20"/>
        </w:rPr>
        <w:t>. évi</w:t>
      </w:r>
      <w:r w:rsidRPr="00324CB4">
        <w:rPr>
          <w:szCs w:val="20"/>
        </w:rPr>
        <w:t xml:space="preserve"> programmódosítást követően a gazdálkodók minden évben igénybe vehetik a támogatott szaktanácsadási szolgáltatást, </w:t>
      </w:r>
      <w:r>
        <w:rPr>
          <w:szCs w:val="20"/>
        </w:rPr>
        <w:t>így</w:t>
      </w:r>
      <w:r w:rsidRPr="00324CB4">
        <w:rPr>
          <w:szCs w:val="20"/>
        </w:rPr>
        <w:t xml:space="preserve"> az intézkedés 2012-ben is folyamatosan </w:t>
      </w:r>
      <w:r w:rsidR="002B6866" w:rsidRPr="00324CB4">
        <w:rPr>
          <w:szCs w:val="20"/>
        </w:rPr>
        <w:t>működ</w:t>
      </w:r>
      <w:r w:rsidR="002B6866">
        <w:rPr>
          <w:szCs w:val="20"/>
        </w:rPr>
        <w:t>ött</w:t>
      </w:r>
      <w:r w:rsidRPr="00324CB4">
        <w:rPr>
          <w:szCs w:val="20"/>
        </w:rPr>
        <w:t>.</w:t>
      </w:r>
    </w:p>
    <w:p w:rsidR="008B0CF9" w:rsidRPr="00324CB4" w:rsidRDefault="008B0CF9" w:rsidP="00D53DF7">
      <w:pPr>
        <w:rPr>
          <w:szCs w:val="20"/>
        </w:rPr>
      </w:pPr>
      <w:r>
        <w:rPr>
          <w:szCs w:val="20"/>
        </w:rPr>
        <w:t>Kedvezményezettek:</w:t>
      </w:r>
      <w:r w:rsidRPr="00324CB4">
        <w:rPr>
          <w:szCs w:val="20"/>
        </w:rPr>
        <w:t xml:space="preserve"> mezőgazdasági termelők, az erdőgazdálkodók, a kertészeti termelők, ha a területi szaktanácsadási központtal a kölcsönös megfeleltetés előírásainak való megfelelés</w:t>
      </w:r>
      <w:r>
        <w:rPr>
          <w:szCs w:val="20"/>
        </w:rPr>
        <w:t>,</w:t>
      </w:r>
      <w:r w:rsidRPr="00324CB4">
        <w:rPr>
          <w:szCs w:val="20"/>
        </w:rPr>
        <w:t xml:space="preserve"> a közösségi jogszabályokon alapuló munkahelyi biztonsági előírások betartása</w:t>
      </w:r>
      <w:r>
        <w:rPr>
          <w:szCs w:val="20"/>
        </w:rPr>
        <w:t>,</w:t>
      </w:r>
      <w:r w:rsidRPr="00324CB4">
        <w:rPr>
          <w:szCs w:val="20"/>
        </w:rPr>
        <w:t xml:space="preserve"> </w:t>
      </w:r>
      <w:r>
        <w:rPr>
          <w:szCs w:val="20"/>
        </w:rPr>
        <w:t>valamint – igényei szerint -</w:t>
      </w:r>
      <w:r w:rsidRPr="00324CB4">
        <w:rPr>
          <w:szCs w:val="20"/>
        </w:rPr>
        <w:t xml:space="preserve"> a gazdálkodás összteljesítményének javítására irányuló szaktanácsadói szerződést köt</w:t>
      </w:r>
      <w:r w:rsidR="002B6866">
        <w:rPr>
          <w:szCs w:val="20"/>
        </w:rPr>
        <w:t>nek</w:t>
      </w:r>
      <w:r w:rsidRPr="00324CB4">
        <w:rPr>
          <w:szCs w:val="20"/>
        </w:rPr>
        <w:t>.</w:t>
      </w:r>
    </w:p>
    <w:p w:rsidR="008B0CF9" w:rsidRPr="00324CB4" w:rsidRDefault="008B0CF9" w:rsidP="00D53DF7">
      <w:pPr>
        <w:rPr>
          <w:szCs w:val="20"/>
        </w:rPr>
      </w:pPr>
      <w:r w:rsidRPr="00324CB4">
        <w:rPr>
          <w:szCs w:val="20"/>
        </w:rPr>
        <w:t>Támogatási kérelem benyújtási időszakok</w:t>
      </w:r>
      <w:r w:rsidR="006B5015">
        <w:rPr>
          <w:szCs w:val="20"/>
        </w:rPr>
        <w:t xml:space="preserve"> a jelentéstétel évében</w:t>
      </w:r>
      <w:r w:rsidRPr="00324CB4">
        <w:rPr>
          <w:szCs w:val="20"/>
        </w:rPr>
        <w:t xml:space="preserve">: </w:t>
      </w:r>
      <w:r w:rsidR="006B5015">
        <w:rPr>
          <w:szCs w:val="20"/>
        </w:rPr>
        <w:t xml:space="preserve">2012. </w:t>
      </w:r>
      <w:r w:rsidRPr="00324CB4">
        <w:rPr>
          <w:szCs w:val="20"/>
        </w:rPr>
        <w:t>február 1-15., június 1-15. és</w:t>
      </w:r>
      <w:r w:rsidR="006B5015">
        <w:rPr>
          <w:szCs w:val="20"/>
        </w:rPr>
        <w:t xml:space="preserve">. </w:t>
      </w:r>
      <w:r w:rsidRPr="00324CB4">
        <w:rPr>
          <w:szCs w:val="20"/>
        </w:rPr>
        <w:t>október 8-23.</w:t>
      </w:r>
    </w:p>
    <w:p w:rsidR="008B0CF9" w:rsidRPr="00324CB4" w:rsidRDefault="008B0CF9" w:rsidP="00D53DF7">
      <w:pPr>
        <w:rPr>
          <w:szCs w:val="20"/>
        </w:rPr>
      </w:pPr>
      <w:r w:rsidRPr="00324CB4">
        <w:rPr>
          <w:szCs w:val="20"/>
        </w:rPr>
        <w:t>Kifizetési kérelem benyújtási időszakok</w:t>
      </w:r>
      <w:r w:rsidR="006B5015">
        <w:rPr>
          <w:szCs w:val="20"/>
        </w:rPr>
        <w:t xml:space="preserve"> a jelentéstétel évében</w:t>
      </w:r>
      <w:r w:rsidRPr="00324CB4">
        <w:rPr>
          <w:szCs w:val="20"/>
        </w:rPr>
        <w:t xml:space="preserve">: </w:t>
      </w:r>
      <w:r w:rsidR="006B5015">
        <w:rPr>
          <w:szCs w:val="20"/>
        </w:rPr>
        <w:t xml:space="preserve">2012. </w:t>
      </w:r>
      <w:r w:rsidRPr="00324CB4">
        <w:rPr>
          <w:szCs w:val="20"/>
        </w:rPr>
        <w:t>március 3-18., május 1-15. és november 1-15.</w:t>
      </w:r>
    </w:p>
    <w:p w:rsidR="00D3437A" w:rsidRDefault="00D3437A" w:rsidP="006B5015">
      <w:pPr>
        <w:pStyle w:val="Szvegtrzs"/>
        <w:spacing w:after="0"/>
        <w:rPr>
          <w:rFonts w:eastAsia="Times New Roman" w:cs="Times New Roman"/>
          <w:color w:val="000000"/>
          <w:kern w:val="0"/>
          <w:szCs w:val="22"/>
        </w:rPr>
      </w:pPr>
      <w:r>
        <w:rPr>
          <w:rFonts w:eastAsia="Times New Roman" w:cs="Times New Roman"/>
          <w:color w:val="000000"/>
          <w:kern w:val="0"/>
          <w:szCs w:val="22"/>
        </w:rPr>
        <w:t>Az ala</w:t>
      </w:r>
      <w:r w:rsidRPr="008B0CF9">
        <w:rPr>
          <w:rFonts w:eastAsia="Times New Roman" w:cs="Times New Roman"/>
          <w:color w:val="000000"/>
          <w:kern w:val="0"/>
          <w:szCs w:val="22"/>
        </w:rPr>
        <w:t xml:space="preserve">prendelet az 52/2007. (VI.28.) FVM </w:t>
      </w:r>
      <w:r w:rsidRPr="008B0CF9">
        <w:rPr>
          <w:rFonts w:cs="Times New Roman"/>
          <w:iCs/>
          <w:kern w:val="0"/>
          <w:szCs w:val="22"/>
        </w:rPr>
        <w:t xml:space="preserve">rendelet, amelyet 2012-ben </w:t>
      </w:r>
      <w:r>
        <w:rPr>
          <w:rFonts w:cs="Times New Roman"/>
          <w:iCs/>
          <w:kern w:val="0"/>
          <w:szCs w:val="22"/>
        </w:rPr>
        <w:t>a 112/2012. (XI.7.) VM rendelet módosított.</w:t>
      </w:r>
      <w:r w:rsidRPr="008B0CF9">
        <w:rPr>
          <w:rFonts w:cs="Times New Roman"/>
          <w:iCs/>
          <w:kern w:val="0"/>
          <w:szCs w:val="22"/>
        </w:rPr>
        <w:t xml:space="preserve"> </w:t>
      </w:r>
      <w:r w:rsidRPr="008B0CF9">
        <w:rPr>
          <w:iCs/>
          <w:szCs w:val="22"/>
        </w:rPr>
        <w:t xml:space="preserve">A módosítás célja </w:t>
      </w:r>
      <w:r>
        <w:rPr>
          <w:iCs/>
          <w:szCs w:val="22"/>
        </w:rPr>
        <w:t>elsősorban</w:t>
      </w:r>
      <w:r w:rsidRPr="008B0CF9">
        <w:rPr>
          <w:iCs/>
          <w:szCs w:val="22"/>
        </w:rPr>
        <w:t xml:space="preserve"> az</w:t>
      </w:r>
      <w:r>
        <w:rPr>
          <w:iCs/>
          <w:szCs w:val="22"/>
        </w:rPr>
        <w:t xml:space="preserve"> volt</w:t>
      </w:r>
      <w:r w:rsidRPr="008B0CF9">
        <w:rPr>
          <w:iCs/>
          <w:szCs w:val="22"/>
        </w:rPr>
        <w:t xml:space="preserve">, hogy a </w:t>
      </w:r>
      <w:r>
        <w:rPr>
          <w:iCs/>
          <w:szCs w:val="22"/>
        </w:rPr>
        <w:t>gazdálkodók kevesebb adminisztrációval, egyszerűbben igénybe tudják venni a támogatást. Ennek érdekében bevezetésre került az egyesített támogatási-kifizetési kérelem, amelyet a gazdálkodók – szükség esetén a szaktanácsadó segítségével – elektronikus úton nyújtanak be.</w:t>
      </w:r>
    </w:p>
    <w:p w:rsidR="00011C3B" w:rsidRDefault="007E5FDF" w:rsidP="00673DDE">
      <w:pPr>
        <w:pStyle w:val="bra-cmetbla"/>
      </w:pPr>
      <w:fldSimple w:instr=" SEQ táblázat \* ARABIC ">
        <w:r w:rsidR="00E5031F">
          <w:rPr>
            <w:noProof/>
          </w:rPr>
          <w:t>24</w:t>
        </w:r>
      </w:fldSimple>
      <w:r w:rsidR="00673DDE">
        <w:t xml:space="preserve">. táblázat: </w:t>
      </w:r>
      <w:r w:rsidR="00011C3B" w:rsidRPr="00F35797">
        <w:t>A Szaktanácsadói szolgáltatások igénybevételéhez nyújtandó támogatások jogcím</w:t>
      </w:r>
      <w:r w:rsidR="00011C3B" w:rsidRPr="00F35797">
        <w:br/>
        <w:t>201</w:t>
      </w:r>
      <w:r w:rsidR="00011C3B">
        <w:t>2</w:t>
      </w:r>
      <w:r w:rsidR="00011C3B" w:rsidRPr="00F35797">
        <w:t>. évi eredményei</w:t>
      </w:r>
    </w:p>
    <w:p w:rsidR="00011C3B" w:rsidRPr="00F35797" w:rsidRDefault="00B452BF" w:rsidP="00011C3B">
      <w:pPr>
        <w:keepNext/>
        <w:suppressAutoHyphens w:val="0"/>
        <w:jc w:val="center"/>
        <w:rPr>
          <w:rFonts w:eastAsia="Times New Roman" w:cs="Times New Roman"/>
          <w:b/>
          <w:kern w:val="0"/>
          <w:szCs w:val="22"/>
        </w:rPr>
      </w:pPr>
      <w:r>
        <w:rPr>
          <w:noProof/>
        </w:rPr>
        <w:drawing>
          <wp:inline distT="0" distB="0" distL="0" distR="0" wp14:anchorId="2452F438" wp14:editId="1D6FD11A">
            <wp:extent cx="5167630" cy="1882140"/>
            <wp:effectExtent l="0" t="0" r="0" b="3810"/>
            <wp:docPr id="14"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313ED5">
      <w:r w:rsidRPr="00F35797">
        <w:t>Forrás: MVH</w:t>
      </w:r>
    </w:p>
    <w:p w:rsidR="00011C3B" w:rsidRPr="00313ED5" w:rsidRDefault="00011C3B" w:rsidP="004869BB">
      <w:r w:rsidRPr="00313ED5">
        <w:t xml:space="preserve">A szaktanácsadói szolgáltatások jogcím keretében 2012-ben </w:t>
      </w:r>
      <w:r w:rsidR="002B6866" w:rsidRPr="00313ED5">
        <w:t>5</w:t>
      </w:r>
      <w:r w:rsidR="002B6866">
        <w:t> </w:t>
      </w:r>
      <w:r w:rsidRPr="00313ED5">
        <w:t>122 db támogatási kérelem került benyújtásra, amelyek támogatási igénye 3,6 M euró (1 M</w:t>
      </w:r>
      <w:r w:rsidR="002B6866">
        <w:t>rd</w:t>
      </w:r>
      <w:r w:rsidRPr="00313ED5">
        <w:t xml:space="preserve"> Ft). Az elutasított támogatási kérelmek száma 440 db, ami a benyújtott támogatási kérelmeknek 8,5%-a. A 2011. évről áthúzódó kérelem kezeléseket is figyelembe véve, 2012-ben a jóváhagyott támogatási kérelmek száma </w:t>
      </w:r>
      <w:r w:rsidR="002B6866" w:rsidRPr="00313ED5">
        <w:t>9</w:t>
      </w:r>
      <w:r w:rsidR="002B6866">
        <w:t> </w:t>
      </w:r>
      <w:r w:rsidRPr="00313ED5">
        <w:t>854</w:t>
      </w:r>
      <w:r w:rsidR="002B6866">
        <w:t xml:space="preserve"> db</w:t>
      </w:r>
      <w:r w:rsidRPr="00313ED5">
        <w:t>, amelyek esetén a megítélt támogatási összege közel 2</w:t>
      </w:r>
      <w:r w:rsidR="002B6866">
        <w:t>,9</w:t>
      </w:r>
      <w:r w:rsidRPr="00313ED5">
        <w:t xml:space="preserve"> </w:t>
      </w:r>
      <w:r w:rsidR="002B6866">
        <w:t>M</w:t>
      </w:r>
      <w:r w:rsidR="002B6866" w:rsidRPr="00313ED5">
        <w:t xml:space="preserve"> </w:t>
      </w:r>
      <w:r w:rsidRPr="00313ED5">
        <w:t xml:space="preserve">euró (866 M Ft). </w:t>
      </w:r>
      <w:r w:rsidR="002B6866">
        <w:t>2012-ben ö</w:t>
      </w:r>
      <w:r w:rsidRPr="00313ED5">
        <w:t xml:space="preserve">sszességében </w:t>
      </w:r>
      <w:r w:rsidR="002B6866" w:rsidRPr="00313ED5">
        <w:t>2</w:t>
      </w:r>
      <w:r w:rsidR="002B6866">
        <w:t> </w:t>
      </w:r>
      <w:r w:rsidRPr="00313ED5">
        <w:t>896 db kifizetési kérelem került jóváhagyásra</w:t>
      </w:r>
      <w:r w:rsidR="002B6866">
        <w:t xml:space="preserve">. </w:t>
      </w:r>
      <w:r w:rsidRPr="00313ED5">
        <w:t>1,5 M euró (432 M Ft) összegű kifizetés</w:t>
      </w:r>
      <w:r w:rsidR="002B6866">
        <w:t xml:space="preserve">re </w:t>
      </w:r>
      <w:r w:rsidRPr="00313ED5">
        <w:t xml:space="preserve">került sor a 2012. évben. </w:t>
      </w:r>
    </w:p>
    <w:p w:rsidR="00011C3B" w:rsidRPr="00313ED5" w:rsidRDefault="006B5015" w:rsidP="00313ED5">
      <w:r w:rsidRPr="00313ED5">
        <w:t xml:space="preserve">2012-ben Magyarország összes megyéjéből összesen 5 122 </w:t>
      </w:r>
      <w:r w:rsidR="009C78EA">
        <w:t xml:space="preserve">db </w:t>
      </w:r>
      <w:r w:rsidRPr="00313ED5">
        <w:t>támogatási kérelem érkezett be. A legtöbb támogatási kérelem Szabolcs Szatmár Bereg megyéből (20%), és Bács Kiskun megyéből (11%)</w:t>
      </w:r>
      <w:r w:rsidR="009C78EA">
        <w:t xml:space="preserve"> érkezett</w:t>
      </w:r>
      <w:r w:rsidRPr="00313ED5">
        <w:t xml:space="preserve">. </w:t>
      </w:r>
      <w:r w:rsidR="00011C3B" w:rsidRPr="00313ED5">
        <w:t>Szabolcs-Szatmár-Bereg megyében történt a legnagyobb összegű kifizetés. A legkisebb összegű kifizetés Komárom-Esztergom megyében volt.</w:t>
      </w:r>
    </w:p>
    <w:p w:rsidR="00011C3B" w:rsidRPr="00896E03" w:rsidRDefault="00011C3B" w:rsidP="00DB48A3">
      <w:pPr>
        <w:pStyle w:val="Cmsor3"/>
      </w:pPr>
      <w:bookmarkStart w:id="233" w:name="_Toc328638706"/>
      <w:bookmarkStart w:id="234" w:name="_Toc360176796"/>
      <w:r w:rsidRPr="00896E03">
        <w:t>A mezőgazdasági üzemek korszerűsítését célzó intézkedés (121) rövid bemutatása</w:t>
      </w:r>
      <w:bookmarkEnd w:id="233"/>
      <w:bookmarkEnd w:id="234"/>
    </w:p>
    <w:p w:rsidR="00FF6237" w:rsidRPr="00313ED5" w:rsidRDefault="00011C3B" w:rsidP="00313ED5">
      <w:r w:rsidRPr="00313ED5">
        <w:t xml:space="preserve">Az intézkedés fő célja a mezőgazdasági termelés modernizációja, az állattenyésztés, a kertészet és a szántóföldi termesztés technológiai szintjének emelése, hatékonyságának és versenyképességének fejlesztése, a jobb termékminőség elérését célzó új technológiák bevezetése. Az intézkedés öt alintézkedést foglal magában, amelyek közül </w:t>
      </w:r>
      <w:r w:rsidR="00FE6C46">
        <w:t xml:space="preserve">a jelentés </w:t>
      </w:r>
      <w:r w:rsidR="006F0141">
        <w:t>záró időpontjáig</w:t>
      </w:r>
      <w:r w:rsidRPr="00313ED5">
        <w:t xml:space="preserve"> az összes alintézkedés meghirdetésre került</w:t>
      </w:r>
      <w:r w:rsidR="00FF6237" w:rsidRPr="00313ED5">
        <w:t>.</w:t>
      </w:r>
    </w:p>
    <w:p w:rsidR="00011C3B" w:rsidRPr="00313ED5" w:rsidRDefault="00011C3B" w:rsidP="004869BB">
      <w:r w:rsidRPr="00313ED5">
        <w:t>A kérelmeket az ügyfelek egyre nagyobb számban nyújtották be elektronikus úton az elmúlt években, ami azt mutatja, hogy jelentős mértékben bővült a termelők informatikai eszközállománya. A GazdaNet program 2012-es elindításával ennek további fejlesztésére nyílik lehetőség.</w:t>
      </w:r>
    </w:p>
    <w:p w:rsidR="00011C3B" w:rsidRPr="00313ED5" w:rsidRDefault="00011C3B" w:rsidP="004869BB">
      <w:r w:rsidRPr="00313ED5">
        <w:t>A 121</w:t>
      </w:r>
      <w:r w:rsidR="00FE6C46">
        <w:t>.</w:t>
      </w:r>
      <w:r w:rsidRPr="00313ED5">
        <w:t xml:space="preserve"> intézkedésen belül 2012-ben megnyitásra került korszerűsítéséhez nyújtandó támogatás, a mezőgazdasági termékek értéknöveléséhez nyújtandó támogatás, valamint az </w:t>
      </w:r>
      <w:r w:rsidR="00FE6C46">
        <w:t>Á</w:t>
      </w:r>
      <w:r w:rsidR="00FE6C46" w:rsidRPr="00313ED5">
        <w:t xml:space="preserve">llattartó </w:t>
      </w:r>
      <w:r w:rsidRPr="00313ED5">
        <w:t>telepek korszerűsítéséhez nyújtandó támogatás</w:t>
      </w:r>
      <w:r w:rsidR="00FE6C46">
        <w:t xml:space="preserve"> </w:t>
      </w:r>
      <w:r w:rsidR="00FE6C46" w:rsidRPr="00313ED5">
        <w:t>(ÁTK IV.)</w:t>
      </w:r>
      <w:r w:rsidRPr="00313ED5">
        <w:t>, illetve a fent említett GazdaNet program.</w:t>
      </w:r>
    </w:p>
    <w:p w:rsidR="00011C3B" w:rsidRPr="00F92037" w:rsidRDefault="007E5FDF" w:rsidP="00F92037">
      <w:pPr>
        <w:pStyle w:val="bra-cmetbla"/>
      </w:pPr>
      <w:fldSimple w:instr=" SEQ táblázat \* ARABIC ">
        <w:r w:rsidR="00E5031F">
          <w:rPr>
            <w:noProof/>
          </w:rPr>
          <w:t>25</w:t>
        </w:r>
      </w:fldSimple>
      <w:r w:rsidR="00673DDE">
        <w:t xml:space="preserve">. táblázat: </w:t>
      </w:r>
      <w:r w:rsidR="00011C3B" w:rsidRPr="00F92037">
        <w:t>A mezőgazdasági üzemek korszerűsítése intézkedés (121) indikátorainak megvalósulása</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7"/>
        <w:gridCol w:w="1338"/>
        <w:gridCol w:w="1410"/>
      </w:tblGrid>
      <w:tr w:rsidR="00011C3B" w:rsidRPr="00CD0210" w:rsidTr="002C1255">
        <w:trPr>
          <w:cantSplit/>
          <w:tblHeader/>
          <w:jc w:val="center"/>
        </w:trPr>
        <w:tc>
          <w:tcPr>
            <w:tcW w:w="326" w:type="pct"/>
            <w:shd w:val="clear" w:color="auto" w:fill="B3B3B3"/>
            <w:vAlign w:val="center"/>
          </w:tcPr>
          <w:p w:rsidR="00011C3B" w:rsidRPr="00CD0210" w:rsidRDefault="00011C3B" w:rsidP="00A35D13">
            <w:pPr>
              <w:pStyle w:val="Tbla-cm"/>
            </w:pPr>
          </w:p>
        </w:tc>
        <w:tc>
          <w:tcPr>
            <w:tcW w:w="3183" w:type="pct"/>
            <w:shd w:val="clear" w:color="auto" w:fill="B3B3B3"/>
            <w:vAlign w:val="center"/>
          </w:tcPr>
          <w:p w:rsidR="00011C3B" w:rsidRPr="00BD037E" w:rsidRDefault="00011C3B" w:rsidP="00A35D13">
            <w:pPr>
              <w:pStyle w:val="Tbla-cm"/>
            </w:pPr>
            <w:r w:rsidRPr="00BD037E">
              <w:t>Indikátor leírása</w:t>
            </w:r>
          </w:p>
        </w:tc>
        <w:tc>
          <w:tcPr>
            <w:tcW w:w="726" w:type="pct"/>
            <w:shd w:val="clear" w:color="auto" w:fill="B3B3B3"/>
            <w:vAlign w:val="center"/>
          </w:tcPr>
          <w:p w:rsidR="00011C3B" w:rsidRPr="00BB58EE" w:rsidRDefault="00011C3B" w:rsidP="00A35D13">
            <w:pPr>
              <w:pStyle w:val="Tbla-cm"/>
            </w:pPr>
            <w:r w:rsidRPr="00BB58EE">
              <w:t>Program szerinti tervadat</w:t>
            </w:r>
          </w:p>
        </w:tc>
        <w:tc>
          <w:tcPr>
            <w:tcW w:w="765" w:type="pct"/>
            <w:shd w:val="clear" w:color="auto" w:fill="B3B3B3"/>
            <w:vAlign w:val="center"/>
          </w:tcPr>
          <w:p w:rsidR="00011C3B" w:rsidRPr="00BB58EE" w:rsidRDefault="00011C3B" w:rsidP="00A35D13">
            <w:pPr>
              <w:pStyle w:val="Tbla-cm"/>
            </w:pPr>
            <w:r w:rsidRPr="00BB58EE">
              <w:t>Indikátorok kumulált értéke</w:t>
            </w:r>
          </w:p>
        </w:tc>
      </w:tr>
      <w:tr w:rsidR="00011C3B" w:rsidRPr="00CD0210" w:rsidTr="002C1255">
        <w:trPr>
          <w:cantSplit/>
          <w:jc w:val="center"/>
        </w:trPr>
        <w:tc>
          <w:tcPr>
            <w:tcW w:w="326" w:type="pct"/>
            <w:vMerge w:val="restart"/>
            <w:vAlign w:val="center"/>
          </w:tcPr>
          <w:p w:rsidR="00011C3B" w:rsidRPr="00CD0210" w:rsidRDefault="00011C3B" w:rsidP="00A35D13">
            <w:pPr>
              <w:rPr>
                <w:sz w:val="20"/>
                <w:szCs w:val="20"/>
              </w:rPr>
            </w:pPr>
            <w:r w:rsidRPr="00CD0210">
              <w:rPr>
                <w:sz w:val="20"/>
                <w:szCs w:val="20"/>
              </w:rPr>
              <w:t>O</w:t>
            </w:r>
          </w:p>
        </w:tc>
        <w:tc>
          <w:tcPr>
            <w:tcW w:w="3183" w:type="pct"/>
            <w:shd w:val="clear" w:color="auto" w:fill="auto"/>
            <w:vAlign w:val="center"/>
          </w:tcPr>
          <w:p w:rsidR="00011C3B" w:rsidRPr="00CD0210" w:rsidRDefault="00011C3B" w:rsidP="007B5AEF">
            <w:pPr>
              <w:pStyle w:val="Tbla-bal"/>
            </w:pPr>
            <w:r w:rsidRPr="00CD0210">
              <w:t>A támogatott gazdaságok száma</w:t>
            </w:r>
          </w:p>
        </w:tc>
        <w:tc>
          <w:tcPr>
            <w:tcW w:w="726" w:type="pct"/>
            <w:shd w:val="clear" w:color="auto" w:fill="auto"/>
            <w:noWrap/>
            <w:vAlign w:val="center"/>
          </w:tcPr>
          <w:p w:rsidR="00011C3B" w:rsidRPr="00A35D13" w:rsidRDefault="00011C3B" w:rsidP="00A35D13">
            <w:pPr>
              <w:pStyle w:val="Tbla-jobb"/>
            </w:pPr>
          </w:p>
        </w:tc>
        <w:tc>
          <w:tcPr>
            <w:tcW w:w="765" w:type="pct"/>
            <w:vAlign w:val="center"/>
          </w:tcPr>
          <w:p w:rsidR="00011C3B" w:rsidRPr="00A35D13" w:rsidRDefault="00011C3B" w:rsidP="00A35D13">
            <w:pPr>
              <w:pStyle w:val="Tbla-jobb"/>
            </w:pPr>
            <w:r w:rsidRPr="00A35D13">
              <w:t>9 916</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Ágazat</w:t>
            </w:r>
          </w:p>
        </w:tc>
        <w:tc>
          <w:tcPr>
            <w:tcW w:w="726" w:type="pct"/>
            <w:shd w:val="clear" w:color="auto" w:fill="auto"/>
            <w:noWrap/>
            <w:vAlign w:val="center"/>
          </w:tcPr>
          <w:p w:rsidR="00011C3B" w:rsidRPr="00A35D13" w:rsidRDefault="00011C3B" w:rsidP="00A35D13">
            <w:pPr>
              <w:pStyle w:val="Tbla-jobb"/>
            </w:pPr>
          </w:p>
        </w:tc>
        <w:tc>
          <w:tcPr>
            <w:tcW w:w="765" w:type="pct"/>
            <w:vAlign w:val="center"/>
          </w:tcPr>
          <w:p w:rsidR="00011C3B" w:rsidRPr="00A35D13" w:rsidRDefault="00011C3B" w:rsidP="00A35D13">
            <w:pPr>
              <w:pStyle w:val="Tbla-jobb"/>
            </w:pP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spacing w:after="0"/>
              <w:rPr>
                <w:sz w:val="20"/>
                <w:szCs w:val="20"/>
              </w:rPr>
            </w:pPr>
            <w:r w:rsidRPr="00CD0210">
              <w:rPr>
                <w:sz w:val="20"/>
                <w:szCs w:val="20"/>
              </w:rPr>
              <w:t>Szántóföldi gazdálkodás</w:t>
            </w:r>
          </w:p>
        </w:tc>
        <w:tc>
          <w:tcPr>
            <w:tcW w:w="726" w:type="pct"/>
            <w:shd w:val="clear" w:color="auto" w:fill="auto"/>
            <w:vAlign w:val="center"/>
          </w:tcPr>
          <w:p w:rsidR="00011C3B" w:rsidRPr="00A35D13" w:rsidRDefault="00011C3B" w:rsidP="00A35D13">
            <w:pPr>
              <w:pStyle w:val="Tbla-jobb"/>
            </w:pPr>
            <w:r w:rsidRPr="00A35D13">
              <w:t>4</w:t>
            </w:r>
            <w:r w:rsidR="0019195F" w:rsidRPr="00A35D13">
              <w:t xml:space="preserve"> </w:t>
            </w:r>
            <w:r w:rsidRPr="00A35D13">
              <w:t xml:space="preserve">200     </w:t>
            </w:r>
          </w:p>
        </w:tc>
        <w:tc>
          <w:tcPr>
            <w:tcW w:w="765" w:type="pct"/>
            <w:vAlign w:val="center"/>
          </w:tcPr>
          <w:p w:rsidR="00011C3B" w:rsidRPr="00A35D13" w:rsidRDefault="00011C3B" w:rsidP="00A35D13">
            <w:pPr>
              <w:pStyle w:val="Tbla-jobb"/>
            </w:pPr>
            <w:r w:rsidRPr="00A35D13">
              <w:t>5 959</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spacing w:after="0"/>
              <w:rPr>
                <w:sz w:val="20"/>
                <w:szCs w:val="20"/>
              </w:rPr>
            </w:pPr>
            <w:r w:rsidRPr="00CD0210">
              <w:rPr>
                <w:sz w:val="20"/>
                <w:szCs w:val="20"/>
              </w:rPr>
              <w:t>Állattenyésztés</w:t>
            </w:r>
          </w:p>
        </w:tc>
        <w:tc>
          <w:tcPr>
            <w:tcW w:w="726" w:type="pct"/>
            <w:shd w:val="clear" w:color="auto" w:fill="auto"/>
            <w:vAlign w:val="center"/>
          </w:tcPr>
          <w:p w:rsidR="00011C3B" w:rsidRPr="00A35D13" w:rsidRDefault="00011C3B" w:rsidP="00A35D13">
            <w:pPr>
              <w:pStyle w:val="Tbla-jobb"/>
            </w:pPr>
            <w:r w:rsidRPr="00A35D13">
              <w:t>6</w:t>
            </w:r>
            <w:r w:rsidR="0019195F" w:rsidRPr="00A35D13">
              <w:t xml:space="preserve"> </w:t>
            </w:r>
            <w:r w:rsidRPr="00A35D13">
              <w:t xml:space="preserve">200 </w:t>
            </w:r>
          </w:p>
        </w:tc>
        <w:tc>
          <w:tcPr>
            <w:tcW w:w="765" w:type="pct"/>
            <w:vAlign w:val="center"/>
          </w:tcPr>
          <w:p w:rsidR="00011C3B" w:rsidRPr="00A35D13" w:rsidRDefault="00011C3B" w:rsidP="00A35D13">
            <w:pPr>
              <w:pStyle w:val="Tbla-jobb"/>
            </w:pPr>
            <w:r w:rsidRPr="00A35D13">
              <w:t>1493</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spacing w:after="0"/>
              <w:rPr>
                <w:sz w:val="20"/>
                <w:szCs w:val="20"/>
              </w:rPr>
            </w:pPr>
            <w:r w:rsidRPr="00CD0210">
              <w:rPr>
                <w:sz w:val="20"/>
                <w:szCs w:val="20"/>
              </w:rPr>
              <w:t>Kertészet</w:t>
            </w:r>
          </w:p>
        </w:tc>
        <w:tc>
          <w:tcPr>
            <w:tcW w:w="726" w:type="pct"/>
            <w:shd w:val="clear" w:color="auto" w:fill="auto"/>
            <w:vAlign w:val="center"/>
          </w:tcPr>
          <w:p w:rsidR="00011C3B" w:rsidRPr="00A35D13" w:rsidRDefault="00011C3B" w:rsidP="00A35D13">
            <w:pPr>
              <w:pStyle w:val="Tbla-jobb"/>
            </w:pPr>
            <w:r w:rsidRPr="00A35D13">
              <w:t>3</w:t>
            </w:r>
            <w:r w:rsidR="0019195F" w:rsidRPr="00A35D13">
              <w:t xml:space="preserve"> </w:t>
            </w:r>
            <w:r w:rsidRPr="00A35D13">
              <w:t xml:space="preserve">400 </w:t>
            </w:r>
          </w:p>
        </w:tc>
        <w:tc>
          <w:tcPr>
            <w:tcW w:w="765" w:type="pct"/>
            <w:vAlign w:val="center"/>
          </w:tcPr>
          <w:p w:rsidR="00011C3B" w:rsidRPr="00A35D13" w:rsidRDefault="00011C3B" w:rsidP="00A35D13">
            <w:pPr>
              <w:pStyle w:val="Tbla-jobb"/>
            </w:pPr>
            <w:r w:rsidRPr="00A35D13">
              <w:t>556</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spacing w:after="0"/>
              <w:rPr>
                <w:sz w:val="20"/>
                <w:szCs w:val="20"/>
              </w:rPr>
            </w:pPr>
            <w:r w:rsidRPr="00CD0210">
              <w:rPr>
                <w:sz w:val="20"/>
                <w:szCs w:val="20"/>
              </w:rPr>
              <w:t xml:space="preserve">Megújuló energia </w:t>
            </w:r>
          </w:p>
        </w:tc>
        <w:tc>
          <w:tcPr>
            <w:tcW w:w="726" w:type="pct"/>
            <w:shd w:val="clear" w:color="auto" w:fill="auto"/>
            <w:vAlign w:val="center"/>
          </w:tcPr>
          <w:p w:rsidR="00011C3B" w:rsidRPr="00A35D13" w:rsidRDefault="00011C3B" w:rsidP="00A35D13">
            <w:pPr>
              <w:pStyle w:val="Tbla-jobb"/>
            </w:pPr>
            <w:r w:rsidRPr="00A35D13">
              <w:t>8</w:t>
            </w:r>
            <w:r w:rsidR="0019195F" w:rsidRPr="00A35D13">
              <w:t xml:space="preserve"> </w:t>
            </w:r>
            <w:r w:rsidRPr="00A35D13">
              <w:t xml:space="preserve">100 </w:t>
            </w:r>
          </w:p>
        </w:tc>
        <w:tc>
          <w:tcPr>
            <w:tcW w:w="765" w:type="pct"/>
            <w:vAlign w:val="center"/>
          </w:tcPr>
          <w:p w:rsidR="00011C3B" w:rsidRPr="00A35D13" w:rsidRDefault="00011C3B" w:rsidP="00A35D13">
            <w:pPr>
              <w:pStyle w:val="Tbla-jobb"/>
            </w:pPr>
            <w:r w:rsidRPr="00A35D13">
              <w:t>750</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spacing w:after="0"/>
              <w:rPr>
                <w:sz w:val="20"/>
                <w:szCs w:val="20"/>
              </w:rPr>
            </w:pPr>
            <w:r w:rsidRPr="00CD0210">
              <w:rPr>
                <w:sz w:val="20"/>
                <w:szCs w:val="20"/>
              </w:rPr>
              <w:t>GAZDANet</w:t>
            </w:r>
          </w:p>
        </w:tc>
        <w:tc>
          <w:tcPr>
            <w:tcW w:w="726" w:type="pct"/>
            <w:shd w:val="clear" w:color="auto" w:fill="auto"/>
            <w:vAlign w:val="center"/>
          </w:tcPr>
          <w:p w:rsidR="00011C3B" w:rsidRPr="00A35D13" w:rsidRDefault="00011C3B" w:rsidP="00A35D13">
            <w:pPr>
              <w:pStyle w:val="Tbla-jobb"/>
            </w:pPr>
            <w:r w:rsidRPr="00A35D13">
              <w:t>35</w:t>
            </w:r>
            <w:r w:rsidR="0019195F" w:rsidRPr="00A35D13">
              <w:t xml:space="preserve"> </w:t>
            </w:r>
            <w:r w:rsidRPr="00A35D13">
              <w:t>000</w:t>
            </w:r>
          </w:p>
        </w:tc>
        <w:tc>
          <w:tcPr>
            <w:tcW w:w="765" w:type="pct"/>
            <w:vAlign w:val="center"/>
          </w:tcPr>
          <w:p w:rsidR="00011C3B" w:rsidRPr="00A35D13" w:rsidRDefault="00011C3B" w:rsidP="00A35D13">
            <w:pPr>
              <w:pStyle w:val="Tbla-jobb"/>
            </w:pPr>
            <w:r w:rsidRPr="00A35D13">
              <w:t>429</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spacing w:after="0"/>
              <w:rPr>
                <w:sz w:val="20"/>
                <w:szCs w:val="20"/>
              </w:rPr>
            </w:pPr>
            <w:r w:rsidRPr="00CD0210">
              <w:rPr>
                <w:sz w:val="20"/>
                <w:szCs w:val="20"/>
              </w:rPr>
              <w:t>Üzemi diverzifikáció</w:t>
            </w:r>
          </w:p>
        </w:tc>
        <w:tc>
          <w:tcPr>
            <w:tcW w:w="726" w:type="pct"/>
            <w:shd w:val="clear" w:color="auto" w:fill="auto"/>
            <w:vAlign w:val="center"/>
          </w:tcPr>
          <w:p w:rsidR="00011C3B" w:rsidRPr="00A35D13" w:rsidRDefault="00011C3B" w:rsidP="00A35D13">
            <w:pPr>
              <w:pStyle w:val="Tbla-jobb"/>
            </w:pPr>
            <w:r w:rsidRPr="00A35D13">
              <w:t>450</w:t>
            </w:r>
          </w:p>
        </w:tc>
        <w:tc>
          <w:tcPr>
            <w:tcW w:w="765" w:type="pct"/>
            <w:vAlign w:val="center"/>
          </w:tcPr>
          <w:p w:rsidR="00011C3B" w:rsidRPr="00A35D13" w:rsidRDefault="00011C3B" w:rsidP="00A35D13">
            <w:pPr>
              <w:pStyle w:val="Tbla-jobb"/>
            </w:pPr>
            <w:r w:rsidRPr="00A35D13">
              <w:t>729</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spacing w:after="0"/>
              <w:rPr>
                <w:sz w:val="20"/>
                <w:szCs w:val="20"/>
              </w:rPr>
            </w:pPr>
            <w:r w:rsidRPr="00CD0210">
              <w:rPr>
                <w:sz w:val="20"/>
                <w:szCs w:val="20"/>
              </w:rPr>
              <w:t>Összesen</w:t>
            </w:r>
          </w:p>
        </w:tc>
        <w:tc>
          <w:tcPr>
            <w:tcW w:w="726" w:type="pct"/>
            <w:shd w:val="clear" w:color="auto" w:fill="auto"/>
            <w:vAlign w:val="center"/>
          </w:tcPr>
          <w:p w:rsidR="00011C3B" w:rsidRPr="00A35D13" w:rsidRDefault="00011C3B" w:rsidP="00A35D13">
            <w:pPr>
              <w:pStyle w:val="Tbla-jobb"/>
            </w:pPr>
            <w:r w:rsidRPr="00A35D13">
              <w:t>57</w:t>
            </w:r>
            <w:r w:rsidR="0019195F" w:rsidRPr="00A35D13">
              <w:t xml:space="preserve"> </w:t>
            </w:r>
            <w:r w:rsidRPr="00A35D13">
              <w:t xml:space="preserve">350 </w:t>
            </w:r>
          </w:p>
        </w:tc>
        <w:tc>
          <w:tcPr>
            <w:tcW w:w="765" w:type="pct"/>
            <w:vAlign w:val="center"/>
          </w:tcPr>
          <w:p w:rsidR="00011C3B" w:rsidRPr="00A35D13" w:rsidRDefault="00011C3B" w:rsidP="00A35D13">
            <w:pPr>
              <w:pStyle w:val="Tbla-jobb"/>
            </w:pPr>
            <w:r w:rsidRPr="00A35D13">
              <w:t>9 916</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pStyle w:val="Normltblabal2"/>
            </w:pPr>
            <w:r w:rsidRPr="00CD0210">
              <w:t>Ebből:</w:t>
            </w:r>
          </w:p>
        </w:tc>
        <w:tc>
          <w:tcPr>
            <w:tcW w:w="726" w:type="pct"/>
            <w:shd w:val="clear" w:color="auto" w:fill="auto"/>
            <w:vAlign w:val="center"/>
          </w:tcPr>
          <w:p w:rsidR="00011C3B" w:rsidRPr="00A35D13" w:rsidRDefault="00011C3B" w:rsidP="00A35D13">
            <w:pPr>
              <w:pStyle w:val="Tbla-jobb"/>
            </w:pPr>
            <w:r w:rsidRPr="00A35D13">
              <w:t> </w:t>
            </w:r>
          </w:p>
        </w:tc>
        <w:tc>
          <w:tcPr>
            <w:tcW w:w="765" w:type="pct"/>
            <w:vAlign w:val="center"/>
          </w:tcPr>
          <w:p w:rsidR="00011C3B" w:rsidRPr="00A35D13" w:rsidRDefault="00011C3B" w:rsidP="00A35D13">
            <w:pPr>
              <w:pStyle w:val="Tbla-jobb"/>
            </w:pP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2"/>
            </w:pPr>
            <w:r w:rsidRPr="00CD0210">
              <w:t>Nem (férfi/nő)</w:t>
            </w:r>
          </w:p>
        </w:tc>
        <w:tc>
          <w:tcPr>
            <w:tcW w:w="726" w:type="pct"/>
            <w:shd w:val="clear" w:color="auto" w:fill="auto"/>
            <w:vAlign w:val="center"/>
          </w:tcPr>
          <w:p w:rsidR="00011C3B" w:rsidRPr="00A35D13" w:rsidRDefault="00011C3B" w:rsidP="00A35D13">
            <w:pPr>
              <w:pStyle w:val="Tbla-jobb"/>
            </w:pPr>
            <w:r w:rsidRPr="00A35D13">
              <w:t>52</w:t>
            </w:r>
            <w:r w:rsidR="0019195F" w:rsidRPr="00A35D13">
              <w:t xml:space="preserve"> </w:t>
            </w:r>
            <w:r w:rsidRPr="00A35D13">
              <w:t>800/4</w:t>
            </w:r>
            <w:r w:rsidR="0019195F" w:rsidRPr="00A35D13">
              <w:t xml:space="preserve"> </w:t>
            </w:r>
            <w:r w:rsidRPr="00A35D13">
              <w:t>550</w:t>
            </w:r>
          </w:p>
        </w:tc>
        <w:tc>
          <w:tcPr>
            <w:tcW w:w="765" w:type="pct"/>
            <w:vAlign w:val="center"/>
          </w:tcPr>
          <w:p w:rsidR="00011C3B" w:rsidRPr="00A35D13" w:rsidRDefault="00011C3B" w:rsidP="00A35D13">
            <w:pPr>
              <w:pStyle w:val="Tbla-jobb"/>
            </w:pPr>
            <w:r w:rsidRPr="00A35D13">
              <w:t>5 579/1 233</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2"/>
            </w:pPr>
            <w:r w:rsidRPr="00CD0210">
              <w:t>Jogi státusz</w:t>
            </w:r>
          </w:p>
        </w:tc>
        <w:tc>
          <w:tcPr>
            <w:tcW w:w="726" w:type="pct"/>
            <w:shd w:val="clear" w:color="auto" w:fill="auto"/>
            <w:noWrap/>
            <w:vAlign w:val="center"/>
          </w:tcPr>
          <w:p w:rsidR="00011C3B" w:rsidRPr="00A35D13" w:rsidRDefault="00011C3B" w:rsidP="00A35D13">
            <w:pPr>
              <w:pStyle w:val="Tbla-jobb"/>
            </w:pPr>
          </w:p>
        </w:tc>
        <w:tc>
          <w:tcPr>
            <w:tcW w:w="765" w:type="pct"/>
            <w:vAlign w:val="center"/>
          </w:tcPr>
          <w:p w:rsidR="00011C3B" w:rsidRPr="00A35D13" w:rsidRDefault="00011C3B" w:rsidP="00A35D13">
            <w:pPr>
              <w:pStyle w:val="Tbla-jobb"/>
            </w:pP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Természetes személy</w:t>
            </w:r>
          </w:p>
        </w:tc>
        <w:tc>
          <w:tcPr>
            <w:tcW w:w="726" w:type="pct"/>
            <w:shd w:val="clear" w:color="auto" w:fill="auto"/>
            <w:noWrap/>
            <w:vAlign w:val="center"/>
          </w:tcPr>
          <w:p w:rsidR="00011C3B" w:rsidRPr="00A35D13" w:rsidRDefault="00011C3B" w:rsidP="00A35D13">
            <w:pPr>
              <w:pStyle w:val="Tbla-jobb"/>
            </w:pPr>
            <w:r w:rsidRPr="00A35D13">
              <w:t>48</w:t>
            </w:r>
            <w:r w:rsidR="0019195F" w:rsidRPr="00A35D13">
              <w:t xml:space="preserve"> </w:t>
            </w:r>
            <w:r w:rsidRPr="00A35D13">
              <w:t>000</w:t>
            </w:r>
          </w:p>
        </w:tc>
        <w:tc>
          <w:tcPr>
            <w:tcW w:w="765" w:type="pct"/>
            <w:vAlign w:val="center"/>
          </w:tcPr>
          <w:p w:rsidR="00011C3B" w:rsidRPr="00A35D13" w:rsidRDefault="00011C3B" w:rsidP="00A35D13">
            <w:pPr>
              <w:pStyle w:val="Tbla-jobb"/>
            </w:pPr>
            <w:r w:rsidRPr="00A35D13">
              <w:t>6 812</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Jogi személy</w:t>
            </w:r>
          </w:p>
        </w:tc>
        <w:tc>
          <w:tcPr>
            <w:tcW w:w="726" w:type="pct"/>
            <w:shd w:val="clear" w:color="auto" w:fill="auto"/>
            <w:noWrap/>
            <w:vAlign w:val="center"/>
          </w:tcPr>
          <w:p w:rsidR="00011C3B" w:rsidRPr="00A35D13" w:rsidRDefault="00011C3B" w:rsidP="00A35D13">
            <w:pPr>
              <w:pStyle w:val="Tbla-jobb"/>
            </w:pPr>
            <w:r w:rsidRPr="00A35D13">
              <w:t>9</w:t>
            </w:r>
            <w:r w:rsidR="0019195F" w:rsidRPr="00A35D13">
              <w:t xml:space="preserve"> </w:t>
            </w:r>
            <w:r w:rsidRPr="00A35D13">
              <w:t>350</w:t>
            </w:r>
          </w:p>
        </w:tc>
        <w:tc>
          <w:tcPr>
            <w:tcW w:w="765" w:type="pct"/>
            <w:vAlign w:val="center"/>
          </w:tcPr>
          <w:p w:rsidR="00011C3B" w:rsidRPr="00A35D13" w:rsidRDefault="00011C3B" w:rsidP="00A35D13">
            <w:pPr>
              <w:pStyle w:val="Tbla-jobb"/>
            </w:pPr>
            <w:r w:rsidRPr="00A35D13">
              <w:t>3 104</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A gazdaságtulajdonos korcsoportja</w:t>
            </w:r>
          </w:p>
        </w:tc>
        <w:tc>
          <w:tcPr>
            <w:tcW w:w="726" w:type="pct"/>
            <w:shd w:val="clear" w:color="auto" w:fill="auto"/>
            <w:noWrap/>
            <w:vAlign w:val="center"/>
          </w:tcPr>
          <w:p w:rsidR="00011C3B" w:rsidRPr="00A35D13" w:rsidRDefault="00011C3B" w:rsidP="00A35D13">
            <w:pPr>
              <w:pStyle w:val="Tbla-jobb"/>
            </w:pPr>
          </w:p>
        </w:tc>
        <w:tc>
          <w:tcPr>
            <w:tcW w:w="765" w:type="pct"/>
            <w:vAlign w:val="center"/>
          </w:tcPr>
          <w:p w:rsidR="00011C3B" w:rsidRPr="00A35D13" w:rsidRDefault="00011C3B" w:rsidP="00A35D13">
            <w:pPr>
              <w:pStyle w:val="Tbla-jobb"/>
            </w:pP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40 év alatt</w:t>
            </w:r>
          </w:p>
        </w:tc>
        <w:tc>
          <w:tcPr>
            <w:tcW w:w="726" w:type="pct"/>
            <w:shd w:val="clear" w:color="auto" w:fill="auto"/>
            <w:noWrap/>
            <w:vAlign w:val="center"/>
          </w:tcPr>
          <w:p w:rsidR="00011C3B" w:rsidRPr="00A35D13" w:rsidRDefault="00011C3B" w:rsidP="00A35D13">
            <w:pPr>
              <w:pStyle w:val="Tbla-jobb"/>
            </w:pPr>
            <w:r w:rsidRPr="00A35D13">
              <w:t>28</w:t>
            </w:r>
            <w:r w:rsidR="0019195F" w:rsidRPr="00A35D13">
              <w:t xml:space="preserve"> </w:t>
            </w:r>
            <w:r w:rsidRPr="00A35D13">
              <w:t>800</w:t>
            </w:r>
          </w:p>
        </w:tc>
        <w:tc>
          <w:tcPr>
            <w:tcW w:w="765" w:type="pct"/>
            <w:vAlign w:val="center"/>
          </w:tcPr>
          <w:p w:rsidR="00011C3B" w:rsidRPr="00A35D13" w:rsidRDefault="00011C3B" w:rsidP="00A35D13">
            <w:pPr>
              <w:pStyle w:val="Tbla-jobb"/>
            </w:pPr>
            <w:r w:rsidRPr="00A35D13">
              <w:t>1 650</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 xml:space="preserve">40 éves vagy idősebb </w:t>
            </w:r>
          </w:p>
        </w:tc>
        <w:tc>
          <w:tcPr>
            <w:tcW w:w="726" w:type="pct"/>
            <w:shd w:val="clear" w:color="auto" w:fill="auto"/>
            <w:noWrap/>
            <w:vAlign w:val="center"/>
          </w:tcPr>
          <w:p w:rsidR="00011C3B" w:rsidRPr="00A35D13" w:rsidRDefault="00011C3B" w:rsidP="00A35D13">
            <w:pPr>
              <w:pStyle w:val="Tbla-jobb"/>
            </w:pPr>
            <w:r w:rsidRPr="00A35D13">
              <w:t>19</w:t>
            </w:r>
            <w:r w:rsidR="0019195F" w:rsidRPr="00A35D13">
              <w:t xml:space="preserve"> </w:t>
            </w:r>
            <w:r w:rsidRPr="00A35D13">
              <w:t>200</w:t>
            </w:r>
          </w:p>
        </w:tc>
        <w:tc>
          <w:tcPr>
            <w:tcW w:w="765" w:type="pct"/>
            <w:vAlign w:val="center"/>
          </w:tcPr>
          <w:p w:rsidR="00011C3B" w:rsidRPr="00A35D13" w:rsidRDefault="00011C3B" w:rsidP="00A35D13">
            <w:pPr>
              <w:pStyle w:val="Tbla-jobb"/>
            </w:pPr>
            <w:r w:rsidRPr="00A35D13">
              <w:t>5 162</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A beruházások teljes összege (millió euró)</w:t>
            </w:r>
          </w:p>
        </w:tc>
        <w:tc>
          <w:tcPr>
            <w:tcW w:w="726" w:type="pct"/>
            <w:shd w:val="clear" w:color="auto" w:fill="auto"/>
            <w:noWrap/>
            <w:vAlign w:val="center"/>
          </w:tcPr>
          <w:p w:rsidR="00011C3B" w:rsidRPr="00A35D13" w:rsidRDefault="00011C3B" w:rsidP="00A35D13">
            <w:pPr>
              <w:pStyle w:val="Tbla-jobb"/>
            </w:pPr>
          </w:p>
        </w:tc>
        <w:tc>
          <w:tcPr>
            <w:tcW w:w="765" w:type="pct"/>
            <w:vAlign w:val="center"/>
          </w:tcPr>
          <w:p w:rsidR="00011C3B" w:rsidRPr="00A35D13" w:rsidRDefault="004A0396" w:rsidP="00A35D13">
            <w:pPr>
              <w:pStyle w:val="Tbla-jobb"/>
            </w:pPr>
            <w:r>
              <w:t xml:space="preserve">1 966 </w:t>
            </w:r>
            <w:r w:rsidR="00011C3B" w:rsidRPr="00A35D13">
              <w:t>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Ágazat</w:t>
            </w:r>
          </w:p>
        </w:tc>
        <w:tc>
          <w:tcPr>
            <w:tcW w:w="726" w:type="pct"/>
            <w:shd w:val="clear" w:color="auto" w:fill="auto"/>
            <w:noWrap/>
            <w:vAlign w:val="center"/>
          </w:tcPr>
          <w:p w:rsidR="00011C3B" w:rsidRPr="00A35D13" w:rsidRDefault="00011C3B" w:rsidP="00A35D13">
            <w:pPr>
              <w:pStyle w:val="Tbla-jobb"/>
            </w:pPr>
          </w:p>
        </w:tc>
        <w:tc>
          <w:tcPr>
            <w:tcW w:w="765" w:type="pct"/>
            <w:vAlign w:val="center"/>
          </w:tcPr>
          <w:p w:rsidR="00011C3B" w:rsidRPr="00A35D13" w:rsidRDefault="00011C3B" w:rsidP="00A35D13">
            <w:pPr>
              <w:pStyle w:val="Tbla-jobb"/>
            </w:pP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Szántóföldi gazdálkodás</w:t>
            </w:r>
          </w:p>
        </w:tc>
        <w:tc>
          <w:tcPr>
            <w:tcW w:w="726" w:type="pct"/>
            <w:shd w:val="clear" w:color="auto" w:fill="auto"/>
            <w:vAlign w:val="center"/>
          </w:tcPr>
          <w:p w:rsidR="00011C3B" w:rsidRPr="00A35D13" w:rsidRDefault="00011C3B" w:rsidP="00A35D13">
            <w:pPr>
              <w:pStyle w:val="Tbla-jobb"/>
            </w:pPr>
            <w:r w:rsidRPr="00A35D13">
              <w:t>864</w:t>
            </w:r>
          </w:p>
        </w:tc>
        <w:tc>
          <w:tcPr>
            <w:tcW w:w="765" w:type="pct"/>
            <w:vAlign w:val="center"/>
          </w:tcPr>
          <w:p w:rsidR="00011C3B" w:rsidRPr="00A35D13" w:rsidRDefault="00011C3B" w:rsidP="00A35D13">
            <w:pPr>
              <w:pStyle w:val="Tbla-jobb"/>
            </w:pPr>
            <w:r w:rsidRPr="00A35D13">
              <w:t>627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Állattenyésztés</w:t>
            </w:r>
          </w:p>
        </w:tc>
        <w:tc>
          <w:tcPr>
            <w:tcW w:w="726" w:type="pct"/>
            <w:shd w:val="clear" w:color="auto" w:fill="auto"/>
            <w:vAlign w:val="center"/>
          </w:tcPr>
          <w:p w:rsidR="00011C3B" w:rsidRPr="00A35D13" w:rsidRDefault="00011C3B" w:rsidP="00A35D13">
            <w:pPr>
              <w:pStyle w:val="Tbla-jobb"/>
            </w:pPr>
            <w:r w:rsidRPr="00A35D13">
              <w:t>1</w:t>
            </w:r>
            <w:r w:rsidR="0019195F" w:rsidRPr="00A35D13">
              <w:t xml:space="preserve"> </w:t>
            </w:r>
            <w:r w:rsidRPr="00A35D13">
              <w:t>284</w:t>
            </w:r>
          </w:p>
        </w:tc>
        <w:tc>
          <w:tcPr>
            <w:tcW w:w="765" w:type="pct"/>
            <w:vAlign w:val="center"/>
          </w:tcPr>
          <w:p w:rsidR="00011C3B" w:rsidRPr="00A35D13" w:rsidRDefault="00011C3B" w:rsidP="00A35D13">
            <w:pPr>
              <w:pStyle w:val="Tbla-jobb"/>
            </w:pPr>
            <w:r w:rsidRPr="00A35D13">
              <w:t>1 018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Kertészet</w:t>
            </w:r>
          </w:p>
        </w:tc>
        <w:tc>
          <w:tcPr>
            <w:tcW w:w="726" w:type="pct"/>
            <w:shd w:val="clear" w:color="auto" w:fill="auto"/>
            <w:vAlign w:val="center"/>
          </w:tcPr>
          <w:p w:rsidR="00011C3B" w:rsidRPr="00A35D13" w:rsidRDefault="00011C3B" w:rsidP="00A35D13">
            <w:pPr>
              <w:pStyle w:val="Tbla-jobb"/>
            </w:pPr>
            <w:r w:rsidRPr="00A35D13">
              <w:t>728</w:t>
            </w:r>
          </w:p>
        </w:tc>
        <w:tc>
          <w:tcPr>
            <w:tcW w:w="765" w:type="pct"/>
            <w:vAlign w:val="center"/>
          </w:tcPr>
          <w:p w:rsidR="00011C3B" w:rsidRPr="00A35D13" w:rsidRDefault="00011C3B" w:rsidP="00A35D13">
            <w:pPr>
              <w:pStyle w:val="Tbla-jobb"/>
            </w:pPr>
            <w:r w:rsidRPr="00A35D13">
              <w:t>227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 xml:space="preserve">Megújuló energia </w:t>
            </w:r>
          </w:p>
        </w:tc>
        <w:tc>
          <w:tcPr>
            <w:tcW w:w="726" w:type="pct"/>
            <w:shd w:val="clear" w:color="auto" w:fill="auto"/>
            <w:vAlign w:val="center"/>
          </w:tcPr>
          <w:p w:rsidR="00011C3B" w:rsidRPr="00A35D13" w:rsidRDefault="00011C3B" w:rsidP="00A35D13">
            <w:pPr>
              <w:pStyle w:val="Tbla-jobb"/>
            </w:pPr>
            <w:r w:rsidRPr="00A35D13">
              <w:t>324</w:t>
            </w:r>
          </w:p>
        </w:tc>
        <w:tc>
          <w:tcPr>
            <w:tcW w:w="765" w:type="pct"/>
            <w:vAlign w:val="center"/>
          </w:tcPr>
          <w:p w:rsidR="00011C3B" w:rsidRPr="00A35D13" w:rsidRDefault="00011C3B" w:rsidP="00A35D13">
            <w:pPr>
              <w:pStyle w:val="Tbla-jobb"/>
            </w:pPr>
            <w:r w:rsidRPr="00A35D13">
              <w:t>94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Összesen</w:t>
            </w:r>
          </w:p>
        </w:tc>
        <w:tc>
          <w:tcPr>
            <w:tcW w:w="726" w:type="pct"/>
            <w:shd w:val="clear" w:color="auto" w:fill="auto"/>
            <w:vAlign w:val="center"/>
          </w:tcPr>
          <w:p w:rsidR="00011C3B" w:rsidRPr="00A35D13" w:rsidRDefault="00011C3B" w:rsidP="00A35D13">
            <w:pPr>
              <w:pStyle w:val="Tbla-jobb"/>
            </w:pPr>
            <w:r w:rsidRPr="00A35D13">
              <w:t>3</w:t>
            </w:r>
            <w:r w:rsidR="0019195F" w:rsidRPr="00A35D13">
              <w:t xml:space="preserve"> </w:t>
            </w:r>
            <w:r w:rsidRPr="00A35D13">
              <w:t>200</w:t>
            </w:r>
          </w:p>
        </w:tc>
        <w:tc>
          <w:tcPr>
            <w:tcW w:w="765" w:type="pct"/>
            <w:vAlign w:val="center"/>
          </w:tcPr>
          <w:p w:rsidR="00011C3B" w:rsidRPr="00A35D13" w:rsidRDefault="00011C3B" w:rsidP="00A35D13">
            <w:pPr>
              <w:pStyle w:val="Tbla-jobb"/>
            </w:pPr>
            <w:r w:rsidRPr="00A35D13">
              <w:t>1 966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Beruházás típusa (FADN-RICA)</w:t>
            </w:r>
          </w:p>
        </w:tc>
        <w:tc>
          <w:tcPr>
            <w:tcW w:w="726" w:type="pct"/>
            <w:shd w:val="clear" w:color="auto" w:fill="auto"/>
            <w:vAlign w:val="center"/>
          </w:tcPr>
          <w:p w:rsidR="00011C3B" w:rsidRPr="00A35D13" w:rsidRDefault="00011C3B" w:rsidP="00A35D13">
            <w:pPr>
              <w:pStyle w:val="Tbla-jobb"/>
            </w:pPr>
            <w:r w:rsidRPr="00A35D13">
              <w:t> </w:t>
            </w:r>
          </w:p>
        </w:tc>
        <w:tc>
          <w:tcPr>
            <w:tcW w:w="765" w:type="pct"/>
            <w:vAlign w:val="center"/>
          </w:tcPr>
          <w:p w:rsidR="00011C3B" w:rsidRPr="00A35D13" w:rsidRDefault="00011C3B" w:rsidP="00A35D13">
            <w:pPr>
              <w:pStyle w:val="Tbla-jobb"/>
            </w:pP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talajjavító beruházások,</w:t>
            </w:r>
          </w:p>
        </w:tc>
        <w:tc>
          <w:tcPr>
            <w:tcW w:w="726" w:type="pct"/>
            <w:shd w:val="clear" w:color="auto" w:fill="auto"/>
            <w:vAlign w:val="center"/>
          </w:tcPr>
          <w:p w:rsidR="00011C3B" w:rsidRPr="00A35D13" w:rsidRDefault="00011C3B" w:rsidP="00A35D13">
            <w:pPr>
              <w:pStyle w:val="Tbla-jobb"/>
            </w:pPr>
            <w:r w:rsidRPr="00A35D13">
              <w:t>320</w:t>
            </w:r>
          </w:p>
        </w:tc>
        <w:tc>
          <w:tcPr>
            <w:tcW w:w="765" w:type="pct"/>
            <w:vAlign w:val="center"/>
          </w:tcPr>
          <w:p w:rsidR="00011C3B" w:rsidRPr="00A35D13" w:rsidRDefault="00011C3B" w:rsidP="00A35D13">
            <w:pPr>
              <w:pStyle w:val="Tbla-jobb"/>
            </w:pPr>
            <w:r w:rsidRPr="00A35D13">
              <w:t>26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 xml:space="preserve">gépbeszerzési beruházások </w:t>
            </w:r>
          </w:p>
        </w:tc>
        <w:tc>
          <w:tcPr>
            <w:tcW w:w="726" w:type="pct"/>
            <w:shd w:val="clear" w:color="auto" w:fill="auto"/>
            <w:vAlign w:val="center"/>
          </w:tcPr>
          <w:p w:rsidR="00011C3B" w:rsidRPr="00A35D13" w:rsidRDefault="00011C3B" w:rsidP="00A35D13">
            <w:pPr>
              <w:pStyle w:val="Tbla-jobb"/>
            </w:pPr>
            <w:r w:rsidRPr="00A35D13">
              <w:t>1</w:t>
            </w:r>
            <w:r w:rsidR="0019195F" w:rsidRPr="00A35D13">
              <w:t xml:space="preserve"> </w:t>
            </w:r>
            <w:r w:rsidRPr="00A35D13">
              <w:t>920</w:t>
            </w:r>
          </w:p>
        </w:tc>
        <w:tc>
          <w:tcPr>
            <w:tcW w:w="765" w:type="pct"/>
            <w:vAlign w:val="center"/>
          </w:tcPr>
          <w:p w:rsidR="00011C3B" w:rsidRPr="00A35D13" w:rsidRDefault="00011C3B" w:rsidP="00A35D13">
            <w:pPr>
              <w:pStyle w:val="Tbla-jobb"/>
            </w:pPr>
            <w:r w:rsidRPr="00A35D13">
              <w:t>466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épület beruházások</w:t>
            </w:r>
          </w:p>
        </w:tc>
        <w:tc>
          <w:tcPr>
            <w:tcW w:w="726" w:type="pct"/>
            <w:shd w:val="clear" w:color="auto" w:fill="auto"/>
            <w:vAlign w:val="center"/>
          </w:tcPr>
          <w:p w:rsidR="00011C3B" w:rsidRPr="00A35D13" w:rsidRDefault="00011C3B" w:rsidP="00A35D13">
            <w:pPr>
              <w:pStyle w:val="Tbla-jobb"/>
            </w:pPr>
            <w:r w:rsidRPr="00A35D13">
              <w:t>640</w:t>
            </w:r>
          </w:p>
        </w:tc>
        <w:tc>
          <w:tcPr>
            <w:tcW w:w="765" w:type="pct"/>
            <w:vAlign w:val="center"/>
          </w:tcPr>
          <w:p w:rsidR="00011C3B" w:rsidRPr="00A35D13" w:rsidRDefault="00011C3B" w:rsidP="00A35D13">
            <w:pPr>
              <w:pStyle w:val="Tbla-jobb"/>
            </w:pPr>
            <w:r w:rsidRPr="00A35D13">
              <w:t>968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más beruházások</w:t>
            </w:r>
          </w:p>
        </w:tc>
        <w:tc>
          <w:tcPr>
            <w:tcW w:w="726" w:type="pct"/>
            <w:shd w:val="clear" w:color="auto" w:fill="auto"/>
            <w:vAlign w:val="center"/>
          </w:tcPr>
          <w:p w:rsidR="00011C3B" w:rsidRPr="00A35D13" w:rsidRDefault="00011C3B" w:rsidP="00A35D13">
            <w:pPr>
              <w:pStyle w:val="Tbla-jobb"/>
            </w:pPr>
            <w:r w:rsidRPr="00A35D13">
              <w:t>320</w:t>
            </w:r>
          </w:p>
        </w:tc>
        <w:tc>
          <w:tcPr>
            <w:tcW w:w="765" w:type="pct"/>
            <w:vAlign w:val="center"/>
          </w:tcPr>
          <w:p w:rsidR="00011C3B" w:rsidRPr="00A35D13" w:rsidRDefault="00011C3B" w:rsidP="00A35D13">
            <w:pPr>
              <w:pStyle w:val="Tbla-jobb"/>
            </w:pPr>
            <w:r w:rsidRPr="00A35D13">
              <w:t>560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Mezőgazdasági terület jellege (TF 8, a 2003/369/EK alapján)</w:t>
            </w:r>
          </w:p>
        </w:tc>
        <w:tc>
          <w:tcPr>
            <w:tcW w:w="726" w:type="pct"/>
            <w:shd w:val="clear" w:color="auto" w:fill="auto"/>
            <w:vAlign w:val="center"/>
          </w:tcPr>
          <w:p w:rsidR="00011C3B" w:rsidRPr="00A35D13" w:rsidRDefault="00011C3B" w:rsidP="00A35D13">
            <w:pPr>
              <w:pStyle w:val="Tbla-jobb"/>
            </w:pPr>
            <w:r w:rsidRPr="00A35D13">
              <w:t> </w:t>
            </w:r>
          </w:p>
        </w:tc>
        <w:tc>
          <w:tcPr>
            <w:tcW w:w="765" w:type="pct"/>
            <w:vAlign w:val="center"/>
          </w:tcPr>
          <w:p w:rsidR="00011C3B" w:rsidRPr="00A35D13" w:rsidRDefault="00011C3B" w:rsidP="00A35D13">
            <w:pPr>
              <w:pStyle w:val="Tbla-jobb"/>
            </w:pP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Szántóföldi növénytermesztés – bio/egyéb</w:t>
            </w:r>
          </w:p>
        </w:tc>
        <w:tc>
          <w:tcPr>
            <w:tcW w:w="726" w:type="pct"/>
            <w:shd w:val="clear" w:color="auto" w:fill="auto"/>
            <w:vAlign w:val="center"/>
          </w:tcPr>
          <w:p w:rsidR="00011C3B" w:rsidRPr="00A35D13" w:rsidRDefault="00011C3B" w:rsidP="00A35D13">
            <w:pPr>
              <w:pStyle w:val="Tbla-jobb"/>
            </w:pPr>
            <w:r w:rsidRPr="00A35D13">
              <w:t>110/1</w:t>
            </w:r>
            <w:r w:rsidR="0019195F" w:rsidRPr="00A35D13">
              <w:t xml:space="preserve"> </w:t>
            </w:r>
            <w:r w:rsidRPr="00A35D13">
              <w:t>170</w:t>
            </w:r>
          </w:p>
        </w:tc>
        <w:tc>
          <w:tcPr>
            <w:tcW w:w="765" w:type="pct"/>
            <w:shd w:val="clear" w:color="auto" w:fill="auto"/>
            <w:vAlign w:val="center"/>
          </w:tcPr>
          <w:p w:rsidR="00011C3B" w:rsidRPr="00A35D13" w:rsidRDefault="00011C3B" w:rsidP="00A35D13">
            <w:pPr>
              <w:pStyle w:val="Tbla-jobb"/>
            </w:pPr>
            <w:r w:rsidRPr="00A35D13">
              <w:t>12/447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Kertészet – bio/egyéb</w:t>
            </w:r>
          </w:p>
        </w:tc>
        <w:tc>
          <w:tcPr>
            <w:tcW w:w="726" w:type="pct"/>
            <w:shd w:val="clear" w:color="auto" w:fill="auto"/>
            <w:vAlign w:val="center"/>
          </w:tcPr>
          <w:p w:rsidR="00011C3B" w:rsidRPr="00A35D13" w:rsidRDefault="00011C3B" w:rsidP="00A35D13">
            <w:pPr>
              <w:pStyle w:val="Tbla-jobb"/>
            </w:pPr>
            <w:r w:rsidRPr="00A35D13">
              <w:t>21/139</w:t>
            </w:r>
          </w:p>
        </w:tc>
        <w:tc>
          <w:tcPr>
            <w:tcW w:w="765" w:type="pct"/>
            <w:shd w:val="clear" w:color="auto" w:fill="auto"/>
            <w:vAlign w:val="center"/>
          </w:tcPr>
          <w:p w:rsidR="00011C3B" w:rsidRPr="00A35D13" w:rsidRDefault="00011C3B" w:rsidP="00A35D13">
            <w:pPr>
              <w:pStyle w:val="Tbla-jobb"/>
            </w:pPr>
            <w:r w:rsidRPr="00A35D13">
              <w:t>0,5/165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Bor – bio/egyéb</w:t>
            </w:r>
          </w:p>
        </w:tc>
        <w:tc>
          <w:tcPr>
            <w:tcW w:w="726" w:type="pct"/>
            <w:shd w:val="clear" w:color="auto" w:fill="auto"/>
            <w:vAlign w:val="center"/>
          </w:tcPr>
          <w:p w:rsidR="00011C3B" w:rsidRPr="00A35D13" w:rsidRDefault="00011C3B" w:rsidP="00A35D13">
            <w:pPr>
              <w:pStyle w:val="Tbla-jobb"/>
            </w:pPr>
            <w:r w:rsidRPr="00A35D13">
              <w:t>8/88</w:t>
            </w:r>
          </w:p>
        </w:tc>
        <w:tc>
          <w:tcPr>
            <w:tcW w:w="765" w:type="pct"/>
            <w:shd w:val="clear" w:color="auto" w:fill="auto"/>
            <w:vAlign w:val="center"/>
          </w:tcPr>
          <w:p w:rsidR="00011C3B" w:rsidRPr="00A35D13" w:rsidRDefault="00011C3B" w:rsidP="00A35D13">
            <w:pPr>
              <w:pStyle w:val="Tbla-jobb"/>
            </w:pPr>
            <w:r w:rsidRPr="00A35D13">
              <w:t>0,5/12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Monokultúra – bio/egyéb</w:t>
            </w:r>
          </w:p>
        </w:tc>
        <w:tc>
          <w:tcPr>
            <w:tcW w:w="726" w:type="pct"/>
            <w:shd w:val="clear" w:color="auto" w:fill="auto"/>
            <w:vAlign w:val="center"/>
          </w:tcPr>
          <w:p w:rsidR="00011C3B" w:rsidRPr="00A35D13" w:rsidRDefault="00011C3B" w:rsidP="00A35D13">
            <w:pPr>
              <w:pStyle w:val="Tbla-jobb"/>
            </w:pPr>
            <w:r w:rsidRPr="00A35D13">
              <w:t>25/39</w:t>
            </w:r>
          </w:p>
        </w:tc>
        <w:tc>
          <w:tcPr>
            <w:tcW w:w="765" w:type="pct"/>
            <w:shd w:val="clear" w:color="auto" w:fill="auto"/>
            <w:vAlign w:val="center"/>
          </w:tcPr>
          <w:p w:rsidR="00011C3B" w:rsidRPr="00A35D13" w:rsidRDefault="00011C3B" w:rsidP="00A35D13">
            <w:pPr>
              <w:pStyle w:val="Tbla-jobb"/>
            </w:pPr>
            <w:r w:rsidRPr="00A35D13">
              <w:t>2/60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Tejtermelés – bio/egyéb</w:t>
            </w:r>
          </w:p>
        </w:tc>
        <w:tc>
          <w:tcPr>
            <w:tcW w:w="726" w:type="pct"/>
            <w:shd w:val="clear" w:color="auto" w:fill="auto"/>
            <w:vAlign w:val="center"/>
          </w:tcPr>
          <w:p w:rsidR="00011C3B" w:rsidRPr="00A35D13" w:rsidRDefault="00011C3B" w:rsidP="00A35D13">
            <w:pPr>
              <w:pStyle w:val="Tbla-jobb"/>
            </w:pPr>
            <w:r w:rsidRPr="00A35D13">
              <w:t>7/89</w:t>
            </w:r>
          </w:p>
        </w:tc>
        <w:tc>
          <w:tcPr>
            <w:tcW w:w="765" w:type="pct"/>
            <w:shd w:val="clear" w:color="auto" w:fill="auto"/>
            <w:vAlign w:val="center"/>
          </w:tcPr>
          <w:p w:rsidR="00011C3B" w:rsidRPr="00A35D13" w:rsidRDefault="00011C3B" w:rsidP="00A35D13">
            <w:pPr>
              <w:pStyle w:val="Tbla-jobb"/>
            </w:pPr>
            <w:r w:rsidRPr="00A35D13">
              <w:t>4/249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Legeltetéses állattartás (kivéve tejtermelés) – bio/egyéb</w:t>
            </w:r>
          </w:p>
        </w:tc>
        <w:tc>
          <w:tcPr>
            <w:tcW w:w="726" w:type="pct"/>
            <w:shd w:val="clear" w:color="auto" w:fill="auto"/>
            <w:vAlign w:val="center"/>
          </w:tcPr>
          <w:p w:rsidR="00011C3B" w:rsidRPr="00A35D13" w:rsidRDefault="00011C3B" w:rsidP="00A35D13">
            <w:pPr>
              <w:pStyle w:val="Tbla-jobb"/>
            </w:pPr>
            <w:r w:rsidRPr="00A35D13">
              <w:t>14/114</w:t>
            </w:r>
          </w:p>
        </w:tc>
        <w:tc>
          <w:tcPr>
            <w:tcW w:w="765" w:type="pct"/>
            <w:shd w:val="clear" w:color="auto" w:fill="auto"/>
            <w:vAlign w:val="center"/>
          </w:tcPr>
          <w:p w:rsidR="00011C3B" w:rsidRPr="00A35D13" w:rsidRDefault="00011C3B" w:rsidP="00A35D13">
            <w:pPr>
              <w:pStyle w:val="Tbla-jobb"/>
            </w:pPr>
            <w:r w:rsidRPr="00A35D13">
              <w:t>6/75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Sertés és/vagy baromfi – bio/egyéb</w:t>
            </w:r>
          </w:p>
        </w:tc>
        <w:tc>
          <w:tcPr>
            <w:tcW w:w="726" w:type="pct"/>
            <w:shd w:val="clear" w:color="auto" w:fill="auto"/>
            <w:vAlign w:val="center"/>
          </w:tcPr>
          <w:p w:rsidR="00011C3B" w:rsidRPr="00A35D13" w:rsidRDefault="00011C3B" w:rsidP="00A35D13">
            <w:pPr>
              <w:pStyle w:val="Tbla-jobb"/>
            </w:pPr>
            <w:r w:rsidRPr="00A35D13">
              <w:t>10/86</w:t>
            </w:r>
          </w:p>
        </w:tc>
        <w:tc>
          <w:tcPr>
            <w:tcW w:w="765" w:type="pct"/>
            <w:shd w:val="clear" w:color="auto" w:fill="auto"/>
            <w:vAlign w:val="center"/>
          </w:tcPr>
          <w:p w:rsidR="00011C3B" w:rsidRPr="00A35D13" w:rsidRDefault="00011C3B" w:rsidP="00A35D13">
            <w:pPr>
              <w:pStyle w:val="Tbla-jobb"/>
            </w:pPr>
            <w:r w:rsidRPr="00A35D13">
              <w:t>9/524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Vegyes (növénytermesztés + állattartás) – bio/egyéb</w:t>
            </w:r>
          </w:p>
        </w:tc>
        <w:tc>
          <w:tcPr>
            <w:tcW w:w="726" w:type="pct"/>
            <w:shd w:val="clear" w:color="auto" w:fill="auto"/>
            <w:vAlign w:val="center"/>
          </w:tcPr>
          <w:p w:rsidR="00011C3B" w:rsidRPr="00A35D13" w:rsidRDefault="00011C3B" w:rsidP="00A35D13">
            <w:pPr>
              <w:pStyle w:val="Tbla-jobb"/>
            </w:pPr>
            <w:r w:rsidRPr="00A35D13">
              <w:t>140/1</w:t>
            </w:r>
            <w:r w:rsidR="0019195F" w:rsidRPr="00A35D13">
              <w:t xml:space="preserve"> </w:t>
            </w:r>
            <w:r w:rsidRPr="00A35D13">
              <w:t>140</w:t>
            </w:r>
          </w:p>
        </w:tc>
        <w:tc>
          <w:tcPr>
            <w:tcW w:w="765" w:type="pct"/>
            <w:shd w:val="clear" w:color="auto" w:fill="auto"/>
            <w:vAlign w:val="center"/>
          </w:tcPr>
          <w:p w:rsidR="00011C3B" w:rsidRPr="00A35D13" w:rsidRDefault="00011C3B" w:rsidP="00A35D13">
            <w:pPr>
              <w:pStyle w:val="Tbla-jobb"/>
            </w:pPr>
            <w:r w:rsidRPr="00A35D13">
              <w:t>1/399 millió</w:t>
            </w:r>
          </w:p>
        </w:tc>
      </w:tr>
      <w:tr w:rsidR="00011C3B" w:rsidRPr="00CD0210"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Energetikai célú fás ültetvény (hektár)</w:t>
            </w:r>
          </w:p>
        </w:tc>
        <w:tc>
          <w:tcPr>
            <w:tcW w:w="726" w:type="pct"/>
            <w:shd w:val="clear" w:color="auto" w:fill="auto"/>
            <w:noWrap/>
            <w:vAlign w:val="center"/>
          </w:tcPr>
          <w:p w:rsidR="00011C3B" w:rsidRPr="00A35D13" w:rsidRDefault="00011C3B" w:rsidP="00A35D13">
            <w:pPr>
              <w:pStyle w:val="Tbla-jobb"/>
            </w:pPr>
          </w:p>
        </w:tc>
        <w:tc>
          <w:tcPr>
            <w:tcW w:w="765" w:type="pct"/>
            <w:vAlign w:val="center"/>
          </w:tcPr>
          <w:p w:rsidR="00011C3B" w:rsidRPr="00A35D13" w:rsidRDefault="00011C3B" w:rsidP="00A35D13">
            <w:pPr>
              <w:pStyle w:val="Tbla-jobb"/>
            </w:pPr>
          </w:p>
        </w:tc>
      </w:tr>
      <w:tr w:rsidR="00011C3B" w:rsidRPr="006F0141" w:rsidTr="002C1255">
        <w:trPr>
          <w:cantSplit/>
          <w:jc w:val="center"/>
        </w:trPr>
        <w:tc>
          <w:tcPr>
            <w:tcW w:w="326" w:type="pct"/>
            <w:vMerge/>
            <w:vAlign w:val="center"/>
          </w:tcPr>
          <w:p w:rsidR="00011C3B" w:rsidRPr="00CD0210" w:rsidRDefault="00011C3B" w:rsidP="00A35D13">
            <w:pPr>
              <w:rPr>
                <w:sz w:val="20"/>
                <w:szCs w:val="20"/>
              </w:rPr>
            </w:pPr>
          </w:p>
        </w:tc>
        <w:tc>
          <w:tcPr>
            <w:tcW w:w="3183" w:type="pct"/>
            <w:shd w:val="clear" w:color="auto" w:fill="auto"/>
            <w:vAlign w:val="center"/>
          </w:tcPr>
          <w:p w:rsidR="00011C3B" w:rsidRPr="00ED13EB" w:rsidRDefault="00011C3B" w:rsidP="007B5AEF">
            <w:pPr>
              <w:pStyle w:val="Tbla-bal"/>
            </w:pPr>
            <w:r w:rsidRPr="00ED13EB">
              <w:t>Megújuló energia – biomassza</w:t>
            </w:r>
          </w:p>
        </w:tc>
        <w:tc>
          <w:tcPr>
            <w:tcW w:w="726" w:type="pct"/>
            <w:shd w:val="clear" w:color="auto" w:fill="auto"/>
            <w:vAlign w:val="center"/>
          </w:tcPr>
          <w:p w:rsidR="00011C3B" w:rsidRPr="00ED13EB" w:rsidRDefault="00011C3B" w:rsidP="00A35D13">
            <w:pPr>
              <w:pStyle w:val="Tbla-jobb"/>
            </w:pPr>
            <w:r w:rsidRPr="00ED13EB">
              <w:t>49</w:t>
            </w:r>
            <w:r w:rsidR="0019195F" w:rsidRPr="00ED13EB">
              <w:t xml:space="preserve"> </w:t>
            </w:r>
            <w:r w:rsidRPr="00ED13EB">
              <w:t xml:space="preserve">000 </w:t>
            </w:r>
          </w:p>
        </w:tc>
        <w:tc>
          <w:tcPr>
            <w:tcW w:w="765" w:type="pct"/>
            <w:vAlign w:val="center"/>
          </w:tcPr>
          <w:p w:rsidR="00011C3B" w:rsidRPr="00ED13EB" w:rsidRDefault="00011C3B" w:rsidP="00A35D13">
            <w:pPr>
              <w:pStyle w:val="Tbla-jobb"/>
            </w:pPr>
            <w:r w:rsidRPr="00ED13EB">
              <w:t>NA</w:t>
            </w:r>
          </w:p>
        </w:tc>
      </w:tr>
      <w:tr w:rsidR="00011C3B" w:rsidRPr="00CD0210" w:rsidTr="002C1255">
        <w:trPr>
          <w:cantSplit/>
          <w:jc w:val="center"/>
        </w:trPr>
        <w:tc>
          <w:tcPr>
            <w:tcW w:w="326" w:type="pct"/>
            <w:vMerge w:val="restart"/>
            <w:shd w:val="clear" w:color="auto" w:fill="auto"/>
            <w:vAlign w:val="center"/>
          </w:tcPr>
          <w:p w:rsidR="00011C3B" w:rsidRPr="00CD0210" w:rsidRDefault="00011C3B" w:rsidP="00A35D13">
            <w:pPr>
              <w:rPr>
                <w:sz w:val="20"/>
                <w:szCs w:val="20"/>
              </w:rPr>
            </w:pPr>
            <w:r w:rsidRPr="00CD0210">
              <w:rPr>
                <w:sz w:val="20"/>
                <w:szCs w:val="20"/>
              </w:rPr>
              <w:t>R</w:t>
            </w:r>
          </w:p>
        </w:tc>
        <w:tc>
          <w:tcPr>
            <w:tcW w:w="3183" w:type="pct"/>
            <w:shd w:val="clear" w:color="auto" w:fill="auto"/>
            <w:vAlign w:val="center"/>
          </w:tcPr>
          <w:p w:rsidR="00011C3B" w:rsidRPr="00CD0210" w:rsidRDefault="00011C3B" w:rsidP="007B5AEF">
            <w:pPr>
              <w:pStyle w:val="Tbla-bal"/>
            </w:pPr>
            <w:r w:rsidRPr="00CD0210">
              <w:t>Az új termékeket vagy technológiákat bevezető birtokok száma</w:t>
            </w:r>
          </w:p>
        </w:tc>
        <w:tc>
          <w:tcPr>
            <w:tcW w:w="726" w:type="pct"/>
            <w:shd w:val="clear" w:color="auto" w:fill="auto"/>
            <w:noWrap/>
            <w:vAlign w:val="center"/>
          </w:tcPr>
          <w:p w:rsidR="00011C3B" w:rsidRPr="00A35D13" w:rsidRDefault="00011C3B" w:rsidP="00A35D13">
            <w:pPr>
              <w:pStyle w:val="Tbla-jobb"/>
            </w:pPr>
          </w:p>
        </w:tc>
        <w:tc>
          <w:tcPr>
            <w:tcW w:w="765" w:type="pct"/>
            <w:shd w:val="clear" w:color="auto" w:fill="auto"/>
            <w:vAlign w:val="center"/>
          </w:tcPr>
          <w:p w:rsidR="00011C3B" w:rsidRPr="00A35D13" w:rsidRDefault="00011C3B" w:rsidP="00A35D13">
            <w:pPr>
              <w:pStyle w:val="Tbla-jobb"/>
              <w:rPr>
                <w:highlight w:val="yellow"/>
              </w:rPr>
            </w:pPr>
            <w:r w:rsidRPr="00A35D13">
              <w:t>3</w:t>
            </w:r>
            <w:r w:rsidR="0019195F" w:rsidRPr="00A35D13">
              <w:t xml:space="preserve"> </w:t>
            </w:r>
            <w:r w:rsidRPr="00A35D13">
              <w:t>564</w:t>
            </w:r>
          </w:p>
        </w:tc>
      </w:tr>
      <w:tr w:rsidR="00011C3B" w:rsidRPr="00CD0210"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7B5AEF">
            <w:pPr>
              <w:pStyle w:val="Tbla-bal"/>
            </w:pPr>
            <w:r w:rsidRPr="00CD0210">
              <w:t>Ágazat</w:t>
            </w:r>
          </w:p>
        </w:tc>
        <w:tc>
          <w:tcPr>
            <w:tcW w:w="726" w:type="pct"/>
            <w:shd w:val="clear" w:color="auto" w:fill="auto"/>
            <w:noWrap/>
            <w:vAlign w:val="center"/>
          </w:tcPr>
          <w:p w:rsidR="00011C3B" w:rsidRPr="00A35D13" w:rsidRDefault="00011C3B" w:rsidP="00A35D13">
            <w:pPr>
              <w:pStyle w:val="Tbla-jobb"/>
            </w:pPr>
          </w:p>
        </w:tc>
        <w:tc>
          <w:tcPr>
            <w:tcW w:w="765" w:type="pct"/>
            <w:shd w:val="clear" w:color="auto" w:fill="auto"/>
            <w:vAlign w:val="center"/>
          </w:tcPr>
          <w:p w:rsidR="00011C3B" w:rsidRPr="00A35D13" w:rsidRDefault="00011C3B" w:rsidP="00A35D13">
            <w:pPr>
              <w:pStyle w:val="Tbla-jobb"/>
              <w:rPr>
                <w:highlight w:val="yellow"/>
              </w:rPr>
            </w:pPr>
          </w:p>
        </w:tc>
      </w:tr>
      <w:tr w:rsidR="00011C3B" w:rsidRPr="00CD0210"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Szántóföldi gazdálkodás</w:t>
            </w:r>
          </w:p>
        </w:tc>
        <w:tc>
          <w:tcPr>
            <w:tcW w:w="726" w:type="pct"/>
            <w:shd w:val="clear" w:color="auto" w:fill="auto"/>
            <w:vAlign w:val="center"/>
          </w:tcPr>
          <w:p w:rsidR="00011C3B" w:rsidRPr="00A35D13" w:rsidRDefault="00011C3B" w:rsidP="00A35D13">
            <w:pPr>
              <w:pStyle w:val="Tbla-jobb"/>
            </w:pPr>
            <w:r w:rsidRPr="00A35D13">
              <w:t>3</w:t>
            </w:r>
            <w:r w:rsidR="0019195F" w:rsidRPr="00A35D13">
              <w:t xml:space="preserve"> </w:t>
            </w:r>
            <w:r w:rsidRPr="00A35D13">
              <w:t xml:space="preserve">300 </w:t>
            </w:r>
          </w:p>
        </w:tc>
        <w:tc>
          <w:tcPr>
            <w:tcW w:w="765" w:type="pct"/>
            <w:shd w:val="clear" w:color="auto" w:fill="auto"/>
            <w:vAlign w:val="center"/>
          </w:tcPr>
          <w:p w:rsidR="00011C3B" w:rsidRPr="00A35D13" w:rsidRDefault="00011C3B" w:rsidP="00A35D13">
            <w:pPr>
              <w:pStyle w:val="Tbla-jobb"/>
              <w:rPr>
                <w:highlight w:val="yellow"/>
              </w:rPr>
            </w:pPr>
            <w:r w:rsidRPr="00A35D13">
              <w:t>2</w:t>
            </w:r>
            <w:r w:rsidR="0019195F" w:rsidRPr="00A35D13">
              <w:t xml:space="preserve"> </w:t>
            </w:r>
            <w:r w:rsidRPr="00A35D13">
              <w:t>184</w:t>
            </w:r>
          </w:p>
        </w:tc>
      </w:tr>
      <w:tr w:rsidR="00011C3B" w:rsidRPr="00BD148F"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Állattenyésztés</w:t>
            </w:r>
          </w:p>
        </w:tc>
        <w:tc>
          <w:tcPr>
            <w:tcW w:w="726" w:type="pct"/>
            <w:shd w:val="clear" w:color="auto" w:fill="auto"/>
            <w:vAlign w:val="center"/>
          </w:tcPr>
          <w:p w:rsidR="00011C3B" w:rsidRPr="00A35D13" w:rsidRDefault="00011C3B" w:rsidP="00A35D13">
            <w:pPr>
              <w:pStyle w:val="Tbla-jobb"/>
            </w:pPr>
            <w:r w:rsidRPr="00A35D13">
              <w:t>1</w:t>
            </w:r>
            <w:r w:rsidR="0019195F" w:rsidRPr="00A35D13">
              <w:t xml:space="preserve"> </w:t>
            </w:r>
            <w:r w:rsidRPr="00A35D13">
              <w:t xml:space="preserve">000 </w:t>
            </w:r>
          </w:p>
        </w:tc>
        <w:tc>
          <w:tcPr>
            <w:tcW w:w="765" w:type="pct"/>
            <w:shd w:val="clear" w:color="auto" w:fill="auto"/>
            <w:vAlign w:val="center"/>
          </w:tcPr>
          <w:p w:rsidR="00011C3B" w:rsidRPr="00A35D13" w:rsidRDefault="00011C3B" w:rsidP="00A35D13">
            <w:pPr>
              <w:pStyle w:val="Tbla-jobb"/>
            </w:pPr>
            <w:r w:rsidRPr="00A35D13">
              <w:t>678</w:t>
            </w:r>
          </w:p>
        </w:tc>
      </w:tr>
      <w:tr w:rsidR="00011C3B" w:rsidRPr="00CD0210"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Kertészet</w:t>
            </w:r>
          </w:p>
        </w:tc>
        <w:tc>
          <w:tcPr>
            <w:tcW w:w="726" w:type="pct"/>
            <w:shd w:val="clear" w:color="auto" w:fill="auto"/>
            <w:vAlign w:val="center"/>
          </w:tcPr>
          <w:p w:rsidR="00011C3B" w:rsidRPr="00A35D13" w:rsidRDefault="00011C3B" w:rsidP="00A35D13">
            <w:pPr>
              <w:pStyle w:val="Tbla-jobb"/>
            </w:pPr>
            <w:r w:rsidRPr="00A35D13">
              <w:t>2</w:t>
            </w:r>
            <w:r w:rsidR="0019195F" w:rsidRPr="00A35D13">
              <w:t xml:space="preserve"> </w:t>
            </w:r>
            <w:r w:rsidRPr="00A35D13">
              <w:t xml:space="preserve">000 </w:t>
            </w:r>
          </w:p>
        </w:tc>
        <w:tc>
          <w:tcPr>
            <w:tcW w:w="765" w:type="pct"/>
            <w:shd w:val="clear" w:color="auto" w:fill="auto"/>
            <w:vAlign w:val="center"/>
          </w:tcPr>
          <w:p w:rsidR="00011C3B" w:rsidRPr="00A35D13" w:rsidRDefault="00011C3B" w:rsidP="00A35D13">
            <w:pPr>
              <w:pStyle w:val="Tbla-jobb"/>
              <w:rPr>
                <w:highlight w:val="yellow"/>
              </w:rPr>
            </w:pPr>
            <w:r w:rsidRPr="00A35D13">
              <w:t>220</w:t>
            </w:r>
          </w:p>
        </w:tc>
      </w:tr>
      <w:tr w:rsidR="00011C3B" w:rsidRPr="00BD148F"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 xml:space="preserve">Megújuló energia </w:t>
            </w:r>
          </w:p>
        </w:tc>
        <w:tc>
          <w:tcPr>
            <w:tcW w:w="726" w:type="pct"/>
            <w:shd w:val="clear" w:color="auto" w:fill="auto"/>
            <w:vAlign w:val="center"/>
          </w:tcPr>
          <w:p w:rsidR="00011C3B" w:rsidRPr="00A35D13" w:rsidRDefault="00011C3B" w:rsidP="00A35D13">
            <w:pPr>
              <w:pStyle w:val="Tbla-jobb"/>
            </w:pPr>
            <w:r w:rsidRPr="00A35D13">
              <w:t>4</w:t>
            </w:r>
            <w:r w:rsidR="0019195F" w:rsidRPr="00A35D13">
              <w:t xml:space="preserve"> </w:t>
            </w:r>
            <w:r w:rsidRPr="00A35D13">
              <w:t xml:space="preserve">000 </w:t>
            </w:r>
          </w:p>
        </w:tc>
        <w:tc>
          <w:tcPr>
            <w:tcW w:w="765" w:type="pct"/>
            <w:shd w:val="clear" w:color="auto" w:fill="auto"/>
            <w:vAlign w:val="center"/>
          </w:tcPr>
          <w:p w:rsidR="00011C3B" w:rsidRPr="00A35D13" w:rsidRDefault="00011C3B" w:rsidP="00A35D13">
            <w:pPr>
              <w:pStyle w:val="Tbla-jobb"/>
            </w:pPr>
            <w:r w:rsidRPr="00A35D13">
              <w:t>258</w:t>
            </w:r>
          </w:p>
        </w:tc>
      </w:tr>
      <w:tr w:rsidR="00011C3B" w:rsidRPr="00BD148F"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Üzemi diverzifikáció</w:t>
            </w:r>
          </w:p>
        </w:tc>
        <w:tc>
          <w:tcPr>
            <w:tcW w:w="726" w:type="pct"/>
            <w:shd w:val="clear" w:color="auto" w:fill="auto"/>
            <w:vAlign w:val="center"/>
          </w:tcPr>
          <w:p w:rsidR="00011C3B" w:rsidRPr="00A35D13" w:rsidRDefault="00011C3B" w:rsidP="00A35D13">
            <w:pPr>
              <w:pStyle w:val="Tbla-jobb"/>
            </w:pPr>
            <w:r w:rsidRPr="00A35D13">
              <w:t>200</w:t>
            </w:r>
          </w:p>
        </w:tc>
        <w:tc>
          <w:tcPr>
            <w:tcW w:w="765" w:type="pct"/>
            <w:shd w:val="clear" w:color="auto" w:fill="auto"/>
            <w:vAlign w:val="center"/>
          </w:tcPr>
          <w:p w:rsidR="00011C3B" w:rsidRPr="00A35D13" w:rsidRDefault="00011C3B" w:rsidP="00A35D13">
            <w:pPr>
              <w:pStyle w:val="Tbla-jobb"/>
            </w:pPr>
            <w:r w:rsidRPr="00A35D13">
              <w:t>224</w:t>
            </w:r>
          </w:p>
        </w:tc>
      </w:tr>
      <w:tr w:rsidR="00011C3B" w:rsidRPr="00CD0210"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Összesen</w:t>
            </w:r>
          </w:p>
        </w:tc>
        <w:tc>
          <w:tcPr>
            <w:tcW w:w="726" w:type="pct"/>
            <w:shd w:val="clear" w:color="auto" w:fill="auto"/>
            <w:vAlign w:val="center"/>
          </w:tcPr>
          <w:p w:rsidR="00011C3B" w:rsidRPr="00A35D13" w:rsidRDefault="00011C3B" w:rsidP="00A35D13">
            <w:pPr>
              <w:pStyle w:val="Tbla-jobb"/>
            </w:pPr>
            <w:r w:rsidRPr="00A35D13">
              <w:t>10</w:t>
            </w:r>
            <w:r w:rsidR="0019195F" w:rsidRPr="00A35D13">
              <w:t xml:space="preserve"> </w:t>
            </w:r>
            <w:r w:rsidRPr="00A35D13">
              <w:t>500</w:t>
            </w:r>
          </w:p>
        </w:tc>
        <w:tc>
          <w:tcPr>
            <w:tcW w:w="765" w:type="pct"/>
            <w:shd w:val="clear" w:color="auto" w:fill="auto"/>
            <w:vAlign w:val="center"/>
          </w:tcPr>
          <w:p w:rsidR="00011C3B" w:rsidRPr="00A35D13" w:rsidRDefault="00011C3B" w:rsidP="00A35D13">
            <w:pPr>
              <w:pStyle w:val="Tbla-jobb"/>
              <w:rPr>
                <w:highlight w:val="yellow"/>
              </w:rPr>
            </w:pPr>
            <w:r w:rsidRPr="00A35D13">
              <w:t>3</w:t>
            </w:r>
            <w:r w:rsidR="0019195F" w:rsidRPr="00A35D13">
              <w:t xml:space="preserve"> </w:t>
            </w:r>
            <w:r w:rsidRPr="00A35D13">
              <w:t>564</w:t>
            </w:r>
          </w:p>
        </w:tc>
      </w:tr>
      <w:tr w:rsidR="00011C3B" w:rsidRPr="00CD0210"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rPr>
                <w:sz w:val="20"/>
                <w:szCs w:val="20"/>
              </w:rPr>
            </w:pPr>
            <w:r w:rsidRPr="00CD0210">
              <w:rPr>
                <w:sz w:val="20"/>
                <w:szCs w:val="20"/>
              </w:rPr>
              <w:t>Intézkedés</w:t>
            </w:r>
          </w:p>
        </w:tc>
        <w:tc>
          <w:tcPr>
            <w:tcW w:w="726" w:type="pct"/>
            <w:shd w:val="clear" w:color="auto" w:fill="auto"/>
            <w:vAlign w:val="center"/>
          </w:tcPr>
          <w:p w:rsidR="00011C3B" w:rsidRPr="00A35D13" w:rsidRDefault="00011C3B" w:rsidP="00A35D13">
            <w:pPr>
              <w:pStyle w:val="Tbla-jobb"/>
            </w:pPr>
            <w:r w:rsidRPr="00A35D13">
              <w:t> </w:t>
            </w:r>
          </w:p>
        </w:tc>
        <w:tc>
          <w:tcPr>
            <w:tcW w:w="765" w:type="pct"/>
            <w:shd w:val="clear" w:color="auto" w:fill="auto"/>
            <w:vAlign w:val="center"/>
          </w:tcPr>
          <w:p w:rsidR="00011C3B" w:rsidRPr="00A35D13" w:rsidRDefault="00011C3B" w:rsidP="00A35D13">
            <w:pPr>
              <w:pStyle w:val="Tbla-jobb"/>
              <w:rPr>
                <w:highlight w:val="yellow"/>
              </w:rPr>
            </w:pPr>
          </w:p>
        </w:tc>
      </w:tr>
      <w:tr w:rsidR="00011C3B" w:rsidRPr="00CD0210"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rPr>
                <w:sz w:val="20"/>
                <w:szCs w:val="20"/>
              </w:rPr>
            </w:pPr>
            <w:r w:rsidRPr="00CD0210">
              <w:rPr>
                <w:sz w:val="20"/>
                <w:szCs w:val="20"/>
              </w:rPr>
              <w:t>A birtok/vállalkozás jellege:</w:t>
            </w:r>
          </w:p>
        </w:tc>
        <w:tc>
          <w:tcPr>
            <w:tcW w:w="726" w:type="pct"/>
            <w:shd w:val="clear" w:color="auto" w:fill="auto"/>
            <w:noWrap/>
            <w:vAlign w:val="center"/>
          </w:tcPr>
          <w:p w:rsidR="00011C3B" w:rsidRPr="00A35D13" w:rsidRDefault="00011C3B" w:rsidP="00A35D13">
            <w:pPr>
              <w:pStyle w:val="Tbla-jobb"/>
            </w:pPr>
          </w:p>
        </w:tc>
        <w:tc>
          <w:tcPr>
            <w:tcW w:w="765" w:type="pct"/>
            <w:shd w:val="clear" w:color="auto" w:fill="auto"/>
            <w:vAlign w:val="center"/>
          </w:tcPr>
          <w:p w:rsidR="00011C3B" w:rsidRPr="00A35D13" w:rsidRDefault="00011C3B" w:rsidP="00A35D13">
            <w:pPr>
              <w:pStyle w:val="Tbla-jobb"/>
              <w:rPr>
                <w:highlight w:val="yellow"/>
              </w:rPr>
            </w:pPr>
          </w:p>
        </w:tc>
      </w:tr>
      <w:tr w:rsidR="00011C3B" w:rsidRPr="00BD148F"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Mezőgazdasági üzem</w:t>
            </w:r>
          </w:p>
        </w:tc>
        <w:tc>
          <w:tcPr>
            <w:tcW w:w="726" w:type="pct"/>
            <w:shd w:val="clear" w:color="auto" w:fill="auto"/>
            <w:noWrap/>
            <w:vAlign w:val="center"/>
          </w:tcPr>
          <w:p w:rsidR="00011C3B" w:rsidRPr="00A35D13" w:rsidRDefault="00011C3B" w:rsidP="00A35D13">
            <w:pPr>
              <w:pStyle w:val="Tbla-jobb"/>
            </w:pPr>
            <w:r w:rsidRPr="00A35D13">
              <w:t>9</w:t>
            </w:r>
            <w:r w:rsidR="0019195F" w:rsidRPr="00A35D13">
              <w:t xml:space="preserve"> </w:t>
            </w:r>
            <w:r w:rsidRPr="00A35D13">
              <w:t>660</w:t>
            </w:r>
          </w:p>
        </w:tc>
        <w:tc>
          <w:tcPr>
            <w:tcW w:w="765" w:type="pct"/>
            <w:shd w:val="clear" w:color="auto" w:fill="auto"/>
            <w:vAlign w:val="center"/>
          </w:tcPr>
          <w:p w:rsidR="00011C3B" w:rsidRPr="00A35D13" w:rsidRDefault="00011C3B" w:rsidP="00A35D13">
            <w:pPr>
              <w:pStyle w:val="Tbla-jobb"/>
            </w:pPr>
            <w:r w:rsidRPr="00A35D13">
              <w:t>3</w:t>
            </w:r>
            <w:r w:rsidR="0019195F" w:rsidRPr="00A35D13">
              <w:t xml:space="preserve"> </w:t>
            </w:r>
            <w:r w:rsidRPr="00A35D13">
              <w:t>485</w:t>
            </w:r>
          </w:p>
        </w:tc>
      </w:tr>
      <w:tr w:rsidR="00011C3B" w:rsidRPr="00BD148F"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Erdészeti üzem</w:t>
            </w:r>
          </w:p>
        </w:tc>
        <w:tc>
          <w:tcPr>
            <w:tcW w:w="726" w:type="pct"/>
            <w:shd w:val="clear" w:color="auto" w:fill="auto"/>
            <w:noWrap/>
            <w:vAlign w:val="center"/>
          </w:tcPr>
          <w:p w:rsidR="00011C3B" w:rsidRPr="00A35D13" w:rsidRDefault="00011C3B" w:rsidP="00A35D13">
            <w:pPr>
              <w:pStyle w:val="Tbla-jobb"/>
            </w:pPr>
            <w:r w:rsidRPr="00A35D13">
              <w:t>630</w:t>
            </w:r>
          </w:p>
        </w:tc>
        <w:tc>
          <w:tcPr>
            <w:tcW w:w="765" w:type="pct"/>
            <w:shd w:val="clear" w:color="auto" w:fill="auto"/>
            <w:vAlign w:val="center"/>
          </w:tcPr>
          <w:p w:rsidR="00011C3B" w:rsidRPr="00A35D13" w:rsidRDefault="00011C3B" w:rsidP="00A35D13">
            <w:pPr>
              <w:pStyle w:val="Tbla-jobb"/>
            </w:pPr>
            <w:r w:rsidRPr="00A35D13">
              <w:t>6</w:t>
            </w:r>
          </w:p>
        </w:tc>
      </w:tr>
      <w:tr w:rsidR="00011C3B" w:rsidRPr="00BD148F"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BB58EE">
            <w:pPr>
              <w:pStyle w:val="Normltblabal3pckkel"/>
            </w:pPr>
            <w:r w:rsidRPr="00CD0210">
              <w:t xml:space="preserve">Élelmiszeripari vállalkozás </w:t>
            </w:r>
          </w:p>
        </w:tc>
        <w:tc>
          <w:tcPr>
            <w:tcW w:w="726" w:type="pct"/>
            <w:shd w:val="clear" w:color="auto" w:fill="auto"/>
            <w:noWrap/>
            <w:vAlign w:val="center"/>
          </w:tcPr>
          <w:p w:rsidR="00011C3B" w:rsidRPr="00A35D13" w:rsidRDefault="00011C3B" w:rsidP="00A35D13">
            <w:pPr>
              <w:pStyle w:val="Tbla-jobb"/>
            </w:pPr>
            <w:r w:rsidRPr="00A35D13">
              <w:t>210</w:t>
            </w:r>
          </w:p>
        </w:tc>
        <w:tc>
          <w:tcPr>
            <w:tcW w:w="765" w:type="pct"/>
            <w:shd w:val="clear" w:color="auto" w:fill="auto"/>
            <w:vAlign w:val="center"/>
          </w:tcPr>
          <w:p w:rsidR="00011C3B" w:rsidRPr="00A35D13" w:rsidRDefault="00011C3B" w:rsidP="00A35D13">
            <w:pPr>
              <w:pStyle w:val="Tbla-jobb"/>
            </w:pPr>
            <w:r w:rsidRPr="00A35D13">
              <w:t>73</w:t>
            </w:r>
          </w:p>
        </w:tc>
      </w:tr>
      <w:tr w:rsidR="00011C3B" w:rsidRPr="00CD0210"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rPr>
                <w:sz w:val="20"/>
                <w:szCs w:val="20"/>
              </w:rPr>
            </w:pPr>
            <w:r w:rsidRPr="00CD0210">
              <w:rPr>
                <w:sz w:val="20"/>
                <w:szCs w:val="20"/>
              </w:rPr>
              <w:t>A termelés átcsoportosításának jellege:</w:t>
            </w:r>
            <w:r w:rsidRPr="00CD0210">
              <w:rPr>
                <w:sz w:val="20"/>
                <w:szCs w:val="20"/>
                <w:lang w:val="en-GB"/>
              </w:rPr>
              <w:t xml:space="preserve"> </w:t>
            </w:r>
          </w:p>
        </w:tc>
        <w:tc>
          <w:tcPr>
            <w:tcW w:w="726" w:type="pct"/>
            <w:shd w:val="clear" w:color="auto" w:fill="auto"/>
            <w:noWrap/>
            <w:vAlign w:val="center"/>
          </w:tcPr>
          <w:p w:rsidR="00011C3B" w:rsidRPr="00A35D13" w:rsidRDefault="00011C3B" w:rsidP="00A35D13">
            <w:pPr>
              <w:pStyle w:val="Tbla-jobb"/>
            </w:pPr>
          </w:p>
        </w:tc>
        <w:tc>
          <w:tcPr>
            <w:tcW w:w="765" w:type="pct"/>
            <w:shd w:val="clear" w:color="auto" w:fill="auto"/>
            <w:vAlign w:val="center"/>
          </w:tcPr>
          <w:p w:rsidR="00011C3B" w:rsidRPr="00A35D13" w:rsidRDefault="00011C3B" w:rsidP="00A35D13">
            <w:pPr>
              <w:pStyle w:val="Tbla-jobb"/>
              <w:rPr>
                <w:highlight w:val="yellow"/>
              </w:rPr>
            </w:pPr>
          </w:p>
        </w:tc>
      </w:tr>
      <w:tr w:rsidR="00011C3B" w:rsidRPr="00BD148F" w:rsidTr="002C1255">
        <w:trPr>
          <w:cantSplit/>
          <w:jc w:val="center"/>
        </w:trPr>
        <w:tc>
          <w:tcPr>
            <w:tcW w:w="326" w:type="pct"/>
            <w:vMerge/>
            <w:shd w:val="clear" w:color="auto" w:fill="auto"/>
            <w:vAlign w:val="center"/>
          </w:tcPr>
          <w:p w:rsidR="00011C3B" w:rsidRPr="00CD0210" w:rsidRDefault="00011C3B" w:rsidP="00A35D13">
            <w:pPr>
              <w:rPr>
                <w:sz w:val="20"/>
                <w:szCs w:val="20"/>
              </w:rPr>
            </w:pPr>
          </w:p>
        </w:tc>
        <w:tc>
          <w:tcPr>
            <w:tcW w:w="3183" w:type="pct"/>
            <w:shd w:val="clear" w:color="auto" w:fill="auto"/>
            <w:vAlign w:val="center"/>
          </w:tcPr>
          <w:p w:rsidR="00011C3B" w:rsidRPr="00CD0210" w:rsidRDefault="00011C3B" w:rsidP="00A35D13">
            <w:pPr>
              <w:rPr>
                <w:sz w:val="20"/>
                <w:szCs w:val="20"/>
              </w:rPr>
            </w:pPr>
            <w:r w:rsidRPr="00CD0210">
              <w:rPr>
                <w:sz w:val="20"/>
                <w:szCs w:val="20"/>
              </w:rPr>
              <w:t>új technika/új termék</w:t>
            </w:r>
          </w:p>
        </w:tc>
        <w:tc>
          <w:tcPr>
            <w:tcW w:w="726" w:type="pct"/>
            <w:shd w:val="clear" w:color="auto" w:fill="auto"/>
            <w:vAlign w:val="center"/>
          </w:tcPr>
          <w:p w:rsidR="00011C3B" w:rsidRPr="00A35D13" w:rsidRDefault="00011C3B" w:rsidP="00A35D13">
            <w:pPr>
              <w:pStyle w:val="Tbla-jobb"/>
            </w:pPr>
            <w:r w:rsidRPr="00A35D13">
              <w:t>9</w:t>
            </w:r>
            <w:r w:rsidR="0019195F" w:rsidRPr="00A35D13">
              <w:t xml:space="preserve"> </w:t>
            </w:r>
            <w:r w:rsidRPr="00A35D13">
              <w:t>600/900</w:t>
            </w:r>
          </w:p>
        </w:tc>
        <w:tc>
          <w:tcPr>
            <w:tcW w:w="765" w:type="pct"/>
            <w:shd w:val="clear" w:color="auto" w:fill="auto"/>
            <w:vAlign w:val="center"/>
          </w:tcPr>
          <w:p w:rsidR="00011C3B" w:rsidRPr="00A35D13" w:rsidRDefault="00011C3B" w:rsidP="00A35D13">
            <w:pPr>
              <w:pStyle w:val="Tbla-jobb"/>
            </w:pPr>
            <w:r w:rsidRPr="00A35D13">
              <w:t>2</w:t>
            </w:r>
            <w:r w:rsidR="0019195F" w:rsidRPr="00A35D13">
              <w:t xml:space="preserve"> </w:t>
            </w:r>
            <w:r w:rsidRPr="00A35D13">
              <w:t>717/848</w:t>
            </w:r>
          </w:p>
        </w:tc>
      </w:tr>
      <w:tr w:rsidR="002C1255" w:rsidRPr="00CD0210" w:rsidTr="002C1255">
        <w:trPr>
          <w:cantSplit/>
          <w:jc w:val="center"/>
        </w:trPr>
        <w:tc>
          <w:tcPr>
            <w:tcW w:w="326" w:type="pct"/>
            <w:vMerge/>
            <w:shd w:val="clear" w:color="auto" w:fill="auto"/>
            <w:vAlign w:val="center"/>
          </w:tcPr>
          <w:p w:rsidR="002C1255" w:rsidRPr="00CD0210" w:rsidRDefault="002C1255" w:rsidP="00A35D13">
            <w:pPr>
              <w:rPr>
                <w:sz w:val="20"/>
                <w:szCs w:val="20"/>
              </w:rPr>
            </w:pPr>
          </w:p>
        </w:tc>
        <w:tc>
          <w:tcPr>
            <w:tcW w:w="3183" w:type="pct"/>
            <w:shd w:val="clear" w:color="auto" w:fill="auto"/>
            <w:vAlign w:val="center"/>
          </w:tcPr>
          <w:p w:rsidR="002C1255" w:rsidRPr="00CD0210" w:rsidRDefault="002C1255" w:rsidP="007B5AEF">
            <w:pPr>
              <w:pStyle w:val="Tbla-bal"/>
            </w:pPr>
            <w:r w:rsidRPr="00CD0210">
              <w:t>A bruttó hozzáadott érték növekedése a támogatott birtokok/vállalkozások esetén (euró)</w:t>
            </w:r>
          </w:p>
        </w:tc>
        <w:tc>
          <w:tcPr>
            <w:tcW w:w="726" w:type="pct"/>
            <w:shd w:val="clear" w:color="auto" w:fill="auto"/>
            <w:vAlign w:val="center"/>
          </w:tcPr>
          <w:p w:rsidR="002C1255" w:rsidRPr="00A35D13" w:rsidRDefault="002C1255" w:rsidP="00A35D13">
            <w:pPr>
              <w:pStyle w:val="Tbla-jobb"/>
            </w:pPr>
            <w:r w:rsidRPr="00A35D13">
              <w:t> </w:t>
            </w:r>
          </w:p>
        </w:tc>
        <w:tc>
          <w:tcPr>
            <w:tcW w:w="765" w:type="pct"/>
            <w:shd w:val="clear" w:color="auto" w:fill="auto"/>
            <w:vAlign w:val="center"/>
          </w:tcPr>
          <w:p w:rsidR="002C1255" w:rsidRPr="002C1255" w:rsidRDefault="002C1255" w:rsidP="002C1255">
            <w:pPr>
              <w:ind w:firstLine="0"/>
              <w:jc w:val="right"/>
              <w:rPr>
                <w:sz w:val="20"/>
                <w:highlight w:val="green"/>
              </w:rPr>
            </w:pPr>
            <w:r w:rsidRPr="002C1255">
              <w:rPr>
                <w:sz w:val="20"/>
              </w:rPr>
              <w:t>1703,47millió</w:t>
            </w:r>
          </w:p>
        </w:tc>
      </w:tr>
      <w:tr w:rsidR="002C1255" w:rsidRPr="00CD0210" w:rsidTr="002C1255">
        <w:trPr>
          <w:cantSplit/>
          <w:jc w:val="center"/>
        </w:trPr>
        <w:tc>
          <w:tcPr>
            <w:tcW w:w="326" w:type="pct"/>
            <w:vMerge/>
            <w:shd w:val="clear" w:color="auto" w:fill="auto"/>
            <w:vAlign w:val="center"/>
          </w:tcPr>
          <w:p w:rsidR="002C1255" w:rsidRPr="00CD0210" w:rsidRDefault="002C1255" w:rsidP="00A35D13">
            <w:pPr>
              <w:rPr>
                <w:sz w:val="20"/>
                <w:szCs w:val="20"/>
              </w:rPr>
            </w:pPr>
          </w:p>
        </w:tc>
        <w:tc>
          <w:tcPr>
            <w:tcW w:w="3183" w:type="pct"/>
            <w:shd w:val="clear" w:color="auto" w:fill="auto"/>
            <w:vAlign w:val="center"/>
          </w:tcPr>
          <w:p w:rsidR="002C1255" w:rsidRPr="00CD0210" w:rsidRDefault="002C1255" w:rsidP="00A35D13">
            <w:pPr>
              <w:rPr>
                <w:sz w:val="20"/>
                <w:szCs w:val="20"/>
              </w:rPr>
            </w:pPr>
            <w:r w:rsidRPr="00CD0210">
              <w:rPr>
                <w:sz w:val="20"/>
                <w:szCs w:val="20"/>
              </w:rPr>
              <w:t>Intézkedés</w:t>
            </w:r>
          </w:p>
        </w:tc>
        <w:tc>
          <w:tcPr>
            <w:tcW w:w="726" w:type="pct"/>
            <w:shd w:val="clear" w:color="auto" w:fill="auto"/>
            <w:vAlign w:val="center"/>
          </w:tcPr>
          <w:p w:rsidR="002C1255" w:rsidRPr="00A35D13" w:rsidRDefault="002C1255" w:rsidP="00A35D13">
            <w:pPr>
              <w:pStyle w:val="Tbla-jobb"/>
            </w:pPr>
            <w:r w:rsidRPr="00A35D13">
              <w:t> </w:t>
            </w:r>
          </w:p>
        </w:tc>
        <w:tc>
          <w:tcPr>
            <w:tcW w:w="765" w:type="pct"/>
            <w:shd w:val="clear" w:color="auto" w:fill="auto"/>
            <w:vAlign w:val="center"/>
          </w:tcPr>
          <w:p w:rsidR="002C1255" w:rsidRPr="002C1255" w:rsidRDefault="002C1255" w:rsidP="002C1255">
            <w:pPr>
              <w:jc w:val="right"/>
              <w:rPr>
                <w:sz w:val="20"/>
                <w:highlight w:val="green"/>
              </w:rPr>
            </w:pPr>
          </w:p>
        </w:tc>
      </w:tr>
      <w:tr w:rsidR="002C1255" w:rsidRPr="00CD0210" w:rsidTr="002C1255">
        <w:trPr>
          <w:cantSplit/>
          <w:jc w:val="center"/>
        </w:trPr>
        <w:tc>
          <w:tcPr>
            <w:tcW w:w="326" w:type="pct"/>
            <w:vMerge/>
            <w:shd w:val="clear" w:color="auto" w:fill="auto"/>
            <w:vAlign w:val="center"/>
          </w:tcPr>
          <w:p w:rsidR="002C1255" w:rsidRPr="00CD0210" w:rsidRDefault="002C1255" w:rsidP="00A35D13">
            <w:pPr>
              <w:rPr>
                <w:sz w:val="20"/>
                <w:szCs w:val="20"/>
              </w:rPr>
            </w:pPr>
          </w:p>
        </w:tc>
        <w:tc>
          <w:tcPr>
            <w:tcW w:w="3183" w:type="pct"/>
            <w:shd w:val="clear" w:color="auto" w:fill="auto"/>
            <w:vAlign w:val="center"/>
          </w:tcPr>
          <w:p w:rsidR="002C1255" w:rsidRPr="00CD0210" w:rsidRDefault="002C1255" w:rsidP="00A35D13">
            <w:pPr>
              <w:rPr>
                <w:sz w:val="20"/>
                <w:szCs w:val="20"/>
              </w:rPr>
            </w:pPr>
            <w:r w:rsidRPr="00CD0210">
              <w:rPr>
                <w:sz w:val="20"/>
                <w:szCs w:val="20"/>
              </w:rPr>
              <w:t>Ágazat típusa:</w:t>
            </w:r>
          </w:p>
        </w:tc>
        <w:tc>
          <w:tcPr>
            <w:tcW w:w="726" w:type="pct"/>
            <w:shd w:val="clear" w:color="auto" w:fill="auto"/>
            <w:vAlign w:val="center"/>
          </w:tcPr>
          <w:p w:rsidR="002C1255" w:rsidRPr="00A35D13" w:rsidRDefault="002C1255" w:rsidP="00A35D13">
            <w:pPr>
              <w:pStyle w:val="Tbla-jobb"/>
            </w:pPr>
            <w:r w:rsidRPr="00A35D13">
              <w:t>9 250 millió</w:t>
            </w:r>
          </w:p>
        </w:tc>
        <w:tc>
          <w:tcPr>
            <w:tcW w:w="765" w:type="pct"/>
            <w:shd w:val="clear" w:color="auto" w:fill="auto"/>
          </w:tcPr>
          <w:p w:rsidR="002C1255" w:rsidRPr="002C1255" w:rsidRDefault="002C1255" w:rsidP="002C1255">
            <w:pPr>
              <w:jc w:val="right"/>
              <w:rPr>
                <w:sz w:val="26"/>
                <w:highlight w:val="green"/>
              </w:rPr>
            </w:pPr>
          </w:p>
        </w:tc>
      </w:tr>
      <w:tr w:rsidR="002C1255" w:rsidRPr="00CD0210" w:rsidTr="002C1255">
        <w:trPr>
          <w:cantSplit/>
          <w:jc w:val="center"/>
        </w:trPr>
        <w:tc>
          <w:tcPr>
            <w:tcW w:w="326" w:type="pct"/>
            <w:vMerge/>
            <w:shd w:val="clear" w:color="auto" w:fill="auto"/>
            <w:vAlign w:val="center"/>
          </w:tcPr>
          <w:p w:rsidR="002C1255" w:rsidRPr="00CD0210" w:rsidRDefault="002C1255" w:rsidP="00A35D13">
            <w:pPr>
              <w:rPr>
                <w:sz w:val="20"/>
                <w:szCs w:val="20"/>
              </w:rPr>
            </w:pPr>
          </w:p>
        </w:tc>
        <w:tc>
          <w:tcPr>
            <w:tcW w:w="3183" w:type="pct"/>
            <w:shd w:val="clear" w:color="auto" w:fill="auto"/>
            <w:vAlign w:val="center"/>
          </w:tcPr>
          <w:p w:rsidR="002C1255" w:rsidRPr="00CD0210" w:rsidRDefault="002C1255" w:rsidP="00BB58EE">
            <w:pPr>
              <w:pStyle w:val="Normltblabal3pckkel"/>
            </w:pPr>
            <w:r w:rsidRPr="00CD0210">
              <w:t>Mezőgazdaság</w:t>
            </w:r>
          </w:p>
        </w:tc>
        <w:tc>
          <w:tcPr>
            <w:tcW w:w="726" w:type="pct"/>
            <w:shd w:val="clear" w:color="auto" w:fill="auto"/>
            <w:vAlign w:val="center"/>
          </w:tcPr>
          <w:p w:rsidR="002C1255" w:rsidRPr="00A35D13" w:rsidRDefault="002C1255" w:rsidP="00A35D13">
            <w:pPr>
              <w:pStyle w:val="Tbla-jobb"/>
            </w:pPr>
            <w:r w:rsidRPr="00A35D13">
              <w:t>8200</w:t>
            </w:r>
          </w:p>
        </w:tc>
        <w:tc>
          <w:tcPr>
            <w:tcW w:w="765" w:type="pct"/>
            <w:shd w:val="clear" w:color="auto" w:fill="auto"/>
          </w:tcPr>
          <w:p w:rsidR="002C1255" w:rsidRPr="002C1255" w:rsidRDefault="002C1255" w:rsidP="002C1255">
            <w:pPr>
              <w:ind w:firstLine="0"/>
              <w:jc w:val="right"/>
              <w:rPr>
                <w:sz w:val="26"/>
              </w:rPr>
            </w:pPr>
            <w:r w:rsidRPr="002C1255">
              <w:rPr>
                <w:sz w:val="20"/>
              </w:rPr>
              <w:t>1621,46 millió</w:t>
            </w:r>
          </w:p>
        </w:tc>
      </w:tr>
      <w:tr w:rsidR="002C1255" w:rsidRPr="00CD0210" w:rsidTr="002C1255">
        <w:trPr>
          <w:cantSplit/>
          <w:jc w:val="center"/>
        </w:trPr>
        <w:tc>
          <w:tcPr>
            <w:tcW w:w="326" w:type="pct"/>
            <w:vMerge/>
            <w:shd w:val="clear" w:color="auto" w:fill="auto"/>
            <w:vAlign w:val="center"/>
          </w:tcPr>
          <w:p w:rsidR="002C1255" w:rsidRPr="00CD0210" w:rsidRDefault="002C1255" w:rsidP="00A35D13">
            <w:pPr>
              <w:rPr>
                <w:sz w:val="20"/>
                <w:szCs w:val="20"/>
              </w:rPr>
            </w:pPr>
          </w:p>
        </w:tc>
        <w:tc>
          <w:tcPr>
            <w:tcW w:w="3183" w:type="pct"/>
            <w:shd w:val="clear" w:color="auto" w:fill="auto"/>
            <w:vAlign w:val="center"/>
          </w:tcPr>
          <w:p w:rsidR="002C1255" w:rsidRPr="00CD0210" w:rsidRDefault="002C1255" w:rsidP="00BB58EE">
            <w:pPr>
              <w:pStyle w:val="Normltblabal3pckkel"/>
            </w:pPr>
            <w:r w:rsidRPr="00CD0210">
              <w:t>Élelmiszeripar</w:t>
            </w:r>
          </w:p>
        </w:tc>
        <w:tc>
          <w:tcPr>
            <w:tcW w:w="726" w:type="pct"/>
            <w:shd w:val="clear" w:color="auto" w:fill="auto"/>
            <w:vAlign w:val="center"/>
          </w:tcPr>
          <w:p w:rsidR="002C1255" w:rsidRPr="00A35D13" w:rsidRDefault="002C1255" w:rsidP="00A35D13">
            <w:pPr>
              <w:pStyle w:val="Tbla-jobb"/>
            </w:pPr>
            <w:r w:rsidRPr="00A35D13">
              <w:t>740</w:t>
            </w:r>
          </w:p>
        </w:tc>
        <w:tc>
          <w:tcPr>
            <w:tcW w:w="765" w:type="pct"/>
            <w:shd w:val="clear" w:color="auto" w:fill="auto"/>
          </w:tcPr>
          <w:p w:rsidR="002C1255" w:rsidRPr="002C1255" w:rsidRDefault="002C1255" w:rsidP="002C1255">
            <w:pPr>
              <w:jc w:val="right"/>
              <w:rPr>
                <w:sz w:val="26"/>
              </w:rPr>
            </w:pPr>
            <w:r w:rsidRPr="002C1255">
              <w:rPr>
                <w:sz w:val="20"/>
              </w:rPr>
              <w:t>64,58 millió</w:t>
            </w:r>
          </w:p>
        </w:tc>
      </w:tr>
      <w:tr w:rsidR="002C1255" w:rsidRPr="00CD0210" w:rsidTr="002C1255">
        <w:trPr>
          <w:cantSplit/>
          <w:jc w:val="center"/>
        </w:trPr>
        <w:tc>
          <w:tcPr>
            <w:tcW w:w="326" w:type="pct"/>
            <w:vMerge/>
            <w:shd w:val="clear" w:color="auto" w:fill="auto"/>
            <w:vAlign w:val="center"/>
          </w:tcPr>
          <w:p w:rsidR="002C1255" w:rsidRPr="00CD0210" w:rsidRDefault="002C1255" w:rsidP="00A35D13">
            <w:pPr>
              <w:rPr>
                <w:sz w:val="20"/>
                <w:szCs w:val="20"/>
              </w:rPr>
            </w:pPr>
          </w:p>
        </w:tc>
        <w:tc>
          <w:tcPr>
            <w:tcW w:w="3183" w:type="pct"/>
            <w:shd w:val="clear" w:color="auto" w:fill="auto"/>
            <w:vAlign w:val="center"/>
          </w:tcPr>
          <w:p w:rsidR="002C1255" w:rsidRPr="00CD0210" w:rsidRDefault="002C1255" w:rsidP="00BB58EE">
            <w:pPr>
              <w:pStyle w:val="Normltblabal3pckkel"/>
            </w:pPr>
            <w:r w:rsidRPr="00CD0210">
              <w:t>Erdőgazdálkodás</w:t>
            </w:r>
          </w:p>
        </w:tc>
        <w:tc>
          <w:tcPr>
            <w:tcW w:w="726" w:type="pct"/>
            <w:shd w:val="clear" w:color="auto" w:fill="auto"/>
            <w:vAlign w:val="center"/>
          </w:tcPr>
          <w:p w:rsidR="002C1255" w:rsidRPr="00A35D13" w:rsidRDefault="002C1255" w:rsidP="00A35D13">
            <w:pPr>
              <w:pStyle w:val="Tbla-jobb"/>
            </w:pPr>
            <w:r w:rsidRPr="00A35D13">
              <w:t>310</w:t>
            </w:r>
          </w:p>
        </w:tc>
        <w:tc>
          <w:tcPr>
            <w:tcW w:w="765" w:type="pct"/>
            <w:shd w:val="clear" w:color="auto" w:fill="auto"/>
          </w:tcPr>
          <w:p w:rsidR="002C1255" w:rsidRPr="002C1255" w:rsidRDefault="002C1255" w:rsidP="002C1255">
            <w:pPr>
              <w:jc w:val="right"/>
              <w:rPr>
                <w:sz w:val="26"/>
              </w:rPr>
            </w:pPr>
            <w:r w:rsidRPr="002C1255">
              <w:rPr>
                <w:sz w:val="20"/>
                <w:lang w:val="en-GB"/>
              </w:rPr>
              <w:t xml:space="preserve">17,43 </w:t>
            </w:r>
            <w:r w:rsidRPr="002C1255">
              <w:rPr>
                <w:sz w:val="20"/>
              </w:rPr>
              <w:t>millió</w:t>
            </w:r>
          </w:p>
        </w:tc>
      </w:tr>
      <w:tr w:rsidR="002C1255" w:rsidRPr="00ED13EB" w:rsidTr="002C1255">
        <w:trPr>
          <w:cantSplit/>
          <w:jc w:val="center"/>
        </w:trPr>
        <w:tc>
          <w:tcPr>
            <w:tcW w:w="326" w:type="pct"/>
            <w:vMerge w:val="restart"/>
            <w:shd w:val="clear" w:color="auto" w:fill="auto"/>
            <w:vAlign w:val="center"/>
          </w:tcPr>
          <w:p w:rsidR="002C1255" w:rsidRPr="00ED13EB" w:rsidRDefault="002C1255" w:rsidP="00A35D13">
            <w:pPr>
              <w:rPr>
                <w:sz w:val="20"/>
                <w:szCs w:val="20"/>
              </w:rPr>
            </w:pPr>
            <w:r w:rsidRPr="00ED13EB">
              <w:rPr>
                <w:sz w:val="20"/>
                <w:szCs w:val="20"/>
              </w:rPr>
              <w:t>I</w:t>
            </w:r>
          </w:p>
        </w:tc>
        <w:tc>
          <w:tcPr>
            <w:tcW w:w="3183" w:type="pct"/>
            <w:shd w:val="clear" w:color="auto" w:fill="auto"/>
            <w:vAlign w:val="center"/>
          </w:tcPr>
          <w:p w:rsidR="002C1255" w:rsidRPr="00ED13EB" w:rsidRDefault="002C1255" w:rsidP="007B5AEF">
            <w:pPr>
              <w:pStyle w:val="Tbla-bal"/>
            </w:pPr>
            <w:r w:rsidRPr="00ED13EB">
              <w:t>Nettó hozzáadott érték PPS-ben kifejezve (euró)</w:t>
            </w:r>
          </w:p>
        </w:tc>
        <w:tc>
          <w:tcPr>
            <w:tcW w:w="726" w:type="pct"/>
            <w:shd w:val="clear" w:color="auto" w:fill="auto"/>
            <w:vAlign w:val="center"/>
          </w:tcPr>
          <w:p w:rsidR="002C1255" w:rsidRPr="00ED13EB" w:rsidRDefault="002C1255" w:rsidP="00A35D13">
            <w:pPr>
              <w:pStyle w:val="Tbla-jobb"/>
            </w:pPr>
            <w:r w:rsidRPr="00ED13EB">
              <w:t>5,440 millió</w:t>
            </w:r>
          </w:p>
        </w:tc>
        <w:tc>
          <w:tcPr>
            <w:tcW w:w="765" w:type="pct"/>
            <w:shd w:val="clear" w:color="auto" w:fill="auto"/>
            <w:vAlign w:val="center"/>
          </w:tcPr>
          <w:p w:rsidR="002C1255" w:rsidRPr="002C1255" w:rsidRDefault="002C1255" w:rsidP="002C1255">
            <w:pPr>
              <w:pStyle w:val="Tbla-jobb"/>
            </w:pPr>
            <w:r w:rsidRPr="002C1255">
              <w:t>NA</w:t>
            </w:r>
          </w:p>
        </w:tc>
      </w:tr>
      <w:tr w:rsidR="002C1255" w:rsidRPr="00CD0210" w:rsidTr="002C1255">
        <w:trPr>
          <w:cantSplit/>
          <w:jc w:val="center"/>
        </w:trPr>
        <w:tc>
          <w:tcPr>
            <w:tcW w:w="326" w:type="pct"/>
            <w:vMerge/>
            <w:shd w:val="clear" w:color="auto" w:fill="auto"/>
            <w:vAlign w:val="center"/>
          </w:tcPr>
          <w:p w:rsidR="002C1255" w:rsidRPr="00ED13EB" w:rsidRDefault="002C1255" w:rsidP="00A35D13">
            <w:pPr>
              <w:rPr>
                <w:sz w:val="20"/>
                <w:szCs w:val="20"/>
              </w:rPr>
            </w:pPr>
          </w:p>
        </w:tc>
        <w:tc>
          <w:tcPr>
            <w:tcW w:w="3183" w:type="pct"/>
            <w:shd w:val="clear" w:color="auto" w:fill="auto"/>
            <w:vAlign w:val="center"/>
          </w:tcPr>
          <w:p w:rsidR="002C1255" w:rsidRPr="00ED13EB" w:rsidRDefault="002C1255" w:rsidP="007B5AEF">
            <w:pPr>
              <w:pStyle w:val="Tbla-bal"/>
            </w:pPr>
            <w:r w:rsidRPr="00ED13EB">
              <w:t>A bruttó hozzáadott érték változása teljes munkaidő egyenértékhez viszonyítva (euró)</w:t>
            </w:r>
          </w:p>
        </w:tc>
        <w:tc>
          <w:tcPr>
            <w:tcW w:w="726" w:type="pct"/>
            <w:shd w:val="clear" w:color="auto" w:fill="auto"/>
            <w:vAlign w:val="center"/>
          </w:tcPr>
          <w:p w:rsidR="002C1255" w:rsidRPr="00ED13EB" w:rsidRDefault="002C1255" w:rsidP="00A35D13">
            <w:pPr>
              <w:pStyle w:val="Tbla-jobb"/>
            </w:pPr>
            <w:r w:rsidRPr="00ED13EB">
              <w:t xml:space="preserve">25 000 </w:t>
            </w:r>
          </w:p>
        </w:tc>
        <w:tc>
          <w:tcPr>
            <w:tcW w:w="765" w:type="pct"/>
            <w:shd w:val="clear" w:color="auto" w:fill="auto"/>
            <w:vAlign w:val="center"/>
          </w:tcPr>
          <w:p w:rsidR="002C1255" w:rsidRPr="00ED13EB" w:rsidRDefault="002C1255" w:rsidP="00A35D13">
            <w:pPr>
              <w:pStyle w:val="Tbla-jobb"/>
            </w:pPr>
            <w:r w:rsidRPr="00ED13EB">
              <w:t>NA</w:t>
            </w:r>
          </w:p>
        </w:tc>
      </w:tr>
    </w:tbl>
    <w:p w:rsidR="00011C3B" w:rsidRPr="00604B6F" w:rsidRDefault="00011C3B" w:rsidP="00011C3B">
      <w:pPr>
        <w:pStyle w:val="Normlforrs"/>
      </w:pPr>
      <w:r w:rsidRPr="00604B6F">
        <w:t>Forrás: MVH</w:t>
      </w:r>
    </w:p>
    <w:p w:rsidR="00011C3B" w:rsidRDefault="00011C3B" w:rsidP="004869BB">
      <w:r w:rsidRPr="00604B6F">
        <w:t>Önálló, építéssel nem járó gépek, technológiai berendezések beszerzéséhez nyújtandó támogatás jogcím, a növénytermesztés létesítményeinek korszerűsítéséhez nyújtott támogatás jogcím, valamint a kertészeti gépek, technológiai berendezések beszerzése támogatási jogcím a technológiai korszerűsítést tűzték ki elsődleges eredményként. A legfontosabb elvárt hatás a versenyképesség növelése volt.</w:t>
      </w:r>
      <w:r w:rsidRPr="003E35A2">
        <w:t xml:space="preserve"> Ezt ezeknél a jogcímnél kiegészítette még az energiatakarékosság és ezen keresztül a káros anyagok kibocsátásának csökkentése. </w:t>
      </w:r>
      <w:r w:rsidRPr="00604B6F">
        <w:t>Az állattartó telepek korszerűsítése jogcím beruházásainak az éghajlatváltozás elleni küzdelem területén is van szerepe, mivel a biogáz hasznosítás az üvegházhatású gázok kibocsátását csökkenti.</w:t>
      </w:r>
    </w:p>
    <w:p w:rsidR="00E442DA" w:rsidRDefault="00E442DA" w:rsidP="00E442DA">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442DA"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Pr="00B67120">
        <w:rPr>
          <w:rFonts w:cs="Times New Roman"/>
        </w:rPr>
        <w:t>A BHÉ értékeket a társasági adóbevallással nem rendelkező kedvezményezettek esetén FAD</w:t>
      </w:r>
      <w:r>
        <w:rPr>
          <w:rFonts w:cs="Times New Roman"/>
        </w:rPr>
        <w:t>N mutatóra alapozott becslésre alapozva számolta az AKI, a becslés során figyelembe vette</w:t>
      </w:r>
      <w:r w:rsidRPr="00B67120">
        <w:rPr>
          <w:rFonts w:cs="Times New Roman"/>
        </w:rPr>
        <w:t xml:space="preserve"> azok legjellemzőbb mezőgazdasági ágazatukat valamint méretüket.</w:t>
      </w:r>
    </w:p>
    <w:p w:rsidR="00ED13EB" w:rsidRDefault="00E442DA" w:rsidP="00E442DA">
      <w:pPr>
        <w:rPr>
          <w:rFonts w:eastAsia="Times New Roman"/>
        </w:rPr>
      </w:pPr>
      <w:r>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p>
    <w:p w:rsidR="00AB3376" w:rsidRPr="000E0FD3" w:rsidRDefault="00AB3376" w:rsidP="00ED13EB">
      <w:r w:rsidRPr="00AB3376">
        <w:t>Az R3 indikátor</w:t>
      </w:r>
      <w:r>
        <w:t xml:space="preserve"> (Új terméket és/vagy új technológiát bevezető gazdaságok száma)</w:t>
      </w:r>
      <w:r w:rsidRPr="00AB3376">
        <w:t xml:space="preserve"> meghatározása során a kedvezményezettek kötelező éves adatszolgáltatásából származó MVH adatait elemezte az indikátor felülvizsgálatot végző AKI. A felülvizsgálat során megállapításra került, hogy az adatszolgáltatás bizonyos hiányosságokat tartalmazott. A hiányosságok kiküszöbölésére az AKI az FADN alapján történő becsléssel határozta meg a kérdéses indikátor értékét.</w:t>
      </w:r>
    </w:p>
    <w:p w:rsidR="00011C3B" w:rsidRPr="00604B6F" w:rsidRDefault="00011C3B" w:rsidP="00715E86">
      <w:pPr>
        <w:pStyle w:val="Cmsor4"/>
      </w:pPr>
      <w:r w:rsidRPr="00604B6F">
        <w:lastRenderedPageBreak/>
        <w:t>Önálló, építéssel nem járó gépek, technológiai berendezések beszerzéséhez nyújtandó támogatások jogcím rövid bemutatása</w:t>
      </w:r>
    </w:p>
    <w:p w:rsidR="00011C3B" w:rsidRPr="00F31201" w:rsidRDefault="00011C3B" w:rsidP="00011C3B">
      <w:pPr>
        <w:rPr>
          <w:szCs w:val="22"/>
        </w:rPr>
      </w:pPr>
      <w:r w:rsidRPr="00F31201">
        <w:rPr>
          <w:szCs w:val="22"/>
        </w:rPr>
        <w:t xml:space="preserve">A támogatás célja a mezőgazdasági üzemek korszerűsítése a mezőgazdasági gépállomány korösszetételének javítása, környezetbarát (energiatakarékos) gépek és technológiai berendezések beszerzése révén. Ez az egyik legnépszerűbb, legnagyobb érdeklődésre számot tartó jogcím a gazdálkodók körében. A magas kérelemszám és az elnyert támogatások gyors lehívása is azt bizonyítja, hogy a technológiai korszerűsítés iránt nagy az igény a magyar agrárvállalkozások között. A jogcímre </w:t>
      </w:r>
      <w:r w:rsidR="002F32AF">
        <w:rPr>
          <w:szCs w:val="22"/>
        </w:rPr>
        <w:t xml:space="preserve">jelentős érdeklődést mutattak </w:t>
      </w:r>
      <w:r w:rsidRPr="00F31201">
        <w:rPr>
          <w:szCs w:val="22"/>
        </w:rPr>
        <w:t xml:space="preserve">az ügyfelek (a két megnyitási időszakban több mint 10 000 kérelmet). </w:t>
      </w:r>
    </w:p>
    <w:p w:rsidR="00FF6237" w:rsidRDefault="00011C3B" w:rsidP="00FF6237">
      <w:pPr>
        <w:rPr>
          <w:bCs/>
        </w:rPr>
      </w:pPr>
      <w:r w:rsidRPr="00A94750">
        <w:rPr>
          <w:szCs w:val="22"/>
        </w:rPr>
        <w:t xml:space="preserve">A 26/2007. (IV.17.) FVM rendelet szabályozza az önálló, építéssel nem járó gépek, technológiai berendezések </w:t>
      </w:r>
      <w:r w:rsidRPr="00711B72">
        <w:rPr>
          <w:szCs w:val="22"/>
        </w:rPr>
        <w:t>beszerzéséhez nyújtandó támogatások igénybe vételének feltételeit, amely a 2012. év során</w:t>
      </w:r>
      <w:r w:rsidR="00FF6237" w:rsidRPr="00711B72">
        <w:rPr>
          <w:szCs w:val="22"/>
        </w:rPr>
        <w:t xml:space="preserve"> egyszer módosult </w:t>
      </w:r>
      <w:r w:rsidR="00586B69">
        <w:rPr>
          <w:szCs w:val="22"/>
        </w:rPr>
        <w:t xml:space="preserve">a </w:t>
      </w:r>
      <w:r w:rsidR="00FF6237" w:rsidRPr="00711B72">
        <w:rPr>
          <w:rFonts w:cs="Times New Roman"/>
          <w:bCs/>
          <w:kern w:val="0"/>
          <w:sz w:val="20"/>
          <w:szCs w:val="20"/>
        </w:rPr>
        <w:t>122/2012. (XII.6.) VM rendelet</w:t>
      </w:r>
      <w:r w:rsidR="00586B69">
        <w:rPr>
          <w:rFonts w:cs="Times New Roman"/>
          <w:bCs/>
          <w:kern w:val="0"/>
          <w:sz w:val="20"/>
          <w:szCs w:val="20"/>
        </w:rPr>
        <w:t xml:space="preserve"> keretében</w:t>
      </w:r>
      <w:r w:rsidR="00FF6237" w:rsidRPr="00711B72">
        <w:rPr>
          <w:rFonts w:cs="Times New Roman"/>
          <w:bCs/>
          <w:kern w:val="0"/>
          <w:sz w:val="20"/>
          <w:szCs w:val="20"/>
        </w:rPr>
        <w:t>.</w:t>
      </w:r>
      <w:r w:rsidR="00711B72">
        <w:rPr>
          <w:rFonts w:cs="Times New Roman"/>
          <w:bCs/>
          <w:kern w:val="0"/>
          <w:sz w:val="20"/>
          <w:szCs w:val="20"/>
        </w:rPr>
        <w:t xml:space="preserve"> </w:t>
      </w:r>
      <w:r w:rsidR="00FF6237" w:rsidRPr="00FF6237">
        <w:rPr>
          <w:bCs/>
        </w:rPr>
        <w:t>A módosítás a célja az volt, hogy a támogatott gépekhez kapcsolódóan vállalt kötelezettségeket az MVH előzetes</w:t>
      </w:r>
      <w:r w:rsidR="00FF6237">
        <w:rPr>
          <w:bCs/>
        </w:rPr>
        <w:t xml:space="preserve"> jóváhagyásával több személy is átvállalhatja. Amennyiben az ügyfél a kapcsolódó kötelezettségeket vállalja, elkerülheti a gépek felszámolás alá kerülését. </w:t>
      </w:r>
    </w:p>
    <w:p w:rsidR="00FF6237" w:rsidRDefault="00FF6237" w:rsidP="00FF6237">
      <w:r>
        <w:t xml:space="preserve">A gazdasági és pénzügyi válság hatásait a kis- és középvállalkozások hatványozottan érezték. A nagyobb vállalatok megrendelései jelentősen visszaestek, ezáltal csökkent a termelés, a banki finanszírozás kockázatosabbá vált, csökkent a pénzügyi rendszer likviditása, így a források is szűkültek. Az agrárium helyzetét a válságon túl 2010. első félévében még a kedvezőtlen időjárási körülmények </w:t>
      </w:r>
      <w:r w:rsidRPr="00711B72">
        <w:t>– árvíz, jégkárok, belvíz –</w:t>
      </w:r>
      <w:r>
        <w:t xml:space="preserve"> is rontották, ezáltal a jövedelem kilátások is romlottak. A mezőgazdasági termelés egyébként is a kockázatos ágazatok közé tartozik, hiszen az időjárástól nagyban függ, amely előre nem kiszámítható, valamint a termelésből származó jövedelem is szezonális. Ebben a nehéz pénzügyi helyzetben a vállalkozók kevesebbet tudnak a bevételeikből visszaforgatni, és a hitelhez jutási képességük is kilátástalanabb.</w:t>
      </w:r>
    </w:p>
    <w:p w:rsidR="00FF6237" w:rsidRDefault="00FF6237" w:rsidP="00FF6237">
      <w:pPr>
        <w:rPr>
          <w:szCs w:val="22"/>
        </w:rPr>
      </w:pPr>
      <w:r>
        <w:t>A kötelezettség átvállalásának biztosítása a jelenlegi gazdasági körülmények mellett kiemelkedő jelentőséggel bír, hiszen számos kedvezményezettnek jelent problémát a támogatással érintett gépekre vállalt kötelezettségek teljesítése.</w:t>
      </w:r>
    </w:p>
    <w:p w:rsidR="00FF6237" w:rsidRPr="00F31201" w:rsidRDefault="00FF6237" w:rsidP="00DA27DF">
      <w:r w:rsidRPr="00F31201">
        <w:t>Az Önálló, építéssel nem járó gépek, technológiai berendezések beszerzése jogcím keretében 2007. május 16. – június 15. és 2009. június 15. - július 15. közötti időszakban volt a támogatási kérelem benyújtására lehetőség.</w:t>
      </w:r>
    </w:p>
    <w:p w:rsidR="00FF6237" w:rsidRPr="00F8540C" w:rsidRDefault="00FF6237" w:rsidP="00DA27DF">
      <w:r w:rsidRPr="00F8540C">
        <w:t xml:space="preserve">A jogcím keretében kifizetési kérelem benyújtására 2012. évben nem volt lehetőség, mivel a megvalósítási idő és az azt követően az utolsó kifizetési kérelem benyújtására nyitva álló egy éves határidő már minden kérelem esetében lejárt. </w:t>
      </w:r>
    </w:p>
    <w:p w:rsidR="00011C3B" w:rsidRPr="00F92037" w:rsidRDefault="007E5FDF" w:rsidP="00F92037">
      <w:pPr>
        <w:pStyle w:val="bra-cmetbla"/>
      </w:pPr>
      <w:fldSimple w:instr=" SEQ táblázat \* ARABIC ">
        <w:r w:rsidR="00E5031F">
          <w:rPr>
            <w:noProof/>
          </w:rPr>
          <w:t>26</w:t>
        </w:r>
      </w:fldSimple>
      <w:r w:rsidR="00673DDE">
        <w:t xml:space="preserve">. táblázat: </w:t>
      </w:r>
      <w:r w:rsidR="00011C3B" w:rsidRPr="00F92037">
        <w:t>Önálló, építéssel nem járó gépek, technológiai berendezések beszerzéséhez nyújtandó támogatások jogcím 2012. évi eredményei</w:t>
      </w:r>
    </w:p>
    <w:p w:rsidR="00011C3B" w:rsidRPr="00F92037" w:rsidRDefault="00B452BF" w:rsidP="00F92037">
      <w:pPr>
        <w:pStyle w:val="bra-cmetbla"/>
      </w:pPr>
      <w:r w:rsidRPr="00F92037">
        <w:rPr>
          <w:noProof/>
        </w:rPr>
        <w:drawing>
          <wp:inline distT="0" distB="0" distL="0" distR="0" wp14:anchorId="65B5943B" wp14:editId="020487B6">
            <wp:extent cx="5167630" cy="1882140"/>
            <wp:effectExtent l="0" t="0" r="0" b="3810"/>
            <wp:docPr id="1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011C3B" w:rsidRPr="008C309B" w:rsidRDefault="00011C3B" w:rsidP="004869BB">
      <w:r>
        <w:lastRenderedPageBreak/>
        <w:t>A jogcím keretében 201</w:t>
      </w:r>
      <w:r w:rsidR="00586B69">
        <w:t>2-ben sem kötelezettségvállalásra sem kifizetésre nem került sor. A táblázatban megjelenő negatív összegek a 2012. év tekintetében a támogatások zárása keretében felszabaduló forrásokat, visszaköveteléseket mutatják, tekintettel arra, hogy</w:t>
      </w:r>
      <w:r w:rsidR="00F918CE">
        <w:t xml:space="preserve"> </w:t>
      </w:r>
      <w:r w:rsidR="00586B69">
        <w:t>a</w:t>
      </w:r>
      <w:r w:rsidRPr="00346C9C">
        <w:t xml:space="preserve"> </w:t>
      </w:r>
      <w:r>
        <w:t xml:space="preserve">jogcímen 2012-ben csak </w:t>
      </w:r>
      <w:r w:rsidR="00F918CE">
        <w:t>forrás-felszabadulás</w:t>
      </w:r>
      <w:r w:rsidR="00F341F1">
        <w:t>,</w:t>
      </w:r>
      <w:r>
        <w:t xml:space="preserve"> lemondás, kizárás, jogosultság megszüntetés</w:t>
      </w:r>
      <w:r w:rsidR="00F341F1">
        <w:t>e történt.</w:t>
      </w:r>
    </w:p>
    <w:p w:rsidR="00011C3B" w:rsidRPr="00604B6F" w:rsidRDefault="00011C3B" w:rsidP="00715E86">
      <w:pPr>
        <w:pStyle w:val="Cmsor4"/>
      </w:pPr>
      <w:r w:rsidRPr="00604B6F">
        <w:t>Növénytermesztés létesítményeinek korszerűsítéséhez nyújtott támogatás jogcím rövid bemutatása</w:t>
      </w:r>
    </w:p>
    <w:p w:rsidR="00011C3B" w:rsidRPr="00604B6F" w:rsidRDefault="00011C3B" w:rsidP="00011C3B">
      <w:r w:rsidRPr="00604B6F">
        <w:t>A növénytermesztés létesítményeinek támogatása</w:t>
      </w:r>
      <w:r w:rsidRPr="00604B6F">
        <w:rPr>
          <w:b/>
        </w:rPr>
        <w:t xml:space="preserve"> </w:t>
      </w:r>
      <w:r w:rsidR="00F918CE">
        <w:t>jogcím</w:t>
      </w:r>
      <w:r w:rsidR="00F918CE" w:rsidRPr="00604B6F">
        <w:t xml:space="preserve"> </w:t>
      </w:r>
      <w:r w:rsidRPr="00604B6F">
        <w:t>célja a növénytermesztés betakarítás utáni létesítményeinek (szárító, tisztító, tranzit tartály stb.) korszerűsítése. A levegő-tisztaság védelmére vonatkozó szabályozás alapján a korszerűtlen eszközöket legkésőbb 2011. október 31-ig fel kell</w:t>
      </w:r>
      <w:r>
        <w:t>ett</w:t>
      </w:r>
      <w:r w:rsidRPr="00604B6F">
        <w:t xml:space="preserve"> újítani, le kell</w:t>
      </w:r>
      <w:r>
        <w:t>ett</w:t>
      </w:r>
      <w:r w:rsidRPr="00604B6F">
        <w:t xml:space="preserve"> cserélni. A korszerűtlen berendezések teljes rekonstrukciójával, lecserélésével csökkenthető a por- és zajkibocsátás, az energiafogyasztás akár 30%-kal mérsékelhető, valamint a termények kíméletesebben kezelhetőek, ami jobb minőséget eredményez (kevesebb hősérült és törtszem). A támogatás célja a post-harvest fázis stabil gépeinek korszerűsítése, új gépek beszerzésével, illetve a meglévő eszközök rekonstrukciójával, amely eredményeképpen javul a mezőgazdasági üzemek versenyképessége.</w:t>
      </w:r>
    </w:p>
    <w:p w:rsidR="00F918CE" w:rsidRDefault="00011C3B" w:rsidP="00011C3B">
      <w:r w:rsidRPr="00604B6F">
        <w:t>A jogcím keretében 2008. március 28. – május 30. között lehetett támogatási kérelmet benyújtani, 201</w:t>
      </w:r>
      <w:r>
        <w:t>2</w:t>
      </w:r>
      <w:r w:rsidRPr="00604B6F">
        <w:t>-ben nem volt lehetőség támogatási kérelem benyújtására.</w:t>
      </w:r>
      <w:r>
        <w:t xml:space="preserve"> </w:t>
      </w:r>
    </w:p>
    <w:p w:rsidR="00011C3B" w:rsidRPr="00604B6F" w:rsidRDefault="00011C3B" w:rsidP="00011C3B">
      <w:r>
        <w:t xml:space="preserve">Kifizetési kérelem benyújtására 2012-ben </w:t>
      </w:r>
      <w:r w:rsidR="00F918CE">
        <w:t xml:space="preserve">két </w:t>
      </w:r>
      <w:r>
        <w:t>időszakban – 2012.</w:t>
      </w:r>
      <w:r w:rsidRPr="00781AC4">
        <w:t xml:space="preserve"> február 1. - május 31. és augusztus 1. - december 31. között</w:t>
      </w:r>
      <w:r>
        <w:t xml:space="preserve"> - volt lehetőség</w:t>
      </w:r>
      <w:r w:rsidRPr="00604B6F">
        <w:t>.</w:t>
      </w:r>
    </w:p>
    <w:p w:rsidR="00011C3B" w:rsidRPr="00F92037" w:rsidRDefault="007E5FDF" w:rsidP="00F92037">
      <w:pPr>
        <w:pStyle w:val="bra-cmetbla"/>
      </w:pPr>
      <w:fldSimple w:instr=" SEQ táblázat \* ARABIC ">
        <w:r w:rsidR="00E5031F">
          <w:rPr>
            <w:noProof/>
          </w:rPr>
          <w:t>27</w:t>
        </w:r>
      </w:fldSimple>
      <w:r w:rsidR="00673DDE">
        <w:t xml:space="preserve">. táblázat: </w:t>
      </w:r>
      <w:r w:rsidR="00011C3B" w:rsidRPr="00F92037">
        <w:t>Növénytermesztés létesítményeinek korszerűsítéséhez nyújtott támogatás jogcím 2012. évi eredményei</w:t>
      </w:r>
    </w:p>
    <w:p w:rsidR="00011C3B" w:rsidRPr="00F92037" w:rsidRDefault="00B452BF" w:rsidP="00F92037">
      <w:pPr>
        <w:pStyle w:val="bra-cmetbla"/>
      </w:pPr>
      <w:r w:rsidRPr="00F92037">
        <w:rPr>
          <w:noProof/>
        </w:rPr>
        <w:drawing>
          <wp:inline distT="0" distB="0" distL="0" distR="0" wp14:anchorId="02D6F04B" wp14:editId="0ACD0FF2">
            <wp:extent cx="5167630" cy="1882140"/>
            <wp:effectExtent l="0" t="0" r="0" b="3810"/>
            <wp:docPr id="16"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011C3B" w:rsidRDefault="00011C3B" w:rsidP="00011C3B">
      <w:pPr>
        <w:suppressAutoHyphens w:val="0"/>
        <w:rPr>
          <w:szCs w:val="22"/>
        </w:rPr>
      </w:pPr>
      <w:r>
        <w:rPr>
          <w:szCs w:val="22"/>
        </w:rPr>
        <w:t>2012-ben 244 db kifizetési kérelem került jóváhagyásra, a kifizetés összege 15,8 M euró (4,6 Mrd Ft).</w:t>
      </w:r>
    </w:p>
    <w:p w:rsidR="00F918CE" w:rsidRDefault="00F918CE" w:rsidP="00DA27DF">
      <w:r>
        <w:t xml:space="preserve">A 2012. évi jóváhagyott támogatási összeg </w:t>
      </w:r>
      <w:r w:rsidRPr="008C309B">
        <w:t>negatív összeg</w:t>
      </w:r>
      <w:r>
        <w:t>ét</w:t>
      </w:r>
      <w:r w:rsidRPr="008C309B">
        <w:t xml:space="preserve"> a következő</w:t>
      </w:r>
      <w:r>
        <w:t xml:space="preserve"> tényező</w:t>
      </w:r>
      <w:r w:rsidRPr="008C309B">
        <w:t>k</w:t>
      </w:r>
      <w:r>
        <w:t xml:space="preserve"> idézték elő:</w:t>
      </w:r>
      <w:r w:rsidRPr="008C309B">
        <w:t xml:space="preserve"> </w:t>
      </w:r>
      <w:r>
        <w:t>a korábbi években lekötött források tekintetében jelentős összegű forrás-felszabadulás volt tapasztalható a támogatásról történő lemondás, támogatásból történő kizárás, jogosultságok megszüntetése, illetve utolsó kifizetési kérelem lezárását követően keletkezett maradványösszegek felszabadítása okán.</w:t>
      </w:r>
    </w:p>
    <w:p w:rsidR="00011C3B" w:rsidRDefault="00011C3B" w:rsidP="00DA27DF">
      <w:r w:rsidRPr="001160D6">
        <w:t xml:space="preserve">A kifizetések megyei eloszlását tekintve elmondható, hogy a legtöbb kifizetés a jogcímre Jász-Nagykun-Szolnok, </w:t>
      </w:r>
      <w:r w:rsidR="00F918CE">
        <w:t xml:space="preserve">míg </w:t>
      </w:r>
      <w:r w:rsidRPr="001160D6">
        <w:t>a legkevesebb kifizetés Heves megyében történt.</w:t>
      </w:r>
    </w:p>
    <w:p w:rsidR="00011C3B" w:rsidRPr="00604B6F" w:rsidRDefault="00011C3B" w:rsidP="00715E86">
      <w:pPr>
        <w:pStyle w:val="Cmsor4"/>
      </w:pPr>
      <w:r w:rsidRPr="00604B6F">
        <w:lastRenderedPageBreak/>
        <w:t>Kertészet korszerűsítéséhez nyújtandó támogatások jogcím rövid bemutatása</w:t>
      </w:r>
    </w:p>
    <w:p w:rsidR="00011C3B" w:rsidRPr="00604B6F" w:rsidRDefault="00011C3B" w:rsidP="004869BB">
      <w:r>
        <w:rPr>
          <w:lang w:bidi="bn-IN"/>
        </w:rPr>
        <w:t>A Program</w:t>
      </w:r>
      <w:r w:rsidRPr="00604B6F">
        <w:rPr>
          <w:lang w:bidi="bn-IN"/>
        </w:rPr>
        <w:t xml:space="preserve"> egyik kiemelt célja a munkahelyteremtés, így a munkaerő-igényes kertészeti ágazat fejlesztése elengedhetetlen. A támogatás célja a kertészetben a termelőtevékenység folytatásához és a megtermelt áru tárolásához szükséges épületállomány korszerűsítése, korszerű technológiák alkalmazása a gazdálkodás összteljesítményének javítása érdekében. </w:t>
      </w:r>
      <w:r w:rsidRPr="00604B6F">
        <w:t>A beruházások megvalósítása 2013-2014. években realizálódik.</w:t>
      </w:r>
    </w:p>
    <w:p w:rsidR="00116CE3" w:rsidRPr="00116CE3" w:rsidRDefault="00116CE3" w:rsidP="004869BB">
      <w:r w:rsidRPr="00116CE3">
        <w:t>A kertészet korszerűsítéséhez nyújtandó támogatások részletes feltételeiről szóló 25/2008.</w:t>
      </w:r>
      <w:r w:rsidR="006F0141">
        <w:t> </w:t>
      </w:r>
      <w:r w:rsidRPr="00116CE3">
        <w:t>(III.7</w:t>
      </w:r>
      <w:r w:rsidR="00F16C27" w:rsidRPr="00116CE3">
        <w:t>.)</w:t>
      </w:r>
      <w:r w:rsidR="00F16C27">
        <w:t> </w:t>
      </w:r>
      <w:r w:rsidRPr="00116CE3">
        <w:t>FVM rendelet esetében a rendeletben foglalt feltétele</w:t>
      </w:r>
      <w:r w:rsidR="00F16C27">
        <w:t>k</w:t>
      </w:r>
      <w:r w:rsidRPr="00116CE3">
        <w:t xml:space="preserve"> mellett az első kifizetési kérelem benyújtására nyitva álló határidő meghosszabbításra került. Az Európai Mezőgazdasági Vidékfejlesztési Alapból finanszírozott egyes agrártárgyú miniszteri rendeletek módosításáról szóló 76/2012. (VII.27) VM rendelet rendelkezései alapján </w:t>
      </w:r>
      <w:r w:rsidR="00F16C27">
        <w:t xml:space="preserve">a </w:t>
      </w:r>
      <w:r w:rsidRPr="00116CE3">
        <w:t>meghosszabbított határidő 2012. december 31-én lejárt le.</w:t>
      </w:r>
    </w:p>
    <w:p w:rsidR="00116CE3" w:rsidRPr="00116CE3" w:rsidRDefault="00116CE3" w:rsidP="004869BB">
      <w:r w:rsidRPr="00116CE3">
        <w:t>A 25/2008. (III.7.) FVM rendelet</w:t>
      </w:r>
      <w:r w:rsidR="00F16C27">
        <w:t>et</w:t>
      </w:r>
      <w:r w:rsidRPr="00116CE3">
        <w:t xml:space="preserve"> módosította</w:t>
      </w:r>
      <w:r>
        <w:t xml:space="preserve"> ezen kívül</w:t>
      </w:r>
      <w:r w:rsidRPr="00116CE3">
        <w:t xml:space="preserve"> az Európai Mezőgazdasági Vidékfejlesztési Alapból finanszírozott egyes agrártárgyú miniszteri rendeletek módosításáról szóló 56/2012. (VI.21.) VM rendelet is, melynek rendelkezése értelmében a beruházások megvalósítási határideje 2012. december 31-re módosult. A módosítással a gazdasági válság miatt nehéz helyzetbe került gazdálkodók számára lehetőséget biztosított</w:t>
      </w:r>
      <w:r w:rsidR="00F16C27">
        <w:t xml:space="preserve"> az IH</w:t>
      </w:r>
      <w:r w:rsidRPr="00116CE3">
        <w:t xml:space="preserve"> meghosszabbított megvalósítási határidővel beruházásuk megvalósítására. </w:t>
      </w:r>
    </w:p>
    <w:p w:rsidR="00011C3B" w:rsidRPr="00346C9C" w:rsidRDefault="00011C3B" w:rsidP="00F16C27">
      <w:r w:rsidRPr="00604B6F">
        <w:t xml:space="preserve">A jogcím keretében támogatási kérelem </w:t>
      </w:r>
      <w:r w:rsidRPr="00BF6573">
        <w:t>benyújtására 2008.</w:t>
      </w:r>
      <w:r w:rsidR="00F16C27">
        <w:t xml:space="preserve"> április </w:t>
      </w:r>
      <w:r w:rsidRPr="00BF6573">
        <w:t>1</w:t>
      </w:r>
      <w:r w:rsidR="00F16C27">
        <w:t xml:space="preserve">. </w:t>
      </w:r>
      <w:r w:rsidRPr="00BF6573">
        <w:t>-2008.</w:t>
      </w:r>
      <w:r w:rsidR="00F16C27">
        <w:t xml:space="preserve"> május </w:t>
      </w:r>
      <w:r w:rsidRPr="00BF6573">
        <w:t>30</w:t>
      </w:r>
      <w:r w:rsidR="00F16C27">
        <w:t>.</w:t>
      </w:r>
      <w:r w:rsidRPr="00BF6573">
        <w:t xml:space="preserve"> között nyitva álló időszakban (Kertészet korszerűsítése I.)</w:t>
      </w:r>
      <w:r>
        <w:t>,</w:t>
      </w:r>
      <w:r w:rsidRPr="00BF6573">
        <w:t xml:space="preserve"> 2009.</w:t>
      </w:r>
      <w:r w:rsidR="00F16C27">
        <w:t xml:space="preserve"> december </w:t>
      </w:r>
      <w:r w:rsidRPr="00BF6573">
        <w:t>1</w:t>
      </w:r>
      <w:r w:rsidR="00F16C27">
        <w:t xml:space="preserve">. </w:t>
      </w:r>
      <w:r w:rsidRPr="00BF6573">
        <w:t>-2010.</w:t>
      </w:r>
      <w:r w:rsidR="00F16C27">
        <w:t xml:space="preserve"> január </w:t>
      </w:r>
      <w:r w:rsidRPr="00BF6573">
        <w:t>15</w:t>
      </w:r>
      <w:r w:rsidR="00F16C27">
        <w:t>.</w:t>
      </w:r>
      <w:r w:rsidRPr="00BF6573">
        <w:t xml:space="preserve"> között nyitva álló időszakban (Kertészet korszerűsítése II.) </w:t>
      </w:r>
      <w:r w:rsidRPr="00604B6F">
        <w:t>volt lehetőség</w:t>
      </w:r>
      <w:r>
        <w:t xml:space="preserve">. </w:t>
      </w:r>
      <w:r w:rsidRPr="00346C9C">
        <w:t xml:space="preserve">2012-ben január 1-31. között volt lehetőség támogatási kérelem benyújtására (Kertészet korszerűsítése III.). A harmadik körben benyújtott támogatási kérelmek esetében a döntés meghozatalára 2012 júliusban került sor. </w:t>
      </w:r>
    </w:p>
    <w:p w:rsidR="00011C3B" w:rsidRDefault="00011C3B" w:rsidP="004869BB">
      <w:r w:rsidRPr="00346C9C">
        <w:t xml:space="preserve">Kifizetési kérelem benyújtására 2012-ben a Kertészet korszerűsítése I.-II. jogcím támogatási határozataihoz kapcsolódóan </w:t>
      </w:r>
      <w:r w:rsidR="00F16C27">
        <w:t>két</w:t>
      </w:r>
      <w:r w:rsidR="00F16C27" w:rsidRPr="00346C9C">
        <w:t xml:space="preserve"> </w:t>
      </w:r>
      <w:r w:rsidRPr="00346C9C">
        <w:t>időszakban – 2012. február 1. - május 31. és augusztus 1. - december 31. között –, a Kertészet korszerűsítése III. jogcím támogatási határozataihoz kapcsolódóan 2012. augusztus 1. - december 31. között volt lehetőség.</w:t>
      </w:r>
    </w:p>
    <w:p w:rsidR="00F16C27" w:rsidRPr="006F0141" w:rsidRDefault="00011C3B" w:rsidP="004869BB">
      <w:r w:rsidRPr="006F0141">
        <w:t xml:space="preserve">Az intézkedésekkel elérni kívánt célok megvalósítása érdekében a támogatás felső határának csökkentése történt meg. A 121. sz. intézkedés kertészet korszerűsítése alintézkedés esetében 2012-ben a támogatás felső határa 178 570 euró/projekt (mintegy 50 millió Ft/projekt). </w:t>
      </w:r>
    </w:p>
    <w:p w:rsidR="00011C3B" w:rsidRPr="00604B6F" w:rsidRDefault="00011C3B" w:rsidP="004869BB">
      <w:pPr>
        <w:rPr>
          <w:lang w:bidi="bn-IN"/>
        </w:rPr>
      </w:pPr>
      <w:r w:rsidRPr="006F0141">
        <w:rPr>
          <w:lang w:bidi="bn-IN"/>
        </w:rPr>
        <w:t>Ennek értelmében az alintézkedés várhatóan eredményesebben éri el a kitűzött célját, mivel az új rendelet (103/2011. (XI.8.) VM rendelet) által szabályozott konstrukcióban több termelőnek biztosít az IH lehetőséget életképes kertészeti üzem létrehozására, tehát a rendelkezésre álló keretösszeg nem csupán néhány nagyobb beruházás között oszlik meg.</w:t>
      </w:r>
    </w:p>
    <w:p w:rsidR="00011C3B" w:rsidRPr="00604B6F" w:rsidRDefault="00011C3B" w:rsidP="004869BB">
      <w:r w:rsidRPr="00604B6F">
        <w:rPr>
          <w:lang w:bidi="bn-IN"/>
        </w:rPr>
        <w:t>Az ágazat modernizációjával a termésbiztonság valamint a termésátlagok növelése érhető el, környezetbarát technológiák alkalmazása mellett. A jogcím keretében geotermikus energia felhasználása is támogatható. A fentiek értelmében a kertészeti ágazat volumenének növekedése várható.</w:t>
      </w:r>
      <w:r w:rsidRPr="00604B6F">
        <w:t xml:space="preserve"> Az ágazat fejlesztésével – tekintettel ennek kézimunkaigényére – a foglalkoztatottság növekedését is el kívánj</w:t>
      </w:r>
      <w:r>
        <w:t>a</w:t>
      </w:r>
      <w:r w:rsidRPr="00604B6F">
        <w:t xml:space="preserve"> érni</w:t>
      </w:r>
      <w:r>
        <w:t xml:space="preserve"> az IH.</w:t>
      </w:r>
    </w:p>
    <w:p w:rsidR="00011C3B" w:rsidRPr="00F92037" w:rsidRDefault="007E5FDF" w:rsidP="00F92037">
      <w:pPr>
        <w:pStyle w:val="bra-cmetbla"/>
      </w:pPr>
      <w:fldSimple w:instr=" SEQ táblázat \* ARABIC ">
        <w:r w:rsidR="00E5031F">
          <w:rPr>
            <w:noProof/>
          </w:rPr>
          <w:t>28</w:t>
        </w:r>
      </w:fldSimple>
      <w:r w:rsidR="00673DDE">
        <w:t xml:space="preserve">. táblázat: </w:t>
      </w:r>
      <w:r w:rsidR="00011C3B" w:rsidRPr="00F92037">
        <w:t>Kertészet korszerűsítéséhez nyújtandó támogatások jogcím 2012. évi eredményei</w:t>
      </w:r>
    </w:p>
    <w:p w:rsidR="00011C3B" w:rsidRPr="00F92037" w:rsidRDefault="00B452BF" w:rsidP="00F92037">
      <w:pPr>
        <w:pStyle w:val="bra-cmetbla"/>
      </w:pPr>
      <w:r w:rsidRPr="00F92037">
        <w:rPr>
          <w:noProof/>
        </w:rPr>
        <w:drawing>
          <wp:inline distT="0" distB="0" distL="0" distR="0" wp14:anchorId="77E95ED8" wp14:editId="4EE875EE">
            <wp:extent cx="5167630" cy="1882140"/>
            <wp:effectExtent l="0" t="0" r="0" b="3810"/>
            <wp:docPr id="17"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011C3B" w:rsidRDefault="00011C3B" w:rsidP="004869BB">
      <w:r w:rsidRPr="00604B6F">
        <w:t>A</w:t>
      </w:r>
      <w:r>
        <w:t xml:space="preserve"> 2012-ben </w:t>
      </w:r>
      <w:r w:rsidRPr="00604B6F">
        <w:t xml:space="preserve">támogatott kifizetési kérelmek száma: </w:t>
      </w:r>
      <w:r>
        <w:t>144</w:t>
      </w:r>
      <w:r w:rsidRPr="00604B6F">
        <w:t xml:space="preserve"> db</w:t>
      </w:r>
      <w:r>
        <w:t xml:space="preserve"> volt, kifizetés 8,5 M euró (2,5 Mrd Ft) összegben történt</w:t>
      </w:r>
      <w:r w:rsidRPr="00604B6F">
        <w:t xml:space="preserve">. </w:t>
      </w:r>
    </w:p>
    <w:p w:rsidR="00011C3B" w:rsidRPr="00890C0F" w:rsidRDefault="00D3437A" w:rsidP="004869BB">
      <w:pPr>
        <w:rPr>
          <w:szCs w:val="22"/>
        </w:rPr>
      </w:pPr>
      <w:r w:rsidRPr="00890C0F">
        <w:rPr>
          <w:szCs w:val="22"/>
        </w:rPr>
        <w:t>Beérkezett támogatási kérelmek száma 2012-ben: 193 db. Legtöbb kérelem Szabolcs Szatmár Bereg megyéből. (22%), valamint Csongrád megyéből (12%) érkezett be. Nem érkezett kérelem Vas megyéből, valamint Tolna megyéből is csak 1 db.</w:t>
      </w:r>
      <w:r w:rsidR="00890C0F" w:rsidRPr="00890C0F">
        <w:rPr>
          <w:szCs w:val="22"/>
        </w:rPr>
        <w:t xml:space="preserve"> Csongrád megyében történt a legnagyobb kifizetés, míg Baranya, Komárom-Esztergom, Tolna, és Veszprém megyében kifizetési kérelem hiányában nem volt kifizetés.</w:t>
      </w:r>
    </w:p>
    <w:p w:rsidR="00011C3B" w:rsidRPr="00604B6F" w:rsidRDefault="00011C3B" w:rsidP="00715E86">
      <w:pPr>
        <w:pStyle w:val="Cmsor4"/>
      </w:pPr>
      <w:r w:rsidRPr="00604B6F">
        <w:t>Kertészeti gépek, technológiai berendezések beszerzése támogatási jogcím rövid bemutatása</w:t>
      </w:r>
    </w:p>
    <w:p w:rsidR="00011C3B" w:rsidRPr="00604B6F" w:rsidRDefault="00011C3B" w:rsidP="004869BB">
      <w:r w:rsidRPr="00604B6F">
        <w:t xml:space="preserve">A kertészeti ágazatban a gépesítés aránya alacsony. A gazdaságok többsége tőkehiány miatt önerőből nem tudja a versenyképes piaci termelés technológiai hátterét megteremteni. </w:t>
      </w:r>
      <w:r w:rsidRPr="00604B6F">
        <w:rPr>
          <w:bCs/>
        </w:rPr>
        <w:t xml:space="preserve">A támogatási konstrukció </w:t>
      </w:r>
      <w:r w:rsidRPr="00604B6F">
        <w:t>célja a kertészeti ágazat technológiai színvonalának javítása, környezetbarát (energiatakarékos) gépek és technológiai berendezések beszerzése révén.</w:t>
      </w:r>
    </w:p>
    <w:p w:rsidR="00116CE3" w:rsidRDefault="00011C3B" w:rsidP="00011C3B">
      <w:r w:rsidRPr="00604B6F">
        <w:t>A 26/2008. (III.7.) FVM rendelet szabályozza a kertészeti gépek, technológiai berendezések beszerzéséhez nyújtandó támogatások igénybe vételének feltételeit</w:t>
      </w:r>
      <w:r w:rsidRPr="00116CE3">
        <w:t>, amely jogszabály 201</w:t>
      </w:r>
      <w:r w:rsidR="00116CE3" w:rsidRPr="00116CE3">
        <w:t>2</w:t>
      </w:r>
      <w:r w:rsidRPr="00116CE3">
        <w:t xml:space="preserve">-ben </w:t>
      </w:r>
      <w:r w:rsidR="00116CE3" w:rsidRPr="00116CE3">
        <w:t>nem</w:t>
      </w:r>
      <w:r w:rsidRPr="00116CE3">
        <w:t xml:space="preserve"> került módosításra.</w:t>
      </w:r>
      <w:r w:rsidRPr="00604B6F">
        <w:t xml:space="preserve"> </w:t>
      </w:r>
    </w:p>
    <w:p w:rsidR="00011C3B" w:rsidRDefault="00011C3B" w:rsidP="00011C3B">
      <w:r>
        <w:t xml:space="preserve">A Kertészeti gépek, technológiai berendezések beszerzése jogcím keretében 2008. április 1. – május 30. között volt támogatási kérelem benyújtására lehetőség.  </w:t>
      </w:r>
    </w:p>
    <w:p w:rsidR="00011C3B" w:rsidRPr="00604B6F" w:rsidRDefault="00011C3B" w:rsidP="00011C3B">
      <w:r>
        <w:t>Kifizetési kérelem benyújtására 2012-ben két időszakban 2012. február 1. - május 31. és augusztus 1. - december 31. között – volt lehetőség.</w:t>
      </w:r>
    </w:p>
    <w:p w:rsidR="00011C3B" w:rsidRPr="00F92037" w:rsidRDefault="007E5FDF" w:rsidP="00F92037">
      <w:pPr>
        <w:pStyle w:val="bra-cmetbla"/>
      </w:pPr>
      <w:fldSimple w:instr=" SEQ táblázat \* ARABIC ">
        <w:r w:rsidR="00E5031F">
          <w:rPr>
            <w:noProof/>
          </w:rPr>
          <w:t>29</w:t>
        </w:r>
      </w:fldSimple>
      <w:r w:rsidR="00673DDE">
        <w:t xml:space="preserve">. táblázat: </w:t>
      </w:r>
      <w:r w:rsidR="00011C3B" w:rsidRPr="00F92037">
        <w:t>Kertészeti gépek, technológiai berendezések beszerzése támogatási jogcím 2012. évi eredményei</w:t>
      </w:r>
    </w:p>
    <w:p w:rsidR="00011C3B" w:rsidRPr="00F92037" w:rsidRDefault="00B452BF" w:rsidP="00F92037">
      <w:pPr>
        <w:pStyle w:val="bra-cmetbla"/>
      </w:pPr>
      <w:r w:rsidRPr="00F92037">
        <w:rPr>
          <w:noProof/>
        </w:rPr>
        <w:drawing>
          <wp:inline distT="0" distB="0" distL="0" distR="0" wp14:anchorId="4700FDA8" wp14:editId="0C0FF9D7">
            <wp:extent cx="5167630" cy="1882140"/>
            <wp:effectExtent l="0" t="0" r="0" b="3810"/>
            <wp:docPr id="18"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380857" w:rsidRDefault="00011C3B" w:rsidP="00011C3B">
      <w:pPr>
        <w:pStyle w:val="Normlforrs"/>
      </w:pPr>
      <w:r w:rsidRPr="00380857">
        <w:t>Forrás: MVH</w:t>
      </w:r>
    </w:p>
    <w:p w:rsidR="006C0422" w:rsidRDefault="006C0422" w:rsidP="004869BB">
      <w:r>
        <w:t xml:space="preserve">A 2012. évi jóváhagyott és kifizetett támogatási összeg </w:t>
      </w:r>
      <w:r w:rsidRPr="008C309B">
        <w:t>negatív összeg</w:t>
      </w:r>
      <w:r>
        <w:t>ét</w:t>
      </w:r>
      <w:r w:rsidRPr="008C309B">
        <w:t xml:space="preserve"> a következő</w:t>
      </w:r>
      <w:r>
        <w:t xml:space="preserve"> tényező</w:t>
      </w:r>
      <w:r w:rsidRPr="008C309B">
        <w:t>k</w:t>
      </w:r>
      <w:r>
        <w:t xml:space="preserve"> idézték elő:</w:t>
      </w:r>
      <w:r w:rsidRPr="008C309B">
        <w:t xml:space="preserve"> </w:t>
      </w:r>
      <w:r>
        <w:t>egyrészt a lekötés összege csak minimális volt, másrészt a korábbi években lekötött források tekintetében jelentős összegű forrás-felszabadulás volt tapasztalható a támogatásról történő lemondás, visszavonás, illetve utolsó kifizetési kérelem lezárását követően keletkezett maradványösszegek felszabadítása, visszakövetelése okán.</w:t>
      </w:r>
    </w:p>
    <w:p w:rsidR="00011C3B" w:rsidRPr="008C309B" w:rsidRDefault="00011C3B" w:rsidP="004869BB">
      <w:r w:rsidRPr="001160D6">
        <w:t>A kifizetések megyei eloszlását tekintve elmondható, hogy a legtöbb kifizetés a jogcímre Szabolcs-Szatmár-Bereg megyében történt.</w:t>
      </w:r>
    </w:p>
    <w:p w:rsidR="00011C3B" w:rsidRPr="00604B6F" w:rsidRDefault="00011C3B" w:rsidP="00715E86">
      <w:pPr>
        <w:pStyle w:val="Cmsor4"/>
      </w:pPr>
      <w:r w:rsidRPr="00604B6F">
        <w:t>Állattartó telepek korszerűsítéséhez nyújtandó támogatások támogatási jogcím rövid bemutatása</w:t>
      </w:r>
    </w:p>
    <w:p w:rsidR="00011C3B" w:rsidRPr="00604B6F" w:rsidRDefault="00011C3B" w:rsidP="004869BB">
      <w:r w:rsidRPr="00604B6F">
        <w:t>Az</w:t>
      </w:r>
      <w:r w:rsidRPr="00604B6F">
        <w:rPr>
          <w:b/>
        </w:rPr>
        <w:t xml:space="preserve"> </w:t>
      </w:r>
      <w:r w:rsidRPr="00604B6F">
        <w:t xml:space="preserve">állattenyésztés korszerűsítése jogcím 2007-ben került először megnyitásra. Célja az állattartó telepek korszerűsítése annak érdekében, hogy az állattartó telep megfeleljen a trágyaelhelyezéssel kapcsolatos előírásoknak, javuljon az állattartó telepek takarmányozási, illetve műszaki színvonala, állategészségügyi és élelmiszerbiztonsági helyzete, infrastruktúrája, valamint az állattartó telepeken dolgozók munkakörülménye és munka-hatékonysága. Elsők között – még </w:t>
      </w:r>
      <w:r>
        <w:t>a Program</w:t>
      </w:r>
      <w:r w:rsidRPr="00604B6F">
        <w:t xml:space="preserve"> elfogadása előtt – került kidolgozásra, és meghirdetésre a támogatási konstrukció. Azóta </w:t>
      </w:r>
      <w:r>
        <w:t xml:space="preserve">2007-ben, </w:t>
      </w:r>
      <w:r w:rsidRPr="00604B6F">
        <w:t xml:space="preserve">2009-ben </w:t>
      </w:r>
      <w:r>
        <w:t xml:space="preserve">és 2012-ben </w:t>
      </w:r>
      <w:r w:rsidRPr="00604B6F">
        <w:t>került újra megnyitásra a jogcím, amelynek keretében</w:t>
      </w:r>
      <w:r w:rsidRPr="00604B6F">
        <w:rPr>
          <w:lang w:bidi="bn-IN"/>
        </w:rPr>
        <w:t xml:space="preserve"> csak a komplex támogatási konstrukcióra lehetett támogatást igényelni.</w:t>
      </w:r>
    </w:p>
    <w:p w:rsidR="00603112" w:rsidRDefault="00116CE3" w:rsidP="004869BB">
      <w:pPr>
        <w:rPr>
          <w:lang w:bidi="bn-IN"/>
        </w:rPr>
      </w:pPr>
      <w:r w:rsidRPr="00604B6F">
        <w:t>A 27/2007. (IV.17.) FVM rendelet szabályozza az állattartó telepek korszerűsítéséhez nyújtandó támogatáso</w:t>
      </w:r>
      <w:r>
        <w:t>k igénybe vételének feltételeit</w:t>
      </w:r>
      <w:r w:rsidRPr="00604B6F">
        <w:rPr>
          <w:lang w:bidi="bn-IN"/>
        </w:rPr>
        <w:t xml:space="preserve">. </w:t>
      </w:r>
      <w:r w:rsidR="00603112">
        <w:rPr>
          <w:lang w:bidi="bn-IN"/>
        </w:rPr>
        <w:t xml:space="preserve">A 27/2007. </w:t>
      </w:r>
      <w:r w:rsidR="006F0141" w:rsidRPr="00604B6F">
        <w:t xml:space="preserve">(IV.17.) </w:t>
      </w:r>
      <w:r w:rsidR="00603112">
        <w:rPr>
          <w:lang w:bidi="bn-IN"/>
        </w:rPr>
        <w:t>FVM rendelet 2012. évben kétszer módosult.</w:t>
      </w:r>
    </w:p>
    <w:p w:rsidR="00603112" w:rsidRDefault="00603112" w:rsidP="004869BB">
      <w:pPr>
        <w:rPr>
          <w:lang w:bidi="bn-IN"/>
        </w:rPr>
      </w:pPr>
      <w:r>
        <w:rPr>
          <w:lang w:bidi="bn-IN"/>
        </w:rPr>
        <w:t>A beruházások megvalósítása érdekében szükségessé vált az első kifizetési kérelem benyújtására rendelkezésre álló határidő meghosszabbítása az állattartó telepek korszerűsítéséhez nyújtandó támogatások részletes feltételeiről szóló 27/2007. (IV.17.) FVM rendelet alapján benyújtott kérelmek esetében. Az Európai Mezőgazdasági Vidékfejlesztési Alapból finanszírozott egyes agrártárgyú miniszteri rendeletek módosításáról szóló 76/2012. (VII.27) VM rendelet rendelkezései alapján meghosszabbított határidő 2012. december 31-én járt le.</w:t>
      </w:r>
    </w:p>
    <w:p w:rsidR="00116CE3" w:rsidRDefault="00603112" w:rsidP="004869BB">
      <w:pPr>
        <w:rPr>
          <w:lang w:bidi="bn-IN"/>
        </w:rPr>
      </w:pPr>
      <w:r>
        <w:rPr>
          <w:lang w:bidi="bn-IN"/>
        </w:rPr>
        <w:t>A 27/2007. (IV.17.) FVM rendelet</w:t>
      </w:r>
      <w:r w:rsidR="00803AC9">
        <w:rPr>
          <w:lang w:bidi="bn-IN"/>
        </w:rPr>
        <w:t>et</w:t>
      </w:r>
      <w:r>
        <w:rPr>
          <w:lang w:bidi="bn-IN"/>
        </w:rPr>
        <w:t xml:space="preserve"> módosította az Európai Mezőgazdasági Vidékfejlesztési Alapból finanszírozott egyes agrártárgyú miniszteri rendeletek módosításáról szóló 56/2012.</w:t>
      </w:r>
      <w:r w:rsidR="006F0141">
        <w:rPr>
          <w:lang w:bidi="bn-IN"/>
        </w:rPr>
        <w:t> </w:t>
      </w:r>
      <w:r>
        <w:rPr>
          <w:lang w:bidi="bn-IN"/>
        </w:rPr>
        <w:t>(VI.21.)</w:t>
      </w:r>
      <w:r w:rsidR="00803AC9">
        <w:rPr>
          <w:lang w:bidi="bn-IN"/>
        </w:rPr>
        <w:t> </w:t>
      </w:r>
      <w:r>
        <w:rPr>
          <w:lang w:bidi="bn-IN"/>
        </w:rPr>
        <w:t>VM rendelet, melynek rendelkezése értelmében a beruházások megvalósítási határideje 2012. december 31-re módosult.</w:t>
      </w:r>
    </w:p>
    <w:p w:rsidR="00116CE3" w:rsidRDefault="00116CE3" w:rsidP="004869BB">
      <w:r>
        <w:t>A 2012-be</w:t>
      </w:r>
      <w:r w:rsidRPr="00B46F65">
        <w:t xml:space="preserve">n megjelent </w:t>
      </w:r>
      <w:r>
        <w:t>a 61/2012. (</w:t>
      </w:r>
      <w:r w:rsidRPr="00116CE3">
        <w:t xml:space="preserve">VI.29.) VM rendelet, amely alapján 2012-ben nyílt lehetőség támogatási kérelmek újbóli benyújtására. A jogcím ismételt meghirdetése </w:t>
      </w:r>
      <w:r w:rsidRPr="00715E86">
        <w:t xml:space="preserve">lehetőséget teremtett - minden állattartási ágazatra kiterjedően – az állattartó telepek korszerűsítésére annak érdekében, hogy </w:t>
      </w:r>
      <w:r w:rsidRPr="00715E86">
        <w:lastRenderedPageBreak/>
        <w:t>az állattartó telep megfeleljen a trágyaelhelyezéssel kapcsolatos előírásoknak, javuljon az állattartó telepek takarmányozási, illetve műszaki színvonala, állategészségügyi és élelmiszerbiztonsági helyzete, infrastruktúrája, valamint az állattartó telepeken dolgozók munkakörülménye és munka-hatékonysága</w:t>
      </w:r>
      <w:r w:rsidRPr="0058158C">
        <w:rPr>
          <w:rFonts w:cs="Times New Roman"/>
          <w:kern w:val="26"/>
          <w:sz w:val="24"/>
        </w:rPr>
        <w:t>.</w:t>
      </w:r>
    </w:p>
    <w:p w:rsidR="00011C3B" w:rsidRPr="0017177D" w:rsidRDefault="00011C3B" w:rsidP="004869BB">
      <w:r w:rsidRPr="0017177D">
        <w:t xml:space="preserve">A jogcím keretében </w:t>
      </w:r>
      <w:r w:rsidRPr="0017177D">
        <w:rPr>
          <w:lang w:bidi="bn-IN"/>
        </w:rPr>
        <w:t>a 61/2012. (VI.29.) VM rendelet alapján</w:t>
      </w:r>
      <w:r w:rsidRPr="0017177D">
        <w:t xml:space="preserve"> támogatási kérelem benyújtására a 2012. augusztus 1. és 31. között nyitva álló időszakban (ÁTK IV.) volt lehetőség. A beérkezett támogatási kérelmek feldolgozása a támogatási döntések meghozatalával 2012. decemberben zárult le. </w:t>
      </w:r>
    </w:p>
    <w:p w:rsidR="00011C3B" w:rsidRPr="0017177D" w:rsidRDefault="00011C3B" w:rsidP="004869BB">
      <w:r w:rsidRPr="0017177D">
        <w:t>Kifizetési kérelem benyújtására 2012-ben két időszakban – 2012. február 1. - május 31. és augusztus 1. - december 31. között - volt lehetőség az ÁTK I.-II.-III. jogcím támogatási határozataihoz kapcsolódóan.</w:t>
      </w:r>
    </w:p>
    <w:p w:rsidR="00011C3B" w:rsidRPr="00F92037" w:rsidRDefault="007E5FDF" w:rsidP="00F92037">
      <w:pPr>
        <w:pStyle w:val="bra-cmetbla"/>
      </w:pPr>
      <w:fldSimple w:instr=" SEQ táblázat \* ARABIC ">
        <w:r w:rsidR="00E5031F">
          <w:rPr>
            <w:noProof/>
          </w:rPr>
          <w:t>30</w:t>
        </w:r>
      </w:fldSimple>
      <w:r w:rsidR="00673DDE">
        <w:t xml:space="preserve">. táblázat: </w:t>
      </w:r>
      <w:r w:rsidR="00011C3B" w:rsidRPr="00F92037">
        <w:t>Állattartó telepek korszerűsítéséhez nyújtandó támogatások támogatási jogcím 2012. évi eredményei</w:t>
      </w:r>
    </w:p>
    <w:p w:rsidR="00011C3B" w:rsidRPr="00F92037" w:rsidRDefault="00B452BF" w:rsidP="00F92037">
      <w:pPr>
        <w:pStyle w:val="bra-cmetbla"/>
      </w:pPr>
      <w:r w:rsidRPr="00F92037">
        <w:rPr>
          <w:noProof/>
        </w:rPr>
        <w:drawing>
          <wp:inline distT="0" distB="0" distL="0" distR="0" wp14:anchorId="5BF05E7B" wp14:editId="2F65896C">
            <wp:extent cx="5167630" cy="1882140"/>
            <wp:effectExtent l="0" t="0" r="0" b="3810"/>
            <wp:docPr id="19"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011C3B" w:rsidRDefault="00011C3B" w:rsidP="004869BB">
      <w:r w:rsidRPr="003E35A2">
        <w:t>Az MVH</w:t>
      </w:r>
      <w:r w:rsidR="00803AC9" w:rsidRPr="003E35A2">
        <w:t xml:space="preserve"> 2012-ben</w:t>
      </w:r>
      <w:r w:rsidRPr="003E35A2">
        <w:t xml:space="preserve"> 845 db kifizetési kérelmet hagyott jóvá. Kifizetés 84,8 M euró (24,8 Mrd Ft) értékben történt. </w:t>
      </w:r>
      <w:r>
        <w:t xml:space="preserve">A jogcímen 2012-ben </w:t>
      </w:r>
      <w:r w:rsidR="00803AC9">
        <w:t xml:space="preserve">csak ÁTK IV. jogcímen került </w:t>
      </w:r>
      <w:r>
        <w:t xml:space="preserve">sor </w:t>
      </w:r>
      <w:r w:rsidR="00803AC9">
        <w:t>kötelezettségvállalásra</w:t>
      </w:r>
      <w:r>
        <w:t xml:space="preserve">, </w:t>
      </w:r>
      <w:r w:rsidR="00803AC9">
        <w:t xml:space="preserve">míg </w:t>
      </w:r>
      <w:r>
        <w:t xml:space="preserve">ÁTK I., II. és III. jogcímeken </w:t>
      </w:r>
      <w:r w:rsidR="00803AC9">
        <w:t xml:space="preserve">a korábbi években lekötött források tekintetében jelentős összegű forrás-felszabadulás volt tapasztalható a támogatásról történő lemondás, kizárások, jogosultság megszüntetések, illetve utolsó kifizetési kérelem lezárását követően keletkezett maradványösszegek felszabadítása, visszakövetelése okán. </w:t>
      </w:r>
    </w:p>
    <w:p w:rsidR="00011C3B" w:rsidRPr="00604B6F" w:rsidRDefault="00011C3B" w:rsidP="004869BB">
      <w:bookmarkStart w:id="235" w:name="kedd"/>
      <w:bookmarkEnd w:id="235"/>
      <w:r w:rsidRPr="001160D6">
        <w:t>A támogatott kifizetési kérelmek regionális eloszlását tekintve elmondható, hogy a legtöbb kifizetés a jogcímre Hajdú-Bihar megyében történt.</w:t>
      </w:r>
      <w:r w:rsidR="00D3437A">
        <w:t xml:space="preserve"> </w:t>
      </w:r>
      <w:r w:rsidR="00D3437A" w:rsidRPr="00D3437A">
        <w:t>A 2012-ben beérkezett támogatási kérelem 2012-ben 1 128 db. A legtöbb kérelem Hajdó-Bihar megyéből (11,17%), valamint Bács –Kiskun megyéből (11%)  érkezett. A legkevesebb kérelem Veszprém megyéből (2%). Nem volt olyan megye – ideértve Budapestet is – ahonnan nem nyújtottak be kérelmet</w:t>
      </w:r>
      <w:r w:rsidR="00D3437A">
        <w:t>.</w:t>
      </w:r>
    </w:p>
    <w:p w:rsidR="00011C3B" w:rsidRPr="00604B6F" w:rsidRDefault="00011C3B" w:rsidP="00715E86">
      <w:pPr>
        <w:pStyle w:val="Cmsor4"/>
      </w:pPr>
      <w:r w:rsidRPr="00604B6F">
        <w:t>Baromfi telepek korszerűsítéséhez nyújtandó támogatások jogcím rövid bemutatása</w:t>
      </w:r>
    </w:p>
    <w:p w:rsidR="00011C3B" w:rsidRPr="00604B6F" w:rsidRDefault="00011C3B" w:rsidP="004869BB">
      <w:r w:rsidRPr="007C43D0">
        <w:t>A tojótyúkok védelmére vonatkozó minimumkövetelmények megállapításáról szóló 1999/74/EK Irányelv 5. cikk, (2) bekezdése alapján a fel nem javított ketrecekben történő</w:t>
      </w:r>
      <w:r w:rsidRPr="00604B6F">
        <w:t xml:space="preserve"> </w:t>
      </w:r>
      <w:r>
        <w:t>tojótyúktartást</w:t>
      </w:r>
      <w:r w:rsidRPr="00604B6F">
        <w:t xml:space="preserve"> a tagállamok 2012. január 1</w:t>
      </w:r>
      <w:r>
        <w:t>-től</w:t>
      </w:r>
      <w:r w:rsidRPr="00604B6F">
        <w:t xml:space="preserve"> </w:t>
      </w:r>
      <w:r>
        <w:t xml:space="preserve">kezdődően </w:t>
      </w:r>
      <w:r w:rsidRPr="00604B6F">
        <w:t xml:space="preserve">nem folytathatnak. </w:t>
      </w:r>
    </w:p>
    <w:p w:rsidR="00011C3B" w:rsidRDefault="00011C3B" w:rsidP="004869BB">
      <w:r w:rsidRPr="00604B6F">
        <w:t>A 78/2011. (VIII.3.) VM rendelet szabályozza baromfi telepek korszerűsítéséhez nyújtandó támogatások részletes feltételeit. A rendelet alapján támogatás vehető igénybe az ügyfél egy vagy több baromfi telepére vonatkozóan</w:t>
      </w:r>
      <w:r w:rsidR="00692C46">
        <w:t>,</w:t>
      </w:r>
      <w:r w:rsidRPr="00604B6F">
        <w:t xml:space="preserve"> a tojótyúk</w:t>
      </w:r>
      <w:r>
        <w:t xml:space="preserve"> </w:t>
      </w:r>
      <w:r w:rsidRPr="00604B6F">
        <w:t>tartás minőségének javítását szolgáló gépberuházás megvalósítására.</w:t>
      </w:r>
    </w:p>
    <w:p w:rsidR="00831B16" w:rsidRDefault="00831B16" w:rsidP="004869BB">
      <w:r>
        <w:t xml:space="preserve">A 2012-es év során a jogcímet érintő rendelet egy alkalommal került </w:t>
      </w:r>
      <w:r w:rsidR="00692C46">
        <w:t xml:space="preserve">sor technikai </w:t>
      </w:r>
      <w:r>
        <w:t xml:space="preserve">módosításra </w:t>
      </w:r>
      <w:r w:rsidR="00692C46">
        <w:t xml:space="preserve">az </w:t>
      </w:r>
      <w:r>
        <w:t>5/2012</w:t>
      </w:r>
      <w:r w:rsidR="00692C46">
        <w:t>. </w:t>
      </w:r>
      <w:r>
        <w:t>(II.10.)</w:t>
      </w:r>
      <w:r w:rsidR="00692C46">
        <w:t> </w:t>
      </w:r>
      <w:r>
        <w:t xml:space="preserve"> VM rendelet</w:t>
      </w:r>
      <w:r w:rsidR="00692C46">
        <w:t xml:space="preserve"> keretében</w:t>
      </w:r>
      <w:r>
        <w:t xml:space="preserve">. </w:t>
      </w:r>
    </w:p>
    <w:p w:rsidR="00831B16" w:rsidRDefault="00831B16" w:rsidP="004869BB">
      <w:r>
        <w:lastRenderedPageBreak/>
        <w:t>2012-ben nem volt támogatási kérelem benyújtási időszak.</w:t>
      </w:r>
    </w:p>
    <w:p w:rsidR="00011C3B" w:rsidRPr="00BD037E" w:rsidRDefault="00011C3B" w:rsidP="00AB7B6A">
      <w:pPr>
        <w:spacing w:after="0"/>
        <w:ind w:firstLine="0"/>
      </w:pPr>
      <w:r w:rsidRPr="00BD037E">
        <w:t xml:space="preserve">Kifizetési kérelem benyújtására 2012-ben két időszakban – 2012. február 1. - május 31. és augusztus 1. - december 31. között - volt lehetőség. </w:t>
      </w:r>
    </w:p>
    <w:p w:rsidR="00011C3B" w:rsidRPr="00F92037" w:rsidRDefault="007E5FDF" w:rsidP="00F92037">
      <w:pPr>
        <w:pStyle w:val="bra-cmetbla"/>
      </w:pPr>
      <w:fldSimple w:instr=" SEQ táblázat \* ARABIC ">
        <w:r w:rsidR="00E5031F">
          <w:rPr>
            <w:noProof/>
          </w:rPr>
          <w:t>31</w:t>
        </w:r>
      </w:fldSimple>
      <w:r w:rsidR="00673DDE">
        <w:t xml:space="preserve">. táblázat: </w:t>
      </w:r>
      <w:r w:rsidR="00011C3B" w:rsidRPr="00F92037">
        <w:t>Baromfitelepek korszerűsítéséhez nyújtandó támogatások jogcím 2012. évi eredményei</w:t>
      </w:r>
    </w:p>
    <w:p w:rsidR="00011C3B" w:rsidRPr="00F92037" w:rsidRDefault="00B452BF" w:rsidP="00F92037">
      <w:pPr>
        <w:pStyle w:val="bra-cmetbla"/>
      </w:pPr>
      <w:r w:rsidRPr="00F92037">
        <w:rPr>
          <w:noProof/>
        </w:rPr>
        <w:drawing>
          <wp:inline distT="0" distB="0" distL="0" distR="0" wp14:anchorId="6555CDEC" wp14:editId="27C9C0D6">
            <wp:extent cx="5167630" cy="1882140"/>
            <wp:effectExtent l="0" t="0" r="0" b="3810"/>
            <wp:docPr id="20"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011C3B" w:rsidRDefault="00011C3B" w:rsidP="00DA27DF">
      <w:r>
        <w:t xml:space="preserve">A 2012-ben beérkezett 54 db kifizetési kérelemből 47 db-ot hagyott jóvá az MVH, kifizetés 3,8 M euró (1,1 Mrd Ft) </w:t>
      </w:r>
      <w:r w:rsidR="00692C46">
        <w:t xml:space="preserve">összegben </w:t>
      </w:r>
      <w:r>
        <w:t xml:space="preserve">történt. </w:t>
      </w:r>
    </w:p>
    <w:p w:rsidR="00011C3B" w:rsidRDefault="00011C3B" w:rsidP="00DA27DF">
      <w:r>
        <w:t xml:space="preserve">A legnagyobb összegű kifizetés Bács-Kiskun és Komárom-Esztergom megyében történt. </w:t>
      </w:r>
    </w:p>
    <w:p w:rsidR="00011C3B" w:rsidRPr="00604B6F" w:rsidRDefault="00011C3B" w:rsidP="00715E86">
      <w:pPr>
        <w:pStyle w:val="Cmsor4"/>
        <w:rPr>
          <w:rFonts w:eastAsia="Times New Roman" w:cs="Times New Roman"/>
        </w:rPr>
      </w:pPr>
      <w:r w:rsidRPr="00604B6F">
        <w:t>Mezőgazdasági energiafelhasználás megújuló energiaforrásból történő előállításához nyújtandó támogatások jogcím rövid bemutatása</w:t>
      </w:r>
    </w:p>
    <w:p w:rsidR="00011C3B" w:rsidRDefault="00011C3B" w:rsidP="004869BB">
      <w:r w:rsidRPr="00604B6F">
        <w:t>A biomassza kazánok beszerzésének támogatása</w:t>
      </w:r>
      <w:r w:rsidRPr="00604B6F">
        <w:rPr>
          <w:b/>
        </w:rPr>
        <w:t xml:space="preserve"> </w:t>
      </w:r>
      <w:r w:rsidRPr="00604B6F">
        <w:t xml:space="preserve">intézkedés célja a biomassza tüzelési rendszerek beszerzésének támogatása a magas energiaigényű alágazati tevékenységekre (pl. szárítás, kertészet, brolier tartás). A biomassza energetikai alkalmazása a mezőgazdaság területén egyrészről hozzájárul az országos célkitűzések teljesítéséhez, másrészről - mivel az alapanyag a mezőgazdasági üzemekben, vidéki térségekben önköltségi, vagy kedvezőbb áron elérhető, ezért - csökkenthetőek az energiaköltségek, növelhető a versenyképesség. </w:t>
      </w:r>
    </w:p>
    <w:p w:rsidR="0046561A" w:rsidRDefault="0046561A" w:rsidP="004869BB">
      <w:r w:rsidRPr="00604B6F">
        <w:t>A 78/2007. (VII.30.) FVM rendelet szabályozza a mezőgazdasági üzemek megújuló energiaforrásból történő energiaellátásához igénybe vehető támogatás feltételeit</w:t>
      </w:r>
      <w:r w:rsidRPr="00831B16">
        <w:t>. 2012-ben a jogcímrendelet nem módosult.</w:t>
      </w:r>
    </w:p>
    <w:p w:rsidR="0046561A" w:rsidRDefault="00011C3B" w:rsidP="004869BB">
      <w:r w:rsidRPr="00604B6F">
        <w:t xml:space="preserve">A jogcím keretében támogatási kérelem benyújtására 2007. október 17. – november 5. között volt lehetőség. </w:t>
      </w:r>
    </w:p>
    <w:p w:rsidR="00011C3B" w:rsidRPr="00604B6F" w:rsidRDefault="0046561A" w:rsidP="004869BB">
      <w:r>
        <w:t>A</w:t>
      </w:r>
      <w:r w:rsidR="00011C3B" w:rsidRPr="00604B6F">
        <w:t xml:space="preserve"> projektek megvalósítása lezárult, jelenleg az üzemeltetési szakaszban vannak.</w:t>
      </w:r>
    </w:p>
    <w:p w:rsidR="00011C3B" w:rsidRPr="00F92037" w:rsidRDefault="007E5FDF" w:rsidP="00673DDE">
      <w:pPr>
        <w:pStyle w:val="bra-cmetbla"/>
      </w:pPr>
      <w:fldSimple w:instr=" SEQ táblázat \* ARABIC ">
        <w:r w:rsidR="00E5031F">
          <w:rPr>
            <w:noProof/>
          </w:rPr>
          <w:t>32</w:t>
        </w:r>
      </w:fldSimple>
      <w:r w:rsidR="00673DDE">
        <w:t xml:space="preserve">. táblázat: </w:t>
      </w:r>
      <w:r w:rsidR="00011C3B" w:rsidRPr="00F92037">
        <w:t>Mezőgazdasági energiafelhasználás megújuló energiaforrásból történő előállításához nyújtandó támogatások jogcím 2012. évi eredményei</w:t>
      </w:r>
    </w:p>
    <w:p w:rsidR="00011C3B" w:rsidRPr="00F92037" w:rsidRDefault="00B452BF" w:rsidP="00F92037">
      <w:pPr>
        <w:pStyle w:val="bra-cmetbla"/>
      </w:pPr>
      <w:r w:rsidRPr="00F92037">
        <w:rPr>
          <w:noProof/>
        </w:rPr>
        <w:drawing>
          <wp:inline distT="0" distB="0" distL="0" distR="0" wp14:anchorId="01F78D04" wp14:editId="10E97992">
            <wp:extent cx="5167630" cy="1882140"/>
            <wp:effectExtent l="0" t="0" r="0" b="3810"/>
            <wp:docPr id="2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F35797">
        <w:t>Forrás: MVH</w:t>
      </w:r>
    </w:p>
    <w:p w:rsidR="00011C3B" w:rsidRPr="008C309B" w:rsidRDefault="00011C3B" w:rsidP="004869BB">
      <w:r>
        <w:t>A 201</w:t>
      </w:r>
      <w:r w:rsidR="0046561A">
        <w:t>2</w:t>
      </w:r>
      <w:r>
        <w:t xml:space="preserve">. évet érintően sem </w:t>
      </w:r>
      <w:r w:rsidR="0046561A">
        <w:t xml:space="preserve">kötelezettségvállalásra sem </w:t>
      </w:r>
      <w:r>
        <w:t>kifizetésre nem került sor</w:t>
      </w:r>
      <w:r w:rsidRPr="008C309B">
        <w:t>.</w:t>
      </w:r>
    </w:p>
    <w:p w:rsidR="00011C3B" w:rsidRPr="00604B6F" w:rsidRDefault="00011C3B" w:rsidP="00715E86">
      <w:pPr>
        <w:pStyle w:val="Cmsor4"/>
      </w:pPr>
      <w:r w:rsidRPr="00604B6F">
        <w:t>Fás- és lágyszárú energiaültetvények telepítéséhez nyújtandó támogatások támogatási jogcímek rövid bemutatása</w:t>
      </w:r>
    </w:p>
    <w:p w:rsidR="00011C3B" w:rsidRPr="00604B6F" w:rsidRDefault="00011C3B" w:rsidP="004869BB">
      <w:r w:rsidRPr="00DF6387">
        <w:rPr>
          <w:szCs w:val="26"/>
        </w:rPr>
        <w:t xml:space="preserve">A </w:t>
      </w:r>
      <w:r w:rsidRPr="00604B6F">
        <w:t>fás- és lágyszárú energia-, valamint az évelő lágyszárú energiaültetvények telepítési konstrukciók célja a lágy</w:t>
      </w:r>
      <w:r>
        <w:t>-</w:t>
      </w:r>
      <w:r w:rsidRPr="00604B6F">
        <w:t xml:space="preserve"> és fás szárú évelő ültetvények telepítésének ösztönzésével növelni a megújuló energiaforrások felhasználásának részarányát. A megújuló energiaforrások minél szélesebb körben való használatának elterjesztéséhez az energetikai célú faanyag biztosítása hozzájárul. A megújuló energiaforrásokon belül meghatározó szerepet tölt be a biomassza felhasználása, amely jelenleg döntően erdészeti forrású biomasszára alapozott. Az energiaültetvények telepítésének ösztönzésével az elérni kívánt célok közé tartozott</w:t>
      </w:r>
      <w:r w:rsidR="002C5042">
        <w:t>,</w:t>
      </w:r>
      <w:r w:rsidRPr="00604B6F">
        <w:t xml:space="preserve"> az erdészeti potenciál túlzott energetikai célú használatára irányuló nyomást – amely a növekvő igények miatt kialakult – mérsékelni. Alternatív, a termőhelyi adottságokhoz igazodó kultúraválasztási lehetőséget biztosít.</w:t>
      </w:r>
    </w:p>
    <w:p w:rsidR="00011C3B" w:rsidRPr="00604B6F" w:rsidRDefault="00011C3B" w:rsidP="004869BB">
      <w:r w:rsidRPr="00604B6F">
        <w:t xml:space="preserve">A támogatási jogcím 71/2007. (VII.27.) FVM rendelettel (lágyszárú energiaültetvény) és a 72/2007. (VII.27.) FVM rendelettel (fás szárú energiaültetvény) öt alkalommal került meghirdetésre. </w:t>
      </w:r>
    </w:p>
    <w:p w:rsidR="002C5042" w:rsidRDefault="002C5042" w:rsidP="004869BB">
      <w:r>
        <w:t>2012-ben két kifizetési kérelem benyújtási időszak volt: a 2012. évi egységes kérelem keretében, valamint a 2012. augusztus 1-31. közötti időszakában. Így mindenkinek lehetősége volt a 2011-ben és 2012-ben megkezdett beruházásaihoz a támogatási összegek lehívására.</w:t>
      </w:r>
    </w:p>
    <w:p w:rsidR="00011C3B" w:rsidRPr="00F92037" w:rsidRDefault="007E5FDF" w:rsidP="00F92037">
      <w:pPr>
        <w:pStyle w:val="bra-cmetbla"/>
      </w:pPr>
      <w:fldSimple w:instr=" SEQ táblázat \* ARABIC ">
        <w:r w:rsidR="00E5031F">
          <w:rPr>
            <w:noProof/>
          </w:rPr>
          <w:t>33</w:t>
        </w:r>
      </w:fldSimple>
      <w:r w:rsidR="00673DDE">
        <w:t xml:space="preserve">. táblázat: </w:t>
      </w:r>
      <w:r w:rsidR="00011C3B" w:rsidRPr="00F92037">
        <w:t>Fás- és lágyszárú energiaültetvények telepítéséhez nyújtandó támogatások támogatási jogcím 2012. évi eredményei</w:t>
      </w:r>
    </w:p>
    <w:p w:rsidR="00011C3B" w:rsidRPr="00EA6C22" w:rsidRDefault="00011C3B" w:rsidP="00E71166">
      <w:pPr>
        <w:pStyle w:val="bra-cmetbla"/>
      </w:pPr>
      <w:r w:rsidRPr="00EA6C22">
        <w:t>A támogatási és kifizetési kérelem adatok (a két konstrukcióra összesen)</w:t>
      </w:r>
    </w:p>
    <w:p w:rsidR="00011C3B" w:rsidRPr="00EA6C22" w:rsidRDefault="00B452BF" w:rsidP="00E71166">
      <w:pPr>
        <w:pStyle w:val="bra-cmetbla"/>
      </w:pPr>
      <w:r w:rsidRPr="00EA6C22">
        <w:rPr>
          <w:noProof/>
        </w:rPr>
        <w:drawing>
          <wp:inline distT="0" distB="0" distL="0" distR="0" wp14:anchorId="67E98279" wp14:editId="043F41CA">
            <wp:extent cx="5167630" cy="1882140"/>
            <wp:effectExtent l="0" t="0" r="0" b="3810"/>
            <wp:docPr id="2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011C3B" w:rsidRDefault="00011C3B" w:rsidP="004869BB">
      <w:r>
        <w:t>Ö</w:t>
      </w:r>
      <w:r w:rsidRPr="00604B6F">
        <w:t xml:space="preserve">sszesen </w:t>
      </w:r>
      <w:r>
        <w:t>17</w:t>
      </w:r>
      <w:r w:rsidRPr="00604B6F">
        <w:t xml:space="preserve"> db </w:t>
      </w:r>
      <w:r w:rsidR="002C5042">
        <w:t xml:space="preserve">kifizetési </w:t>
      </w:r>
      <w:r w:rsidRPr="00604B6F">
        <w:t>kérelem került benyújtásra</w:t>
      </w:r>
      <w:r>
        <w:t>, amelyből 16 db kérelmet hagyott jóvá az MVH</w:t>
      </w:r>
      <w:r w:rsidRPr="00604B6F">
        <w:t xml:space="preserve">. </w:t>
      </w:r>
      <w:r>
        <w:t>Kifizetés 138 ezer euró (40,6 M Ft) értékben történt.</w:t>
      </w:r>
    </w:p>
    <w:p w:rsidR="00011C3B" w:rsidRPr="00604B6F" w:rsidRDefault="00011C3B" w:rsidP="004869BB">
      <w:r w:rsidRPr="005A798F">
        <w:t>A jogcímre a legnagyobb összegű kifizetés Csongrád megyében volt.</w:t>
      </w:r>
      <w:r>
        <w:t xml:space="preserve"> </w:t>
      </w:r>
    </w:p>
    <w:p w:rsidR="00011C3B" w:rsidRPr="00604B6F" w:rsidRDefault="00011C3B" w:rsidP="00715E86">
      <w:pPr>
        <w:pStyle w:val="Cmsor4"/>
      </w:pPr>
      <w:r w:rsidRPr="00604B6F">
        <w:t>Ültetvények korszerűsítéséhez, telepítéséhez nyújtandó támogatások jogcím rövid bemutatása</w:t>
      </w:r>
    </w:p>
    <w:p w:rsidR="002F32AF" w:rsidRDefault="002F32AF" w:rsidP="002F32AF">
      <w:r w:rsidRPr="00604B6F">
        <w:t>Az</w:t>
      </w:r>
      <w:r>
        <w:t xml:space="preserve"> intézkedés három alkalommal került meghirdetésre:</w:t>
      </w:r>
    </w:p>
    <w:p w:rsidR="002F32AF" w:rsidRDefault="002F32AF" w:rsidP="002F32AF">
      <w:pPr>
        <w:ind w:firstLine="0"/>
      </w:pPr>
      <w:r w:rsidRPr="009D0C0B">
        <w:t>75/2007. (VII. 27.) FVM rendelet</w:t>
      </w:r>
      <w:r>
        <w:t xml:space="preserve">, majd a </w:t>
      </w:r>
      <w:r w:rsidRPr="00604B6F">
        <w:t>35/2010. (IV.9.)</w:t>
      </w:r>
      <w:r>
        <w:t> </w:t>
      </w:r>
      <w:r w:rsidRPr="00604B6F">
        <w:t xml:space="preserve"> FVM rendelet</w:t>
      </w:r>
      <w:r>
        <w:t xml:space="preserve">, majd a </w:t>
      </w:r>
      <w:r w:rsidRPr="00604B6F">
        <w:t>végrehajtása során keletkezett tapasztalatok alapján</w:t>
      </w:r>
      <w:r>
        <w:t xml:space="preserve"> </w:t>
      </w:r>
      <w:r w:rsidRPr="00604B6F">
        <w:t>szakmailag felülvizsgált és átdolgozott</w:t>
      </w:r>
      <w:r>
        <w:t xml:space="preserve">, 2011-ben meghirdetett </w:t>
      </w:r>
      <w:r w:rsidRPr="00604B6F">
        <w:t>55/2011. (VI.10.) VM rendelet</w:t>
      </w:r>
      <w:r>
        <w:t xml:space="preserve"> alapján. </w:t>
      </w:r>
      <w:r w:rsidRPr="00604B6F">
        <w:t xml:space="preserve">Az új 55/2011. (VI.10.) VM rendelet által szabályozott támogatások esetében </w:t>
      </w:r>
      <w:r>
        <w:t xml:space="preserve">a támogatás célja a </w:t>
      </w:r>
      <w:r w:rsidRPr="00604B6F">
        <w:t>szuperintenzív gyümölcsültetvény telepítése helyett</w:t>
      </w:r>
      <w:r>
        <w:t>,</w:t>
      </w:r>
      <w:r w:rsidRPr="00604B6F">
        <w:t xml:space="preserve"> víztakarékos öntözőrendszerrel ellátott intenzív ültetvények telepítésével, valamint meglévő ültetvények korszerűsítésével, a fajtaszerkezet javításával a piaci igényekhez alkalmazkodni tudó hatékony és minőségi követelményeknek megfelelő gazdálkodás megteremtése </w:t>
      </w:r>
    </w:p>
    <w:p w:rsidR="002F32AF" w:rsidRPr="00EF6C4A" w:rsidRDefault="002F32AF" w:rsidP="002F32AF">
      <w:pPr>
        <w:rPr>
          <w:b/>
        </w:rPr>
      </w:pPr>
      <w:r w:rsidRPr="00EF6C4A">
        <w:t xml:space="preserve">A 2012-es év során </w:t>
      </w:r>
      <w:r>
        <w:t xml:space="preserve">az 55/2011. (VI.10.) VM rendelet módosításra került </w:t>
      </w:r>
      <w:r w:rsidRPr="00EF6C4A">
        <w:t>eg</w:t>
      </w:r>
      <w:r>
        <w:t xml:space="preserve">y alkalommal a </w:t>
      </w:r>
      <w:r w:rsidRPr="00831B16">
        <w:t>20/2012.</w:t>
      </w:r>
      <w:r>
        <w:t> </w:t>
      </w:r>
      <w:r w:rsidRPr="00831B16">
        <w:t>(III.7.)</w:t>
      </w:r>
      <w:r>
        <w:t> </w:t>
      </w:r>
      <w:r w:rsidRPr="00831B16">
        <w:t>VM</w:t>
      </w:r>
      <w:r>
        <w:t xml:space="preserve"> rendelettel. </w:t>
      </w:r>
      <w:r w:rsidRPr="00EF6C4A">
        <w:t>A módosítás az ügyfelek részére egyértelműsítéseket</w:t>
      </w:r>
      <w:r>
        <w:t>, valamint könnyítéseket</w:t>
      </w:r>
      <w:r w:rsidRPr="00EF6C4A">
        <w:t xml:space="preserve"> tartalmaz</w:t>
      </w:r>
      <w:r>
        <w:t>, amelyre a gazdasági válság miatt a beruházások megvalósítása érdekében feltétlen szükség volt</w:t>
      </w:r>
      <w:r w:rsidRPr="00EF6C4A">
        <w:t>.</w:t>
      </w:r>
    </w:p>
    <w:p w:rsidR="00011C3B" w:rsidRPr="00604B6F" w:rsidRDefault="002F32AF" w:rsidP="002F32AF">
      <w:r>
        <w:t>2012-ben augusztus 1-31. közötti időszakban nyílik lehetőség kifizetési kérelem benyújtására.</w:t>
      </w:r>
    </w:p>
    <w:p w:rsidR="00011C3B" w:rsidRPr="00F92037" w:rsidRDefault="007E5FDF" w:rsidP="00F92037">
      <w:pPr>
        <w:pStyle w:val="bra-cmetbla"/>
      </w:pPr>
      <w:fldSimple w:instr=" SEQ táblázat \* ARABIC ">
        <w:r w:rsidR="00E5031F">
          <w:rPr>
            <w:noProof/>
          </w:rPr>
          <w:t>34</w:t>
        </w:r>
      </w:fldSimple>
      <w:r w:rsidR="00673DDE">
        <w:t xml:space="preserve">. táblázat: </w:t>
      </w:r>
      <w:r w:rsidR="00011C3B" w:rsidRPr="00F92037">
        <w:t>Ültetvények korszerűsítéséhez, telepítéséhez nyújtandó támogatási jogcím 2012. évi eredményei</w:t>
      </w:r>
    </w:p>
    <w:p w:rsidR="00011C3B" w:rsidRPr="00F92037" w:rsidRDefault="00B452BF" w:rsidP="00F92037">
      <w:pPr>
        <w:pStyle w:val="bra-cmetbla"/>
      </w:pPr>
      <w:r w:rsidRPr="00F92037">
        <w:rPr>
          <w:noProof/>
        </w:rPr>
        <w:drawing>
          <wp:inline distT="0" distB="0" distL="0" distR="0" wp14:anchorId="09CB9018" wp14:editId="6163948D">
            <wp:extent cx="5167630" cy="1882140"/>
            <wp:effectExtent l="0" t="0" r="0" b="3810"/>
            <wp:docPr id="23"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011C3B" w:rsidRDefault="00011C3B" w:rsidP="004869BB">
      <w:r w:rsidRPr="00604B6F">
        <w:t>A beérkezett 1</w:t>
      </w:r>
      <w:r>
        <w:t>09</w:t>
      </w:r>
      <w:r w:rsidRPr="00604B6F">
        <w:t xml:space="preserve"> db </w:t>
      </w:r>
      <w:r>
        <w:t xml:space="preserve">kifizetési kérelem elbírálását követően 96 db kifizetési kérelem került 2012-ben jóváhagyásra, kifizetés 2,4 </w:t>
      </w:r>
      <w:r w:rsidR="006E2973">
        <w:t xml:space="preserve">M </w:t>
      </w:r>
      <w:r>
        <w:t xml:space="preserve">euró (706 </w:t>
      </w:r>
      <w:r w:rsidR="006E2973">
        <w:t xml:space="preserve">M </w:t>
      </w:r>
      <w:r>
        <w:t>FT) összegben történt.</w:t>
      </w:r>
    </w:p>
    <w:p w:rsidR="00011C3B" w:rsidRPr="00604B6F" w:rsidRDefault="00011C3B" w:rsidP="004869BB">
      <w:r w:rsidRPr="005A798F">
        <w:t xml:space="preserve">A legnagyobb összegű kifizetés Bács-Kiskun és Szabolcs-Szatmár-Bereg megyében volt. </w:t>
      </w:r>
    </w:p>
    <w:p w:rsidR="00011C3B" w:rsidRPr="00055A2F" w:rsidRDefault="00011C3B" w:rsidP="00715E86">
      <w:pPr>
        <w:pStyle w:val="Cmsor4"/>
      </w:pPr>
      <w:r w:rsidRPr="00055A2F">
        <w:t>A Mezőgazdasági termékek értéknövelés</w:t>
      </w:r>
      <w:r w:rsidR="00F40A58">
        <w:t xml:space="preserve">e </w:t>
      </w:r>
      <w:r w:rsidRPr="00055A2F">
        <w:t xml:space="preserve">jogcím rövid bemutatása </w:t>
      </w:r>
    </w:p>
    <w:p w:rsidR="00011C3B" w:rsidRPr="00D53DF7" w:rsidRDefault="00011C3B" w:rsidP="00D53DF7">
      <w:r w:rsidRPr="00D53DF7">
        <w:t xml:space="preserve">A jogcím a Program 121.5 alintézkedésének </w:t>
      </w:r>
      <w:r w:rsidR="0037301A">
        <w:t xml:space="preserve">- </w:t>
      </w:r>
      <w:r w:rsidRPr="00D53DF7">
        <w:t>Üzemi diverzifikáció – megvalósítását szolgálja és szorosan kapcsolódik a Program 123 intézkedéséhez, melyek egy jogcímrendelet keretében kerültek meghirdetésre az Európai Mezőgazdasági Vidékfejlesztési Alapból a mezőgazdasági termékek értéknöveléséhez a 2012. évben nyújtandó támogatások részletes feltételeiről szóló 49/2012. (V.22.)</w:t>
      </w:r>
      <w:r w:rsidR="006F0141" w:rsidRPr="00D53DF7">
        <w:t> </w:t>
      </w:r>
      <w:r w:rsidRPr="00D53DF7">
        <w:t>VM rendeletben.</w:t>
      </w:r>
    </w:p>
    <w:p w:rsidR="00011C3B" w:rsidRPr="00D53DF7" w:rsidRDefault="00011C3B" w:rsidP="00D53DF7">
      <w:r w:rsidRPr="00D53DF7">
        <w:t>A két egymáshoz kapcsolódó intézkedés egy jogcímrendelet keretében történő meghirdetése csak a kedvezményezettek számára történő átláthatóságot biztosította. A két intézkedés esetében a Programban rögzített tevékenységi és kedvezményezettek közötti lehatárolást a jogcímrendelet egyértelműen szabályozza.</w:t>
      </w:r>
    </w:p>
    <w:p w:rsidR="00011C3B" w:rsidRPr="00D53DF7" w:rsidRDefault="002F32AF" w:rsidP="00D53DF7">
      <w:r w:rsidRPr="00CC2705">
        <w:rPr>
          <w:bCs/>
        </w:rPr>
        <w:t xml:space="preserve">A jogcímre </w:t>
      </w:r>
      <w:r w:rsidRPr="005816EB">
        <w:rPr>
          <w:bCs/>
        </w:rPr>
        <w:t xml:space="preserve">az Európai Mezőgazdasági Vidékfejlesztési Alapból a mezőgazdasági termékek értéknöveléséhez nyújtandó támogatások részletes feltételeiről </w:t>
      </w:r>
      <w:r>
        <w:rPr>
          <w:bCs/>
        </w:rPr>
        <w:t xml:space="preserve">szóló 47/2008. (IV. 17.) FVM rendelet alapján első alkalommal 2008. május 5. és június 16. között, második alkalommal </w:t>
      </w:r>
      <w:r w:rsidRPr="00CC2705">
        <w:rPr>
          <w:bCs/>
        </w:rPr>
        <w:t xml:space="preserve">2009. </w:t>
      </w:r>
      <w:r>
        <w:rPr>
          <w:bCs/>
        </w:rPr>
        <w:t>október</w:t>
      </w:r>
      <w:r w:rsidRPr="00CC2705">
        <w:rPr>
          <w:bCs/>
        </w:rPr>
        <w:t xml:space="preserve"> </w:t>
      </w:r>
      <w:r>
        <w:rPr>
          <w:bCs/>
        </w:rPr>
        <w:t>20</w:t>
      </w:r>
      <w:r w:rsidRPr="00CC2705">
        <w:rPr>
          <w:bCs/>
        </w:rPr>
        <w:t xml:space="preserve">. - november </w:t>
      </w:r>
      <w:r>
        <w:rPr>
          <w:bCs/>
        </w:rPr>
        <w:t>30</w:t>
      </w:r>
      <w:r w:rsidRPr="00CC2705">
        <w:rPr>
          <w:bCs/>
        </w:rPr>
        <w:t>. között</w:t>
      </w:r>
      <w:r>
        <w:rPr>
          <w:bCs/>
        </w:rPr>
        <w:t xml:space="preserve">, illetve </w:t>
      </w:r>
      <w:r w:rsidRPr="00DA27DF">
        <w:t xml:space="preserve">az Európai Mezőgazdasági Vidékfejlesztési Alapból a mezőgazdasági termékek értéknöveléséhez a 2012. évben nyújtandó támogatások részletes feltételeiről szóló </w:t>
      </w:r>
      <w:r w:rsidRPr="00623EE2">
        <w:t>4</w:t>
      </w:r>
      <w:r>
        <w:t>9</w:t>
      </w:r>
      <w:r w:rsidRPr="00623EE2">
        <w:t>/20</w:t>
      </w:r>
      <w:r>
        <w:t>12</w:t>
      </w:r>
      <w:r w:rsidRPr="00623EE2">
        <w:t>. (V.</w:t>
      </w:r>
      <w:r>
        <w:t>22.) </w:t>
      </w:r>
      <w:r w:rsidRPr="00623EE2">
        <w:t>VM rendelet</w:t>
      </w:r>
      <w:r>
        <w:t xml:space="preserve"> alapján </w:t>
      </w:r>
      <w:r>
        <w:rPr>
          <w:bCs/>
        </w:rPr>
        <w:t xml:space="preserve">2012. június 22. – július 23. között </w:t>
      </w:r>
      <w:r w:rsidRPr="00CC2705">
        <w:rPr>
          <w:bCs/>
        </w:rPr>
        <w:t>volt támogatási kérelem benyújtására lehetőség.</w:t>
      </w:r>
    </w:p>
    <w:p w:rsidR="00011C3B" w:rsidRPr="00D53DF7" w:rsidRDefault="00011C3B" w:rsidP="00D53DF7">
      <w:r w:rsidRPr="00D53DF7">
        <w:t>A jogerős támogatási határozattal rendelkező ügyfeleknek 2012-ben két időszakban</w:t>
      </w:r>
      <w:r w:rsidR="006E2973" w:rsidRPr="00D53DF7">
        <w:t>,</w:t>
      </w:r>
      <w:r w:rsidRPr="00D53DF7">
        <w:t xml:space="preserve"> 2012. február 1. –</w:t>
      </w:r>
      <w:r w:rsidR="005B71E6" w:rsidRPr="00D53DF7">
        <w:t xml:space="preserve"> </w:t>
      </w:r>
      <w:r w:rsidRPr="00D53DF7">
        <w:t>május 31. és augusztus 1. – december 31. között volt lehetőségük k</w:t>
      </w:r>
      <w:r w:rsidR="00D53DF7">
        <w:t>ifizetési kérelem benyújtására.</w:t>
      </w:r>
    </w:p>
    <w:p w:rsidR="00011C3B" w:rsidRDefault="007E5FDF" w:rsidP="00673DDE">
      <w:pPr>
        <w:pStyle w:val="bra-cmetbla"/>
      </w:pPr>
      <w:fldSimple w:instr=" SEQ táblázat \* ARABIC ">
        <w:r w:rsidR="00E5031F">
          <w:rPr>
            <w:noProof/>
          </w:rPr>
          <w:t>35</w:t>
        </w:r>
      </w:fldSimple>
      <w:r w:rsidR="00673DDE">
        <w:t xml:space="preserve">. táblázat: </w:t>
      </w:r>
      <w:r w:rsidR="00011C3B" w:rsidRPr="00623EE2">
        <w:t xml:space="preserve">Mezőgazdasági termékek értéknövelése jogcím </w:t>
      </w:r>
      <w:r w:rsidR="00011C3B">
        <w:t>– 121.</w:t>
      </w:r>
      <w:r w:rsidR="00290AC1">
        <w:t>5</w:t>
      </w:r>
      <w:r w:rsidR="00011C3B">
        <w:t xml:space="preserve"> - </w:t>
      </w:r>
      <w:r w:rsidR="00011C3B" w:rsidRPr="00623EE2">
        <w:t>201</w:t>
      </w:r>
      <w:r w:rsidR="00011C3B">
        <w:t>2</w:t>
      </w:r>
      <w:r w:rsidR="00011C3B" w:rsidRPr="00623EE2">
        <w:t>. évi eredményei</w:t>
      </w:r>
    </w:p>
    <w:p w:rsidR="00011C3B" w:rsidRPr="00623EE2" w:rsidRDefault="00B452BF" w:rsidP="00011C3B">
      <w:pPr>
        <w:keepNext/>
        <w:jc w:val="center"/>
        <w:rPr>
          <w:b/>
          <w:kern w:val="0"/>
        </w:rPr>
      </w:pPr>
      <w:r>
        <w:rPr>
          <w:noProof/>
        </w:rPr>
        <w:drawing>
          <wp:inline distT="0" distB="0" distL="0" distR="0" wp14:anchorId="4446C907" wp14:editId="6A9AE948">
            <wp:extent cx="5167630" cy="1882140"/>
            <wp:effectExtent l="0" t="0" r="0" b="3810"/>
            <wp:docPr id="24"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623EE2" w:rsidRDefault="00011C3B" w:rsidP="00011C3B">
      <w:pPr>
        <w:pStyle w:val="Normlforrs"/>
      </w:pPr>
      <w:r w:rsidRPr="00623EE2">
        <w:t>Forrás: MVH</w:t>
      </w:r>
    </w:p>
    <w:p w:rsidR="00011C3B" w:rsidRDefault="00011C3B" w:rsidP="004869BB">
      <w:r w:rsidRPr="008C4E68">
        <w:t xml:space="preserve">A </w:t>
      </w:r>
      <w:r>
        <w:t xml:space="preserve">19 db jóváhagyott </w:t>
      </w:r>
      <w:r w:rsidRPr="008C4E68">
        <w:t>kifizetés</w:t>
      </w:r>
      <w:r>
        <w:t>i kérelem</w:t>
      </w:r>
      <w:r w:rsidRPr="008C4E68">
        <w:t xml:space="preserve"> összege 201</w:t>
      </w:r>
      <w:r>
        <w:t>2</w:t>
      </w:r>
      <w:r w:rsidRPr="008C4E68">
        <w:t xml:space="preserve">-ben </w:t>
      </w:r>
      <w:r w:rsidR="006E2973">
        <w:t> 974 </w:t>
      </w:r>
      <w:r>
        <w:t>ezer euró volt (285</w:t>
      </w:r>
      <w:r w:rsidRPr="008C4E68">
        <w:t xml:space="preserve"> </w:t>
      </w:r>
      <w:r>
        <w:t>M</w:t>
      </w:r>
      <w:r w:rsidRPr="008C4E68">
        <w:t xml:space="preserve"> Ft</w:t>
      </w:r>
      <w:r>
        <w:t>)</w:t>
      </w:r>
      <w:r w:rsidRPr="008C4E68">
        <w:t xml:space="preserve"> volt. </w:t>
      </w:r>
    </w:p>
    <w:p w:rsidR="00C51761" w:rsidRDefault="00C51761" w:rsidP="004869BB">
      <w:pPr>
        <w:rPr>
          <w:bCs/>
        </w:rPr>
      </w:pPr>
      <w:r w:rsidRPr="00E014E2">
        <w:rPr>
          <w:bCs/>
        </w:rPr>
        <w:t>Az ügyfelek támogatásról való lemondása, egyes kérelmek ismételt ügyintézése és az ügyfelek által vállalt kötelezettségek nem teljesítése miatt, továbbá az utolsó kifizetési kérelemben foglalt elszámolás realizálódását követően jelentős kötelezettségvállalási összegek szabadultak fel</w:t>
      </w:r>
      <w:r>
        <w:rPr>
          <w:bCs/>
        </w:rPr>
        <w:t xml:space="preserve">. </w:t>
      </w:r>
    </w:p>
    <w:p w:rsidR="00011C3B" w:rsidRDefault="00011C3B" w:rsidP="004869BB">
      <w:r w:rsidRPr="005A798F">
        <w:t>A legtöbb kifizetés B</w:t>
      </w:r>
      <w:r w:rsidR="006E2973">
        <w:t>orsod</w:t>
      </w:r>
      <w:r w:rsidRPr="005A798F">
        <w:t>-A</w:t>
      </w:r>
      <w:r w:rsidR="006E2973">
        <w:t>baúj</w:t>
      </w:r>
      <w:r w:rsidRPr="005A798F">
        <w:t>-Z</w:t>
      </w:r>
      <w:r w:rsidR="006E2973">
        <w:t>emplén</w:t>
      </w:r>
      <w:r w:rsidRPr="005A798F">
        <w:t xml:space="preserve"> és Hajdú-Bihar megyét érintette.</w:t>
      </w:r>
      <w:r w:rsidR="002F32AF">
        <w:t xml:space="preserve"> </w:t>
      </w:r>
      <w:r w:rsidR="002F32AF" w:rsidRPr="002F32AF">
        <w:t>Legtöbb kérelem Bács Kiskun megyéből, és Szabolcs Szatmár Bereg megyéből érkezett (11%). Legkevesebb kérelem Budapestről érkezett (0,61%) Nem volt olyan ahonnan nem nyújtottak be kérelmet.</w:t>
      </w:r>
    </w:p>
    <w:p w:rsidR="00011C3B" w:rsidRPr="00623EE2" w:rsidRDefault="00011C3B" w:rsidP="00715E86">
      <w:pPr>
        <w:pStyle w:val="Cmsor4"/>
      </w:pPr>
      <w:r w:rsidRPr="00623EE2">
        <w:t>Nem élelmiszeripari célú kiskapacitású, növényi alapú nyersszesz, nyersolaj előállító üzemek létesítéséhez nyújtandó támogatások jogcím bemutatása</w:t>
      </w:r>
    </w:p>
    <w:p w:rsidR="00011C3B" w:rsidRDefault="00011C3B" w:rsidP="00011C3B">
      <w:r w:rsidRPr="00DA27DF">
        <w:t xml:space="preserve">A támogatás </w:t>
      </w:r>
      <w:r w:rsidRPr="00623EE2">
        <w:t>célja, hogy a kis kapacitású nyersszesz, nyersolaj üzemek létesítésével a mezőgazdasági eredetű alapanyagok bio-üzemanyag célú feldolgozásával javuljon a termelők versenyképessége, a mezőgazdasági szektor</w:t>
      </w:r>
      <w:r w:rsidR="00015BD9">
        <w:t>,</w:t>
      </w:r>
      <w:r w:rsidRPr="00623EE2">
        <w:t xml:space="preserve"> a bio-üzemanyag gyártási vertikumnak aktív szereplője legyen és növekedjen az Európai Unión belül a bio-üzemanyagok termelési volumene.</w:t>
      </w:r>
    </w:p>
    <w:p w:rsidR="00A62C67" w:rsidRPr="00715E86" w:rsidRDefault="00A62C67" w:rsidP="007C75BA">
      <w:pPr>
        <w:suppressAutoHyphens w:val="0"/>
        <w:autoSpaceDE w:val="0"/>
        <w:autoSpaceDN w:val="0"/>
        <w:adjustRightInd w:val="0"/>
        <w:spacing w:before="120" w:after="60"/>
        <w:ind w:firstLine="0"/>
      </w:pPr>
      <w:r w:rsidRPr="00715E86">
        <w:t xml:space="preserve">A jogcím </w:t>
      </w:r>
      <w:r w:rsidR="007C75BA" w:rsidRPr="00715E86">
        <w:t>az Európai Mezőgazdasági Vidékfejlesztési Alapból nem élelmiszeripari célú kiskapacitású, növényi alapú nyersszesz, nyersolaj előállító üzemek létesítéséhez nyújtandó támogatások részletes feltételeiről szóló 44/2009. (IV.11.) FVM rendelettel került meghirdetésre</w:t>
      </w:r>
      <w:r w:rsidRPr="00715E86">
        <w:t>.</w:t>
      </w:r>
    </w:p>
    <w:p w:rsidR="00015BD9" w:rsidRDefault="00011C3B" w:rsidP="00A62C67">
      <w:pPr>
        <w:rPr>
          <w:szCs w:val="22"/>
        </w:rPr>
      </w:pPr>
      <w:r w:rsidRPr="00780BE6">
        <w:rPr>
          <w:szCs w:val="22"/>
        </w:rPr>
        <w:t xml:space="preserve">A jogcímre 2009. szeptember 15. - november 16. között volt támogatási kérelem benyújtására lehetőség. </w:t>
      </w:r>
    </w:p>
    <w:p w:rsidR="00011C3B" w:rsidRPr="00623EE2" w:rsidRDefault="00011C3B" w:rsidP="00011C3B">
      <w:pPr>
        <w:rPr>
          <w:szCs w:val="22"/>
        </w:rPr>
      </w:pPr>
      <w:r w:rsidRPr="00780BE6">
        <w:rPr>
          <w:szCs w:val="22"/>
        </w:rPr>
        <w:t>A jogerős támogatási határozattal rendelkező ügyfeleknek 2012-ben két időszakban</w:t>
      </w:r>
      <w:r w:rsidR="00015BD9">
        <w:rPr>
          <w:szCs w:val="22"/>
        </w:rPr>
        <w:t>:</w:t>
      </w:r>
      <w:r w:rsidRPr="00780BE6">
        <w:rPr>
          <w:szCs w:val="22"/>
        </w:rPr>
        <w:t xml:space="preserve"> 2012. </w:t>
      </w:r>
      <w:r>
        <w:rPr>
          <w:szCs w:val="22"/>
        </w:rPr>
        <w:t>február</w:t>
      </w:r>
      <w:r w:rsidRPr="00780BE6">
        <w:rPr>
          <w:szCs w:val="22"/>
        </w:rPr>
        <w:t xml:space="preserve"> 1. – </w:t>
      </w:r>
      <w:r>
        <w:rPr>
          <w:szCs w:val="22"/>
        </w:rPr>
        <w:t>május</w:t>
      </w:r>
      <w:r w:rsidRPr="00780BE6">
        <w:rPr>
          <w:szCs w:val="22"/>
        </w:rPr>
        <w:t xml:space="preserve"> 31. és augusztus 1. – december 31. között volt lehetőségük kifizetési kérelem benyújtására. </w:t>
      </w:r>
      <w:r w:rsidR="00015BD9">
        <w:rPr>
          <w:szCs w:val="22"/>
        </w:rPr>
        <w:t xml:space="preserve"> </w:t>
      </w:r>
    </w:p>
    <w:p w:rsidR="00011C3B" w:rsidRDefault="007E5FDF" w:rsidP="00673DDE">
      <w:pPr>
        <w:pStyle w:val="bra-cmetbla"/>
        <w:rPr>
          <w:bCs/>
        </w:rPr>
      </w:pPr>
      <w:fldSimple w:instr=" SEQ táblázat \* ARABIC ">
        <w:r w:rsidR="00E5031F">
          <w:rPr>
            <w:noProof/>
          </w:rPr>
          <w:t>36</w:t>
        </w:r>
      </w:fldSimple>
      <w:r w:rsidR="00673DDE">
        <w:t xml:space="preserve">. táblázat: </w:t>
      </w:r>
      <w:r w:rsidR="00011C3B" w:rsidRPr="00623EE2">
        <w:t>Nem élelmiszeripari célú kiskapacitású, növényi alapú nyersszesz, nyersolaj előállító üzemek létesítéséhez nyújtandó támogatások jogcím</w:t>
      </w:r>
      <w:r w:rsidR="00011C3B">
        <w:t xml:space="preserve"> - 121.</w:t>
      </w:r>
      <w:r w:rsidR="00290AC1">
        <w:t>5</w:t>
      </w:r>
      <w:r w:rsidR="00011C3B">
        <w:t xml:space="preserve"> -</w:t>
      </w:r>
      <w:r w:rsidR="00011C3B" w:rsidRPr="00623EE2">
        <w:t xml:space="preserve"> 201</w:t>
      </w:r>
      <w:r w:rsidR="00011C3B">
        <w:t>2</w:t>
      </w:r>
      <w:r w:rsidR="00011C3B" w:rsidRPr="00623EE2">
        <w:t>. évi eredményei</w:t>
      </w:r>
      <w:r w:rsidR="00011C3B" w:rsidRPr="00623EE2">
        <w:rPr>
          <w:bCs/>
        </w:rPr>
        <w:t xml:space="preserve"> </w:t>
      </w:r>
    </w:p>
    <w:p w:rsidR="00011C3B" w:rsidRPr="00623EE2" w:rsidRDefault="00B452BF" w:rsidP="00011C3B">
      <w:pPr>
        <w:keepNext/>
        <w:jc w:val="center"/>
        <w:rPr>
          <w:b/>
          <w:kern w:val="0"/>
        </w:rPr>
      </w:pPr>
      <w:r>
        <w:rPr>
          <w:noProof/>
        </w:rPr>
        <w:drawing>
          <wp:inline distT="0" distB="0" distL="0" distR="0" wp14:anchorId="53F463E5" wp14:editId="61A921E1">
            <wp:extent cx="5167630" cy="1882140"/>
            <wp:effectExtent l="0" t="0" r="0" b="3810"/>
            <wp:docPr id="25"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623EE2">
        <w:t>Forrás: MVH</w:t>
      </w:r>
    </w:p>
    <w:p w:rsidR="00011C3B" w:rsidRDefault="00011C3B" w:rsidP="004869BB">
      <w:r>
        <w:t xml:space="preserve">A jogcímben 2012-ben mindössze 1 támogatási kérelem vonatkozásában került sor jóváhagyásra, 2012-ben a kifizetett összeg 91,3 ezer euró (26,7 </w:t>
      </w:r>
      <w:r w:rsidR="00015BD9">
        <w:t xml:space="preserve">M </w:t>
      </w:r>
      <w:r>
        <w:t xml:space="preserve">Ft) volt. </w:t>
      </w:r>
    </w:p>
    <w:p w:rsidR="00011C3B" w:rsidRPr="008C309B" w:rsidRDefault="00011C3B" w:rsidP="004869BB">
      <w:r>
        <w:t xml:space="preserve">A </w:t>
      </w:r>
      <w:r w:rsidR="00015BD9">
        <w:t xml:space="preserve">2012. év tekintetében megjelenő </w:t>
      </w:r>
      <w:r>
        <w:t>negatív kötelezettségvállalási összegek</w:t>
      </w:r>
      <w:r w:rsidR="00015BD9">
        <w:t>,</w:t>
      </w:r>
      <w:r>
        <w:t xml:space="preserve"> az adott évben jogerőre emelkedett </w:t>
      </w:r>
      <w:r w:rsidR="00015BD9">
        <w:t xml:space="preserve">támogatásról történő </w:t>
      </w:r>
      <w:r>
        <w:t xml:space="preserve">lemondásokból adódnak, melyek a következő évben kerültek lejelentésre, ezáltal felszabadításra az Irányító Hatóságnál. </w:t>
      </w:r>
      <w:r w:rsidR="00015BD9" w:rsidRPr="00780BE6">
        <w:rPr>
          <w:szCs w:val="22"/>
        </w:rPr>
        <w:t xml:space="preserve">Az ügyfelek támogatásról való lemondása, egyes kérelmek ismételt ügyintézése és az ügyfelek által vállalt kötelezettségek nem teljesítése miatt, továbbá az utolsó kifizetési kérelemben foglalt elszámolás realizálódását követően jelentős kötelezettségvállalási összegek szabadultak fel.  </w:t>
      </w:r>
    </w:p>
    <w:p w:rsidR="00011C3B" w:rsidRPr="00604B6F" w:rsidRDefault="00011C3B" w:rsidP="00715E86">
      <w:pPr>
        <w:pStyle w:val="Cmsor4"/>
      </w:pPr>
      <w:r w:rsidRPr="00604B6F">
        <w:t xml:space="preserve">Az öntözés, a melioráció és a területi vízgazdálkodás mezőgazdasági üzemi és közösségi létesítményeinek fejlesztéséhez kapcsolódó jogcím </w:t>
      </w:r>
      <w:r>
        <w:t>rövid bemutatása</w:t>
      </w:r>
    </w:p>
    <w:p w:rsidR="00011C3B" w:rsidRPr="00F85B3C" w:rsidRDefault="00011C3B" w:rsidP="004869BB">
      <w:r w:rsidRPr="00F85B3C">
        <w:t>A jogcím a Program 121.</w:t>
      </w:r>
      <w:r w:rsidR="00A62C67" w:rsidRPr="00F85B3C">
        <w:t>1</w:t>
      </w:r>
      <w:r w:rsidRPr="00F85B3C">
        <w:t xml:space="preserve"> alintézkedésének - </w:t>
      </w:r>
      <w:r w:rsidR="00290AC1" w:rsidRPr="00F85B3C">
        <w:t>Beruházások a szántóföldi növénytermesztésben és a kertészetben</w:t>
      </w:r>
      <w:r w:rsidRPr="00F85B3C">
        <w:t xml:space="preserve"> – megvalósítását szolgálja és szorosan kapcsolódik a Program 125</w:t>
      </w:r>
      <w:r w:rsidR="00290AC1" w:rsidRPr="00F85B3C">
        <w:t>.</w:t>
      </w:r>
      <w:r w:rsidRPr="00F85B3C">
        <w:t xml:space="preserve"> intézkedéséhez, egy jogcímrendelet keretében került</w:t>
      </w:r>
      <w:r w:rsidR="00290AC1" w:rsidRPr="00F85B3C">
        <w:t>ek</w:t>
      </w:r>
      <w:r w:rsidRPr="00F85B3C">
        <w:t xml:space="preserve"> meghirdetésre Az öntözés, a melioráció és a területi vízgazdálkodás mezőgazdasági üzemi és közösségi létesítményeinek fejlesztéséhez nyújtandó támogatási jogcímrendelet keretében</w:t>
      </w:r>
      <w:r w:rsidR="00290AC1" w:rsidRPr="00F85B3C">
        <w:t>,</w:t>
      </w:r>
      <w:r w:rsidRPr="00F85B3C">
        <w:t xml:space="preserve"> 34/2008. (III.27.) FVM rendelet.</w:t>
      </w:r>
    </w:p>
    <w:p w:rsidR="00011C3B" w:rsidRPr="00604B6F" w:rsidRDefault="00011C3B" w:rsidP="004869BB">
      <w:r w:rsidRPr="00F85B3C">
        <w:t>A két egymáshoz kapcsolódó intézkedés egy jogcímrendelet keretében</w:t>
      </w:r>
      <w:r w:rsidRPr="00604B6F">
        <w:t xml:space="preserve"> történő meghirdetése csak a kedvezményezettek számára történő átláthatóságot biztosította. A két intézkedés esetében </w:t>
      </w:r>
      <w:r>
        <w:t>a Program</w:t>
      </w:r>
      <w:r w:rsidRPr="00604B6F">
        <w:t>b</w:t>
      </w:r>
      <w:r>
        <w:t>a</w:t>
      </w:r>
      <w:r w:rsidRPr="00604B6F">
        <w:t>n rögzített tevékenységi és kedvezményezettek közötti lehatárolást a jogcímrendelet egyértelműen szabályozza.</w:t>
      </w:r>
    </w:p>
    <w:p w:rsidR="00011C3B" w:rsidRDefault="00A62C67" w:rsidP="004869BB">
      <w:r w:rsidRPr="00604B6F">
        <w:t xml:space="preserve">A </w:t>
      </w:r>
      <w:r>
        <w:t xml:space="preserve">2012-es év során a </w:t>
      </w:r>
      <w:r w:rsidRPr="00604B6F">
        <w:t>jogcímet érintő</w:t>
      </w:r>
      <w:r>
        <w:t xml:space="preserve"> rendelet egy alkalommal került </w:t>
      </w:r>
      <w:r w:rsidRPr="00A62C67">
        <w:t>módosításra</w:t>
      </w:r>
      <w:r w:rsidR="00620E2D">
        <w:t xml:space="preserve"> a </w:t>
      </w:r>
      <w:r w:rsidRPr="00A62C67">
        <w:t>76/2012.</w:t>
      </w:r>
      <w:r w:rsidR="006F0141">
        <w:t> </w:t>
      </w:r>
      <w:r w:rsidRPr="00A62C67">
        <w:t>(VII.27.) VM rendelet</w:t>
      </w:r>
      <w:r w:rsidR="00620E2D">
        <w:t xml:space="preserve"> keretében</w:t>
      </w:r>
      <w:r w:rsidRPr="00A62C67">
        <w:t xml:space="preserve">. A </w:t>
      </w:r>
      <w:r w:rsidR="00620E2D">
        <w:t xml:space="preserve">módosítás a </w:t>
      </w:r>
      <w:r w:rsidRPr="00A62C67">
        <w:t>technikai jellegű módosítás</w:t>
      </w:r>
      <w:r w:rsidR="00620E2D">
        <w:t>ok</w:t>
      </w:r>
      <w:r w:rsidRPr="00A62C67">
        <w:t xml:space="preserve"> mellet</w:t>
      </w:r>
      <w:r w:rsidR="00AE5ED5">
        <w:t>t</w:t>
      </w:r>
      <w:r w:rsidRPr="00A62C67">
        <w:t xml:space="preserve"> legkésőbb </w:t>
      </w:r>
      <w:r w:rsidR="00620E2D">
        <w:t>módosítja az</w:t>
      </w:r>
      <w:r w:rsidR="00620E2D" w:rsidRPr="00CF0379">
        <w:t xml:space="preserve"> egyéb elszámolható kiadásnak nem minősülő összeg</w:t>
      </w:r>
      <w:r w:rsidR="00620E2D">
        <w:t xml:space="preserve"> elszámolására benyújtható</w:t>
      </w:r>
      <w:r w:rsidR="00620E2D" w:rsidRPr="00CF0379">
        <w:t xml:space="preserve"> </w:t>
      </w:r>
      <w:r w:rsidR="00620E2D">
        <w:t>első kifizetési kérelem beadásának határidejét</w:t>
      </w:r>
      <w:r w:rsidR="00620E2D" w:rsidRPr="00A62C67">
        <w:t xml:space="preserve"> </w:t>
      </w:r>
      <w:r w:rsidRPr="00A62C67">
        <w:t>2012. december 31</w:t>
      </w:r>
      <w:r>
        <w:t>. napjára.</w:t>
      </w:r>
    </w:p>
    <w:p w:rsidR="00011C3B" w:rsidRDefault="00011C3B" w:rsidP="004869BB">
      <w:r>
        <w:t xml:space="preserve">Az öntözés, a melioráció, a területi vízgazdálkodás mezőgazdasági üzemi és közösségi létesítményeinek fejlesztése jogcímre eddig négy alkalommal volt lehetőség támogatási kérelmet benyújtani.  </w:t>
      </w:r>
    </w:p>
    <w:p w:rsidR="00620E2D" w:rsidRDefault="00011C3B" w:rsidP="004869BB">
      <w:r>
        <w:t xml:space="preserve">Kifizetési kérelmek benyújtására 2012-ben </w:t>
      </w:r>
      <w:r w:rsidR="00620E2D">
        <w:t xml:space="preserve">két </w:t>
      </w:r>
      <w:r>
        <w:t>alkalommal nyílt lehetőség</w:t>
      </w:r>
      <w:r w:rsidR="00620E2D">
        <w:t>:</w:t>
      </w:r>
      <w:r>
        <w:t xml:space="preserve"> február 1. – május 31. és augusztus 1. – december 31. között. </w:t>
      </w:r>
    </w:p>
    <w:p w:rsidR="00620E2D" w:rsidRDefault="00011C3B" w:rsidP="004869BB">
      <w:r>
        <w:t xml:space="preserve">A hosszú kifizetési kérelem benyújtási időszak bevezetésének célja a kifizetések gyorsítása, illetve a kedvezményezetteknek a kifizetési kérelmek mielőbbi benyújtására történő ösztönzése. </w:t>
      </w:r>
    </w:p>
    <w:p w:rsidR="00011C3B" w:rsidRDefault="00620E2D" w:rsidP="004869BB">
      <w:r>
        <w:lastRenderedPageBreak/>
        <w:t>A</w:t>
      </w:r>
      <w:r w:rsidR="00011C3B">
        <w:t xml:space="preserve"> 2011. szeptember 15. – október 14. közötti támogatási kérelem benyújtási időszakban beérkezett és jóváhagyott kérelmek esetében az ügyfeleknek lehetősége nyílt támogatási előleg igénybevételére 2012. december 7. napjától.</w:t>
      </w:r>
    </w:p>
    <w:p w:rsidR="00011C3B" w:rsidRPr="00F92037" w:rsidRDefault="007E5FDF" w:rsidP="00F92037">
      <w:pPr>
        <w:pStyle w:val="bra-cmetbla"/>
      </w:pPr>
      <w:fldSimple w:instr=" SEQ táblázat \* ARABIC ">
        <w:r w:rsidR="00E5031F">
          <w:rPr>
            <w:noProof/>
          </w:rPr>
          <w:t>37</w:t>
        </w:r>
      </w:fldSimple>
      <w:r w:rsidR="00673DDE">
        <w:t xml:space="preserve">. táblázat: </w:t>
      </w:r>
      <w:r w:rsidR="00011C3B" w:rsidRPr="00F92037">
        <w:t>Az öntözés, a melioráció és a területi vízgazdálkodás mezőgazdasági üzemi és közösségi létesítményeinek fejlesztése támogatási jogcím- 121.</w:t>
      </w:r>
      <w:r w:rsidR="00620E2D" w:rsidRPr="00F92037">
        <w:t xml:space="preserve">1 </w:t>
      </w:r>
      <w:r w:rsidR="00011C3B" w:rsidRPr="00F92037">
        <w:t xml:space="preserve">- 2012. évi eredményei </w:t>
      </w:r>
    </w:p>
    <w:p w:rsidR="00011C3B" w:rsidRPr="00F92037" w:rsidRDefault="00B452BF" w:rsidP="00F92037">
      <w:pPr>
        <w:pStyle w:val="bra-cmetbla"/>
      </w:pPr>
      <w:r w:rsidRPr="00F92037">
        <w:rPr>
          <w:noProof/>
        </w:rPr>
        <w:drawing>
          <wp:inline distT="0" distB="0" distL="0" distR="0" wp14:anchorId="30859ED7" wp14:editId="112B5960">
            <wp:extent cx="5167630" cy="1882140"/>
            <wp:effectExtent l="0" t="0" r="0" b="3810"/>
            <wp:docPr id="26"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620E2D" w:rsidRDefault="00011C3B" w:rsidP="004869BB">
      <w:pPr>
        <w:rPr>
          <w:lang w:eastAsia="en-US" w:bidi="en-US"/>
        </w:rPr>
      </w:pPr>
      <w:r>
        <w:rPr>
          <w:lang w:eastAsia="en-US" w:bidi="en-US"/>
        </w:rPr>
        <w:t xml:space="preserve">A jogcímre 2012-ben 153 db kifizetési kérelem került jóváhagyásra, melyből összesen 3,8 M euró (1,1 Mrd Ft) </w:t>
      </w:r>
      <w:r w:rsidR="00620E2D">
        <w:rPr>
          <w:lang w:eastAsia="en-US" w:bidi="en-US"/>
        </w:rPr>
        <w:t xml:space="preserve">támogatási összeg </w:t>
      </w:r>
      <w:r>
        <w:rPr>
          <w:lang w:eastAsia="en-US" w:bidi="en-US"/>
        </w:rPr>
        <w:t xml:space="preserve">került kifizetésre. </w:t>
      </w:r>
    </w:p>
    <w:p w:rsidR="00011C3B" w:rsidRDefault="00011C3B" w:rsidP="004869BB">
      <w:pPr>
        <w:rPr>
          <w:lang w:eastAsia="en-US" w:bidi="en-US"/>
        </w:rPr>
      </w:pPr>
      <w:r w:rsidRPr="00710CD3">
        <w:rPr>
          <w:lang w:eastAsia="en-US" w:bidi="en-US"/>
        </w:rPr>
        <w:t>A legmagasabb kifizetési összeg Szabolcs-Szatmár-Bereg és Hajdó-Bihar megyékbe került.</w:t>
      </w:r>
    </w:p>
    <w:p w:rsidR="00011C3B" w:rsidRPr="00604B6F" w:rsidRDefault="00011C3B" w:rsidP="00715E86">
      <w:pPr>
        <w:pStyle w:val="Cmsor4"/>
      </w:pPr>
      <w:r>
        <w:t>GazdaNet programhoz nyújtott támogatások</w:t>
      </w:r>
    </w:p>
    <w:p w:rsidR="00A62C67" w:rsidRDefault="00A62C67" w:rsidP="004869BB">
      <w:r>
        <w:t>Az intézkedés 2012. II. félévében indult, célja: a mezőgazdasági informatikai szektor fejlesztése internet csatlakozásra képes és jogszerűen feltelepített operációs rendszerrel ellátott konfiguráció telepítésének támogatásával.</w:t>
      </w:r>
    </w:p>
    <w:p w:rsidR="002D1328" w:rsidRDefault="00A62C67" w:rsidP="002D1328">
      <w:r>
        <w:t>A támogatás részletes szabályairól az Európai Mezőgazdasági Vidékfejlesztési Alapból a GAZDANet programhoz nyújtott támogatások igénybevételének részletes feltételeiről szóló 60/2012.</w:t>
      </w:r>
      <w:r w:rsidR="0041238D">
        <w:t> </w:t>
      </w:r>
      <w:r>
        <w:t xml:space="preserve"> (VI.28</w:t>
      </w:r>
      <w:r w:rsidR="0041238D">
        <w:t>.) </w:t>
      </w:r>
      <w:r>
        <w:t>VM rendelet rendelkezett. A 60/2012 (VI.28.) VM rendelet alapján az EMVA társfinanszírozású intézkedések Irányító Hatóságának 133/2012 (XII.12.) közleményében meghatározott konfigurációjú hardverek voltak támogathatók.</w:t>
      </w:r>
      <w:r w:rsidR="002D1328" w:rsidRPr="002D1328">
        <w:t xml:space="preserve"> </w:t>
      </w:r>
      <w:r w:rsidR="002D1328">
        <w:t>A 104/ 2012. (X.1.) VM rendelet alapján a GAZDANet programhoz nyújtott támogatások igénybevételének részletes feltételeiről szóló 60/2012. (VI.28.) VM rendelet 5. § (1) bekezdésében meghatározott támogatási kérelem benyújtási időszak meghosszabbításra került. A rendeletmódosítást követően támogatási kérelmet 2012. szeptember 1-je és október 8-a 16 óra 30 perc között lehetett benyújtani. A kérelembenyújtási időszak meghosszabbítására annak érdekében volt szükség, hogy minél több termelőnek legyen lehetősége a benyújtani kérelmét. Az ügyfelek a támogatási kérelem benyújtási időszakának meghosszabbításáról az EMVA társfinanszírozású intézkedések Irányító Hatóságának 103/2012. (X.2.) közleménye alapján értesülhettek.</w:t>
      </w:r>
    </w:p>
    <w:p w:rsidR="00A62C67" w:rsidRDefault="00A62C67" w:rsidP="004869BB">
      <w:r>
        <w:t xml:space="preserve">Kedvezményezettek olyan mezőgazdasági termelő ügyfelek voltak, akinek 2012. január 1-jétől a támogatási kérelem benyújtási időszakot megelőző hónap utolsó napjáig az átlagos terület, illetve állatlétszám adatok alapján a Standard Fedezeti Hozzájárulásról értékeket meghatározó hatályos IH közlemény alapján számított mezőgazdasági üzemmérete meghaladja a 0 </w:t>
      </w:r>
      <w:r w:rsidR="0041238D">
        <w:t>EUME-t</w:t>
      </w:r>
      <w:r>
        <w:t xml:space="preserve">, de nem éri el a 4 EUME-t. A támogatási kérelem benyújtására nyitva álló időszakot követően az üzemeltetési időszak végéig a </w:t>
      </w:r>
      <w:r w:rsidR="0041238D">
        <w:t>kedvezményezett</w:t>
      </w:r>
      <w:r>
        <w:t xml:space="preserve"> mezőgazdasági üzemmérete elérheti vagy meghaladhatja a 4 EUME-t.</w:t>
      </w:r>
    </w:p>
    <w:p w:rsidR="00A62C67" w:rsidRDefault="00A62C67" w:rsidP="004869BB">
      <w:r>
        <w:t>Támogatás összege: 300 eurónak megfelelő forintösszeg, de legfeljebb 90 ezer Ft. A támogatás mértéke az elszámolható kiadások 40%-a, fiatal mezőgazdasági termelő esetében 50%-a.</w:t>
      </w:r>
    </w:p>
    <w:p w:rsidR="002D1328" w:rsidRPr="00715E86" w:rsidRDefault="002D1328" w:rsidP="00D53DF7">
      <w:r w:rsidRPr="00715E86">
        <w:lastRenderedPageBreak/>
        <w:t>Támogatási kérelmet 2012. szeptember 1-je és október 8-a 16 óra 30 perc között lehetett benyújtani.</w:t>
      </w:r>
    </w:p>
    <w:p w:rsidR="00A62C67" w:rsidRDefault="004D01D7" w:rsidP="004869BB">
      <w:r>
        <w:t xml:space="preserve">Kifizetési kérelem benyújtására 2013. február 1. és május 31. között volt lehetőség, ezért </w:t>
      </w:r>
      <w:r w:rsidR="00A62C67">
        <w:t>2012</w:t>
      </w:r>
      <w:r>
        <w:t>-</w:t>
      </w:r>
      <w:r w:rsidR="00A62C67">
        <w:t xml:space="preserve">ben kifizetés </w:t>
      </w:r>
      <w:r>
        <w:t xml:space="preserve">még </w:t>
      </w:r>
      <w:r w:rsidR="00A62C67">
        <w:t>nem történt.</w:t>
      </w:r>
    </w:p>
    <w:p w:rsidR="00011C3B" w:rsidRPr="00F92037" w:rsidRDefault="007E5FDF" w:rsidP="00673DDE">
      <w:pPr>
        <w:pStyle w:val="bra-cmetbla"/>
      </w:pPr>
      <w:fldSimple w:instr=" SEQ táblázat \* ARABIC ">
        <w:r w:rsidR="00E5031F">
          <w:rPr>
            <w:noProof/>
          </w:rPr>
          <w:t>38</w:t>
        </w:r>
      </w:fldSimple>
      <w:r w:rsidR="00673DDE">
        <w:t xml:space="preserve">. táblázat: </w:t>
      </w:r>
      <w:r w:rsidR="00011C3B" w:rsidRPr="00F92037">
        <w:t xml:space="preserve">A GazdaNet programhoz nyújtott támogatások 2012. évi eredményei </w:t>
      </w:r>
    </w:p>
    <w:p w:rsidR="00011C3B" w:rsidRPr="00F92037" w:rsidRDefault="00B452BF" w:rsidP="00F92037">
      <w:pPr>
        <w:pStyle w:val="bra-cmetbla"/>
      </w:pPr>
      <w:r w:rsidRPr="00F92037">
        <w:rPr>
          <w:noProof/>
        </w:rPr>
        <w:drawing>
          <wp:inline distT="0" distB="0" distL="0" distR="0" wp14:anchorId="4710855A" wp14:editId="5FD8A07D">
            <wp:extent cx="5167630" cy="1882140"/>
            <wp:effectExtent l="0" t="0" r="0" b="3810"/>
            <wp:docPr id="27"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011C3B" w:rsidRDefault="00011C3B" w:rsidP="004869BB">
      <w:r>
        <w:rPr>
          <w:lang w:eastAsia="en-US" w:bidi="en-US"/>
        </w:rPr>
        <w:t xml:space="preserve">A jogcímre 2012-ben 567 db támogatási kérelmet nyújtottak be a gazdálkodók, melyből 429 db esetében született pozitív döntés, összesen 132 ezer euró (38,6 </w:t>
      </w:r>
      <w:r w:rsidR="002D1328">
        <w:rPr>
          <w:lang w:eastAsia="en-US" w:bidi="en-US"/>
        </w:rPr>
        <w:t xml:space="preserve">M </w:t>
      </w:r>
      <w:r>
        <w:rPr>
          <w:lang w:eastAsia="en-US" w:bidi="en-US"/>
        </w:rPr>
        <w:t>Ft) értékben, kifizetés 2012-ben nem történt</w:t>
      </w:r>
      <w:r>
        <w:t>.</w:t>
      </w:r>
    </w:p>
    <w:p w:rsidR="00011C3B" w:rsidRPr="00896E03" w:rsidRDefault="00011C3B" w:rsidP="00DB48A3">
      <w:pPr>
        <w:pStyle w:val="Cmsor3"/>
      </w:pPr>
      <w:bookmarkStart w:id="236" w:name="_Toc328638707"/>
      <w:bookmarkStart w:id="237" w:name="_Toc360176797"/>
      <w:r w:rsidRPr="00896E03">
        <w:t>Az erdők gazdasági értékének javítását célzó intézkedés (122) rövid bemutatása</w:t>
      </w:r>
      <w:bookmarkEnd w:id="236"/>
      <w:bookmarkEnd w:id="237"/>
    </w:p>
    <w:p w:rsidR="00011C3B" w:rsidRPr="00604B6F" w:rsidRDefault="00011C3B" w:rsidP="004869BB">
      <w:r w:rsidRPr="00183620">
        <w:t>Az elmúlt néhány</w:t>
      </w:r>
      <w:r w:rsidRPr="00604B6F">
        <w:t xml:space="preserve"> évben privatizált erdőterületeket különösen érinti a tőkehiány és a megfelelő eszközök hiánya, aminek következtében az erdők állapota leromlott, a meglévő gépállomány és egyéb eszközök, valamint az alkalmazott technológia egyaránt korszerűsítésre és bővítésre szorul.</w:t>
      </w:r>
    </w:p>
    <w:p w:rsidR="00011C3B" w:rsidRPr="00604B6F" w:rsidRDefault="00011C3B" w:rsidP="004869BB">
      <w:pPr>
        <w:rPr>
          <w:szCs w:val="22"/>
        </w:rPr>
      </w:pPr>
      <w:r w:rsidRPr="00604B6F">
        <w:t xml:space="preserve">Az erdők gazdasági értékének javítását szolgáló intézkedés </w:t>
      </w:r>
      <w:r>
        <w:t>két</w:t>
      </w:r>
      <w:r w:rsidRPr="00604B6F">
        <w:t xml:space="preserve"> alintézkedést foglal magában</w:t>
      </w:r>
      <w:r w:rsidR="00BD5D2F">
        <w:t xml:space="preserve">. </w:t>
      </w:r>
      <w:r w:rsidRPr="00604B6F">
        <w:t>Az erdészeti célra használt géppark fejlesztéséhez és korszerűsítéséhez nyújtandó támogatási konstrukció 2008-ban került először megnyitásra</w:t>
      </w:r>
      <w:r w:rsidR="00BD5D2F">
        <w:t>, míg a fiatal erdők állományneveléséhez nyújtandó támogatás jogcím megnyitására 2012-ben került sor</w:t>
      </w:r>
      <w:r w:rsidRPr="00604B6F">
        <w:t>.</w:t>
      </w:r>
      <w:r w:rsidRPr="00604B6F">
        <w:rPr>
          <w:szCs w:val="22"/>
        </w:rPr>
        <w:t xml:space="preserve">. </w:t>
      </w:r>
    </w:p>
    <w:p w:rsidR="00011C3B" w:rsidRDefault="00011C3B" w:rsidP="004869BB">
      <w:r w:rsidRPr="00604B6F">
        <w:t>Az erdőgazdálkodás a vidékfejlesztés és azon belül az agrárium kitörési pontja lehet egész Európában, így Magyarországon is. Az erdő ugyanis a vidékfejlesztés jövőbeni prioritásai szinte mindegyikének megfelel, azt erősíti</w:t>
      </w:r>
      <w:r>
        <w:t>, h</w:t>
      </w:r>
      <w:r w:rsidRPr="00604B6F">
        <w:t xml:space="preserve">iszen az erdőnek, az erdőgazdálkodásnak nagy szerepe van a munkahelyteremtésben, ugyanakkor az erdők szerepe a talaj-, víz-, és a klímavédelemben vitán felüli. Az erdőállományok pozitív szénmegkötéssel, bírnak és a megkötött szenet hosszú évtizedeken keresztül tárolják is, ezért a klímaváltozás elleni küzdelem leghatékonyabb eszközei. Az erdei biomassza pedig a megújuló energia egyik fontos, bővítetten újratermelhető forrása. </w:t>
      </w:r>
    </w:p>
    <w:p w:rsidR="00011C3B" w:rsidRPr="00F92037" w:rsidRDefault="007E5FDF" w:rsidP="00F92037">
      <w:pPr>
        <w:pStyle w:val="bra-cmetbla"/>
      </w:pPr>
      <w:fldSimple w:instr=" SEQ táblázat \* ARABIC ">
        <w:r w:rsidR="00E5031F">
          <w:rPr>
            <w:noProof/>
          </w:rPr>
          <w:t>39</w:t>
        </w:r>
      </w:fldSimple>
      <w:r w:rsidR="00673DDE">
        <w:t xml:space="preserve">. táblázat: </w:t>
      </w:r>
      <w:r w:rsidR="00011C3B" w:rsidRPr="00F92037">
        <w:t>Az erdők gazdasági értékének javítása intézkedés (122) indikátorainak megvalósulása</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7"/>
        <w:gridCol w:w="1431"/>
        <w:gridCol w:w="1431"/>
      </w:tblGrid>
      <w:tr w:rsidR="00011C3B" w:rsidRPr="00CD0210" w:rsidTr="00011C3B">
        <w:trPr>
          <w:jc w:val="center"/>
        </w:trPr>
        <w:tc>
          <w:tcPr>
            <w:tcW w:w="322" w:type="pct"/>
            <w:shd w:val="clear" w:color="auto" w:fill="B3B3B3"/>
          </w:tcPr>
          <w:p w:rsidR="00011C3B" w:rsidRPr="00CD0210" w:rsidRDefault="00011C3B" w:rsidP="00011C3B">
            <w:pPr>
              <w:spacing w:after="0"/>
              <w:jc w:val="center"/>
              <w:rPr>
                <w:b/>
                <w:sz w:val="20"/>
                <w:szCs w:val="20"/>
              </w:rPr>
            </w:pPr>
          </w:p>
        </w:tc>
        <w:tc>
          <w:tcPr>
            <w:tcW w:w="3144" w:type="pct"/>
            <w:shd w:val="clear" w:color="auto" w:fill="B3B3B3"/>
            <w:vAlign w:val="center"/>
          </w:tcPr>
          <w:p w:rsidR="00011C3B" w:rsidRPr="00BD037E" w:rsidRDefault="00011C3B" w:rsidP="00BD037E">
            <w:pPr>
              <w:spacing w:after="0"/>
              <w:jc w:val="center"/>
            </w:pPr>
            <w:r w:rsidRPr="00BD037E">
              <w:t>Indikátor leírása</w:t>
            </w:r>
          </w:p>
        </w:tc>
        <w:tc>
          <w:tcPr>
            <w:tcW w:w="767" w:type="pct"/>
            <w:shd w:val="clear" w:color="auto" w:fill="B3B3B3"/>
            <w:vAlign w:val="center"/>
          </w:tcPr>
          <w:p w:rsidR="00011C3B" w:rsidRPr="00BD037E" w:rsidRDefault="00011C3B" w:rsidP="00BD037E">
            <w:pPr>
              <w:spacing w:after="0"/>
              <w:jc w:val="center"/>
            </w:pPr>
            <w:r w:rsidRPr="00BD037E">
              <w:t>Program szerinti tervadat</w:t>
            </w:r>
          </w:p>
        </w:tc>
        <w:tc>
          <w:tcPr>
            <w:tcW w:w="767" w:type="pct"/>
            <w:shd w:val="clear" w:color="auto" w:fill="B3B3B3"/>
            <w:vAlign w:val="center"/>
          </w:tcPr>
          <w:p w:rsidR="00011C3B" w:rsidRPr="00CD0210" w:rsidRDefault="00011C3B" w:rsidP="00011C3B">
            <w:pPr>
              <w:spacing w:after="0"/>
              <w:jc w:val="center"/>
              <w:rPr>
                <w:b/>
                <w:sz w:val="20"/>
                <w:szCs w:val="20"/>
              </w:rPr>
            </w:pPr>
            <w:r w:rsidRPr="00CD0210">
              <w:rPr>
                <w:b/>
                <w:sz w:val="20"/>
                <w:szCs w:val="20"/>
              </w:rPr>
              <w:t>Indikátorok kumulált értéke</w:t>
            </w:r>
          </w:p>
        </w:tc>
      </w:tr>
      <w:tr w:rsidR="00011C3B" w:rsidRPr="00CD0210" w:rsidTr="00011C3B">
        <w:trPr>
          <w:jc w:val="center"/>
        </w:trPr>
        <w:tc>
          <w:tcPr>
            <w:tcW w:w="322" w:type="pct"/>
            <w:vMerge w:val="restart"/>
          </w:tcPr>
          <w:p w:rsidR="00011C3B" w:rsidRPr="00CD0210" w:rsidRDefault="00011C3B" w:rsidP="00011C3B">
            <w:pPr>
              <w:spacing w:after="0"/>
              <w:rPr>
                <w:sz w:val="20"/>
                <w:szCs w:val="20"/>
              </w:rPr>
            </w:pPr>
            <w:r w:rsidRPr="00CD0210">
              <w:rPr>
                <w:sz w:val="20"/>
                <w:szCs w:val="20"/>
              </w:rPr>
              <w:t>O</w:t>
            </w:r>
          </w:p>
        </w:tc>
        <w:tc>
          <w:tcPr>
            <w:tcW w:w="3144" w:type="pct"/>
            <w:shd w:val="clear" w:color="auto" w:fill="auto"/>
          </w:tcPr>
          <w:p w:rsidR="00011C3B" w:rsidRPr="00CD0210" w:rsidRDefault="00011C3B" w:rsidP="00011C3B">
            <w:pPr>
              <w:spacing w:after="0"/>
              <w:rPr>
                <w:sz w:val="20"/>
                <w:szCs w:val="20"/>
              </w:rPr>
            </w:pPr>
            <w:r w:rsidRPr="00CD0210">
              <w:rPr>
                <w:sz w:val="20"/>
                <w:szCs w:val="20"/>
              </w:rPr>
              <w:t>A beruházási támogatásban részesülő erdőgazdaságok száma</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rPr>
              <w:t>2</w:t>
            </w:r>
            <w:r w:rsidR="002D1328">
              <w:rPr>
                <w:sz w:val="20"/>
                <w:szCs w:val="20"/>
              </w:rPr>
              <w:t xml:space="preserve"> </w:t>
            </w:r>
            <w:r w:rsidRPr="00CD0210">
              <w:rPr>
                <w:sz w:val="20"/>
                <w:szCs w:val="20"/>
              </w:rPr>
              <w:t>400 db</w:t>
            </w:r>
          </w:p>
        </w:tc>
        <w:tc>
          <w:tcPr>
            <w:tcW w:w="767" w:type="pct"/>
          </w:tcPr>
          <w:p w:rsidR="00011C3B" w:rsidRPr="00CD0210" w:rsidRDefault="00011C3B" w:rsidP="004A0396">
            <w:pPr>
              <w:spacing w:after="0"/>
              <w:jc w:val="right"/>
              <w:rPr>
                <w:sz w:val="20"/>
                <w:szCs w:val="20"/>
              </w:rPr>
            </w:pPr>
            <w:r w:rsidRPr="00CD0210">
              <w:rPr>
                <w:sz w:val="20"/>
                <w:szCs w:val="20"/>
              </w:rPr>
              <w:t>2</w:t>
            </w:r>
            <w:r w:rsidR="004A0396">
              <w:rPr>
                <w:sz w:val="20"/>
                <w:szCs w:val="20"/>
              </w:rPr>
              <w:t>2</w:t>
            </w:r>
            <w:r w:rsidRPr="00CD0210">
              <w:rPr>
                <w:sz w:val="20"/>
                <w:szCs w:val="20"/>
              </w:rPr>
              <w:t>3</w:t>
            </w:r>
          </w:p>
        </w:tc>
      </w:tr>
      <w:tr w:rsidR="00011C3B" w:rsidRPr="00CD0210"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Tulajdonos típusa</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Pr>
          <w:p w:rsidR="00011C3B" w:rsidRPr="00CD0210" w:rsidRDefault="00011C3B" w:rsidP="00011C3B">
            <w:pPr>
              <w:spacing w:after="0"/>
              <w:jc w:val="right"/>
              <w:rPr>
                <w:sz w:val="20"/>
                <w:szCs w:val="20"/>
                <w:lang w:val="en-GB"/>
              </w:rPr>
            </w:pP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magántulajdon – egyének/társulások</w:t>
            </w:r>
          </w:p>
        </w:tc>
        <w:tc>
          <w:tcPr>
            <w:tcW w:w="767" w:type="pct"/>
            <w:shd w:val="clear" w:color="auto" w:fill="auto"/>
            <w:vAlign w:val="bottom"/>
          </w:tcPr>
          <w:p w:rsidR="00011C3B" w:rsidRPr="00CD0210" w:rsidRDefault="00011C3B" w:rsidP="00011C3B">
            <w:pPr>
              <w:spacing w:after="0"/>
              <w:jc w:val="right"/>
              <w:rPr>
                <w:sz w:val="20"/>
                <w:szCs w:val="20"/>
                <w:lang w:val="en-GB"/>
              </w:rPr>
            </w:pPr>
            <w:r w:rsidRPr="00CD0210">
              <w:rPr>
                <w:sz w:val="20"/>
                <w:szCs w:val="20"/>
                <w:lang w:val="en-GB"/>
              </w:rPr>
              <w:t>2</w:t>
            </w:r>
            <w:r w:rsidR="002D1328">
              <w:rPr>
                <w:sz w:val="20"/>
                <w:szCs w:val="20"/>
                <w:lang w:val="en-GB"/>
              </w:rPr>
              <w:t xml:space="preserve"> </w:t>
            </w:r>
            <w:r w:rsidRPr="00CD0210">
              <w:rPr>
                <w:sz w:val="20"/>
                <w:szCs w:val="20"/>
                <w:lang w:val="en-GB"/>
              </w:rPr>
              <w:t>350/50</w:t>
            </w:r>
          </w:p>
        </w:tc>
        <w:tc>
          <w:tcPr>
            <w:tcW w:w="767" w:type="pct"/>
          </w:tcPr>
          <w:p w:rsidR="00011C3B" w:rsidRPr="00CD0210" w:rsidRDefault="00011C3B" w:rsidP="004A0396">
            <w:pPr>
              <w:spacing w:after="0"/>
              <w:jc w:val="right"/>
              <w:rPr>
                <w:sz w:val="20"/>
                <w:szCs w:val="20"/>
                <w:lang w:val="en-GB"/>
              </w:rPr>
            </w:pPr>
            <w:r w:rsidRPr="00CD0210">
              <w:rPr>
                <w:sz w:val="20"/>
                <w:szCs w:val="20"/>
                <w:lang w:val="en-GB"/>
              </w:rPr>
              <w:t>9</w:t>
            </w:r>
            <w:r w:rsidR="004A0396">
              <w:rPr>
                <w:sz w:val="20"/>
                <w:szCs w:val="20"/>
                <w:lang w:val="en-GB"/>
              </w:rPr>
              <w:t>4</w:t>
            </w:r>
            <w:r w:rsidRPr="00CD0210">
              <w:rPr>
                <w:sz w:val="20"/>
                <w:szCs w:val="20"/>
                <w:lang w:val="en-GB"/>
              </w:rPr>
              <w:t>/0</w:t>
            </w: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önkormányzati tulajdon – egyének/társulások</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Pr>
          <w:p w:rsidR="00011C3B" w:rsidRPr="00CD0210" w:rsidRDefault="00011C3B" w:rsidP="00011C3B">
            <w:pPr>
              <w:spacing w:after="0"/>
              <w:jc w:val="right"/>
              <w:rPr>
                <w:sz w:val="20"/>
                <w:szCs w:val="20"/>
                <w:lang w:val="en-GB"/>
              </w:rPr>
            </w:pPr>
            <w:r w:rsidRPr="00CD0210">
              <w:rPr>
                <w:sz w:val="20"/>
                <w:szCs w:val="20"/>
                <w:lang w:val="en-GB"/>
              </w:rPr>
              <w:t>0</w:t>
            </w:r>
          </w:p>
        </w:tc>
      </w:tr>
      <w:tr w:rsidR="00011C3B" w:rsidRPr="00481453"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egyéb</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Borders>
              <w:bottom w:val="single" w:sz="4" w:space="0" w:color="auto"/>
            </w:tcBorders>
          </w:tcPr>
          <w:p w:rsidR="00011C3B" w:rsidRPr="006B755B" w:rsidRDefault="00011C3B" w:rsidP="00011C3B">
            <w:pPr>
              <w:spacing w:after="0"/>
              <w:jc w:val="right"/>
              <w:rPr>
                <w:sz w:val="20"/>
                <w:szCs w:val="20"/>
                <w:lang w:val="en-GB"/>
              </w:rPr>
            </w:pPr>
            <w:r w:rsidRPr="006B755B">
              <w:rPr>
                <w:sz w:val="20"/>
                <w:szCs w:val="20"/>
                <w:lang w:val="en-GB"/>
              </w:rPr>
              <w:t>129</w:t>
            </w:r>
          </w:p>
        </w:tc>
      </w:tr>
      <w:tr w:rsidR="00011C3B" w:rsidRPr="00CD0210"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A beruházás teljes összege (euró)</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rPr>
              <w:t>24 millió</w:t>
            </w:r>
            <w:r w:rsidRPr="00CD0210">
              <w:rPr>
                <w:sz w:val="20"/>
                <w:szCs w:val="20"/>
                <w:lang w:val="en-GB"/>
              </w:rPr>
              <w:t xml:space="preserve"> </w:t>
            </w:r>
          </w:p>
        </w:tc>
        <w:tc>
          <w:tcPr>
            <w:tcW w:w="767" w:type="pct"/>
            <w:shd w:val="clear" w:color="auto" w:fill="auto"/>
          </w:tcPr>
          <w:p w:rsidR="00011C3B" w:rsidRPr="006B755B" w:rsidRDefault="00011C3B" w:rsidP="00011C3B">
            <w:pPr>
              <w:spacing w:after="0"/>
              <w:jc w:val="right"/>
              <w:rPr>
                <w:sz w:val="20"/>
                <w:szCs w:val="20"/>
              </w:rPr>
            </w:pPr>
            <w:r w:rsidRPr="006B755B">
              <w:rPr>
                <w:sz w:val="20"/>
                <w:szCs w:val="20"/>
              </w:rPr>
              <w:t>22,15 millió</w:t>
            </w:r>
          </w:p>
        </w:tc>
      </w:tr>
      <w:tr w:rsidR="00011C3B" w:rsidRPr="00CD0210"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Tulajdonos típusa</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011C3B" w:rsidRPr="006B755B" w:rsidRDefault="00011C3B" w:rsidP="00011C3B">
            <w:pPr>
              <w:spacing w:after="0"/>
              <w:jc w:val="right"/>
              <w:rPr>
                <w:sz w:val="20"/>
                <w:szCs w:val="20"/>
                <w:lang w:val="en-GB"/>
              </w:rPr>
            </w:pP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magántulajdon – egyének/társulások</w:t>
            </w:r>
          </w:p>
        </w:tc>
        <w:tc>
          <w:tcPr>
            <w:tcW w:w="767" w:type="pct"/>
            <w:shd w:val="clear" w:color="auto" w:fill="auto"/>
            <w:vAlign w:val="bottom"/>
          </w:tcPr>
          <w:p w:rsidR="00011C3B" w:rsidRPr="00CD0210" w:rsidRDefault="00011C3B" w:rsidP="00011C3B">
            <w:pPr>
              <w:spacing w:after="0"/>
              <w:jc w:val="right"/>
              <w:rPr>
                <w:sz w:val="20"/>
                <w:szCs w:val="20"/>
                <w:lang w:val="en-GB"/>
              </w:rPr>
            </w:pPr>
            <w:r w:rsidRPr="00CD0210">
              <w:rPr>
                <w:sz w:val="20"/>
                <w:szCs w:val="20"/>
                <w:lang w:val="en-GB"/>
              </w:rPr>
              <w:t>21/3</w:t>
            </w:r>
          </w:p>
        </w:tc>
        <w:tc>
          <w:tcPr>
            <w:tcW w:w="767" w:type="pct"/>
            <w:shd w:val="clear" w:color="auto" w:fill="auto"/>
          </w:tcPr>
          <w:p w:rsidR="00011C3B" w:rsidRPr="006B755B" w:rsidRDefault="00011C3B" w:rsidP="00011C3B">
            <w:pPr>
              <w:tabs>
                <w:tab w:val="center" w:pos="997"/>
                <w:tab w:val="right" w:pos="1638"/>
              </w:tabs>
              <w:spacing w:after="0"/>
              <w:jc w:val="right"/>
              <w:rPr>
                <w:sz w:val="20"/>
                <w:szCs w:val="20"/>
                <w:lang w:val="en-GB"/>
              </w:rPr>
            </w:pPr>
            <w:r w:rsidRPr="006B755B">
              <w:rPr>
                <w:sz w:val="20"/>
                <w:szCs w:val="20"/>
                <w:lang w:val="en-GB"/>
              </w:rPr>
              <w:t>7,1</w:t>
            </w: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önkormányzati tulajdon – egyének/társulások</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011C3B" w:rsidRPr="006B755B" w:rsidRDefault="00011C3B" w:rsidP="00011C3B">
            <w:pPr>
              <w:spacing w:after="0"/>
              <w:jc w:val="right"/>
              <w:rPr>
                <w:sz w:val="20"/>
                <w:szCs w:val="20"/>
                <w:lang w:val="en-GB"/>
              </w:rPr>
            </w:pPr>
            <w:r w:rsidRPr="006B755B">
              <w:rPr>
                <w:sz w:val="20"/>
                <w:szCs w:val="20"/>
                <w:lang w:val="en-GB"/>
              </w:rPr>
              <w:t>0</w:t>
            </w:r>
          </w:p>
        </w:tc>
      </w:tr>
      <w:tr w:rsidR="00011C3B" w:rsidRPr="00481453"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egyéb</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011C3B" w:rsidRPr="006B755B" w:rsidRDefault="00011C3B" w:rsidP="00011C3B">
            <w:pPr>
              <w:spacing w:after="0"/>
              <w:jc w:val="right"/>
              <w:rPr>
                <w:sz w:val="20"/>
                <w:szCs w:val="20"/>
                <w:lang w:val="en-GB"/>
              </w:rPr>
            </w:pPr>
            <w:r w:rsidRPr="006B755B">
              <w:rPr>
                <w:sz w:val="20"/>
                <w:szCs w:val="20"/>
                <w:lang w:val="en-GB"/>
              </w:rPr>
              <w:t>15,4</w:t>
            </w:r>
          </w:p>
        </w:tc>
      </w:tr>
      <w:tr w:rsidR="00011C3B" w:rsidRPr="00CD0210" w:rsidTr="00011C3B">
        <w:trPr>
          <w:jc w:val="center"/>
        </w:trPr>
        <w:tc>
          <w:tcPr>
            <w:tcW w:w="322" w:type="pct"/>
            <w:vMerge w:val="restart"/>
          </w:tcPr>
          <w:p w:rsidR="00011C3B" w:rsidRPr="00CD0210" w:rsidRDefault="00011C3B" w:rsidP="00011C3B">
            <w:pPr>
              <w:spacing w:after="0"/>
              <w:rPr>
                <w:sz w:val="20"/>
                <w:szCs w:val="20"/>
              </w:rPr>
            </w:pPr>
            <w:r w:rsidRPr="00CD0210">
              <w:rPr>
                <w:sz w:val="20"/>
                <w:szCs w:val="20"/>
              </w:rPr>
              <w:t>R</w:t>
            </w:r>
          </w:p>
        </w:tc>
        <w:tc>
          <w:tcPr>
            <w:tcW w:w="3144" w:type="pct"/>
            <w:shd w:val="clear" w:color="auto" w:fill="auto"/>
          </w:tcPr>
          <w:p w:rsidR="00011C3B" w:rsidRPr="00CD0210" w:rsidRDefault="00011C3B" w:rsidP="00011C3B">
            <w:pPr>
              <w:spacing w:after="0"/>
              <w:rPr>
                <w:sz w:val="20"/>
                <w:szCs w:val="20"/>
              </w:rPr>
            </w:pPr>
            <w:r w:rsidRPr="00CD0210">
              <w:rPr>
                <w:sz w:val="20"/>
                <w:szCs w:val="20"/>
              </w:rPr>
              <w:t>Az új termékeket vagy technológiákat bevezető birtokok száma</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rPr>
              <w:t>1</w:t>
            </w:r>
            <w:r w:rsidR="002D1328">
              <w:rPr>
                <w:sz w:val="20"/>
                <w:szCs w:val="20"/>
              </w:rPr>
              <w:t xml:space="preserve"> </w:t>
            </w:r>
            <w:r w:rsidRPr="00CD0210">
              <w:rPr>
                <w:sz w:val="20"/>
                <w:szCs w:val="20"/>
              </w:rPr>
              <w:t>000 db</w:t>
            </w:r>
          </w:p>
        </w:tc>
        <w:tc>
          <w:tcPr>
            <w:tcW w:w="767" w:type="pct"/>
            <w:shd w:val="clear" w:color="auto" w:fill="auto"/>
          </w:tcPr>
          <w:p w:rsidR="00011C3B" w:rsidRPr="00BD148F" w:rsidRDefault="00011C3B" w:rsidP="00011C3B">
            <w:pPr>
              <w:spacing w:after="0"/>
              <w:jc w:val="right"/>
              <w:rPr>
                <w:sz w:val="20"/>
                <w:szCs w:val="20"/>
              </w:rPr>
            </w:pPr>
            <w:r w:rsidRPr="00BD148F">
              <w:rPr>
                <w:sz w:val="20"/>
                <w:szCs w:val="20"/>
              </w:rPr>
              <w:t>92</w:t>
            </w:r>
          </w:p>
        </w:tc>
      </w:tr>
      <w:tr w:rsidR="00011C3B" w:rsidRPr="00CD0210"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Intézkedés</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shd w:val="clear" w:color="auto" w:fill="auto"/>
          </w:tcPr>
          <w:p w:rsidR="00011C3B" w:rsidRPr="00BD148F" w:rsidRDefault="00011C3B" w:rsidP="00011C3B">
            <w:pPr>
              <w:spacing w:after="0"/>
              <w:jc w:val="right"/>
              <w:rPr>
                <w:sz w:val="20"/>
                <w:szCs w:val="20"/>
                <w:lang w:val="en-GB"/>
              </w:rPr>
            </w:pPr>
          </w:p>
        </w:tc>
      </w:tr>
      <w:tr w:rsidR="00011C3B" w:rsidRPr="00CD0210"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A birtok/vállalkozás jellege:</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011C3B" w:rsidRPr="00BD148F" w:rsidRDefault="00011C3B" w:rsidP="00011C3B">
            <w:pPr>
              <w:spacing w:after="0"/>
              <w:jc w:val="right"/>
              <w:rPr>
                <w:sz w:val="20"/>
                <w:szCs w:val="20"/>
                <w:lang w:val="en-GB"/>
              </w:rPr>
            </w:pP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46"/>
              </w:numPr>
              <w:spacing w:after="0"/>
              <w:rPr>
                <w:sz w:val="20"/>
                <w:szCs w:val="20"/>
              </w:rPr>
            </w:pPr>
            <w:r w:rsidRPr="00CD0210">
              <w:rPr>
                <w:sz w:val="20"/>
                <w:szCs w:val="20"/>
              </w:rPr>
              <w:t>Mezőgazdasági üzem</w:t>
            </w:r>
          </w:p>
        </w:tc>
        <w:tc>
          <w:tcPr>
            <w:tcW w:w="767" w:type="pct"/>
            <w:shd w:val="clear" w:color="auto" w:fill="auto"/>
            <w:vAlign w:val="bottom"/>
          </w:tcPr>
          <w:p w:rsidR="00011C3B" w:rsidRPr="00CD0210" w:rsidRDefault="00011C3B" w:rsidP="00011C3B">
            <w:pPr>
              <w:spacing w:after="0"/>
              <w:jc w:val="right"/>
              <w:rPr>
                <w:sz w:val="20"/>
                <w:szCs w:val="20"/>
                <w:lang w:val="en-GB"/>
              </w:rPr>
            </w:pPr>
            <w:r w:rsidRPr="00CD0210">
              <w:rPr>
                <w:sz w:val="20"/>
                <w:szCs w:val="20"/>
                <w:lang w:val="en-GB"/>
              </w:rPr>
              <w:t>60</w:t>
            </w:r>
          </w:p>
        </w:tc>
        <w:tc>
          <w:tcPr>
            <w:tcW w:w="767" w:type="pct"/>
            <w:tcBorders>
              <w:bottom w:val="single" w:sz="4" w:space="0" w:color="auto"/>
            </w:tcBorders>
            <w:shd w:val="clear" w:color="auto" w:fill="auto"/>
          </w:tcPr>
          <w:p w:rsidR="00011C3B" w:rsidRPr="00BD148F" w:rsidRDefault="00011C3B" w:rsidP="00011C3B">
            <w:pPr>
              <w:spacing w:after="0"/>
              <w:jc w:val="right"/>
              <w:rPr>
                <w:sz w:val="20"/>
                <w:szCs w:val="20"/>
                <w:lang w:val="en-GB"/>
              </w:rPr>
            </w:pPr>
            <w:r w:rsidRPr="00BD148F">
              <w:rPr>
                <w:sz w:val="20"/>
                <w:szCs w:val="20"/>
                <w:lang w:val="en-GB"/>
              </w:rPr>
              <w:t>32</w:t>
            </w: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Erdőgazdálkodási birtok</w:t>
            </w:r>
          </w:p>
        </w:tc>
        <w:tc>
          <w:tcPr>
            <w:tcW w:w="767" w:type="pct"/>
            <w:shd w:val="clear" w:color="auto" w:fill="auto"/>
            <w:vAlign w:val="bottom"/>
          </w:tcPr>
          <w:p w:rsidR="00011C3B" w:rsidRPr="00CD0210" w:rsidRDefault="00011C3B" w:rsidP="00011C3B">
            <w:pPr>
              <w:spacing w:after="0"/>
              <w:jc w:val="right"/>
              <w:rPr>
                <w:sz w:val="20"/>
                <w:szCs w:val="20"/>
                <w:lang w:val="en-GB"/>
              </w:rPr>
            </w:pPr>
            <w:r w:rsidRPr="00CD0210">
              <w:rPr>
                <w:sz w:val="20"/>
                <w:szCs w:val="20"/>
                <w:lang w:val="en-GB"/>
              </w:rPr>
              <w:t>940</w:t>
            </w:r>
          </w:p>
        </w:tc>
        <w:tc>
          <w:tcPr>
            <w:tcW w:w="767" w:type="pct"/>
            <w:tcBorders>
              <w:bottom w:val="single" w:sz="4" w:space="0" w:color="auto"/>
            </w:tcBorders>
            <w:shd w:val="clear" w:color="auto" w:fill="auto"/>
          </w:tcPr>
          <w:p w:rsidR="00011C3B" w:rsidRPr="00BD148F" w:rsidRDefault="00011C3B" w:rsidP="00011C3B">
            <w:pPr>
              <w:spacing w:after="0"/>
              <w:jc w:val="right"/>
              <w:rPr>
                <w:sz w:val="20"/>
                <w:szCs w:val="20"/>
                <w:lang w:val="en-GB"/>
              </w:rPr>
            </w:pPr>
            <w:r w:rsidRPr="00BD148F">
              <w:rPr>
                <w:sz w:val="20"/>
                <w:szCs w:val="20"/>
                <w:lang w:val="en-GB"/>
              </w:rPr>
              <w:t>60</w:t>
            </w: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 xml:space="preserve">Élelmiszeripari vállalkozás </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shd w:val="clear" w:color="auto" w:fill="auto"/>
          </w:tcPr>
          <w:p w:rsidR="00011C3B" w:rsidRPr="00BD148F" w:rsidRDefault="00011C3B" w:rsidP="00011C3B">
            <w:pPr>
              <w:spacing w:after="0"/>
              <w:jc w:val="right"/>
              <w:rPr>
                <w:sz w:val="20"/>
                <w:szCs w:val="20"/>
                <w:lang w:val="en-GB"/>
              </w:rPr>
            </w:pPr>
            <w:r w:rsidRPr="00BD148F">
              <w:rPr>
                <w:sz w:val="20"/>
                <w:szCs w:val="20"/>
                <w:lang w:val="en-GB"/>
              </w:rPr>
              <w:t>0</w:t>
            </w:r>
          </w:p>
        </w:tc>
      </w:tr>
      <w:tr w:rsidR="00011C3B" w:rsidRPr="00CD0210"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A termelés átcsoportosításának jellege:</w:t>
            </w:r>
            <w:r w:rsidRPr="00CD0210">
              <w:rPr>
                <w:sz w:val="20"/>
                <w:szCs w:val="20"/>
                <w:lang w:val="en-GB"/>
              </w:rPr>
              <w:t xml:space="preserve"> </w:t>
            </w:r>
          </w:p>
        </w:tc>
        <w:tc>
          <w:tcPr>
            <w:tcW w:w="767" w:type="pct"/>
            <w:shd w:val="clear" w:color="auto" w:fill="auto"/>
            <w:vAlign w:val="bottom"/>
          </w:tcPr>
          <w:p w:rsidR="00011C3B" w:rsidRPr="00CD0210" w:rsidRDefault="00011C3B" w:rsidP="00011C3B">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011C3B" w:rsidRPr="00BD148F" w:rsidRDefault="00011C3B" w:rsidP="00011C3B">
            <w:pPr>
              <w:spacing w:after="0"/>
              <w:jc w:val="right"/>
              <w:rPr>
                <w:sz w:val="20"/>
                <w:szCs w:val="20"/>
                <w:lang w:val="en-GB"/>
              </w:rPr>
            </w:pP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új technika</w:t>
            </w:r>
          </w:p>
        </w:tc>
        <w:tc>
          <w:tcPr>
            <w:tcW w:w="767" w:type="pct"/>
            <w:shd w:val="clear" w:color="auto" w:fill="auto"/>
            <w:vAlign w:val="bottom"/>
          </w:tcPr>
          <w:p w:rsidR="00011C3B" w:rsidRPr="00CD0210" w:rsidRDefault="00011C3B" w:rsidP="00011C3B">
            <w:pPr>
              <w:spacing w:after="0"/>
              <w:jc w:val="right"/>
              <w:rPr>
                <w:sz w:val="20"/>
                <w:szCs w:val="20"/>
                <w:lang w:val="en-GB"/>
              </w:rPr>
            </w:pPr>
            <w:r w:rsidRPr="00CD0210">
              <w:rPr>
                <w:sz w:val="20"/>
                <w:szCs w:val="20"/>
                <w:lang w:val="en-GB"/>
              </w:rPr>
              <w:t>750</w:t>
            </w:r>
          </w:p>
        </w:tc>
        <w:tc>
          <w:tcPr>
            <w:tcW w:w="767" w:type="pct"/>
            <w:tcBorders>
              <w:bottom w:val="single" w:sz="4" w:space="0" w:color="auto"/>
            </w:tcBorders>
            <w:shd w:val="clear" w:color="auto" w:fill="auto"/>
          </w:tcPr>
          <w:p w:rsidR="00011C3B" w:rsidRPr="00BD148F" w:rsidRDefault="00011C3B" w:rsidP="00011C3B">
            <w:pPr>
              <w:spacing w:after="0"/>
              <w:jc w:val="right"/>
              <w:rPr>
                <w:sz w:val="20"/>
                <w:szCs w:val="20"/>
                <w:lang w:val="en-GB"/>
              </w:rPr>
            </w:pPr>
            <w:r w:rsidRPr="00BD148F">
              <w:rPr>
                <w:sz w:val="20"/>
                <w:szCs w:val="20"/>
                <w:lang w:val="en-GB"/>
              </w:rPr>
              <w:t>80</w:t>
            </w:r>
          </w:p>
        </w:tc>
      </w:tr>
      <w:tr w:rsidR="00011C3B" w:rsidRPr="00CD0210"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új termék</w:t>
            </w:r>
          </w:p>
        </w:tc>
        <w:tc>
          <w:tcPr>
            <w:tcW w:w="767" w:type="pct"/>
            <w:shd w:val="clear" w:color="auto" w:fill="auto"/>
            <w:vAlign w:val="bottom"/>
          </w:tcPr>
          <w:p w:rsidR="00011C3B" w:rsidRPr="00CD0210" w:rsidRDefault="00011C3B" w:rsidP="00011C3B">
            <w:pPr>
              <w:spacing w:after="0"/>
              <w:jc w:val="right"/>
              <w:rPr>
                <w:sz w:val="20"/>
                <w:szCs w:val="20"/>
                <w:lang w:val="en-GB"/>
              </w:rPr>
            </w:pPr>
            <w:r w:rsidRPr="00CD0210">
              <w:rPr>
                <w:sz w:val="20"/>
                <w:szCs w:val="20"/>
                <w:lang w:val="en-GB"/>
              </w:rPr>
              <w:t>250</w:t>
            </w:r>
          </w:p>
        </w:tc>
        <w:tc>
          <w:tcPr>
            <w:tcW w:w="767" w:type="pct"/>
            <w:shd w:val="clear" w:color="auto" w:fill="auto"/>
          </w:tcPr>
          <w:p w:rsidR="00011C3B" w:rsidRPr="00BD148F" w:rsidRDefault="00011C3B" w:rsidP="00011C3B">
            <w:pPr>
              <w:spacing w:after="0"/>
              <w:jc w:val="right"/>
              <w:rPr>
                <w:sz w:val="20"/>
                <w:szCs w:val="20"/>
                <w:lang w:val="en-GB"/>
              </w:rPr>
            </w:pPr>
            <w:r w:rsidRPr="00BD148F">
              <w:rPr>
                <w:sz w:val="20"/>
                <w:szCs w:val="20"/>
                <w:lang w:val="en-GB"/>
              </w:rPr>
              <w:t>12</w:t>
            </w:r>
          </w:p>
        </w:tc>
      </w:tr>
      <w:tr w:rsidR="00011C3B" w:rsidRPr="00CD0210"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A bruttó hozzáadott érték növekedése a támogatott birtokok/vállalkozások esetén (euró)</w:t>
            </w:r>
          </w:p>
        </w:tc>
        <w:tc>
          <w:tcPr>
            <w:tcW w:w="767" w:type="pct"/>
            <w:shd w:val="clear" w:color="auto" w:fill="auto"/>
          </w:tcPr>
          <w:p w:rsidR="00011C3B" w:rsidRPr="00CD0210" w:rsidRDefault="00011C3B" w:rsidP="00011C3B">
            <w:pPr>
              <w:spacing w:after="0"/>
              <w:jc w:val="right"/>
              <w:rPr>
                <w:sz w:val="20"/>
                <w:szCs w:val="20"/>
              </w:rPr>
            </w:pPr>
            <w:r w:rsidRPr="00CD0210">
              <w:rPr>
                <w:sz w:val="20"/>
                <w:szCs w:val="20"/>
              </w:rPr>
              <w:t> </w:t>
            </w:r>
          </w:p>
        </w:tc>
        <w:tc>
          <w:tcPr>
            <w:tcW w:w="767" w:type="pct"/>
            <w:tcBorders>
              <w:bottom w:val="single" w:sz="4" w:space="0" w:color="auto"/>
            </w:tcBorders>
          </w:tcPr>
          <w:p w:rsidR="00011C3B" w:rsidRPr="00CD0210" w:rsidRDefault="00011C3B" w:rsidP="00011C3B">
            <w:pPr>
              <w:spacing w:after="0"/>
              <w:jc w:val="right"/>
              <w:rPr>
                <w:sz w:val="20"/>
                <w:szCs w:val="20"/>
              </w:rPr>
            </w:pPr>
          </w:p>
        </w:tc>
      </w:tr>
      <w:tr w:rsidR="00011C3B" w:rsidRPr="002D1328"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Intézkedés</w:t>
            </w:r>
          </w:p>
        </w:tc>
        <w:tc>
          <w:tcPr>
            <w:tcW w:w="767" w:type="pct"/>
            <w:shd w:val="clear" w:color="auto" w:fill="auto"/>
          </w:tcPr>
          <w:p w:rsidR="00011C3B" w:rsidRPr="00CD0210" w:rsidRDefault="00011C3B" w:rsidP="00011C3B">
            <w:pPr>
              <w:spacing w:after="0"/>
              <w:jc w:val="right"/>
              <w:rPr>
                <w:sz w:val="20"/>
                <w:szCs w:val="20"/>
              </w:rPr>
            </w:pPr>
            <w:r w:rsidRPr="00CD0210">
              <w:rPr>
                <w:sz w:val="20"/>
                <w:szCs w:val="20"/>
              </w:rPr>
              <w:t>4,1 millió</w:t>
            </w:r>
          </w:p>
        </w:tc>
        <w:tc>
          <w:tcPr>
            <w:tcW w:w="767" w:type="pct"/>
            <w:shd w:val="clear" w:color="auto" w:fill="auto"/>
          </w:tcPr>
          <w:p w:rsidR="00011C3B" w:rsidRPr="00CC7190" w:rsidRDefault="00011C3B" w:rsidP="00011C3B">
            <w:pPr>
              <w:spacing w:after="0"/>
              <w:ind w:left="244"/>
              <w:jc w:val="right"/>
              <w:rPr>
                <w:sz w:val="20"/>
                <w:szCs w:val="20"/>
              </w:rPr>
            </w:pPr>
            <w:r w:rsidRPr="00CC7190">
              <w:rPr>
                <w:sz w:val="20"/>
                <w:szCs w:val="20"/>
                <w:lang w:val="en-GB"/>
              </w:rPr>
              <w:t>-2,393 millió</w:t>
            </w:r>
          </w:p>
        </w:tc>
      </w:tr>
      <w:tr w:rsidR="00011C3B" w:rsidRPr="002D1328" w:rsidTr="00011C3B">
        <w:trPr>
          <w:jc w:val="center"/>
        </w:trPr>
        <w:tc>
          <w:tcPr>
            <w:tcW w:w="322" w:type="pct"/>
            <w:vMerge/>
          </w:tcPr>
          <w:p w:rsidR="00011C3B" w:rsidRPr="00CD0210" w:rsidRDefault="00011C3B" w:rsidP="00011C3B">
            <w:pPr>
              <w:spacing w:after="0"/>
              <w:rPr>
                <w:sz w:val="20"/>
                <w:szCs w:val="20"/>
              </w:rPr>
            </w:pPr>
          </w:p>
        </w:tc>
        <w:tc>
          <w:tcPr>
            <w:tcW w:w="3144" w:type="pct"/>
            <w:shd w:val="clear" w:color="auto" w:fill="auto"/>
          </w:tcPr>
          <w:p w:rsidR="00011C3B" w:rsidRPr="00CD0210" w:rsidRDefault="00011C3B" w:rsidP="00011C3B">
            <w:pPr>
              <w:spacing w:after="0"/>
              <w:rPr>
                <w:sz w:val="20"/>
                <w:szCs w:val="20"/>
              </w:rPr>
            </w:pPr>
            <w:r w:rsidRPr="00CD0210">
              <w:rPr>
                <w:sz w:val="20"/>
                <w:szCs w:val="20"/>
              </w:rPr>
              <w:t>Ágazat:</w:t>
            </w:r>
          </w:p>
        </w:tc>
        <w:tc>
          <w:tcPr>
            <w:tcW w:w="767" w:type="pct"/>
            <w:shd w:val="clear" w:color="auto" w:fill="auto"/>
          </w:tcPr>
          <w:p w:rsidR="00011C3B" w:rsidRPr="00CD0210" w:rsidRDefault="00011C3B" w:rsidP="00011C3B">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011C3B" w:rsidRPr="00CC7190" w:rsidRDefault="00011C3B" w:rsidP="00011C3B">
            <w:pPr>
              <w:spacing w:after="0"/>
              <w:jc w:val="right"/>
              <w:rPr>
                <w:sz w:val="20"/>
                <w:szCs w:val="20"/>
                <w:lang w:val="en-GB"/>
              </w:rPr>
            </w:pPr>
          </w:p>
        </w:tc>
      </w:tr>
      <w:tr w:rsidR="00011C3B" w:rsidRPr="002D1328"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CD0210" w:rsidRDefault="00011C3B" w:rsidP="00495C8B">
            <w:pPr>
              <w:numPr>
                <w:ilvl w:val="0"/>
                <w:numId w:val="36"/>
              </w:numPr>
              <w:spacing w:after="0"/>
              <w:rPr>
                <w:sz w:val="20"/>
                <w:szCs w:val="20"/>
              </w:rPr>
            </w:pPr>
            <w:r w:rsidRPr="00CD0210">
              <w:rPr>
                <w:sz w:val="20"/>
                <w:szCs w:val="20"/>
              </w:rPr>
              <w:t>mezőgazdaság</w:t>
            </w:r>
          </w:p>
        </w:tc>
        <w:tc>
          <w:tcPr>
            <w:tcW w:w="767" w:type="pct"/>
            <w:shd w:val="clear" w:color="auto" w:fill="auto"/>
          </w:tcPr>
          <w:p w:rsidR="00011C3B" w:rsidRPr="00CD0210" w:rsidRDefault="00011C3B" w:rsidP="00011C3B">
            <w:pPr>
              <w:spacing w:after="0"/>
              <w:jc w:val="right"/>
              <w:rPr>
                <w:sz w:val="20"/>
                <w:szCs w:val="20"/>
                <w:lang w:val="en-GB"/>
              </w:rPr>
            </w:pPr>
            <w:r w:rsidRPr="00CD0210">
              <w:rPr>
                <w:sz w:val="20"/>
                <w:szCs w:val="20"/>
                <w:lang w:val="en-GB"/>
              </w:rPr>
              <w:t>0,2</w:t>
            </w:r>
          </w:p>
        </w:tc>
        <w:tc>
          <w:tcPr>
            <w:tcW w:w="767" w:type="pct"/>
            <w:tcBorders>
              <w:bottom w:val="single" w:sz="4" w:space="0" w:color="auto"/>
            </w:tcBorders>
            <w:shd w:val="clear" w:color="auto" w:fill="auto"/>
          </w:tcPr>
          <w:p w:rsidR="00011C3B" w:rsidRPr="00CC7190" w:rsidRDefault="00011C3B" w:rsidP="00011C3B">
            <w:pPr>
              <w:spacing w:after="0"/>
              <w:ind w:left="244"/>
              <w:jc w:val="right"/>
              <w:rPr>
                <w:sz w:val="20"/>
                <w:szCs w:val="20"/>
                <w:lang w:val="en-GB"/>
              </w:rPr>
            </w:pPr>
            <w:r w:rsidRPr="00CC7190">
              <w:rPr>
                <w:sz w:val="20"/>
                <w:szCs w:val="20"/>
                <w:lang w:val="en-GB"/>
              </w:rPr>
              <w:t>-5,439 millió</w:t>
            </w:r>
          </w:p>
        </w:tc>
      </w:tr>
      <w:tr w:rsidR="00011C3B" w:rsidRPr="00E42E7E" w:rsidTr="00011C3B">
        <w:trPr>
          <w:jc w:val="center"/>
        </w:trPr>
        <w:tc>
          <w:tcPr>
            <w:tcW w:w="322" w:type="pct"/>
            <w:vMerge/>
          </w:tcPr>
          <w:p w:rsidR="00011C3B" w:rsidRPr="00CD0210" w:rsidRDefault="00011C3B" w:rsidP="00011C3B">
            <w:pPr>
              <w:spacing w:after="0"/>
              <w:ind w:left="570"/>
              <w:rPr>
                <w:sz w:val="20"/>
                <w:szCs w:val="20"/>
              </w:rPr>
            </w:pPr>
          </w:p>
        </w:tc>
        <w:tc>
          <w:tcPr>
            <w:tcW w:w="3144" w:type="pct"/>
            <w:shd w:val="clear" w:color="auto" w:fill="auto"/>
          </w:tcPr>
          <w:p w:rsidR="00011C3B" w:rsidRPr="00E42E7E" w:rsidRDefault="00011C3B" w:rsidP="00495C8B">
            <w:pPr>
              <w:numPr>
                <w:ilvl w:val="0"/>
                <w:numId w:val="36"/>
              </w:numPr>
              <w:spacing w:after="0"/>
              <w:rPr>
                <w:sz w:val="20"/>
                <w:szCs w:val="20"/>
              </w:rPr>
            </w:pPr>
            <w:r w:rsidRPr="00E42E7E">
              <w:rPr>
                <w:sz w:val="20"/>
                <w:szCs w:val="20"/>
              </w:rPr>
              <w:t>élelmiszeripar</w:t>
            </w:r>
          </w:p>
        </w:tc>
        <w:tc>
          <w:tcPr>
            <w:tcW w:w="767" w:type="pct"/>
            <w:shd w:val="clear" w:color="auto" w:fill="auto"/>
          </w:tcPr>
          <w:p w:rsidR="00011C3B" w:rsidRPr="00E42E7E" w:rsidRDefault="00011C3B" w:rsidP="00011C3B">
            <w:pPr>
              <w:spacing w:after="0"/>
              <w:jc w:val="right"/>
              <w:rPr>
                <w:sz w:val="20"/>
                <w:szCs w:val="20"/>
              </w:rPr>
            </w:pPr>
            <w:r w:rsidRPr="00E42E7E">
              <w:rPr>
                <w:sz w:val="20"/>
                <w:szCs w:val="20"/>
                <w:lang w:val="en-GB"/>
              </w:rPr>
              <w:t> </w:t>
            </w:r>
          </w:p>
        </w:tc>
        <w:tc>
          <w:tcPr>
            <w:tcW w:w="767" w:type="pct"/>
            <w:tcBorders>
              <w:bottom w:val="single" w:sz="4" w:space="0" w:color="auto"/>
            </w:tcBorders>
            <w:shd w:val="clear" w:color="auto" w:fill="auto"/>
          </w:tcPr>
          <w:p w:rsidR="00011C3B" w:rsidRPr="00E42E7E" w:rsidRDefault="00011C3B" w:rsidP="00011C3B">
            <w:pPr>
              <w:spacing w:after="0"/>
              <w:ind w:left="244"/>
              <w:jc w:val="right"/>
              <w:rPr>
                <w:sz w:val="20"/>
                <w:szCs w:val="20"/>
                <w:lang w:val="en-GB"/>
              </w:rPr>
            </w:pPr>
            <w:r w:rsidRPr="00E42E7E">
              <w:rPr>
                <w:sz w:val="20"/>
                <w:szCs w:val="20"/>
                <w:lang w:val="en-GB"/>
              </w:rPr>
              <w:t>0</w:t>
            </w:r>
          </w:p>
        </w:tc>
      </w:tr>
      <w:tr w:rsidR="00011C3B" w:rsidRPr="00E42E7E" w:rsidTr="00011C3B">
        <w:trPr>
          <w:jc w:val="center"/>
        </w:trPr>
        <w:tc>
          <w:tcPr>
            <w:tcW w:w="322" w:type="pct"/>
            <w:vMerge/>
          </w:tcPr>
          <w:p w:rsidR="00011C3B" w:rsidRPr="00E42E7E" w:rsidRDefault="00011C3B" w:rsidP="00011C3B">
            <w:pPr>
              <w:spacing w:after="0"/>
              <w:ind w:left="570"/>
              <w:rPr>
                <w:sz w:val="20"/>
                <w:szCs w:val="20"/>
              </w:rPr>
            </w:pPr>
          </w:p>
        </w:tc>
        <w:tc>
          <w:tcPr>
            <w:tcW w:w="3144" w:type="pct"/>
            <w:shd w:val="clear" w:color="auto" w:fill="auto"/>
          </w:tcPr>
          <w:p w:rsidR="00011C3B" w:rsidRPr="00E42E7E" w:rsidRDefault="00011C3B" w:rsidP="00495C8B">
            <w:pPr>
              <w:numPr>
                <w:ilvl w:val="0"/>
                <w:numId w:val="36"/>
              </w:numPr>
              <w:spacing w:after="0"/>
              <w:rPr>
                <w:sz w:val="20"/>
                <w:szCs w:val="20"/>
              </w:rPr>
            </w:pPr>
            <w:r w:rsidRPr="00E42E7E">
              <w:rPr>
                <w:sz w:val="20"/>
                <w:szCs w:val="20"/>
              </w:rPr>
              <w:t>erdőgazdálkodás</w:t>
            </w:r>
          </w:p>
        </w:tc>
        <w:tc>
          <w:tcPr>
            <w:tcW w:w="767" w:type="pct"/>
            <w:shd w:val="clear" w:color="auto" w:fill="auto"/>
          </w:tcPr>
          <w:p w:rsidR="00011C3B" w:rsidRPr="00E42E7E" w:rsidRDefault="00011C3B" w:rsidP="00011C3B">
            <w:pPr>
              <w:spacing w:after="0"/>
              <w:jc w:val="right"/>
              <w:rPr>
                <w:sz w:val="20"/>
                <w:szCs w:val="20"/>
                <w:lang w:val="en-GB"/>
              </w:rPr>
            </w:pPr>
            <w:r w:rsidRPr="00E42E7E">
              <w:rPr>
                <w:sz w:val="20"/>
                <w:szCs w:val="20"/>
                <w:lang w:val="en-GB"/>
              </w:rPr>
              <w:t>3,9</w:t>
            </w:r>
          </w:p>
        </w:tc>
        <w:tc>
          <w:tcPr>
            <w:tcW w:w="767" w:type="pct"/>
            <w:tcBorders>
              <w:bottom w:val="single" w:sz="4" w:space="0" w:color="auto"/>
            </w:tcBorders>
            <w:shd w:val="clear" w:color="auto" w:fill="auto"/>
          </w:tcPr>
          <w:p w:rsidR="00011C3B" w:rsidRPr="00E42E7E" w:rsidRDefault="00011C3B" w:rsidP="00011C3B">
            <w:pPr>
              <w:spacing w:after="0"/>
              <w:ind w:left="244"/>
              <w:jc w:val="right"/>
              <w:rPr>
                <w:sz w:val="20"/>
                <w:szCs w:val="20"/>
                <w:lang w:val="en-GB"/>
              </w:rPr>
            </w:pPr>
            <w:r w:rsidRPr="00E42E7E">
              <w:rPr>
                <w:sz w:val="20"/>
                <w:szCs w:val="20"/>
                <w:lang w:val="en-GB"/>
              </w:rPr>
              <w:t>3,046 millió</w:t>
            </w:r>
          </w:p>
        </w:tc>
      </w:tr>
      <w:tr w:rsidR="00011C3B" w:rsidRPr="00E42E7E" w:rsidTr="00E42E7E">
        <w:trPr>
          <w:jc w:val="center"/>
        </w:trPr>
        <w:tc>
          <w:tcPr>
            <w:tcW w:w="322" w:type="pct"/>
            <w:vMerge w:val="restart"/>
            <w:shd w:val="clear" w:color="auto" w:fill="auto"/>
          </w:tcPr>
          <w:p w:rsidR="00011C3B" w:rsidRPr="00E42E7E" w:rsidRDefault="00011C3B" w:rsidP="00011C3B">
            <w:pPr>
              <w:spacing w:after="0"/>
              <w:rPr>
                <w:sz w:val="20"/>
                <w:szCs w:val="20"/>
              </w:rPr>
            </w:pPr>
            <w:r w:rsidRPr="00E42E7E">
              <w:rPr>
                <w:sz w:val="20"/>
                <w:szCs w:val="20"/>
              </w:rPr>
              <w:t>I</w:t>
            </w:r>
          </w:p>
        </w:tc>
        <w:tc>
          <w:tcPr>
            <w:tcW w:w="3144" w:type="pct"/>
            <w:shd w:val="clear" w:color="auto" w:fill="auto"/>
          </w:tcPr>
          <w:p w:rsidR="00011C3B" w:rsidRPr="00E42E7E" w:rsidRDefault="00011C3B" w:rsidP="00011C3B">
            <w:pPr>
              <w:spacing w:after="0"/>
              <w:ind w:left="244"/>
              <w:rPr>
                <w:sz w:val="20"/>
                <w:szCs w:val="20"/>
              </w:rPr>
            </w:pPr>
            <w:r w:rsidRPr="00E42E7E">
              <w:rPr>
                <w:sz w:val="20"/>
                <w:szCs w:val="20"/>
              </w:rPr>
              <w:t>Nettó hozzáadott érték PPS-ben kifejezve (euró)</w:t>
            </w:r>
          </w:p>
        </w:tc>
        <w:tc>
          <w:tcPr>
            <w:tcW w:w="767" w:type="pct"/>
            <w:shd w:val="clear" w:color="auto" w:fill="auto"/>
          </w:tcPr>
          <w:p w:rsidR="00011C3B" w:rsidRPr="00E42E7E" w:rsidRDefault="00011C3B" w:rsidP="00011C3B">
            <w:pPr>
              <w:spacing w:after="0"/>
              <w:jc w:val="right"/>
              <w:rPr>
                <w:sz w:val="20"/>
                <w:szCs w:val="20"/>
              </w:rPr>
            </w:pPr>
            <w:r w:rsidRPr="00E42E7E">
              <w:rPr>
                <w:sz w:val="20"/>
                <w:szCs w:val="20"/>
              </w:rPr>
              <w:t>2,4 millió</w:t>
            </w:r>
            <w:r w:rsidRPr="00E42E7E">
              <w:rPr>
                <w:sz w:val="20"/>
                <w:szCs w:val="20"/>
                <w:lang w:val="en-GB"/>
              </w:rPr>
              <w:t xml:space="preserve"> </w:t>
            </w:r>
          </w:p>
        </w:tc>
        <w:tc>
          <w:tcPr>
            <w:tcW w:w="767" w:type="pct"/>
            <w:tcBorders>
              <w:bottom w:val="single" w:sz="4" w:space="0" w:color="auto"/>
            </w:tcBorders>
            <w:shd w:val="clear" w:color="auto" w:fill="auto"/>
          </w:tcPr>
          <w:p w:rsidR="00011C3B" w:rsidRPr="00E42E7E" w:rsidRDefault="00011C3B" w:rsidP="00011C3B">
            <w:pPr>
              <w:spacing w:after="0"/>
              <w:jc w:val="right"/>
              <w:rPr>
                <w:sz w:val="20"/>
                <w:szCs w:val="20"/>
              </w:rPr>
            </w:pPr>
            <w:r w:rsidRPr="00E42E7E">
              <w:rPr>
                <w:sz w:val="20"/>
                <w:szCs w:val="20"/>
              </w:rPr>
              <w:t>NA</w:t>
            </w:r>
          </w:p>
        </w:tc>
      </w:tr>
      <w:tr w:rsidR="00011C3B" w:rsidRPr="00E42E7E" w:rsidTr="00E42E7E">
        <w:trPr>
          <w:jc w:val="center"/>
        </w:trPr>
        <w:tc>
          <w:tcPr>
            <w:tcW w:w="322" w:type="pct"/>
            <w:vMerge/>
            <w:shd w:val="clear" w:color="auto" w:fill="auto"/>
          </w:tcPr>
          <w:p w:rsidR="00011C3B" w:rsidRPr="00E42E7E" w:rsidRDefault="00011C3B" w:rsidP="00011C3B">
            <w:pPr>
              <w:spacing w:after="0"/>
              <w:rPr>
                <w:sz w:val="20"/>
                <w:szCs w:val="20"/>
              </w:rPr>
            </w:pPr>
          </w:p>
        </w:tc>
        <w:tc>
          <w:tcPr>
            <w:tcW w:w="3144" w:type="pct"/>
            <w:shd w:val="clear" w:color="auto" w:fill="auto"/>
          </w:tcPr>
          <w:p w:rsidR="00011C3B" w:rsidRPr="00E42E7E" w:rsidRDefault="00011C3B" w:rsidP="00011C3B">
            <w:pPr>
              <w:spacing w:after="0"/>
              <w:ind w:left="244"/>
              <w:rPr>
                <w:sz w:val="20"/>
                <w:szCs w:val="20"/>
              </w:rPr>
            </w:pPr>
            <w:r w:rsidRPr="00E42E7E">
              <w:rPr>
                <w:sz w:val="20"/>
                <w:szCs w:val="20"/>
              </w:rPr>
              <w:t>A bruttó hozzáadott érték változása teljes munkaidő egyenértékhez viszonyítva (euró)</w:t>
            </w:r>
          </w:p>
        </w:tc>
        <w:tc>
          <w:tcPr>
            <w:tcW w:w="767" w:type="pct"/>
            <w:shd w:val="clear" w:color="auto" w:fill="auto"/>
          </w:tcPr>
          <w:p w:rsidR="00011C3B" w:rsidRPr="00E42E7E" w:rsidRDefault="00011C3B" w:rsidP="00011C3B">
            <w:pPr>
              <w:spacing w:after="0"/>
              <w:jc w:val="right"/>
              <w:rPr>
                <w:sz w:val="20"/>
                <w:szCs w:val="20"/>
                <w:lang w:val="en-GB"/>
              </w:rPr>
            </w:pPr>
            <w:r w:rsidRPr="00E42E7E">
              <w:rPr>
                <w:sz w:val="20"/>
                <w:szCs w:val="20"/>
                <w:lang w:val="en-GB"/>
              </w:rPr>
              <w:t>630</w:t>
            </w:r>
          </w:p>
        </w:tc>
        <w:tc>
          <w:tcPr>
            <w:tcW w:w="767" w:type="pct"/>
            <w:shd w:val="clear" w:color="auto" w:fill="auto"/>
          </w:tcPr>
          <w:p w:rsidR="00011C3B" w:rsidRPr="00E42E7E" w:rsidRDefault="00011C3B" w:rsidP="00011C3B">
            <w:pPr>
              <w:spacing w:after="0"/>
              <w:jc w:val="right"/>
              <w:rPr>
                <w:sz w:val="20"/>
                <w:szCs w:val="20"/>
                <w:lang w:val="en-GB"/>
              </w:rPr>
            </w:pPr>
            <w:r w:rsidRPr="00E42E7E">
              <w:rPr>
                <w:sz w:val="20"/>
                <w:szCs w:val="20"/>
                <w:lang w:val="en-GB"/>
              </w:rPr>
              <w:t>NA</w:t>
            </w:r>
          </w:p>
        </w:tc>
      </w:tr>
    </w:tbl>
    <w:p w:rsidR="00011C3B" w:rsidRPr="00E42E7E" w:rsidRDefault="00011C3B" w:rsidP="00011C3B">
      <w:pPr>
        <w:spacing w:after="0"/>
        <w:rPr>
          <w:sz w:val="20"/>
          <w:szCs w:val="20"/>
        </w:rPr>
      </w:pPr>
      <w:r w:rsidRPr="00E42E7E">
        <w:rPr>
          <w:sz w:val="20"/>
          <w:szCs w:val="20"/>
        </w:rPr>
        <w:t>Forrás: MVH</w:t>
      </w:r>
    </w:p>
    <w:p w:rsidR="00011C3B" w:rsidRPr="006F0141" w:rsidRDefault="00011C3B" w:rsidP="004869BB">
      <w:pPr>
        <w:rPr>
          <w:highlight w:val="red"/>
        </w:rPr>
      </w:pPr>
      <w:r w:rsidRPr="00E42E7E">
        <w:t>Az indikátorok vizsgálata alapján megállapítható, hogy a tulajdonos típusa alapján magántulajdon –</w:t>
      </w:r>
      <w:r w:rsidRPr="00604B6F">
        <w:t xml:space="preserve"> egyének/társulások, valamint egyéb kategóriában található a legtöbb kedvezményezett az intézkedésen </w:t>
      </w:r>
      <w:r w:rsidRPr="00E42E7E">
        <w:t xml:space="preserve">belül. A beruházási támogatásban részesülő erdőgazdaságok száma még nem érte el a </w:t>
      </w:r>
      <w:r w:rsidR="002D1328" w:rsidRPr="00E42E7E">
        <w:t>P</w:t>
      </w:r>
      <w:r w:rsidRPr="00E42E7E">
        <w:t>rogram szerinti tervadatot, ugyanis a meglévő faállományt érintő állománynevelési tevékenységek támogatás</w:t>
      </w:r>
      <w:r w:rsidR="00BD7B83" w:rsidRPr="00E42E7E">
        <w:t>ára vonatkozó jogcím</w:t>
      </w:r>
      <w:r w:rsidRPr="00E42E7E">
        <w:t xml:space="preserve"> 2012-ben </w:t>
      </w:r>
      <w:r w:rsidR="00BD7B83" w:rsidRPr="00E42E7E">
        <w:t>indult el</w:t>
      </w:r>
      <w:r w:rsidRPr="00E42E7E">
        <w:t>.</w:t>
      </w:r>
    </w:p>
    <w:p w:rsidR="00E442DA" w:rsidRDefault="00E442DA" w:rsidP="00E442DA">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442DA"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Pr="00B67120">
        <w:rPr>
          <w:rFonts w:cs="Times New Roman"/>
        </w:rPr>
        <w:t>A BHÉ értékeket a társasági adóbevallással nem rendelkező kedvezményezettek esetén FAD</w:t>
      </w:r>
      <w:r>
        <w:rPr>
          <w:rFonts w:cs="Times New Roman"/>
        </w:rPr>
        <w:t>N mutatóra alapozott becslésre alapozva számolta az AKI, a becslés során figyelembe vette</w:t>
      </w:r>
      <w:r w:rsidRPr="00B67120">
        <w:rPr>
          <w:rFonts w:cs="Times New Roman"/>
        </w:rPr>
        <w:t xml:space="preserve"> azok legjellemzőbb mezőgazdasági ágazatukat valamint méretüket.</w:t>
      </w:r>
    </w:p>
    <w:p w:rsidR="00E42E7E" w:rsidRPr="000E0FD3" w:rsidRDefault="00E442DA" w:rsidP="00E442DA">
      <w:r>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p>
    <w:p w:rsidR="00E42E7E" w:rsidRDefault="00AB3376" w:rsidP="004869BB">
      <w:pPr>
        <w:rPr>
          <w:highlight w:val="red"/>
        </w:rPr>
      </w:pPr>
      <w:r w:rsidRPr="00AB3376">
        <w:t>Az R3 indikátor</w:t>
      </w:r>
      <w:r>
        <w:t xml:space="preserve"> (Új terméket és/vagy új technológiát bevezető gazdaságok száma)</w:t>
      </w:r>
      <w:r w:rsidRPr="00AB3376">
        <w:t xml:space="preserve"> meghatározása során a kedvezményezettek kötelező éves adatszolgáltatásából származó MVH adatait elemezte az </w:t>
      </w:r>
      <w:r w:rsidRPr="00AB3376">
        <w:lastRenderedPageBreak/>
        <w:t>indikátor felülvizsgálatot végző AKI. A felülvizsgálat során megállapításra került, hogy az adatszolgáltatás bizonyos hiányosságokat tartalmazott. A hiányosságok kiküszöbölésére az AKI az FADN alapján történő becsléssel határozta meg a kérdéses indikátor értékét.</w:t>
      </w:r>
    </w:p>
    <w:p w:rsidR="00011C3B" w:rsidRPr="00604B6F" w:rsidRDefault="00011C3B" w:rsidP="00715E86">
      <w:pPr>
        <w:pStyle w:val="Cmsor4"/>
      </w:pPr>
      <w:r w:rsidRPr="00604B6F">
        <w:t>Az erdészeti célra használt géppark fejlesztése és korszerűsítése jogcím rövid bemutatása</w:t>
      </w:r>
    </w:p>
    <w:p w:rsidR="00BD5D2F" w:rsidRPr="00D53DF7" w:rsidRDefault="00BD5D2F" w:rsidP="00D53DF7">
      <w:r w:rsidRPr="00D53DF7">
        <w:t>Az alintézkedés célja az erdészeti célra használt géppark fejlesztése és korszerűsítése, ideértve további gépek és berendezések vásárlását is, az első kiviteltől a fakitermelés szakaszáig, beleértve a fakitermelés gépeit is.</w:t>
      </w:r>
    </w:p>
    <w:p w:rsidR="00011C3B" w:rsidRPr="00D53DF7" w:rsidRDefault="00011C3B" w:rsidP="00011C3B">
      <w:r w:rsidRPr="00D53DF7">
        <w:t xml:space="preserve">A 144/2008. (XI.29.) FVM rendelet szabályozza az erdészeti célra használt géppark fejlesztését és korszerűsítését célzó támogatás igénybe vételének feltételeit, amely 2012-ben nem került módosításra. </w:t>
      </w:r>
    </w:p>
    <w:p w:rsidR="00011C3B" w:rsidRPr="00D53DF7" w:rsidRDefault="00011C3B" w:rsidP="00011C3B">
      <w:r w:rsidRPr="00D53DF7">
        <w:t xml:space="preserve">A támogatási jogcím először 2008-ban került megnyitásra, újbóli kérelembenyújtási lehetőséget 2010-ben kaptak a potenciális kedvezményezettek. </w:t>
      </w:r>
    </w:p>
    <w:p w:rsidR="00011C3B" w:rsidRPr="00D53DF7" w:rsidRDefault="00011C3B" w:rsidP="00011C3B">
      <w:r w:rsidRPr="00D53DF7">
        <w:t xml:space="preserve">A jogcím második meghirdetését követően 2010. június 1-30. között lehetett benyújtani a támogatási kérelmeket. 2012-ben </w:t>
      </w:r>
      <w:r w:rsidR="006C13D0" w:rsidRPr="00D53DF7">
        <w:t>kérelem benyújtási lehetőség nem volt</w:t>
      </w:r>
      <w:r w:rsidRPr="00D53DF7">
        <w:t>.</w:t>
      </w:r>
    </w:p>
    <w:p w:rsidR="00011C3B" w:rsidRPr="00D53DF7" w:rsidRDefault="00011C3B" w:rsidP="00011C3B">
      <w:r w:rsidRPr="00D53DF7">
        <w:t xml:space="preserve">Kifizetési kérelmek benyújtására 2012-ben </w:t>
      </w:r>
      <w:r w:rsidR="006C13D0" w:rsidRPr="00D53DF7">
        <w:t xml:space="preserve">két </w:t>
      </w:r>
      <w:r w:rsidRPr="00D53DF7">
        <w:t xml:space="preserve">alkalommal nyílt lehetőség 2012. február 1. – május 31. és augusztus 1. – december 31. között. </w:t>
      </w:r>
    </w:p>
    <w:p w:rsidR="00011C3B" w:rsidRPr="00D53DF7" w:rsidRDefault="00011C3B" w:rsidP="00011C3B">
      <w:r w:rsidRPr="00D53DF7">
        <w:t>A kifizetési kérelmek gyorsabb, hatékonyabb és kevesebb hibával járó ügyintézését segítette, hogy a</w:t>
      </w:r>
      <w:r w:rsidR="006C13D0" w:rsidRPr="00D53DF7">
        <w:t>z MVH</w:t>
      </w:r>
      <w:r w:rsidRPr="00D53DF7">
        <w:t xml:space="preserve"> VTI által kezelt jogcímekre kidolgozott Általános Végrehajtási Kézikönyv július hónapban korszerűsítésre került, továbbá azzal együtt, illetve azt megelőzően több korszerűsített és új segédlet tette gördülékenyebbé a kérelemkezelési munkát.</w:t>
      </w:r>
    </w:p>
    <w:p w:rsidR="00011C3B" w:rsidRPr="00F92037" w:rsidRDefault="007E5FDF" w:rsidP="00F92037">
      <w:pPr>
        <w:pStyle w:val="bra-cmetbla"/>
      </w:pPr>
      <w:fldSimple w:instr=" SEQ táblázat \* ARABIC ">
        <w:r w:rsidR="00E5031F">
          <w:rPr>
            <w:noProof/>
          </w:rPr>
          <w:t>40</w:t>
        </w:r>
      </w:fldSimple>
      <w:r w:rsidR="00673DDE">
        <w:t xml:space="preserve">. táblázat: </w:t>
      </w:r>
      <w:r w:rsidR="00011C3B" w:rsidRPr="00F92037">
        <w:t>Az erdészeti célra használt géppark fejlesztése és korszerűsítése jogcím 2012. évi eredményei</w:t>
      </w:r>
    </w:p>
    <w:p w:rsidR="00011C3B" w:rsidRPr="00F92037" w:rsidRDefault="00B452BF" w:rsidP="00F92037">
      <w:pPr>
        <w:pStyle w:val="bra-cmetbla"/>
      </w:pPr>
      <w:r w:rsidRPr="00F92037">
        <w:rPr>
          <w:noProof/>
        </w:rPr>
        <w:drawing>
          <wp:inline distT="0" distB="0" distL="0" distR="0" wp14:anchorId="1491D09A" wp14:editId="38FC5AB8">
            <wp:extent cx="5167630" cy="1882140"/>
            <wp:effectExtent l="0" t="0" r="0" b="3810"/>
            <wp:docPr id="28"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6C13D0" w:rsidRDefault="00011C3B" w:rsidP="00CC7190">
      <w:r w:rsidRPr="00DA27DF">
        <w:t>2012-ben a jogcímre</w:t>
      </w:r>
      <w:r w:rsidR="006C13D0">
        <w:t xml:space="preserve"> új</w:t>
      </w:r>
      <w:r w:rsidRPr="00DA27DF">
        <w:t xml:space="preserve"> támogatási kérelem jóváhagyására nem került sor</w:t>
      </w:r>
      <w:r w:rsidR="006C13D0">
        <w:t>, 2012-ben csak jogorvoslattal érintett kérelmek esetében született támogatási döntés</w:t>
      </w:r>
      <w:r w:rsidRPr="00DA27DF">
        <w:t xml:space="preserve">. </w:t>
      </w:r>
      <w:r w:rsidR="00F71240">
        <w:t xml:space="preserve">A 2012. évi jóváhagyott támogatási összeg </w:t>
      </w:r>
      <w:r w:rsidR="00F71240" w:rsidRPr="008C309B">
        <w:t>negatív összeg</w:t>
      </w:r>
      <w:r w:rsidR="00F71240">
        <w:t>ét</w:t>
      </w:r>
      <w:r w:rsidR="00F71240" w:rsidRPr="008C309B">
        <w:t xml:space="preserve"> a következő</w:t>
      </w:r>
      <w:r w:rsidR="00F71240">
        <w:t xml:space="preserve"> tényező</w:t>
      </w:r>
      <w:r w:rsidR="00F71240" w:rsidRPr="008C309B">
        <w:t>k</w:t>
      </w:r>
      <w:r w:rsidR="00F71240">
        <w:t xml:space="preserve"> idézték elő:</w:t>
      </w:r>
      <w:r w:rsidR="00F71240" w:rsidRPr="008C309B">
        <w:t xml:space="preserve"> </w:t>
      </w:r>
      <w:r w:rsidR="00F71240">
        <w:t>a korábbi években lekötött források tekintetében jelentős összegű forrás-felszabadulás volt tapasztalható a támogatásról történő lemondás, visszavonás, illetve utolsó kifizetési kérelem lezárását követően keletkezett maradványösszegek felszabadítása</w:t>
      </w:r>
      <w:r w:rsidR="007D4D31">
        <w:t xml:space="preserve"> </w:t>
      </w:r>
      <w:r w:rsidR="00F71240">
        <w:t>okán.</w:t>
      </w:r>
    </w:p>
    <w:p w:rsidR="00011C3B" w:rsidRDefault="00011C3B" w:rsidP="00011C3B">
      <w:pPr>
        <w:suppressAutoHyphens w:val="0"/>
      </w:pPr>
      <w:r w:rsidRPr="00DA27DF">
        <w:t xml:space="preserve">A támogatott kifizetési kérelmek száma 60 db, kifizetés 1,5 M euró (438,2 M Ft) értékben történt. </w:t>
      </w:r>
    </w:p>
    <w:p w:rsidR="00011C3B" w:rsidRPr="00604B6F" w:rsidRDefault="00011C3B" w:rsidP="00DA27DF">
      <w:r w:rsidRPr="00170A5D">
        <w:t>A támogatott kifizetési kérelmek megyei eloszlását tekintve elmondható, hogy a legtöbb kifizetés a jogcímre Somogy és Szabolcs-Szatmár megyében történt.</w:t>
      </w:r>
    </w:p>
    <w:p w:rsidR="0012675D" w:rsidRDefault="0012675D" w:rsidP="00715E86">
      <w:pPr>
        <w:pStyle w:val="Cmsor4"/>
      </w:pPr>
      <w:bookmarkStart w:id="238" w:name="_Toc328638708"/>
      <w:r>
        <w:lastRenderedPageBreak/>
        <w:t>A fiatal erdők állományneveléséhez nyújtandó támogatások</w:t>
      </w:r>
    </w:p>
    <w:p w:rsidR="0012675D" w:rsidRPr="00D53DF7" w:rsidRDefault="00BD5D2F" w:rsidP="0056491B">
      <w:r w:rsidRPr="00D53DF7">
        <w:t xml:space="preserve">A jogcím az állománynevelési tevékenységek támogatás révét járul hozzá az erdőállomány gazdasági értékének növeléséhez. </w:t>
      </w:r>
    </w:p>
    <w:p w:rsidR="00BD5D2F" w:rsidRPr="00D53DF7" w:rsidRDefault="00BD5D2F" w:rsidP="00BD5D2F">
      <w:r w:rsidRPr="00D53DF7">
        <w:t xml:space="preserve">A 25/2012. (III.20.) FVM rendelet szabályozza a fiatal erdők állományneveléséhez nyújtandó támogatások részletes feltételeit. </w:t>
      </w:r>
    </w:p>
    <w:p w:rsidR="00BD5D2F" w:rsidRPr="00D53DF7" w:rsidRDefault="00BD5D2F" w:rsidP="00BD5D2F">
      <w:r w:rsidRPr="00D53DF7">
        <w:t>A rendelettel összhangban a támogatási jogcímre támogatási kérelmet által rendszeresített és honlapján közzétett formanyomtatványon, postai úton, 2012. május 2. - 2012. május 31. között, ezt követően a rendelkezésre álló forrás kimerüléséig, de legkésőbb 2013. február 1. és február 28. között az erdőrészlet elhelyezkedése szerint illetékes erdészeti igazgatósághoz lehet</w:t>
      </w:r>
      <w:r w:rsidR="00BD7B83" w:rsidRPr="00D53DF7">
        <w:t>ett</w:t>
      </w:r>
      <w:r w:rsidRPr="00D53DF7">
        <w:t xml:space="preserve"> benyújtani. </w:t>
      </w:r>
    </w:p>
    <w:p w:rsidR="00BD7B83" w:rsidRPr="00F92037" w:rsidRDefault="007E5FDF" w:rsidP="00F92037">
      <w:pPr>
        <w:pStyle w:val="bra-cmetbla"/>
      </w:pPr>
      <w:fldSimple w:instr=" SEQ táblázat \* ARABIC ">
        <w:r w:rsidR="00E5031F">
          <w:rPr>
            <w:noProof/>
          </w:rPr>
          <w:t>41</w:t>
        </w:r>
      </w:fldSimple>
      <w:r w:rsidR="00673DDE">
        <w:t xml:space="preserve">. táblázat: </w:t>
      </w:r>
      <w:r w:rsidR="00BD7B83" w:rsidRPr="00F92037">
        <w:t>Az erdészeti célra használt géppark fejlesztése és korszerűsítése támogatási jogcím 2012. évi eredményei</w:t>
      </w:r>
    </w:p>
    <w:p w:rsidR="00BD7B83" w:rsidRDefault="00BD7B83" w:rsidP="00BD5D2F">
      <w:pPr>
        <w:rPr>
          <w:szCs w:val="22"/>
        </w:rPr>
      </w:pPr>
      <w:r w:rsidRPr="00BD7B83">
        <w:rPr>
          <w:noProof/>
        </w:rPr>
        <w:drawing>
          <wp:inline distT="0" distB="0" distL="0" distR="0" wp14:anchorId="44311637" wp14:editId="2A2E1FDD">
            <wp:extent cx="5175885" cy="1889125"/>
            <wp:effectExtent l="0" t="0" r="571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5885" cy="1889125"/>
                    </a:xfrm>
                    <a:prstGeom prst="rect">
                      <a:avLst/>
                    </a:prstGeom>
                    <a:noFill/>
                    <a:ln>
                      <a:noFill/>
                    </a:ln>
                  </pic:spPr>
                </pic:pic>
              </a:graphicData>
            </a:graphic>
          </wp:inline>
        </w:drawing>
      </w:r>
    </w:p>
    <w:p w:rsidR="00BD7B83" w:rsidRPr="00604B6F" w:rsidRDefault="00BD7B83" w:rsidP="00BD5D2F">
      <w:pPr>
        <w:rPr>
          <w:szCs w:val="22"/>
        </w:rPr>
      </w:pPr>
      <w:r>
        <w:rPr>
          <w:szCs w:val="22"/>
        </w:rPr>
        <w:t>A jogcímre 2012-ben 568 db támogatási kérelem érkezett be, melyek feldolgozása folyamatos.</w:t>
      </w:r>
    </w:p>
    <w:p w:rsidR="00011C3B" w:rsidRPr="00896E03" w:rsidRDefault="00011C3B" w:rsidP="00DB48A3">
      <w:pPr>
        <w:pStyle w:val="Cmsor3"/>
      </w:pPr>
      <w:bookmarkStart w:id="239" w:name="_Toc360176798"/>
      <w:r w:rsidRPr="00896E03">
        <w:t>Mezőgazdasági termékek értéknövelése (123) intézkedés rövid bemutatása</w:t>
      </w:r>
      <w:bookmarkEnd w:id="238"/>
      <w:bookmarkEnd w:id="239"/>
    </w:p>
    <w:p w:rsidR="00011C3B" w:rsidRPr="00604B6F" w:rsidRDefault="00011C3B" w:rsidP="004869BB">
      <w:r w:rsidRPr="00604B6F">
        <w:t xml:space="preserve">Az intézkedés célja, hogy a mezőgazdasági termékek feldolgozásának, illetve forgalmazásának javításával vagy új termékek, </w:t>
      </w:r>
      <w:r w:rsidRPr="0056491B">
        <w:t>eljárások</w:t>
      </w:r>
      <w:r w:rsidRPr="00604B6F">
        <w:t xml:space="preserve">, technológiák bevezetésével növekedjen a mezőgazdasági üzem, illetve élelmiszeripari vállalkozás összteljesítménye és versenyképessége, továbbá javuljanak az élelmiszerbiztonsági és –higiéniai feltételek, csökkenjen a környezetterhelés. </w:t>
      </w:r>
    </w:p>
    <w:p w:rsidR="00011C3B" w:rsidRPr="00604B6F" w:rsidRDefault="00011C3B" w:rsidP="004869BB">
      <w:r w:rsidRPr="003E35A2">
        <w:t xml:space="preserve">Az intézkedés két alintézkedést foglal magában, ezek: 1. Mezőgazdasági termékek értéknövelése és 2. </w:t>
      </w:r>
      <w:r w:rsidRPr="00604B6F">
        <w:t>Mezőgazdasági termékek értéknövelése félkész vagy végtermékek energiatermelési célú felhasználásra való előállításával.</w:t>
      </w:r>
    </w:p>
    <w:p w:rsidR="00E8699D" w:rsidRPr="00715E86" w:rsidRDefault="00011C3B" w:rsidP="0033390A">
      <w:pPr>
        <w:suppressAutoHyphens w:val="0"/>
        <w:autoSpaceDE w:val="0"/>
        <w:autoSpaceDN w:val="0"/>
        <w:adjustRightInd w:val="0"/>
        <w:spacing w:before="120" w:after="60"/>
        <w:ind w:firstLine="0"/>
      </w:pPr>
      <w:r w:rsidRPr="00715E86">
        <w:t>Az 1. alintézkedés keretében került meghirdetésre a Mezőgazdasági termékek értéknöveléséhez nyújtandó támogatások jogcím, amely kapcsolódik a 121. intézkedés 5. alintézkedéséhez is (Üzemi diverzifikáció), így ezen támogatási konstrukció egy jogcímrendelet keretében került meghirdetésre (47/2008. (IV.17.) FVM rendelet), de a jogcímrendelet egyértelműen rögzíti a Programban nevesített két intézkedés közötti jogosultsági lehatárolást</w:t>
      </w:r>
      <w:r w:rsidR="00E8699D" w:rsidRPr="00715E86">
        <w:t>, ahogy a 2012-ben meghirdetett, az Európai Mezőgazdasági Vidékfejlesztési Alapból a mezőgazdasági termékek értéknöveléséhez</w:t>
      </w:r>
      <w:r w:rsidR="0056491B" w:rsidRPr="00715E86">
        <w:t xml:space="preserve"> </w:t>
      </w:r>
      <w:r w:rsidR="00E8699D" w:rsidRPr="00715E86">
        <w:t>a 2012. évben nyújtandó támogatások részletes feltételeiről szóló 49/2012. (V. 22.) VM rendelet is.</w:t>
      </w:r>
    </w:p>
    <w:p w:rsidR="00011C3B" w:rsidRPr="00604B6F" w:rsidRDefault="00011C3B" w:rsidP="00A76113">
      <w:r w:rsidRPr="00604B6F">
        <w:t xml:space="preserve">A 2. alintézkedés keretében meghirdetett jogcímrendelet a </w:t>
      </w:r>
      <w:r w:rsidRPr="00604B6F">
        <w:rPr>
          <w:i/>
        </w:rPr>
        <w:t>Nem élelmiszeripari célú kiskapacitású, növényi alapú nyersszesz, nyersolaj előállító üzemek létesítéséhez nyújtandó támogatás</w:t>
      </w:r>
      <w:r w:rsidRPr="00604B6F">
        <w:t>. Ez a jogcímrendelet is – hasonlóan az előzőhöz – kapcsolódik a 121. intézkedés 5. alintézkedéséhez</w:t>
      </w:r>
      <w:r w:rsidR="00A76113">
        <w:t xml:space="preserve">, </w:t>
      </w:r>
      <w:r w:rsidRPr="00604B6F">
        <w:t>(</w:t>
      </w:r>
      <w:r w:rsidRPr="00604B6F">
        <w:rPr>
          <w:i/>
        </w:rPr>
        <w:t>Üzemi diverzifikáció</w:t>
      </w:r>
      <w:r w:rsidR="00BB0764">
        <w:t>)</w:t>
      </w:r>
      <w:r w:rsidRPr="00726290">
        <w:t xml:space="preserve"> </w:t>
      </w:r>
      <w:r w:rsidRPr="00604B6F">
        <w:t>egy</w:t>
      </w:r>
      <w:r w:rsidR="00A76113">
        <w:t xml:space="preserve"> </w:t>
      </w:r>
      <w:r w:rsidRPr="00604B6F">
        <w:t>jogcímrendelet (44/2009. (IV. 11.) FVM rendelet)</w:t>
      </w:r>
      <w:r w:rsidR="00A76113">
        <w:t xml:space="preserve"> </w:t>
      </w:r>
      <w:r w:rsidRPr="00604B6F">
        <w:t xml:space="preserve">egyértelműen rögzíti </w:t>
      </w:r>
      <w:r>
        <w:t>a Program</w:t>
      </w:r>
      <w:r w:rsidRPr="00604B6F">
        <w:t>b</w:t>
      </w:r>
      <w:r>
        <w:t>a</w:t>
      </w:r>
      <w:r w:rsidRPr="00604B6F">
        <w:t>n nevesített két intézkedés közötti jogosultsági lehatárolást.</w:t>
      </w:r>
      <w:r>
        <w:t xml:space="preserve"> </w:t>
      </w:r>
    </w:p>
    <w:p w:rsidR="00011C3B" w:rsidRPr="00604B6F" w:rsidRDefault="00011C3B" w:rsidP="004869BB">
      <w:r w:rsidRPr="00604B6F">
        <w:t xml:space="preserve">Az EMVA-ból </w:t>
      </w:r>
      <w:r>
        <w:t>társ</w:t>
      </w:r>
      <w:r w:rsidRPr="00604B6F">
        <w:t xml:space="preserve">finanszírozott a mezőgazdasági termékek értéknöveléséhez nyújtandó támogatások (ÉLIP) jogcím tehát </w:t>
      </w:r>
      <w:r>
        <w:t>a Program</w:t>
      </w:r>
      <w:r w:rsidRPr="00604B6F">
        <w:t xml:space="preserve"> </w:t>
      </w:r>
      <w:r>
        <w:t>két</w:t>
      </w:r>
      <w:r w:rsidRPr="00604B6F">
        <w:t xml:space="preserve"> intézkedéséből kerül finanszírozásra</w:t>
      </w:r>
      <w:r>
        <w:t xml:space="preserve"> az alábbiak szerint</w:t>
      </w:r>
      <w:r w:rsidRPr="00604B6F">
        <w:t>:</w:t>
      </w:r>
    </w:p>
    <w:p w:rsidR="00011C3B" w:rsidRPr="00604B6F" w:rsidRDefault="00011C3B" w:rsidP="004869BB">
      <w:r w:rsidRPr="00604B6F">
        <w:lastRenderedPageBreak/>
        <w:t>1.</w:t>
      </w:r>
      <w:r>
        <w:tab/>
      </w:r>
      <w:r w:rsidRPr="00604B6F">
        <w:t xml:space="preserve">a 4 EUME feletti mezőgazdasági termelők, melyeknek mezőgazdasági termékek értékesítéséből származó árbevétele 50%, vagy e feletti, és ez az arány a beruházás után is megmarad a kötelező üzemeltetés végéig a </w:t>
      </w:r>
      <w:r w:rsidRPr="00604B6F">
        <w:rPr>
          <w:b/>
        </w:rPr>
        <w:t>121. 5 alintézkedés forráskeretéből</w:t>
      </w:r>
      <w:r w:rsidRPr="00604B6F">
        <w:t xml:space="preserve"> részesülnek támogatásban.</w:t>
      </w:r>
    </w:p>
    <w:p w:rsidR="00011C3B" w:rsidRPr="00604B6F" w:rsidRDefault="00011C3B" w:rsidP="004869BB">
      <w:r w:rsidRPr="00604B6F">
        <w:t>2.a)</w:t>
      </w:r>
      <w:r>
        <w:tab/>
      </w:r>
      <w:r w:rsidRPr="00604B6F">
        <w:t xml:space="preserve">a nem mezőgazdasági termelők (élelmiszeripari vállalkozások), melyeknek élelmiszeriparból származó árbevétele 50%, vagy e feletti, és ez az arány a beruházás után is megmarad a kötelező üzemeltetés végéig a </w:t>
      </w:r>
      <w:r w:rsidRPr="00604B6F">
        <w:rPr>
          <w:b/>
        </w:rPr>
        <w:t>123 intézkedés forráskeretéből</w:t>
      </w:r>
      <w:r w:rsidRPr="00604B6F">
        <w:t xml:space="preserve"> kapnak támogatást.</w:t>
      </w:r>
    </w:p>
    <w:p w:rsidR="00011C3B" w:rsidRPr="00604B6F" w:rsidRDefault="00011C3B" w:rsidP="004869BB">
      <w:r w:rsidRPr="00604B6F">
        <w:t>2.b)</w:t>
      </w:r>
      <w:r>
        <w:tab/>
      </w:r>
      <w:r w:rsidRPr="00604B6F">
        <w:t>azok 4 EUME feletti mezőgazdasági termelők, melyeknek a beruházás után a mezőgazdasági termékek értékesítéséből származó árbevétele kevesebb lesz mint 50%, (tehát elsősorban élelmiszeripari vállalkozóvá válik) szintén a</w:t>
      </w:r>
      <w:r w:rsidRPr="00604B6F">
        <w:rPr>
          <w:b/>
        </w:rPr>
        <w:t xml:space="preserve"> 123 intézkedés forráskeretéből</w:t>
      </w:r>
      <w:r w:rsidRPr="00604B6F">
        <w:t xml:space="preserve"> részesülnek támogatásban.</w:t>
      </w:r>
    </w:p>
    <w:p w:rsidR="00011C3B" w:rsidRDefault="00011C3B" w:rsidP="004869BB">
      <w:r w:rsidRPr="00604B6F">
        <w:t>A megjelent jogcímek az intézkedés egészét lefedik.</w:t>
      </w:r>
    </w:p>
    <w:p w:rsidR="00011C3B" w:rsidRPr="00F92037" w:rsidRDefault="007E5FDF" w:rsidP="00F92037">
      <w:pPr>
        <w:pStyle w:val="bra-cmetbla"/>
      </w:pPr>
      <w:fldSimple w:instr=" SEQ táblázat \* ARABIC ">
        <w:r w:rsidR="00E5031F">
          <w:rPr>
            <w:noProof/>
          </w:rPr>
          <w:t>42</w:t>
        </w:r>
      </w:fldSimple>
      <w:r w:rsidR="00673DDE">
        <w:t xml:space="preserve">. táblázat: </w:t>
      </w:r>
      <w:r w:rsidR="00011C3B" w:rsidRPr="00F92037">
        <w:t>A mezőgazdasági termékek értéknövelése intézkedés (123) indikátorainak megvalósulása</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7"/>
        <w:gridCol w:w="1431"/>
        <w:gridCol w:w="1431"/>
      </w:tblGrid>
      <w:tr w:rsidR="00011C3B" w:rsidRPr="00FE2E5E" w:rsidTr="00011C3B">
        <w:trPr>
          <w:cantSplit/>
          <w:tblHeader/>
          <w:jc w:val="center"/>
        </w:trPr>
        <w:tc>
          <w:tcPr>
            <w:tcW w:w="322" w:type="pct"/>
            <w:shd w:val="clear" w:color="auto" w:fill="B3B3B3"/>
          </w:tcPr>
          <w:p w:rsidR="00011C3B" w:rsidRPr="00FE2E5E" w:rsidRDefault="00011C3B" w:rsidP="00011C3B">
            <w:pPr>
              <w:spacing w:after="0"/>
              <w:jc w:val="center"/>
              <w:rPr>
                <w:rFonts w:cs="Times New Roman"/>
                <w:b/>
                <w:sz w:val="20"/>
                <w:szCs w:val="20"/>
              </w:rPr>
            </w:pPr>
          </w:p>
        </w:tc>
        <w:tc>
          <w:tcPr>
            <w:tcW w:w="3144" w:type="pct"/>
            <w:shd w:val="clear" w:color="auto" w:fill="B3B3B3"/>
            <w:vAlign w:val="center"/>
          </w:tcPr>
          <w:p w:rsidR="00011C3B" w:rsidRPr="00BD037E" w:rsidRDefault="00011C3B" w:rsidP="00BD037E">
            <w:pPr>
              <w:spacing w:after="0"/>
              <w:jc w:val="center"/>
            </w:pPr>
            <w:r w:rsidRPr="00BD037E">
              <w:t>Indikátor leírása</w:t>
            </w:r>
          </w:p>
        </w:tc>
        <w:tc>
          <w:tcPr>
            <w:tcW w:w="767" w:type="pct"/>
            <w:shd w:val="clear" w:color="auto" w:fill="B3B3B3"/>
            <w:vAlign w:val="center"/>
          </w:tcPr>
          <w:p w:rsidR="00011C3B" w:rsidRPr="00BD037E" w:rsidRDefault="00011C3B" w:rsidP="00BD037E">
            <w:pPr>
              <w:spacing w:after="0"/>
              <w:jc w:val="center"/>
            </w:pPr>
            <w:r w:rsidRPr="00BD037E">
              <w:t>Program szerinti tervadat</w:t>
            </w:r>
          </w:p>
        </w:tc>
        <w:tc>
          <w:tcPr>
            <w:tcW w:w="767" w:type="pct"/>
            <w:shd w:val="clear" w:color="auto" w:fill="B3B3B3"/>
            <w:vAlign w:val="center"/>
          </w:tcPr>
          <w:p w:rsidR="00011C3B" w:rsidRPr="00FE2E5E" w:rsidRDefault="00011C3B" w:rsidP="00011C3B">
            <w:pPr>
              <w:spacing w:after="0"/>
              <w:jc w:val="center"/>
              <w:rPr>
                <w:rFonts w:cs="Times New Roman"/>
                <w:b/>
                <w:sz w:val="20"/>
                <w:szCs w:val="20"/>
              </w:rPr>
            </w:pPr>
            <w:r w:rsidRPr="00FE2E5E">
              <w:rPr>
                <w:rFonts w:cs="Times New Roman"/>
                <w:b/>
                <w:sz w:val="20"/>
                <w:szCs w:val="20"/>
              </w:rPr>
              <w:t>Indikátorok kumulált értéke</w:t>
            </w:r>
          </w:p>
        </w:tc>
      </w:tr>
      <w:tr w:rsidR="00011C3B" w:rsidRPr="00FE2E5E" w:rsidTr="00011C3B">
        <w:trPr>
          <w:cantSplit/>
          <w:jc w:val="center"/>
        </w:trPr>
        <w:tc>
          <w:tcPr>
            <w:tcW w:w="322" w:type="pct"/>
            <w:vMerge w:val="restart"/>
          </w:tcPr>
          <w:p w:rsidR="00011C3B" w:rsidRPr="00FE2E5E" w:rsidRDefault="00011C3B" w:rsidP="00011C3B">
            <w:pPr>
              <w:spacing w:after="0"/>
              <w:rPr>
                <w:rFonts w:cs="Times New Roman"/>
                <w:sz w:val="20"/>
                <w:szCs w:val="20"/>
              </w:rPr>
            </w:pPr>
            <w:r w:rsidRPr="00FE2E5E">
              <w:rPr>
                <w:rFonts w:cs="Times New Roman"/>
                <w:sz w:val="20"/>
                <w:szCs w:val="20"/>
              </w:rPr>
              <w:t>O</w:t>
            </w:r>
          </w:p>
        </w:tc>
        <w:tc>
          <w:tcPr>
            <w:tcW w:w="3144" w:type="pct"/>
            <w:shd w:val="clear" w:color="auto" w:fill="auto"/>
          </w:tcPr>
          <w:p w:rsidR="00011C3B" w:rsidRPr="0054518E" w:rsidRDefault="00011C3B" w:rsidP="007B5AEF">
            <w:pPr>
              <w:pStyle w:val="Tbla-bal"/>
            </w:pPr>
            <w:r w:rsidRPr="0054518E">
              <w:t>Támogatásban részesülő vállalkozások száma</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w:t>
            </w:r>
            <w:r w:rsidR="00222491">
              <w:rPr>
                <w:rFonts w:cs="Times New Roman"/>
                <w:sz w:val="20"/>
                <w:szCs w:val="20"/>
                <w:lang w:val="en-GB"/>
              </w:rPr>
              <w:t xml:space="preserve"> </w:t>
            </w:r>
            <w:r w:rsidRPr="00FE2E5E">
              <w:rPr>
                <w:rFonts w:cs="Times New Roman"/>
                <w:sz w:val="20"/>
                <w:szCs w:val="20"/>
                <w:lang w:val="en-GB"/>
              </w:rPr>
              <w:t>300 db</w:t>
            </w:r>
          </w:p>
        </w:tc>
        <w:tc>
          <w:tcPr>
            <w:tcW w:w="767" w:type="pct"/>
          </w:tcPr>
          <w:p w:rsidR="00011C3B" w:rsidRPr="00FE2E5E" w:rsidRDefault="00011C3B" w:rsidP="00011C3B">
            <w:pPr>
              <w:tabs>
                <w:tab w:val="center" w:pos="997"/>
                <w:tab w:val="right" w:pos="1638"/>
              </w:tabs>
              <w:spacing w:after="0"/>
              <w:jc w:val="right"/>
              <w:rPr>
                <w:rFonts w:cs="Times New Roman"/>
                <w:sz w:val="20"/>
                <w:szCs w:val="20"/>
              </w:rPr>
            </w:pPr>
            <w:r>
              <w:rPr>
                <w:rFonts w:cs="Times New Roman"/>
                <w:sz w:val="20"/>
                <w:szCs w:val="20"/>
              </w:rPr>
              <w:t>519</w:t>
            </w:r>
          </w:p>
        </w:tc>
      </w:tr>
      <w:tr w:rsidR="00011C3B" w:rsidRPr="00FE2E5E" w:rsidTr="00011C3B">
        <w:trPr>
          <w:cantSplit/>
          <w:jc w:val="center"/>
        </w:trPr>
        <w:tc>
          <w:tcPr>
            <w:tcW w:w="322" w:type="pct"/>
            <w:vMerge/>
          </w:tcPr>
          <w:p w:rsidR="00011C3B" w:rsidRPr="00FE2E5E" w:rsidRDefault="00011C3B" w:rsidP="00011C3B">
            <w:pPr>
              <w:spacing w:after="0"/>
              <w:rPr>
                <w:rFonts w:cs="Times New Roman"/>
                <w:sz w:val="20"/>
                <w:szCs w:val="20"/>
              </w:rPr>
            </w:pPr>
          </w:p>
        </w:tc>
        <w:tc>
          <w:tcPr>
            <w:tcW w:w="3144" w:type="pct"/>
            <w:shd w:val="clear" w:color="auto" w:fill="auto"/>
          </w:tcPr>
          <w:p w:rsidR="00011C3B" w:rsidRPr="0054518E" w:rsidRDefault="00011C3B" w:rsidP="007B5AEF">
            <w:pPr>
              <w:pStyle w:val="Tbla-bal"/>
            </w:pPr>
            <w:r w:rsidRPr="0054518E">
              <w:t>A vállalkozás mérete (a Bizottság 2003/361/EK sz. ajánlása)</w:t>
            </w:r>
          </w:p>
        </w:tc>
        <w:tc>
          <w:tcPr>
            <w:tcW w:w="767" w:type="pct"/>
            <w:shd w:val="clear" w:color="auto" w:fill="auto"/>
            <w:vAlign w:val="bottom"/>
          </w:tcPr>
          <w:p w:rsidR="00011C3B" w:rsidRPr="00FE2E5E" w:rsidRDefault="00011C3B" w:rsidP="00011C3B">
            <w:pPr>
              <w:spacing w:after="0"/>
              <w:jc w:val="right"/>
              <w:rPr>
                <w:rFonts w:cs="Times New Roman"/>
                <w:sz w:val="20"/>
                <w:szCs w:val="20"/>
              </w:rPr>
            </w:pPr>
            <w:r w:rsidRPr="00FE2E5E">
              <w:rPr>
                <w:rFonts w:cs="Times New Roman"/>
                <w:sz w:val="20"/>
                <w:szCs w:val="20"/>
              </w:rPr>
              <w:t> </w:t>
            </w:r>
          </w:p>
        </w:tc>
        <w:tc>
          <w:tcPr>
            <w:tcW w:w="767" w:type="pct"/>
          </w:tcPr>
          <w:p w:rsidR="00011C3B" w:rsidRPr="00FE2E5E" w:rsidRDefault="00011C3B" w:rsidP="00011C3B">
            <w:pPr>
              <w:spacing w:after="0"/>
              <w:jc w:val="right"/>
              <w:rPr>
                <w:rFonts w:cs="Times New Roman"/>
                <w:sz w:val="20"/>
                <w:szCs w:val="20"/>
              </w:rPr>
            </w:pP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mikro/kisvállalkozás (&lt; 50 alkalmazott, &lt; 10 millió euró forgalom)</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800</w:t>
            </w:r>
          </w:p>
        </w:tc>
        <w:tc>
          <w:tcPr>
            <w:tcW w:w="767" w:type="pct"/>
          </w:tcPr>
          <w:p w:rsidR="00011C3B" w:rsidRPr="00FE2E5E" w:rsidRDefault="00011C3B" w:rsidP="00011C3B">
            <w:pPr>
              <w:spacing w:after="0"/>
              <w:jc w:val="right"/>
              <w:rPr>
                <w:rFonts w:cs="Times New Roman"/>
                <w:sz w:val="20"/>
                <w:szCs w:val="20"/>
                <w:lang w:val="en-GB"/>
              </w:rPr>
            </w:pPr>
            <w:r>
              <w:rPr>
                <w:rFonts w:cs="Times New Roman"/>
                <w:sz w:val="20"/>
                <w:szCs w:val="20"/>
                <w:lang w:val="en-GB"/>
              </w:rPr>
              <w:t>288</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középvállalkozás (&lt; 250 alkalmazott, &lt; 50 millió euró for</w:t>
            </w:r>
            <w:r w:rsidR="000B51B8">
              <w:softHyphen/>
            </w:r>
            <w:r w:rsidRPr="00FE2E5E">
              <w:t>galom)</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200</w:t>
            </w:r>
          </w:p>
        </w:tc>
        <w:tc>
          <w:tcPr>
            <w:tcW w:w="767" w:type="pct"/>
          </w:tcPr>
          <w:p w:rsidR="00011C3B" w:rsidRPr="00FE2E5E" w:rsidRDefault="00011C3B" w:rsidP="000B51B8">
            <w:pPr>
              <w:pStyle w:val="Normltblajobb"/>
            </w:pPr>
            <w:r>
              <w:t>116</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közepes nagyvállalkozás (&lt; 750 alkalmazott, &lt; 200 millió euró forgalom)</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100</w:t>
            </w:r>
          </w:p>
        </w:tc>
        <w:tc>
          <w:tcPr>
            <w:tcW w:w="767" w:type="pct"/>
          </w:tcPr>
          <w:p w:rsidR="00011C3B" w:rsidRPr="00FE2E5E" w:rsidRDefault="00011C3B" w:rsidP="000B51B8">
            <w:pPr>
              <w:pStyle w:val="Normltblajobb"/>
            </w:pPr>
            <w:r>
              <w:t>93</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 xml:space="preserve">egyéb </w:t>
            </w:r>
          </w:p>
        </w:tc>
        <w:tc>
          <w:tcPr>
            <w:tcW w:w="767" w:type="pct"/>
            <w:shd w:val="clear" w:color="auto" w:fill="auto"/>
            <w:vAlign w:val="bottom"/>
          </w:tcPr>
          <w:p w:rsidR="00011C3B" w:rsidRPr="00FE2E5E" w:rsidRDefault="00011C3B" w:rsidP="00222491">
            <w:pPr>
              <w:spacing w:after="0"/>
              <w:jc w:val="right"/>
              <w:rPr>
                <w:rFonts w:cs="Times New Roman"/>
                <w:sz w:val="20"/>
                <w:szCs w:val="20"/>
                <w:lang w:val="en-GB"/>
              </w:rPr>
            </w:pPr>
            <w:r w:rsidRPr="00FE2E5E">
              <w:rPr>
                <w:rFonts w:cs="Times New Roman"/>
                <w:sz w:val="20"/>
                <w:szCs w:val="20"/>
                <w:lang w:val="en-GB"/>
              </w:rPr>
              <w:t>200</w:t>
            </w:r>
          </w:p>
        </w:tc>
        <w:tc>
          <w:tcPr>
            <w:tcW w:w="767" w:type="pct"/>
          </w:tcPr>
          <w:p w:rsidR="00011C3B" w:rsidRPr="00FE2E5E" w:rsidRDefault="00011C3B" w:rsidP="000B51B8">
            <w:pPr>
              <w:pStyle w:val="Normltblajobb"/>
            </w:pPr>
            <w:r>
              <w:t>22</w:t>
            </w:r>
          </w:p>
        </w:tc>
      </w:tr>
      <w:tr w:rsidR="00011C3B" w:rsidRPr="00FE2E5E" w:rsidTr="00011C3B">
        <w:trPr>
          <w:cantSplit/>
          <w:jc w:val="center"/>
        </w:trPr>
        <w:tc>
          <w:tcPr>
            <w:tcW w:w="322" w:type="pct"/>
            <w:vMerge/>
          </w:tcPr>
          <w:p w:rsidR="00011C3B" w:rsidRPr="00FE2E5E" w:rsidRDefault="00011C3B" w:rsidP="00011C3B">
            <w:pPr>
              <w:spacing w:after="0"/>
              <w:rPr>
                <w:rFonts w:cs="Times New Roman"/>
                <w:sz w:val="20"/>
                <w:szCs w:val="20"/>
              </w:rPr>
            </w:pPr>
          </w:p>
        </w:tc>
        <w:tc>
          <w:tcPr>
            <w:tcW w:w="3144" w:type="pct"/>
            <w:shd w:val="clear" w:color="auto" w:fill="auto"/>
          </w:tcPr>
          <w:p w:rsidR="00011C3B" w:rsidRPr="00FE2E5E" w:rsidRDefault="00011C3B" w:rsidP="007B5AEF">
            <w:pPr>
              <w:pStyle w:val="Tbla-bal"/>
            </w:pPr>
            <w:r w:rsidRPr="00FE2E5E">
              <w:t>Á</w:t>
            </w:r>
            <w:r w:rsidRPr="0054518E">
              <w:t>gazat</w:t>
            </w:r>
            <w:r w:rsidRPr="00FE2E5E">
              <w:t>:</w:t>
            </w:r>
            <w:r w:rsidRPr="00FE2E5E">
              <w:rPr>
                <w:lang w:val="en-GB"/>
              </w:rPr>
              <w:t xml:space="preserve"> </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 </w:t>
            </w:r>
          </w:p>
        </w:tc>
        <w:tc>
          <w:tcPr>
            <w:tcW w:w="767" w:type="pct"/>
          </w:tcPr>
          <w:p w:rsidR="00011C3B" w:rsidRPr="00FE2E5E" w:rsidRDefault="00011C3B" w:rsidP="000B51B8">
            <w:pPr>
              <w:pStyle w:val="Normltblajobb"/>
            </w:pP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Mezőgazdaság</w:t>
            </w:r>
            <w:r w:rsidRPr="00FE2E5E">
              <w:rPr>
                <w:lang w:val="en-GB"/>
              </w:rPr>
              <w:t xml:space="preserve"> </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335</w:t>
            </w:r>
          </w:p>
        </w:tc>
        <w:tc>
          <w:tcPr>
            <w:tcW w:w="767" w:type="pct"/>
          </w:tcPr>
          <w:p w:rsidR="00011C3B" w:rsidRPr="00FE2E5E" w:rsidRDefault="00011C3B" w:rsidP="000B51B8">
            <w:pPr>
              <w:pStyle w:val="Normltblajobb"/>
            </w:pPr>
            <w:r>
              <w:t>137</w:t>
            </w:r>
          </w:p>
        </w:tc>
      </w:tr>
      <w:tr w:rsidR="00011C3B" w:rsidRPr="00FE2E5E" w:rsidTr="00011C3B">
        <w:trPr>
          <w:cantSplit/>
          <w:jc w:val="center"/>
        </w:trPr>
        <w:tc>
          <w:tcPr>
            <w:tcW w:w="322" w:type="pct"/>
            <w:vMerge/>
          </w:tcPr>
          <w:p w:rsidR="00011C3B" w:rsidRPr="00FE2E5E" w:rsidRDefault="00011C3B" w:rsidP="00011C3B">
            <w:pPr>
              <w:spacing w:after="0"/>
              <w:ind w:left="1032"/>
              <w:rPr>
                <w:rFonts w:cs="Times New Roman"/>
                <w:sz w:val="20"/>
                <w:szCs w:val="20"/>
              </w:rPr>
            </w:pPr>
          </w:p>
        </w:tc>
        <w:tc>
          <w:tcPr>
            <w:tcW w:w="3144" w:type="pct"/>
            <w:shd w:val="clear" w:color="auto" w:fill="auto"/>
          </w:tcPr>
          <w:p w:rsidR="00011C3B" w:rsidRPr="00FE2E5E" w:rsidRDefault="00011C3B" w:rsidP="004869BB">
            <w:pPr>
              <w:pStyle w:val="Normltblabal2"/>
            </w:pPr>
            <w:r w:rsidRPr="00FE2E5E">
              <w:t>Mezőgazdasági terület jellege (TF 8, a 2003/369/EK alapján)</w:t>
            </w:r>
          </w:p>
        </w:tc>
        <w:tc>
          <w:tcPr>
            <w:tcW w:w="767" w:type="pct"/>
            <w:shd w:val="clear" w:color="auto" w:fill="auto"/>
            <w:vAlign w:val="bottom"/>
          </w:tcPr>
          <w:p w:rsidR="00011C3B" w:rsidRPr="00FE2E5E" w:rsidRDefault="00011C3B" w:rsidP="00011C3B">
            <w:pPr>
              <w:spacing w:after="0"/>
              <w:jc w:val="right"/>
              <w:rPr>
                <w:rFonts w:cs="Times New Roman"/>
                <w:sz w:val="20"/>
                <w:szCs w:val="20"/>
              </w:rPr>
            </w:pPr>
            <w:r w:rsidRPr="00FE2E5E">
              <w:rPr>
                <w:rFonts w:cs="Times New Roman"/>
                <w:sz w:val="20"/>
                <w:szCs w:val="20"/>
              </w:rPr>
              <w:t> </w:t>
            </w:r>
          </w:p>
        </w:tc>
        <w:tc>
          <w:tcPr>
            <w:tcW w:w="767" w:type="pct"/>
          </w:tcPr>
          <w:p w:rsidR="00011C3B" w:rsidRPr="00FE2E5E" w:rsidRDefault="00011C3B" w:rsidP="000B51B8">
            <w:pPr>
              <w:pStyle w:val="Normltblajobb"/>
            </w:pP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Szántóföldi növénytermesztés – bio/egyéb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10/20</w:t>
            </w:r>
          </w:p>
        </w:tc>
        <w:tc>
          <w:tcPr>
            <w:tcW w:w="767" w:type="pct"/>
          </w:tcPr>
          <w:p w:rsidR="00011C3B" w:rsidRPr="00FE2E5E" w:rsidRDefault="00011C3B" w:rsidP="000B51B8">
            <w:pPr>
              <w:pStyle w:val="Normltblajobb"/>
            </w:pPr>
            <w:r w:rsidRPr="00FE2E5E">
              <w:t>1/3</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Kertészet – bio/egyéb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5/40</w:t>
            </w:r>
          </w:p>
        </w:tc>
        <w:tc>
          <w:tcPr>
            <w:tcW w:w="767" w:type="pct"/>
          </w:tcPr>
          <w:p w:rsidR="00011C3B" w:rsidRPr="00FE2E5E" w:rsidRDefault="00011C3B" w:rsidP="000B51B8">
            <w:pPr>
              <w:pStyle w:val="Normltblajobb"/>
            </w:pPr>
            <w:r>
              <w:t>0/2</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Bor – bio/egyéb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10/140</w:t>
            </w:r>
          </w:p>
        </w:tc>
        <w:tc>
          <w:tcPr>
            <w:tcW w:w="767" w:type="pct"/>
          </w:tcPr>
          <w:p w:rsidR="00011C3B" w:rsidRPr="00FE2E5E" w:rsidRDefault="00011C3B" w:rsidP="000B51B8">
            <w:pPr>
              <w:pStyle w:val="Normltblajobb"/>
            </w:pPr>
            <w:r>
              <w:t>5/96</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Monokultúra – bio/egyéb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0</w:t>
            </w:r>
          </w:p>
        </w:tc>
        <w:tc>
          <w:tcPr>
            <w:tcW w:w="767" w:type="pct"/>
          </w:tcPr>
          <w:p w:rsidR="00011C3B" w:rsidRPr="00FE2E5E" w:rsidRDefault="00011C3B" w:rsidP="000B51B8">
            <w:pPr>
              <w:pStyle w:val="Normltblajobb"/>
            </w:pPr>
            <w:r w:rsidRPr="00FE2E5E">
              <w:t>0</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Tejtermelés – bio/egyéb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10/20</w:t>
            </w:r>
          </w:p>
        </w:tc>
        <w:tc>
          <w:tcPr>
            <w:tcW w:w="767" w:type="pct"/>
          </w:tcPr>
          <w:p w:rsidR="00011C3B" w:rsidRPr="00FE2E5E" w:rsidRDefault="00011C3B" w:rsidP="000B51B8">
            <w:pPr>
              <w:pStyle w:val="Normltblajobb"/>
            </w:pPr>
            <w:r w:rsidRPr="00FE2E5E">
              <w:t>0/1</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Legeltetéses állattartás (kivéve tejtermelés) – bio/egyéb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10/20</w:t>
            </w:r>
          </w:p>
        </w:tc>
        <w:tc>
          <w:tcPr>
            <w:tcW w:w="767" w:type="pct"/>
          </w:tcPr>
          <w:p w:rsidR="00011C3B" w:rsidRPr="00FE2E5E" w:rsidRDefault="00011C3B" w:rsidP="000B51B8">
            <w:pPr>
              <w:pStyle w:val="Normltblajobb"/>
            </w:pPr>
            <w:r>
              <w:t>0/1</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Sertés és/vagy baromfi – bio/egyéb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5/20</w:t>
            </w:r>
          </w:p>
        </w:tc>
        <w:tc>
          <w:tcPr>
            <w:tcW w:w="767" w:type="pct"/>
          </w:tcPr>
          <w:p w:rsidR="00011C3B" w:rsidRPr="00FE2E5E" w:rsidRDefault="00011C3B" w:rsidP="000B51B8">
            <w:pPr>
              <w:pStyle w:val="Normltblajobb"/>
            </w:pPr>
            <w:r>
              <w:t>0/3</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Vegyes (növénytermesztés/állattartás) – organikus/egyéb</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5/10</w:t>
            </w:r>
          </w:p>
        </w:tc>
        <w:tc>
          <w:tcPr>
            <w:tcW w:w="767" w:type="pct"/>
          </w:tcPr>
          <w:p w:rsidR="00011C3B" w:rsidRPr="00FE2E5E" w:rsidRDefault="00011C3B" w:rsidP="000B51B8">
            <w:pPr>
              <w:pStyle w:val="Normltblajobb"/>
            </w:pPr>
            <w:r>
              <w:t>0/6</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Nem élelmiszer</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10</w:t>
            </w:r>
          </w:p>
        </w:tc>
        <w:tc>
          <w:tcPr>
            <w:tcW w:w="767" w:type="pct"/>
          </w:tcPr>
          <w:p w:rsidR="00011C3B" w:rsidRPr="00FE2E5E" w:rsidRDefault="00011C3B" w:rsidP="000B51B8">
            <w:pPr>
              <w:pStyle w:val="Normltblajobb"/>
            </w:pPr>
            <w:r>
              <w:t>0/5</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Erdőgazdálkodás</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0</w:t>
            </w:r>
          </w:p>
        </w:tc>
        <w:tc>
          <w:tcPr>
            <w:tcW w:w="767" w:type="pct"/>
          </w:tcPr>
          <w:p w:rsidR="00011C3B" w:rsidRPr="00FE2E5E" w:rsidRDefault="00011C3B" w:rsidP="000B51B8">
            <w:pPr>
              <w:pStyle w:val="Normltblajobb"/>
            </w:pPr>
            <w:r w:rsidRPr="00FE2E5E">
              <w:t>0</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Élelmiszeripar</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965</w:t>
            </w:r>
          </w:p>
        </w:tc>
        <w:tc>
          <w:tcPr>
            <w:tcW w:w="767" w:type="pct"/>
          </w:tcPr>
          <w:p w:rsidR="00011C3B" w:rsidRPr="00FE2E5E" w:rsidRDefault="00011C3B" w:rsidP="000B51B8">
            <w:pPr>
              <w:pStyle w:val="Normltblajobb"/>
            </w:pPr>
            <w:r>
              <w:t>378</w:t>
            </w:r>
          </w:p>
        </w:tc>
      </w:tr>
      <w:tr w:rsidR="00011C3B" w:rsidRPr="00FE2E5E" w:rsidTr="00011C3B">
        <w:trPr>
          <w:cantSplit/>
          <w:jc w:val="center"/>
        </w:trPr>
        <w:tc>
          <w:tcPr>
            <w:tcW w:w="322" w:type="pct"/>
            <w:vMerge/>
          </w:tcPr>
          <w:p w:rsidR="00011C3B" w:rsidRPr="00FE2E5E" w:rsidRDefault="00011C3B" w:rsidP="00011C3B">
            <w:pPr>
              <w:spacing w:after="0"/>
              <w:rPr>
                <w:rFonts w:cs="Times New Roman"/>
                <w:sz w:val="20"/>
                <w:szCs w:val="20"/>
              </w:rPr>
            </w:pPr>
          </w:p>
        </w:tc>
        <w:tc>
          <w:tcPr>
            <w:tcW w:w="3144" w:type="pct"/>
            <w:shd w:val="clear" w:color="auto" w:fill="auto"/>
          </w:tcPr>
          <w:p w:rsidR="00011C3B" w:rsidRPr="00FE2E5E" w:rsidRDefault="00011C3B" w:rsidP="007B5AEF">
            <w:pPr>
              <w:pStyle w:val="Tbla-bal"/>
            </w:pPr>
            <w:r w:rsidRPr="00FE2E5E">
              <w:t>A te</w:t>
            </w:r>
            <w:r w:rsidRPr="0054518E">
              <w:t>véken</w:t>
            </w:r>
            <w:r w:rsidRPr="00FE2E5E">
              <w:t>ység típusa</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 </w:t>
            </w:r>
          </w:p>
        </w:tc>
        <w:tc>
          <w:tcPr>
            <w:tcW w:w="767" w:type="pct"/>
          </w:tcPr>
          <w:p w:rsidR="00011C3B" w:rsidRPr="00FE2E5E" w:rsidRDefault="00011C3B" w:rsidP="000B51B8">
            <w:pPr>
              <w:pStyle w:val="Normltblajobb"/>
            </w:pP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Feldolgozás/értékesítés</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1200</w:t>
            </w:r>
          </w:p>
        </w:tc>
        <w:tc>
          <w:tcPr>
            <w:tcW w:w="767" w:type="pct"/>
          </w:tcPr>
          <w:p w:rsidR="00011C3B" w:rsidRPr="00FE2E5E" w:rsidRDefault="00011C3B" w:rsidP="000B51B8">
            <w:pPr>
              <w:pStyle w:val="Normltblajobb"/>
            </w:pPr>
            <w:r>
              <w:t>506</w:t>
            </w:r>
          </w:p>
        </w:tc>
      </w:tr>
      <w:tr w:rsidR="00011C3B" w:rsidRPr="00FE2E5E" w:rsidTr="00011C3B">
        <w:trPr>
          <w:cantSplit/>
          <w:jc w:val="center"/>
        </w:trPr>
        <w:tc>
          <w:tcPr>
            <w:tcW w:w="322" w:type="pct"/>
            <w:vMerge/>
          </w:tcPr>
          <w:p w:rsidR="00011C3B" w:rsidRPr="00FE2E5E" w:rsidRDefault="00011C3B" w:rsidP="00011C3B">
            <w:pPr>
              <w:spacing w:after="0"/>
              <w:ind w:left="570"/>
              <w:rPr>
                <w:rFonts w:cs="Times New Roman"/>
                <w:sz w:val="20"/>
                <w:szCs w:val="20"/>
              </w:rPr>
            </w:pPr>
          </w:p>
        </w:tc>
        <w:tc>
          <w:tcPr>
            <w:tcW w:w="3144" w:type="pct"/>
            <w:shd w:val="clear" w:color="auto" w:fill="auto"/>
          </w:tcPr>
          <w:p w:rsidR="00011C3B" w:rsidRPr="00FE2E5E" w:rsidRDefault="00011C3B" w:rsidP="000B51B8">
            <w:pPr>
              <w:pStyle w:val="Normltblabal3pckkel"/>
            </w:pPr>
            <w:r w:rsidRPr="00FE2E5E">
              <w:t>Fejlesztés</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r w:rsidRPr="00FE2E5E">
              <w:rPr>
                <w:rFonts w:cs="Times New Roman"/>
                <w:sz w:val="20"/>
                <w:szCs w:val="20"/>
                <w:lang w:val="en-GB"/>
              </w:rPr>
              <w:t>100</w:t>
            </w:r>
          </w:p>
        </w:tc>
        <w:tc>
          <w:tcPr>
            <w:tcW w:w="767" w:type="pct"/>
          </w:tcPr>
          <w:p w:rsidR="00011C3B" w:rsidRPr="00FE2E5E" w:rsidRDefault="00011C3B" w:rsidP="000B51B8">
            <w:pPr>
              <w:pStyle w:val="Normltblajobb"/>
            </w:pPr>
            <w:r w:rsidRPr="00FE2E5E">
              <w:t>13</w:t>
            </w:r>
          </w:p>
        </w:tc>
      </w:tr>
      <w:tr w:rsidR="00011C3B" w:rsidRPr="00FE2E5E" w:rsidTr="00011C3B">
        <w:trPr>
          <w:cantSplit/>
          <w:jc w:val="center"/>
        </w:trPr>
        <w:tc>
          <w:tcPr>
            <w:tcW w:w="322" w:type="pct"/>
            <w:vMerge/>
          </w:tcPr>
          <w:p w:rsidR="00011C3B" w:rsidRPr="00FE2E5E" w:rsidRDefault="00011C3B" w:rsidP="00011C3B">
            <w:pPr>
              <w:spacing w:after="0"/>
              <w:rPr>
                <w:rFonts w:cs="Times New Roman"/>
                <w:sz w:val="20"/>
                <w:szCs w:val="20"/>
              </w:rPr>
            </w:pPr>
          </w:p>
        </w:tc>
        <w:tc>
          <w:tcPr>
            <w:tcW w:w="3144" w:type="pct"/>
            <w:shd w:val="clear" w:color="auto" w:fill="auto"/>
          </w:tcPr>
          <w:p w:rsidR="00011C3B" w:rsidRPr="0054518E" w:rsidRDefault="00011C3B" w:rsidP="007B5AEF">
            <w:pPr>
              <w:pStyle w:val="Tbla-bal"/>
            </w:pPr>
            <w:r w:rsidRPr="0054518E">
              <w:t>A beruházás teljes összege (euró)</w:t>
            </w:r>
          </w:p>
        </w:tc>
        <w:tc>
          <w:tcPr>
            <w:tcW w:w="767" w:type="pct"/>
            <w:shd w:val="clear" w:color="auto" w:fill="auto"/>
            <w:vAlign w:val="bottom"/>
          </w:tcPr>
          <w:p w:rsidR="00011C3B" w:rsidRPr="00FE2E5E" w:rsidRDefault="004A0396" w:rsidP="00011C3B">
            <w:pPr>
              <w:spacing w:after="0"/>
              <w:jc w:val="right"/>
              <w:rPr>
                <w:rFonts w:cs="Times New Roman"/>
                <w:sz w:val="20"/>
                <w:szCs w:val="20"/>
                <w:lang w:val="es-ES"/>
              </w:rPr>
            </w:pPr>
            <w:r w:rsidRPr="00FE2E5E">
              <w:rPr>
                <w:rFonts w:cs="Times New Roman"/>
                <w:sz w:val="20"/>
                <w:szCs w:val="20"/>
                <w:lang w:val="en-GB"/>
              </w:rPr>
              <w:t>811 millió</w:t>
            </w:r>
            <w:r w:rsidR="00011C3B" w:rsidRPr="00FE2E5E">
              <w:rPr>
                <w:rFonts w:cs="Times New Roman"/>
                <w:sz w:val="20"/>
                <w:szCs w:val="20"/>
                <w:lang w:val="es-ES"/>
              </w:rPr>
              <w:t> </w:t>
            </w:r>
          </w:p>
        </w:tc>
        <w:tc>
          <w:tcPr>
            <w:tcW w:w="767" w:type="pct"/>
          </w:tcPr>
          <w:p w:rsidR="00011C3B" w:rsidRPr="00FE2E5E" w:rsidRDefault="004A0396" w:rsidP="000B51B8">
            <w:pPr>
              <w:pStyle w:val="Normltblajobb"/>
            </w:pPr>
            <w:r>
              <w:t>3</w:t>
            </w:r>
            <w:r w:rsidR="00011C3B">
              <w:t>63,3 millió</w:t>
            </w:r>
          </w:p>
        </w:tc>
      </w:tr>
      <w:tr w:rsidR="00011C3B" w:rsidRPr="00FE2E5E" w:rsidTr="00011C3B">
        <w:trPr>
          <w:cantSplit/>
          <w:jc w:val="center"/>
        </w:trPr>
        <w:tc>
          <w:tcPr>
            <w:tcW w:w="322" w:type="pct"/>
            <w:vMerge/>
          </w:tcPr>
          <w:p w:rsidR="00011C3B" w:rsidRPr="00FE2E5E" w:rsidRDefault="00011C3B" w:rsidP="00011C3B">
            <w:pPr>
              <w:spacing w:after="0"/>
              <w:rPr>
                <w:rFonts w:cs="Times New Roman"/>
                <w:sz w:val="20"/>
                <w:szCs w:val="20"/>
              </w:rPr>
            </w:pPr>
          </w:p>
        </w:tc>
        <w:tc>
          <w:tcPr>
            <w:tcW w:w="3144" w:type="pct"/>
            <w:shd w:val="clear" w:color="auto" w:fill="auto"/>
          </w:tcPr>
          <w:p w:rsidR="00011C3B" w:rsidRPr="0054518E" w:rsidRDefault="00011C3B" w:rsidP="007B5AEF">
            <w:pPr>
              <w:pStyle w:val="Tbla-bal"/>
            </w:pPr>
            <w:r w:rsidRPr="0054518E">
              <w:t>A vállalkozás mérete (a Bizottság 2003/361/EK sz. ajánlása)</w:t>
            </w:r>
          </w:p>
        </w:tc>
        <w:tc>
          <w:tcPr>
            <w:tcW w:w="767" w:type="pct"/>
            <w:shd w:val="clear" w:color="auto" w:fill="auto"/>
            <w:vAlign w:val="bottom"/>
          </w:tcPr>
          <w:p w:rsidR="00011C3B" w:rsidRPr="00FE2E5E" w:rsidRDefault="00011C3B" w:rsidP="00011C3B">
            <w:pPr>
              <w:spacing w:after="0"/>
              <w:jc w:val="right"/>
              <w:rPr>
                <w:rFonts w:cs="Times New Roman"/>
                <w:sz w:val="20"/>
                <w:szCs w:val="20"/>
                <w:lang w:val="en-GB"/>
              </w:rPr>
            </w:pPr>
          </w:p>
        </w:tc>
        <w:tc>
          <w:tcPr>
            <w:tcW w:w="767" w:type="pct"/>
          </w:tcPr>
          <w:p w:rsidR="00011C3B" w:rsidRPr="00FE2E5E" w:rsidRDefault="00011C3B" w:rsidP="000B51B8">
            <w:pPr>
              <w:pStyle w:val="Normltblajobb"/>
              <w:rPr>
                <w:lang w:val="es-ES_tradnl"/>
              </w:rPr>
            </w:pP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Mikro/kisvállalkozás</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300</w:t>
            </w:r>
          </w:p>
        </w:tc>
        <w:tc>
          <w:tcPr>
            <w:tcW w:w="767" w:type="pct"/>
          </w:tcPr>
          <w:p w:rsidR="004A0396" w:rsidRPr="006B755B" w:rsidRDefault="004A0396" w:rsidP="000B51B8">
            <w:pPr>
              <w:pStyle w:val="Normltblajobb"/>
            </w:pPr>
            <w:r w:rsidRPr="006B755B">
              <w:t>182,84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Középvállalkozás</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111</w:t>
            </w:r>
          </w:p>
        </w:tc>
        <w:tc>
          <w:tcPr>
            <w:tcW w:w="767" w:type="pct"/>
          </w:tcPr>
          <w:p w:rsidR="004A0396" w:rsidRPr="006B755B" w:rsidRDefault="004A0396" w:rsidP="000B51B8">
            <w:pPr>
              <w:pStyle w:val="Normltblajobb"/>
            </w:pPr>
            <w:r w:rsidRPr="006B755B">
              <w:t>77,42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közepes nagyvállalkozás (&lt; 750 alkalmazott, &lt; 200 millió euró forgalom)</w:t>
            </w:r>
          </w:p>
        </w:tc>
        <w:tc>
          <w:tcPr>
            <w:tcW w:w="767" w:type="pct"/>
            <w:shd w:val="clear" w:color="auto" w:fill="auto"/>
            <w:vAlign w:val="bottom"/>
          </w:tcPr>
          <w:p w:rsidR="004A0396" w:rsidRPr="00FE2E5E" w:rsidRDefault="004A0396" w:rsidP="004A0396">
            <w:pPr>
              <w:spacing w:after="0"/>
              <w:ind w:firstLine="0"/>
              <w:jc w:val="right"/>
              <w:rPr>
                <w:rFonts w:cs="Times New Roman"/>
                <w:sz w:val="20"/>
                <w:szCs w:val="20"/>
                <w:lang w:val="en-GB"/>
              </w:rPr>
            </w:pPr>
            <w:r w:rsidRPr="00FE2E5E">
              <w:rPr>
                <w:rFonts w:cs="Times New Roman"/>
                <w:sz w:val="20"/>
                <w:szCs w:val="20"/>
                <w:lang w:val="en-GB"/>
              </w:rPr>
              <w:t>300</w:t>
            </w:r>
          </w:p>
        </w:tc>
        <w:tc>
          <w:tcPr>
            <w:tcW w:w="767" w:type="pct"/>
          </w:tcPr>
          <w:p w:rsidR="004A0396" w:rsidRDefault="004A0396" w:rsidP="000B51B8">
            <w:pPr>
              <w:pStyle w:val="Normltblajobb"/>
            </w:pPr>
          </w:p>
          <w:p w:rsidR="004A0396" w:rsidRPr="006B755B" w:rsidRDefault="004A0396" w:rsidP="000B51B8">
            <w:pPr>
              <w:pStyle w:val="Normltblajobb"/>
            </w:pPr>
            <w:r w:rsidRPr="006B755B">
              <w:t>17,14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 xml:space="preserve">egyéb </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100</w:t>
            </w:r>
          </w:p>
        </w:tc>
        <w:tc>
          <w:tcPr>
            <w:tcW w:w="767" w:type="pct"/>
          </w:tcPr>
          <w:p w:rsidR="004A0396" w:rsidRPr="006B755B" w:rsidRDefault="004A0396" w:rsidP="000B51B8">
            <w:pPr>
              <w:pStyle w:val="Normltblajobb"/>
            </w:pPr>
            <w:r w:rsidRPr="006B755B">
              <w:t>85,92 millió</w:t>
            </w: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Ágazat:</w:t>
            </w:r>
            <w:r w:rsidRPr="00FE2E5E">
              <w:rPr>
                <w:lang w:val="en-GB"/>
              </w:rPr>
              <w:t xml:space="preserve"> </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 </w:t>
            </w:r>
          </w:p>
        </w:tc>
        <w:tc>
          <w:tcPr>
            <w:tcW w:w="767" w:type="pct"/>
          </w:tcPr>
          <w:p w:rsidR="004A0396" w:rsidRPr="006B755B" w:rsidRDefault="004A0396" w:rsidP="00011C3B">
            <w:pPr>
              <w:spacing w:after="0"/>
              <w:jc w:val="right"/>
              <w:rPr>
                <w:rFonts w:cs="Times New Roman"/>
                <w:sz w:val="20"/>
                <w:szCs w:val="20"/>
                <w:lang w:val="en-GB"/>
              </w:rPr>
            </w:pP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Mezőgazdaság</w:t>
            </w:r>
            <w:r w:rsidRPr="00FE2E5E">
              <w:rPr>
                <w:lang w:val="en-GB"/>
              </w:rPr>
              <w:t xml:space="preserve"> </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681</w:t>
            </w:r>
          </w:p>
        </w:tc>
        <w:tc>
          <w:tcPr>
            <w:tcW w:w="767" w:type="pct"/>
          </w:tcPr>
          <w:p w:rsidR="004A0396" w:rsidRPr="006B755B" w:rsidRDefault="004A0396" w:rsidP="00011C3B">
            <w:pPr>
              <w:spacing w:after="0"/>
              <w:jc w:val="right"/>
              <w:rPr>
                <w:rFonts w:cs="Times New Roman"/>
                <w:sz w:val="20"/>
                <w:szCs w:val="20"/>
                <w:lang w:val="en-GB"/>
              </w:rPr>
            </w:pPr>
            <w:r w:rsidRPr="006B755B">
              <w:rPr>
                <w:rFonts w:cs="Times New Roman"/>
                <w:sz w:val="20"/>
                <w:szCs w:val="20"/>
                <w:lang w:val="en-GB"/>
              </w:rPr>
              <w:t>57,15 millió</w:t>
            </w:r>
          </w:p>
        </w:tc>
      </w:tr>
      <w:tr w:rsidR="004A0396" w:rsidRPr="00FE2E5E" w:rsidTr="00011C3B">
        <w:trPr>
          <w:cantSplit/>
          <w:jc w:val="center"/>
        </w:trPr>
        <w:tc>
          <w:tcPr>
            <w:tcW w:w="322" w:type="pct"/>
            <w:vMerge/>
          </w:tcPr>
          <w:p w:rsidR="004A0396" w:rsidRPr="00FE2E5E" w:rsidRDefault="004A0396" w:rsidP="00011C3B">
            <w:pPr>
              <w:spacing w:after="0"/>
              <w:ind w:left="1032"/>
              <w:rPr>
                <w:rFonts w:cs="Times New Roman"/>
                <w:sz w:val="20"/>
                <w:szCs w:val="20"/>
              </w:rPr>
            </w:pPr>
          </w:p>
        </w:tc>
        <w:tc>
          <w:tcPr>
            <w:tcW w:w="3144" w:type="pct"/>
            <w:shd w:val="clear" w:color="auto" w:fill="auto"/>
          </w:tcPr>
          <w:p w:rsidR="004A0396" w:rsidRPr="00FE2E5E" w:rsidRDefault="004A0396" w:rsidP="004869BB">
            <w:pPr>
              <w:pStyle w:val="Normltblabal2"/>
            </w:pPr>
            <w:r w:rsidRPr="00FE2E5E">
              <w:t>Mezőgazdasági terület jellege (TF 8, a 2003/369/EK alapján)</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 </w:t>
            </w:r>
          </w:p>
        </w:tc>
        <w:tc>
          <w:tcPr>
            <w:tcW w:w="767" w:type="pct"/>
          </w:tcPr>
          <w:p w:rsidR="004A0396" w:rsidRPr="006B755B" w:rsidRDefault="004A0396" w:rsidP="00011C3B">
            <w:pPr>
              <w:spacing w:after="0"/>
              <w:jc w:val="right"/>
              <w:rPr>
                <w:rFonts w:cs="Times New Roman"/>
                <w:sz w:val="20"/>
                <w:szCs w:val="20"/>
                <w:lang w:val="en-GB"/>
              </w:rPr>
            </w:pP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Szántóföldi növénytermesztés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7/55</w:t>
            </w:r>
          </w:p>
        </w:tc>
        <w:tc>
          <w:tcPr>
            <w:tcW w:w="767" w:type="pct"/>
          </w:tcPr>
          <w:p w:rsidR="004A0396" w:rsidRPr="006B755B" w:rsidRDefault="004A0396" w:rsidP="000B51B8">
            <w:pPr>
              <w:pStyle w:val="Normltblajobb"/>
            </w:pPr>
            <w:r w:rsidRPr="006B755B">
              <w:t>0,44/2,31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Kertészet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8/57</w:t>
            </w:r>
          </w:p>
        </w:tc>
        <w:tc>
          <w:tcPr>
            <w:tcW w:w="767" w:type="pct"/>
          </w:tcPr>
          <w:p w:rsidR="004A0396" w:rsidRPr="006B755B" w:rsidRDefault="004A0396" w:rsidP="000B51B8">
            <w:pPr>
              <w:pStyle w:val="Normltblajobb"/>
            </w:pPr>
            <w:r w:rsidRPr="006B755B">
              <w:t>0/1,01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Bor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5/173</w:t>
            </w:r>
          </w:p>
        </w:tc>
        <w:tc>
          <w:tcPr>
            <w:tcW w:w="767" w:type="pct"/>
          </w:tcPr>
          <w:p w:rsidR="004A0396" w:rsidRPr="006B755B" w:rsidRDefault="004A0396" w:rsidP="000B51B8">
            <w:pPr>
              <w:pStyle w:val="Normltblajobb"/>
            </w:pPr>
            <w:r w:rsidRPr="006B755B">
              <w:t>0,26/26,26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Monokultúra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5/25</w:t>
            </w:r>
          </w:p>
        </w:tc>
        <w:tc>
          <w:tcPr>
            <w:tcW w:w="767" w:type="pct"/>
          </w:tcPr>
          <w:p w:rsidR="004A0396" w:rsidRPr="006B755B" w:rsidRDefault="004A0396" w:rsidP="000B51B8">
            <w:pPr>
              <w:pStyle w:val="Normltblajobb"/>
            </w:pPr>
            <w:r w:rsidRPr="006B755B">
              <w:t>0</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Tejtermelés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2/28</w:t>
            </w:r>
          </w:p>
        </w:tc>
        <w:tc>
          <w:tcPr>
            <w:tcW w:w="767" w:type="pct"/>
          </w:tcPr>
          <w:p w:rsidR="004A0396" w:rsidRPr="006B755B" w:rsidRDefault="004A0396" w:rsidP="000B51B8">
            <w:pPr>
              <w:pStyle w:val="Normltblajobb"/>
            </w:pPr>
            <w:r w:rsidRPr="006B755B">
              <w:t>0/0,03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Legeltetéses állattartás (kivéve tejtermelés)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6/59</w:t>
            </w:r>
          </w:p>
        </w:tc>
        <w:tc>
          <w:tcPr>
            <w:tcW w:w="767" w:type="pct"/>
          </w:tcPr>
          <w:p w:rsidR="004A0396" w:rsidRPr="006B755B" w:rsidRDefault="004A0396" w:rsidP="000B51B8">
            <w:pPr>
              <w:pStyle w:val="Normltblajobb"/>
            </w:pPr>
            <w:r w:rsidRPr="006B755B">
              <w:t>0/0,36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Sertés és/vagy baromfi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2/34</w:t>
            </w:r>
          </w:p>
        </w:tc>
        <w:tc>
          <w:tcPr>
            <w:tcW w:w="767" w:type="pct"/>
          </w:tcPr>
          <w:p w:rsidR="004A0396" w:rsidRPr="006B755B" w:rsidRDefault="004A0396" w:rsidP="000B51B8">
            <w:pPr>
              <w:pStyle w:val="Normltblajobb"/>
            </w:pPr>
            <w:r w:rsidRPr="006B755B">
              <w:t>0/1,55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Vegyes (növénytermesztés + állattartás) – bio/egyéb</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15/170</w:t>
            </w:r>
          </w:p>
        </w:tc>
        <w:tc>
          <w:tcPr>
            <w:tcW w:w="767" w:type="pct"/>
            <w:shd w:val="clear" w:color="auto" w:fill="auto"/>
          </w:tcPr>
          <w:p w:rsidR="004A0396" w:rsidRPr="006B755B" w:rsidRDefault="004A0396" w:rsidP="000B51B8">
            <w:pPr>
              <w:pStyle w:val="Normltblajobb"/>
            </w:pPr>
            <w:r w:rsidRPr="006B755B">
              <w:t>1,5/3,19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Nem élelmiszer</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30</w:t>
            </w:r>
          </w:p>
        </w:tc>
        <w:tc>
          <w:tcPr>
            <w:tcW w:w="767" w:type="pct"/>
          </w:tcPr>
          <w:p w:rsidR="004A0396" w:rsidRPr="006B755B" w:rsidRDefault="004A0396" w:rsidP="000B51B8">
            <w:pPr>
              <w:pStyle w:val="Normltblajobb"/>
            </w:pPr>
            <w:r w:rsidRPr="006B755B">
              <w:t>0/4,28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Erdőgazdálkodás</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0</w:t>
            </w:r>
          </w:p>
        </w:tc>
        <w:tc>
          <w:tcPr>
            <w:tcW w:w="767" w:type="pct"/>
          </w:tcPr>
          <w:p w:rsidR="004A0396" w:rsidRPr="006B755B" w:rsidRDefault="004A0396" w:rsidP="000B51B8">
            <w:pPr>
              <w:pStyle w:val="Normltblajobb"/>
            </w:pPr>
            <w:r w:rsidRPr="006B755B">
              <w:t>0</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Élelmiszeripar</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100</w:t>
            </w:r>
          </w:p>
        </w:tc>
        <w:tc>
          <w:tcPr>
            <w:tcW w:w="767" w:type="pct"/>
          </w:tcPr>
          <w:p w:rsidR="004A0396" w:rsidRPr="006B755B" w:rsidRDefault="004A0396" w:rsidP="000B51B8">
            <w:pPr>
              <w:pStyle w:val="Normltblajobb"/>
            </w:pPr>
            <w:r w:rsidRPr="006B755B">
              <w:t>297,79 millió</w:t>
            </w: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A tevékenység típusa</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p>
        </w:tc>
        <w:tc>
          <w:tcPr>
            <w:tcW w:w="767" w:type="pct"/>
          </w:tcPr>
          <w:p w:rsidR="004A0396" w:rsidRPr="006B755B" w:rsidRDefault="004A0396" w:rsidP="000B51B8">
            <w:pPr>
              <w:pStyle w:val="Normltblajobb"/>
            </w:pP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Feldolgozás/értékesítés</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500/223</w:t>
            </w:r>
          </w:p>
        </w:tc>
        <w:tc>
          <w:tcPr>
            <w:tcW w:w="767" w:type="pct"/>
          </w:tcPr>
          <w:p w:rsidR="004A0396" w:rsidRPr="006B755B" w:rsidRDefault="004A0396" w:rsidP="000B51B8">
            <w:pPr>
              <w:pStyle w:val="Normltblajobb"/>
            </w:pPr>
            <w:r w:rsidRPr="006B755B">
              <w:t>358,33 millió</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Fejlesztés</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100</w:t>
            </w:r>
          </w:p>
        </w:tc>
        <w:tc>
          <w:tcPr>
            <w:tcW w:w="767" w:type="pct"/>
          </w:tcPr>
          <w:p w:rsidR="004A0396" w:rsidRPr="006B755B" w:rsidRDefault="004A0396" w:rsidP="000B51B8">
            <w:pPr>
              <w:pStyle w:val="Normltblajobb"/>
            </w:pPr>
            <w:r w:rsidRPr="006B755B">
              <w:t>4,99 millió</w:t>
            </w:r>
          </w:p>
        </w:tc>
      </w:tr>
      <w:tr w:rsidR="004A0396" w:rsidRPr="00FE2E5E" w:rsidTr="00011C3B">
        <w:trPr>
          <w:cantSplit/>
          <w:jc w:val="center"/>
        </w:trPr>
        <w:tc>
          <w:tcPr>
            <w:tcW w:w="322" w:type="pct"/>
            <w:vMerge w:val="restart"/>
          </w:tcPr>
          <w:p w:rsidR="004A0396" w:rsidRPr="00FE2E5E" w:rsidRDefault="004A0396" w:rsidP="00011C3B">
            <w:pPr>
              <w:spacing w:after="0"/>
              <w:rPr>
                <w:rFonts w:cs="Times New Roman"/>
                <w:sz w:val="20"/>
                <w:szCs w:val="20"/>
              </w:rPr>
            </w:pPr>
            <w:r w:rsidRPr="00FE2E5E">
              <w:rPr>
                <w:rFonts w:cs="Times New Roman"/>
                <w:sz w:val="20"/>
                <w:szCs w:val="20"/>
              </w:rPr>
              <w:t>R</w:t>
            </w:r>
          </w:p>
        </w:tc>
        <w:tc>
          <w:tcPr>
            <w:tcW w:w="3144" w:type="pct"/>
            <w:shd w:val="clear" w:color="auto" w:fill="auto"/>
          </w:tcPr>
          <w:p w:rsidR="004A0396" w:rsidRPr="00FE2E5E" w:rsidRDefault="004A0396" w:rsidP="007B5AEF">
            <w:pPr>
              <w:pStyle w:val="Tbla-bal"/>
            </w:pPr>
            <w:r w:rsidRPr="00FE2E5E">
              <w:t>Az új termékeket vagy technológiákat bevezető vállalkozások száma</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r w:rsidRPr="00FE2E5E">
              <w:rPr>
                <w:rFonts w:cs="Times New Roman"/>
                <w:sz w:val="20"/>
                <w:szCs w:val="20"/>
                <w:lang w:val="en-GB"/>
              </w:rPr>
              <w:t>3</w:t>
            </w:r>
            <w:r>
              <w:rPr>
                <w:rFonts w:cs="Times New Roman"/>
                <w:sz w:val="20"/>
                <w:szCs w:val="20"/>
                <w:lang w:val="en-GB"/>
              </w:rPr>
              <w:t xml:space="preserve"> </w:t>
            </w:r>
            <w:r w:rsidRPr="00FE2E5E">
              <w:rPr>
                <w:rFonts w:cs="Times New Roman"/>
                <w:sz w:val="20"/>
                <w:szCs w:val="20"/>
                <w:lang w:val="en-GB"/>
              </w:rPr>
              <w:t>600 db </w:t>
            </w:r>
          </w:p>
        </w:tc>
        <w:tc>
          <w:tcPr>
            <w:tcW w:w="767" w:type="pct"/>
          </w:tcPr>
          <w:p w:rsidR="004A0396" w:rsidRPr="008661FE" w:rsidRDefault="004A0396" w:rsidP="000B51B8">
            <w:pPr>
              <w:pStyle w:val="Normltblajobb"/>
              <w:rPr>
                <w:highlight w:val="yellow"/>
              </w:rPr>
            </w:pPr>
            <w:r w:rsidRPr="002454D1">
              <w:t>255</w:t>
            </w: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Intézkedés</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p>
        </w:tc>
        <w:tc>
          <w:tcPr>
            <w:tcW w:w="767" w:type="pct"/>
          </w:tcPr>
          <w:p w:rsidR="004A0396" w:rsidRPr="008661FE" w:rsidRDefault="004A0396" w:rsidP="000B51B8">
            <w:pPr>
              <w:pStyle w:val="Normltblajobb"/>
              <w:rPr>
                <w:highlight w:val="yellow"/>
              </w:rPr>
            </w:pP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A birtok/vállalkozás jellege:</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p>
        </w:tc>
        <w:tc>
          <w:tcPr>
            <w:tcW w:w="767" w:type="pct"/>
          </w:tcPr>
          <w:p w:rsidR="004A0396" w:rsidRPr="008661FE" w:rsidRDefault="004A0396" w:rsidP="000B51B8">
            <w:pPr>
              <w:pStyle w:val="Normltblajobb"/>
              <w:rPr>
                <w:highlight w:val="yellow"/>
              </w:rPr>
            </w:pP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Mezőgazdasági üzem</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3</w:t>
            </w:r>
            <w:r>
              <w:rPr>
                <w:rFonts w:cs="Times New Roman"/>
                <w:sz w:val="20"/>
                <w:szCs w:val="20"/>
                <w:lang w:val="en-GB"/>
              </w:rPr>
              <w:t xml:space="preserve"> </w:t>
            </w:r>
            <w:r w:rsidRPr="00FE2E5E">
              <w:rPr>
                <w:rFonts w:cs="Times New Roman"/>
                <w:sz w:val="20"/>
                <w:szCs w:val="20"/>
                <w:lang w:val="en-GB"/>
              </w:rPr>
              <w:t>250</w:t>
            </w:r>
          </w:p>
        </w:tc>
        <w:tc>
          <w:tcPr>
            <w:tcW w:w="767" w:type="pct"/>
          </w:tcPr>
          <w:p w:rsidR="004A0396" w:rsidRPr="008661FE" w:rsidRDefault="004A0396" w:rsidP="000B51B8">
            <w:pPr>
              <w:pStyle w:val="Normltblajobb"/>
              <w:rPr>
                <w:highlight w:val="yellow"/>
              </w:rPr>
            </w:pPr>
            <w:r w:rsidRPr="002454D1">
              <w:t>173</w:t>
            </w: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Erdőgazdálkodási birtok</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150</w:t>
            </w:r>
          </w:p>
        </w:tc>
        <w:tc>
          <w:tcPr>
            <w:tcW w:w="767" w:type="pct"/>
          </w:tcPr>
          <w:p w:rsidR="004A0396" w:rsidRPr="008661FE" w:rsidRDefault="004A0396" w:rsidP="000B51B8">
            <w:pPr>
              <w:pStyle w:val="Normltblajobb"/>
              <w:rPr>
                <w:highlight w:val="yellow"/>
              </w:rPr>
            </w:pPr>
            <w:r w:rsidRPr="002454D1">
              <w:t>33</w:t>
            </w:r>
          </w:p>
        </w:tc>
      </w:tr>
      <w:tr w:rsidR="004A0396" w:rsidRPr="002454D1"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 xml:space="preserve">Élelmiszeripari vállalkozás </w:t>
            </w:r>
          </w:p>
        </w:tc>
        <w:tc>
          <w:tcPr>
            <w:tcW w:w="767" w:type="pct"/>
            <w:shd w:val="clear" w:color="auto" w:fill="auto"/>
            <w:vAlign w:val="bottom"/>
          </w:tcPr>
          <w:p w:rsidR="004A0396" w:rsidRPr="00FE2E5E" w:rsidRDefault="004A0396" w:rsidP="004A0396">
            <w:pPr>
              <w:spacing w:after="0"/>
              <w:jc w:val="right"/>
              <w:rPr>
                <w:rFonts w:cs="Times New Roman"/>
                <w:sz w:val="20"/>
                <w:szCs w:val="20"/>
                <w:lang w:val="en-GB"/>
              </w:rPr>
            </w:pPr>
            <w:r w:rsidRPr="00FE2E5E">
              <w:rPr>
                <w:rFonts w:cs="Times New Roman"/>
                <w:sz w:val="20"/>
                <w:szCs w:val="20"/>
                <w:lang w:val="en-GB"/>
              </w:rPr>
              <w:t>200</w:t>
            </w:r>
          </w:p>
        </w:tc>
        <w:tc>
          <w:tcPr>
            <w:tcW w:w="767" w:type="pct"/>
          </w:tcPr>
          <w:p w:rsidR="004A0396" w:rsidRPr="002454D1" w:rsidRDefault="004A0396" w:rsidP="000B51B8">
            <w:pPr>
              <w:pStyle w:val="Normltblajobb"/>
            </w:pPr>
            <w:r w:rsidRPr="002454D1">
              <w:t>48</w:t>
            </w: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A termelés átcsoportosításának jellege:</w:t>
            </w:r>
            <w:r w:rsidRPr="00FE2E5E">
              <w:rPr>
                <w:lang w:val="en-GB"/>
              </w:rPr>
              <w:t xml:space="preserve"> </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p>
        </w:tc>
        <w:tc>
          <w:tcPr>
            <w:tcW w:w="767" w:type="pct"/>
          </w:tcPr>
          <w:p w:rsidR="004A0396" w:rsidRPr="008661FE" w:rsidRDefault="004A0396" w:rsidP="000B51B8">
            <w:pPr>
              <w:pStyle w:val="Normltblajobb"/>
              <w:rPr>
                <w:highlight w:val="yellow"/>
              </w:rPr>
            </w:pPr>
          </w:p>
        </w:tc>
      </w:tr>
      <w:tr w:rsidR="004A0396" w:rsidRPr="002454D1"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új technika</w:t>
            </w:r>
          </w:p>
        </w:tc>
        <w:tc>
          <w:tcPr>
            <w:tcW w:w="767" w:type="pct"/>
            <w:shd w:val="clear" w:color="auto" w:fill="auto"/>
            <w:vAlign w:val="bottom"/>
          </w:tcPr>
          <w:p w:rsidR="004A0396" w:rsidRPr="00FE2E5E" w:rsidRDefault="00D97E2E" w:rsidP="00011C3B">
            <w:pPr>
              <w:spacing w:after="0"/>
              <w:jc w:val="right"/>
              <w:rPr>
                <w:rFonts w:cs="Times New Roman"/>
                <w:sz w:val="20"/>
                <w:szCs w:val="20"/>
                <w:lang w:val="en-GB"/>
              </w:rPr>
            </w:pPr>
            <w:r>
              <w:rPr>
                <w:rFonts w:cs="Times New Roman"/>
                <w:sz w:val="20"/>
                <w:szCs w:val="20"/>
                <w:lang w:val="en-GB"/>
              </w:rPr>
              <w:t>2800</w:t>
            </w:r>
          </w:p>
        </w:tc>
        <w:tc>
          <w:tcPr>
            <w:tcW w:w="767" w:type="pct"/>
            <w:shd w:val="clear" w:color="auto" w:fill="auto"/>
          </w:tcPr>
          <w:p w:rsidR="004A0396" w:rsidRPr="002454D1" w:rsidRDefault="004A0396" w:rsidP="000B51B8">
            <w:pPr>
              <w:pStyle w:val="Normltblajobb"/>
            </w:pPr>
            <w:r w:rsidRPr="002454D1">
              <w:t>230</w:t>
            </w:r>
          </w:p>
        </w:tc>
      </w:tr>
      <w:tr w:rsidR="004A0396" w:rsidRPr="002454D1"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új termék</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r w:rsidRPr="00FE2E5E">
              <w:rPr>
                <w:rFonts w:cs="Times New Roman"/>
                <w:sz w:val="20"/>
                <w:szCs w:val="20"/>
                <w:lang w:val="en-GB"/>
              </w:rPr>
              <w:t> </w:t>
            </w:r>
            <w:r w:rsidR="00D97E2E">
              <w:rPr>
                <w:rFonts w:cs="Times New Roman"/>
                <w:sz w:val="20"/>
                <w:szCs w:val="20"/>
                <w:lang w:val="en-GB"/>
              </w:rPr>
              <w:t>800</w:t>
            </w:r>
          </w:p>
        </w:tc>
        <w:tc>
          <w:tcPr>
            <w:tcW w:w="767" w:type="pct"/>
            <w:shd w:val="clear" w:color="auto" w:fill="auto"/>
          </w:tcPr>
          <w:p w:rsidR="004A0396" w:rsidRPr="002454D1" w:rsidRDefault="004A0396" w:rsidP="000B51B8">
            <w:pPr>
              <w:pStyle w:val="Normltblajobb"/>
            </w:pPr>
            <w:r w:rsidRPr="002454D1">
              <w:t>24</w:t>
            </w: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A bruttó hozzáadott érték növekedése a támogatott birtokok/vállalkozások esetén (euró)</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r>
              <w:rPr>
                <w:rFonts w:cs="Times New Roman"/>
                <w:sz w:val="20"/>
                <w:szCs w:val="20"/>
                <w:lang w:val="en-GB"/>
              </w:rPr>
              <w:t>830 millió</w:t>
            </w:r>
          </w:p>
        </w:tc>
        <w:tc>
          <w:tcPr>
            <w:tcW w:w="767" w:type="pct"/>
          </w:tcPr>
          <w:p w:rsidR="004A0396" w:rsidRPr="006B755B" w:rsidRDefault="004A0396" w:rsidP="000B51B8">
            <w:pPr>
              <w:pStyle w:val="Normltblajobb"/>
            </w:pPr>
          </w:p>
          <w:p w:rsidR="004A0396" w:rsidRPr="006B755B" w:rsidRDefault="004A0396" w:rsidP="000B51B8">
            <w:pPr>
              <w:pStyle w:val="Normltblajobb"/>
            </w:pPr>
            <w:r w:rsidRPr="006B755B">
              <w:t>863,574 millió</w:t>
            </w: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Intézkedés</w:t>
            </w:r>
          </w:p>
        </w:tc>
        <w:tc>
          <w:tcPr>
            <w:tcW w:w="767" w:type="pct"/>
            <w:shd w:val="clear" w:color="auto" w:fill="auto"/>
            <w:vAlign w:val="bottom"/>
          </w:tcPr>
          <w:p w:rsidR="004A0396" w:rsidRPr="00FE2E5E" w:rsidRDefault="004A0396" w:rsidP="00011C3B">
            <w:pPr>
              <w:spacing w:after="0"/>
              <w:jc w:val="right"/>
              <w:rPr>
                <w:rFonts w:cs="Times New Roman"/>
                <w:sz w:val="20"/>
                <w:szCs w:val="20"/>
                <w:lang w:val="en-GB"/>
              </w:rPr>
            </w:pPr>
          </w:p>
        </w:tc>
        <w:tc>
          <w:tcPr>
            <w:tcW w:w="767" w:type="pct"/>
          </w:tcPr>
          <w:p w:rsidR="004A0396" w:rsidRPr="006B755B" w:rsidRDefault="004A0396" w:rsidP="00011C3B">
            <w:pPr>
              <w:spacing w:after="0"/>
              <w:jc w:val="right"/>
              <w:rPr>
                <w:rFonts w:cs="Times New Roman"/>
                <w:sz w:val="20"/>
                <w:szCs w:val="20"/>
              </w:rPr>
            </w:pPr>
          </w:p>
        </w:tc>
      </w:tr>
      <w:tr w:rsidR="004A0396" w:rsidRPr="00FE2E5E" w:rsidTr="00011C3B">
        <w:trPr>
          <w:cantSplit/>
          <w:jc w:val="center"/>
        </w:trPr>
        <w:tc>
          <w:tcPr>
            <w:tcW w:w="322" w:type="pct"/>
            <w:vMerge/>
          </w:tcPr>
          <w:p w:rsidR="004A0396" w:rsidRPr="00FE2E5E" w:rsidRDefault="004A0396" w:rsidP="00011C3B">
            <w:pPr>
              <w:spacing w:after="0"/>
              <w:rPr>
                <w:rFonts w:cs="Times New Roman"/>
                <w:sz w:val="20"/>
                <w:szCs w:val="20"/>
              </w:rPr>
            </w:pPr>
          </w:p>
        </w:tc>
        <w:tc>
          <w:tcPr>
            <w:tcW w:w="3144" w:type="pct"/>
            <w:shd w:val="clear" w:color="auto" w:fill="auto"/>
          </w:tcPr>
          <w:p w:rsidR="004A0396" w:rsidRPr="00FE2E5E" w:rsidRDefault="004A0396" w:rsidP="007B5AEF">
            <w:pPr>
              <w:pStyle w:val="Tbla-bal"/>
            </w:pPr>
            <w:r w:rsidRPr="00FE2E5E">
              <w:t>Ágazat típusa:</w:t>
            </w:r>
          </w:p>
        </w:tc>
        <w:tc>
          <w:tcPr>
            <w:tcW w:w="767" w:type="pct"/>
            <w:shd w:val="clear" w:color="auto" w:fill="auto"/>
          </w:tcPr>
          <w:p w:rsidR="004A0396" w:rsidRPr="00FE2E5E" w:rsidRDefault="004A0396" w:rsidP="00011C3B">
            <w:pPr>
              <w:spacing w:after="0"/>
              <w:jc w:val="right"/>
              <w:rPr>
                <w:rFonts w:cs="Times New Roman"/>
                <w:sz w:val="20"/>
                <w:szCs w:val="20"/>
                <w:lang w:val="en-GB"/>
              </w:rPr>
            </w:pPr>
            <w:r w:rsidRPr="00FE2E5E">
              <w:rPr>
                <w:rFonts w:cs="Times New Roman"/>
                <w:sz w:val="20"/>
                <w:szCs w:val="20"/>
                <w:lang w:val="en-GB"/>
              </w:rPr>
              <w:t> </w:t>
            </w:r>
          </w:p>
        </w:tc>
        <w:tc>
          <w:tcPr>
            <w:tcW w:w="767" w:type="pct"/>
          </w:tcPr>
          <w:p w:rsidR="004A0396" w:rsidRPr="006B755B" w:rsidRDefault="004A0396" w:rsidP="00011C3B">
            <w:pPr>
              <w:spacing w:after="0"/>
              <w:jc w:val="right"/>
              <w:rPr>
                <w:rFonts w:cs="Times New Roman"/>
                <w:sz w:val="20"/>
                <w:szCs w:val="20"/>
                <w:lang w:val="en-GB"/>
              </w:rPr>
            </w:pPr>
          </w:p>
        </w:tc>
      </w:tr>
      <w:tr w:rsidR="004A0396" w:rsidRPr="00FE2E5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FE2E5E" w:rsidRDefault="004A0396" w:rsidP="000B51B8">
            <w:pPr>
              <w:pStyle w:val="Normltblabal3pckkel"/>
            </w:pPr>
            <w:r w:rsidRPr="00FE2E5E">
              <w:t>mezőgazdaság</w:t>
            </w:r>
          </w:p>
        </w:tc>
        <w:tc>
          <w:tcPr>
            <w:tcW w:w="767" w:type="pct"/>
            <w:shd w:val="clear" w:color="auto" w:fill="auto"/>
          </w:tcPr>
          <w:p w:rsidR="004A0396" w:rsidRPr="00FE2E5E" w:rsidRDefault="004A0396" w:rsidP="00011C3B">
            <w:pPr>
              <w:spacing w:after="0"/>
              <w:jc w:val="right"/>
              <w:rPr>
                <w:rFonts w:cs="Times New Roman"/>
                <w:sz w:val="20"/>
                <w:szCs w:val="20"/>
                <w:lang w:val="en-GB"/>
              </w:rPr>
            </w:pPr>
            <w:r>
              <w:rPr>
                <w:rFonts w:cs="Times New Roman"/>
                <w:sz w:val="20"/>
                <w:szCs w:val="20"/>
                <w:lang w:val="en-GB"/>
              </w:rPr>
              <w:t xml:space="preserve">180 </w:t>
            </w:r>
            <w:r w:rsidRPr="00FE2E5E">
              <w:rPr>
                <w:rFonts w:cs="Times New Roman"/>
                <w:sz w:val="20"/>
                <w:szCs w:val="20"/>
                <w:lang w:val="en-GB"/>
              </w:rPr>
              <w:t>millió</w:t>
            </w:r>
          </w:p>
        </w:tc>
        <w:tc>
          <w:tcPr>
            <w:tcW w:w="767" w:type="pct"/>
          </w:tcPr>
          <w:p w:rsidR="004A0396" w:rsidRPr="006B755B" w:rsidRDefault="004A0396" w:rsidP="000B51B8">
            <w:pPr>
              <w:pStyle w:val="Normltblajobb"/>
            </w:pPr>
            <w:r w:rsidRPr="006B755B">
              <w:t>434,06 millió</w:t>
            </w:r>
          </w:p>
        </w:tc>
      </w:tr>
      <w:tr w:rsidR="004A0396" w:rsidRPr="00E42E7E" w:rsidTr="00011C3B">
        <w:trPr>
          <w:cantSplit/>
          <w:jc w:val="center"/>
        </w:trPr>
        <w:tc>
          <w:tcPr>
            <w:tcW w:w="322" w:type="pct"/>
            <w:vMerge/>
          </w:tcPr>
          <w:p w:rsidR="004A0396" w:rsidRPr="00FE2E5E" w:rsidRDefault="004A0396" w:rsidP="00011C3B">
            <w:pPr>
              <w:spacing w:after="0"/>
              <w:ind w:left="570"/>
              <w:rPr>
                <w:rFonts w:cs="Times New Roman"/>
                <w:sz w:val="20"/>
                <w:szCs w:val="20"/>
              </w:rPr>
            </w:pPr>
          </w:p>
        </w:tc>
        <w:tc>
          <w:tcPr>
            <w:tcW w:w="3144" w:type="pct"/>
            <w:shd w:val="clear" w:color="auto" w:fill="auto"/>
          </w:tcPr>
          <w:p w:rsidR="004A0396" w:rsidRPr="00E42E7E" w:rsidRDefault="004A0396" w:rsidP="000B51B8">
            <w:pPr>
              <w:pStyle w:val="Normltblabal3pckkel"/>
            </w:pPr>
            <w:r w:rsidRPr="00E42E7E">
              <w:t>élelmiszeripar</w:t>
            </w:r>
          </w:p>
        </w:tc>
        <w:tc>
          <w:tcPr>
            <w:tcW w:w="767" w:type="pct"/>
            <w:shd w:val="clear" w:color="auto" w:fill="auto"/>
          </w:tcPr>
          <w:p w:rsidR="004A0396" w:rsidRPr="00E42E7E" w:rsidRDefault="004A0396" w:rsidP="00011C3B">
            <w:pPr>
              <w:spacing w:after="0"/>
              <w:jc w:val="right"/>
              <w:rPr>
                <w:rFonts w:cs="Times New Roman"/>
                <w:sz w:val="20"/>
                <w:szCs w:val="20"/>
                <w:lang w:val="en-GB"/>
              </w:rPr>
            </w:pPr>
            <w:r w:rsidRPr="00E42E7E">
              <w:rPr>
                <w:rFonts w:cs="Times New Roman"/>
                <w:sz w:val="20"/>
                <w:szCs w:val="20"/>
                <w:lang w:val="en-GB"/>
              </w:rPr>
              <w:t>650 millió </w:t>
            </w:r>
          </w:p>
        </w:tc>
        <w:tc>
          <w:tcPr>
            <w:tcW w:w="767" w:type="pct"/>
          </w:tcPr>
          <w:p w:rsidR="004A0396" w:rsidRPr="00E42E7E" w:rsidRDefault="004A0396" w:rsidP="000B51B8">
            <w:pPr>
              <w:pStyle w:val="Normltblajobb"/>
            </w:pPr>
            <w:r w:rsidRPr="00E42E7E">
              <w:t>257,438 millió</w:t>
            </w:r>
          </w:p>
        </w:tc>
      </w:tr>
      <w:tr w:rsidR="004A0396" w:rsidRPr="00E42E7E" w:rsidTr="00011C3B">
        <w:trPr>
          <w:cantSplit/>
          <w:jc w:val="center"/>
        </w:trPr>
        <w:tc>
          <w:tcPr>
            <w:tcW w:w="322" w:type="pct"/>
            <w:vMerge/>
          </w:tcPr>
          <w:p w:rsidR="004A0396" w:rsidRPr="00E42E7E" w:rsidRDefault="004A0396" w:rsidP="00011C3B">
            <w:pPr>
              <w:spacing w:after="0"/>
              <w:ind w:left="570"/>
              <w:rPr>
                <w:rFonts w:cs="Times New Roman"/>
                <w:sz w:val="20"/>
                <w:szCs w:val="20"/>
              </w:rPr>
            </w:pPr>
          </w:p>
        </w:tc>
        <w:tc>
          <w:tcPr>
            <w:tcW w:w="3144" w:type="pct"/>
            <w:shd w:val="clear" w:color="auto" w:fill="auto"/>
          </w:tcPr>
          <w:p w:rsidR="004A0396" w:rsidRPr="00E42E7E" w:rsidRDefault="004A0396" w:rsidP="000B51B8">
            <w:pPr>
              <w:pStyle w:val="Normltblabal3pckkel"/>
            </w:pPr>
            <w:r w:rsidRPr="00E42E7E">
              <w:t>erdőgazdálkodás</w:t>
            </w:r>
          </w:p>
        </w:tc>
        <w:tc>
          <w:tcPr>
            <w:tcW w:w="767" w:type="pct"/>
            <w:shd w:val="clear" w:color="auto" w:fill="auto"/>
          </w:tcPr>
          <w:p w:rsidR="004A0396" w:rsidRPr="00E42E7E" w:rsidRDefault="004A0396" w:rsidP="00011C3B">
            <w:pPr>
              <w:spacing w:after="0"/>
              <w:jc w:val="right"/>
              <w:rPr>
                <w:rFonts w:cs="Times New Roman"/>
                <w:sz w:val="20"/>
                <w:szCs w:val="20"/>
                <w:lang w:val="en-GB"/>
              </w:rPr>
            </w:pPr>
            <w:r w:rsidRPr="00E42E7E">
              <w:rPr>
                <w:rFonts w:cs="Times New Roman"/>
                <w:sz w:val="20"/>
                <w:szCs w:val="20"/>
                <w:lang w:val="en-GB"/>
              </w:rPr>
              <w:t>180</w:t>
            </w:r>
          </w:p>
        </w:tc>
        <w:tc>
          <w:tcPr>
            <w:tcW w:w="767" w:type="pct"/>
          </w:tcPr>
          <w:p w:rsidR="004A0396" w:rsidRPr="00E42E7E" w:rsidRDefault="004A0396" w:rsidP="000B51B8">
            <w:pPr>
              <w:pStyle w:val="Normltblajobb"/>
            </w:pPr>
            <w:r w:rsidRPr="00E42E7E">
              <w:t>172,130 millió</w:t>
            </w:r>
          </w:p>
        </w:tc>
      </w:tr>
      <w:tr w:rsidR="004A0396" w:rsidRPr="00E42E7E" w:rsidTr="00011C3B">
        <w:trPr>
          <w:cantSplit/>
          <w:jc w:val="center"/>
        </w:trPr>
        <w:tc>
          <w:tcPr>
            <w:tcW w:w="322" w:type="pct"/>
            <w:vMerge w:val="restart"/>
          </w:tcPr>
          <w:p w:rsidR="004A0396" w:rsidRPr="00E42E7E" w:rsidRDefault="004A0396" w:rsidP="00011C3B">
            <w:pPr>
              <w:spacing w:after="0"/>
              <w:rPr>
                <w:rFonts w:cs="Times New Roman"/>
                <w:sz w:val="20"/>
                <w:szCs w:val="20"/>
              </w:rPr>
            </w:pPr>
            <w:r w:rsidRPr="00E42E7E">
              <w:rPr>
                <w:rFonts w:cs="Times New Roman"/>
                <w:sz w:val="20"/>
                <w:szCs w:val="20"/>
              </w:rPr>
              <w:t>I</w:t>
            </w:r>
          </w:p>
        </w:tc>
        <w:tc>
          <w:tcPr>
            <w:tcW w:w="3144" w:type="pct"/>
            <w:shd w:val="clear" w:color="auto" w:fill="auto"/>
          </w:tcPr>
          <w:p w:rsidR="004A0396" w:rsidRPr="00E42E7E" w:rsidRDefault="004A0396" w:rsidP="00011C3B">
            <w:pPr>
              <w:spacing w:after="0"/>
              <w:ind w:left="244"/>
              <w:rPr>
                <w:rFonts w:cs="Times New Roman"/>
                <w:sz w:val="20"/>
                <w:szCs w:val="20"/>
              </w:rPr>
            </w:pPr>
            <w:r w:rsidRPr="00E42E7E">
              <w:rPr>
                <w:rFonts w:cs="Times New Roman"/>
                <w:sz w:val="20"/>
                <w:szCs w:val="20"/>
              </w:rPr>
              <w:t>Nettó hozzáadott érték PPS-ben kifejezve (euró)</w:t>
            </w:r>
          </w:p>
        </w:tc>
        <w:tc>
          <w:tcPr>
            <w:tcW w:w="767" w:type="pct"/>
            <w:shd w:val="clear" w:color="auto" w:fill="auto"/>
          </w:tcPr>
          <w:p w:rsidR="004A0396" w:rsidRPr="00E42E7E" w:rsidRDefault="004A0396" w:rsidP="00011C3B">
            <w:pPr>
              <w:spacing w:after="0"/>
              <w:jc w:val="right"/>
              <w:rPr>
                <w:rFonts w:cs="Times New Roman"/>
                <w:sz w:val="20"/>
                <w:szCs w:val="20"/>
                <w:lang w:val="en-GB"/>
              </w:rPr>
            </w:pPr>
            <w:r w:rsidRPr="00E42E7E">
              <w:rPr>
                <w:rFonts w:cs="Times New Roman"/>
                <w:sz w:val="20"/>
                <w:szCs w:val="20"/>
                <w:lang w:val="en-GB"/>
              </w:rPr>
              <w:t xml:space="preserve">488 millió </w:t>
            </w:r>
          </w:p>
        </w:tc>
        <w:tc>
          <w:tcPr>
            <w:tcW w:w="767" w:type="pct"/>
          </w:tcPr>
          <w:p w:rsidR="004A0396" w:rsidRPr="00E42E7E" w:rsidRDefault="004A0396" w:rsidP="000B51B8">
            <w:pPr>
              <w:pStyle w:val="Normltblajobb"/>
            </w:pPr>
            <w:r w:rsidRPr="00E42E7E">
              <w:t>NA</w:t>
            </w:r>
          </w:p>
        </w:tc>
      </w:tr>
      <w:tr w:rsidR="004A0396" w:rsidRPr="00E42E7E" w:rsidTr="00011C3B">
        <w:trPr>
          <w:cantSplit/>
          <w:jc w:val="center"/>
        </w:trPr>
        <w:tc>
          <w:tcPr>
            <w:tcW w:w="322" w:type="pct"/>
            <w:vMerge/>
          </w:tcPr>
          <w:p w:rsidR="004A0396" w:rsidRPr="00E42E7E" w:rsidRDefault="004A0396" w:rsidP="00011C3B">
            <w:pPr>
              <w:spacing w:after="0"/>
              <w:rPr>
                <w:rFonts w:cs="Times New Roman"/>
                <w:sz w:val="20"/>
                <w:szCs w:val="20"/>
              </w:rPr>
            </w:pPr>
          </w:p>
        </w:tc>
        <w:tc>
          <w:tcPr>
            <w:tcW w:w="3144" w:type="pct"/>
            <w:shd w:val="clear" w:color="auto" w:fill="auto"/>
          </w:tcPr>
          <w:p w:rsidR="004A0396" w:rsidRPr="00E42E7E" w:rsidRDefault="004A0396" w:rsidP="00011C3B">
            <w:pPr>
              <w:spacing w:after="0"/>
              <w:ind w:left="244"/>
              <w:rPr>
                <w:rFonts w:cs="Times New Roman"/>
                <w:sz w:val="20"/>
                <w:szCs w:val="20"/>
              </w:rPr>
            </w:pPr>
            <w:r w:rsidRPr="00E42E7E">
              <w:rPr>
                <w:rFonts w:cs="Times New Roman"/>
                <w:sz w:val="20"/>
                <w:szCs w:val="20"/>
              </w:rPr>
              <w:t>A bruttó hozzáadott érték változása teljes munkaidő egyenértékhez viszonyítva (euró)</w:t>
            </w:r>
          </w:p>
        </w:tc>
        <w:tc>
          <w:tcPr>
            <w:tcW w:w="767" w:type="pct"/>
            <w:shd w:val="clear" w:color="auto" w:fill="auto"/>
          </w:tcPr>
          <w:p w:rsidR="004A0396" w:rsidRPr="00E42E7E" w:rsidRDefault="004A0396" w:rsidP="00011C3B">
            <w:pPr>
              <w:spacing w:after="0"/>
              <w:jc w:val="right"/>
              <w:rPr>
                <w:rFonts w:cs="Times New Roman"/>
                <w:sz w:val="20"/>
                <w:szCs w:val="20"/>
                <w:lang w:val="en-GB"/>
              </w:rPr>
            </w:pPr>
            <w:r w:rsidRPr="00E42E7E">
              <w:rPr>
                <w:rFonts w:cs="Times New Roman"/>
                <w:sz w:val="20"/>
                <w:szCs w:val="20"/>
                <w:lang w:val="en-GB"/>
              </w:rPr>
              <w:t>32.500</w:t>
            </w:r>
          </w:p>
        </w:tc>
        <w:tc>
          <w:tcPr>
            <w:tcW w:w="767" w:type="pct"/>
          </w:tcPr>
          <w:p w:rsidR="004A0396" w:rsidRPr="00E42E7E" w:rsidRDefault="004A0396" w:rsidP="000B51B8">
            <w:pPr>
              <w:pStyle w:val="Normltblajobb"/>
            </w:pPr>
            <w:r w:rsidRPr="00E42E7E">
              <w:t>NA</w:t>
            </w:r>
          </w:p>
        </w:tc>
      </w:tr>
    </w:tbl>
    <w:p w:rsidR="00011C3B" w:rsidRPr="00E42E7E" w:rsidRDefault="00011C3B" w:rsidP="00011C3B">
      <w:pPr>
        <w:pStyle w:val="Normlforrs"/>
      </w:pPr>
      <w:r w:rsidRPr="00E42E7E">
        <w:t>Forrás: MVH</w:t>
      </w:r>
    </w:p>
    <w:p w:rsidR="00011C3B" w:rsidRDefault="00011C3B" w:rsidP="000B51B8">
      <w:r w:rsidRPr="00E42E7E">
        <w:t>Az indikátoradatok alapján a támogatott vállalkozások száma elmarad az időarányosan várható adattól, ennek oka elsősorban az, hogy az egy vállalkozóra jutó támogatás összegét az intézkedésben magas összegben állapította meg a tárca, ezért aránylag</w:t>
      </w:r>
      <w:r w:rsidRPr="00604B6F">
        <w:t xml:space="preserve"> kevés vállalkozás kötötte le a források nagy részét. A tevékenység típusát vizsgálva megállapítható, hogy az innovatív, kimondottan fejlesztési tevékenység alacsony összegű.</w:t>
      </w:r>
    </w:p>
    <w:p w:rsidR="00E442DA" w:rsidRDefault="00E442DA" w:rsidP="00E442DA">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442DA"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Pr="00B67120">
        <w:rPr>
          <w:rFonts w:cs="Times New Roman"/>
        </w:rPr>
        <w:t>A BHÉ értékeket a társasági adóbevallással nem rendelkező kedvezményezettek esetén FAD</w:t>
      </w:r>
      <w:r>
        <w:rPr>
          <w:rFonts w:cs="Times New Roman"/>
        </w:rPr>
        <w:t xml:space="preserve">N mutatóra alapozott </w:t>
      </w:r>
      <w:r>
        <w:rPr>
          <w:rFonts w:cs="Times New Roman"/>
        </w:rPr>
        <w:lastRenderedPageBreak/>
        <w:t>becslésre alapozva számolta az AKI, a becslés során figyelembe vette</w:t>
      </w:r>
      <w:r w:rsidRPr="00B67120">
        <w:rPr>
          <w:rFonts w:cs="Times New Roman"/>
        </w:rPr>
        <w:t xml:space="preserve"> azok legjellemzőbb mezőgazdasági ágazatukat valamint méretüket.</w:t>
      </w:r>
    </w:p>
    <w:p w:rsidR="00E42E7E" w:rsidRDefault="00E442DA" w:rsidP="00E442DA">
      <w:pPr>
        <w:rPr>
          <w:rFonts w:eastAsia="Times New Roman"/>
        </w:rPr>
      </w:pPr>
      <w:r>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p>
    <w:p w:rsidR="00AB3376" w:rsidRPr="000E0FD3" w:rsidRDefault="00AB3376" w:rsidP="00E42E7E">
      <w:r w:rsidRPr="00AB3376">
        <w:t>Az R3 indikátor</w:t>
      </w:r>
      <w:r>
        <w:t xml:space="preserve"> (Új terméket és/vagy új technológiát bevezető gazdaságok száma)</w:t>
      </w:r>
      <w:r w:rsidRPr="00AB3376">
        <w:t xml:space="preserve"> meghatározása során a kedvezményezettek kötelező éves adatszolgáltatásából származó MVH adatait elemezte az indikátor felülvizsgálatot végző AKI. A felülvizsgálat során megállapításra került, hogy az adatszolgáltatás bizonyos hiányosságokat tartalmazott. A hiányosságok kiküszöbölésére az AKI az FADN alapján történő becsléssel határozta meg a kérdéses indikátor értékét.</w:t>
      </w:r>
    </w:p>
    <w:p w:rsidR="00011C3B" w:rsidRPr="00604B6F" w:rsidRDefault="00011C3B" w:rsidP="00715E86">
      <w:pPr>
        <w:pStyle w:val="Cmsor4"/>
      </w:pPr>
      <w:r w:rsidRPr="00604B6F">
        <w:t xml:space="preserve">Mezőgazdasági termékek értéknöveléséhez nyújtandó támogatások jogcím </w:t>
      </w:r>
      <w:r>
        <w:t>rövid bemutatása</w:t>
      </w:r>
    </w:p>
    <w:p w:rsidR="00011C3B" w:rsidRPr="00604B6F" w:rsidRDefault="00011C3B" w:rsidP="000B51B8">
      <w:r w:rsidRPr="00604B6F">
        <w:t>A jogcím célja, hogy a mezőgazdasági termékek feldolgozásának, illetve forgalmazásának javításával vagy új termékek, eljárások, technológiák bevezetésével növekedjen a mezőgazdasági üzem, illetve élelmiszeripari vállalkozás összteljesítménye és versenyképessége, továbbá javuljanak az élelmiszerbiztonsági és –higiéniai feltételek, csökkenjen a környezetterhelés.</w:t>
      </w:r>
    </w:p>
    <w:p w:rsidR="00011C3B" w:rsidRPr="00623EE2" w:rsidRDefault="00011C3B" w:rsidP="00011C3B">
      <w:pPr>
        <w:tabs>
          <w:tab w:val="left" w:pos="5205"/>
        </w:tabs>
      </w:pPr>
      <w:r w:rsidRPr="00DA27DF">
        <w:t xml:space="preserve">A jogcím a Program 123 intézkedésének megvalósítását szolgálja és szorosan kapcsolódik a Program 121.5 alintézkedéséhez - Üzemi diverzifikáció –, melyek egy jogcímrendelet keretében kerültek meghirdetésre: </w:t>
      </w:r>
      <w:r w:rsidRPr="00604B6F">
        <w:t>47/2008. (IV.17.) FVM</w:t>
      </w:r>
      <w:r>
        <w:t>.</w:t>
      </w:r>
    </w:p>
    <w:p w:rsidR="00222491" w:rsidRDefault="00222491" w:rsidP="008400C0">
      <w:pPr>
        <w:tabs>
          <w:tab w:val="left" w:pos="5205"/>
        </w:tabs>
      </w:pPr>
      <w:r>
        <w:t>A 2012-ben megjelent a 49/2012. (V.22.) VM jogcímrendelet, amely alapján 2012-ben nyílt lehetőség támogatási kérelmek benyújtására.</w:t>
      </w:r>
    </w:p>
    <w:p w:rsidR="008400C0" w:rsidRDefault="008400C0" w:rsidP="008400C0">
      <w:pPr>
        <w:tabs>
          <w:tab w:val="left" w:pos="5205"/>
        </w:tabs>
      </w:pPr>
      <w:r>
        <w:t>A két egymáshoz kapcsolódó intézkedés egy jogcímrendelet keretében történő meghirdetése csak a kedvezményezettek számára történő átláthatóságot biztosította. A két intézkedés esetében a Programban rögzített tevékenységi és kedvezményezettek közötti lehatárolást a jogcímrendelet egyértelműen szabályozza.</w:t>
      </w:r>
    </w:p>
    <w:p w:rsidR="008400C0" w:rsidRDefault="008400C0" w:rsidP="008400C0">
      <w:pPr>
        <w:tabs>
          <w:tab w:val="left" w:pos="5205"/>
        </w:tabs>
      </w:pPr>
      <w:r>
        <w:t>A támogatás célja, hogy a mezőgazdasági termékek feldolgozásának, illetve forgalmazásának javításával vagy új termékek, eljárások, technológiák bevezetésével növekedjen a mezőgazdasági üzem, illetve élelmiszeripari vállalkozás összteljesítménye és versenyképessége, továbbá javuljanak az élelmiszerbiztonsági és –higiéniai feltételek, csökkenjen a környezetterhelés.</w:t>
      </w:r>
    </w:p>
    <w:p w:rsidR="005301B4" w:rsidRDefault="00011C3B" w:rsidP="005301B4">
      <w:pPr>
        <w:tabs>
          <w:tab w:val="left" w:pos="5205"/>
        </w:tabs>
      </w:pPr>
      <w:r w:rsidRPr="00991796">
        <w:rPr>
          <w:szCs w:val="22"/>
        </w:rPr>
        <w:t>2012-ben a 49/2012. (V.22.) VM rendelet alapján 2012. június 22. – 2012. július 23. között volt lehetőség a támogatási kérelmek benyújtására. A támogatás mértéke az összes elszámolható kiadás 40%-a (mezőgazdasági termelő esetében), illetve 50%-a (nem mezőgazdasági termelő esetében).</w:t>
      </w:r>
      <w:r w:rsidR="005301B4">
        <w:rPr>
          <w:szCs w:val="22"/>
        </w:rPr>
        <w:t xml:space="preserve"> </w:t>
      </w:r>
      <w:r w:rsidR="005301B4">
        <w:t xml:space="preserve">Egy beruházás maximum 100 </w:t>
      </w:r>
      <w:r w:rsidR="00222491">
        <w:t xml:space="preserve">M </w:t>
      </w:r>
      <w:r w:rsidR="005301B4">
        <w:t xml:space="preserve">Ft támogatásban részesülhetett. </w:t>
      </w:r>
    </w:p>
    <w:p w:rsidR="00011C3B" w:rsidRDefault="00011C3B" w:rsidP="004869BB">
      <w:r>
        <w:t>A támogatás az alábbi célterületek</w:t>
      </w:r>
      <w:r w:rsidR="00E55C39">
        <w:t>r</w:t>
      </w:r>
      <w:r>
        <w:t>e vehető igénybe:</w:t>
      </w:r>
    </w:p>
    <w:p w:rsidR="00011C3B" w:rsidRDefault="00011C3B" w:rsidP="004869BB">
      <w:r>
        <w:t>1. célterület: versenyképesség javítása és termékszerkezet átalakítása;</w:t>
      </w:r>
    </w:p>
    <w:p w:rsidR="00011C3B" w:rsidRDefault="00011C3B" w:rsidP="004869BB">
      <w:r>
        <w:t>2. célterület: az élelmiszer-biztonsgági és környezetvédelmi feltételek javítása, az energiafelhasználás racionalizálása, továbbá üzemirányítás korszerűsítése;</w:t>
      </w:r>
    </w:p>
    <w:p w:rsidR="005301B4" w:rsidRDefault="00011C3B" w:rsidP="004869BB">
      <w:r>
        <w:t>3. célterület: vágópontok létrehozása és korszerűsítése.</w:t>
      </w:r>
      <w:r w:rsidR="005301B4">
        <w:t xml:space="preserve"> </w:t>
      </w:r>
    </w:p>
    <w:p w:rsidR="00011C3B" w:rsidRPr="00604B6F" w:rsidRDefault="005301B4" w:rsidP="004869BB">
      <w:pPr>
        <w:rPr>
          <w:szCs w:val="22"/>
        </w:rPr>
      </w:pPr>
      <w:r>
        <w:t xml:space="preserve">A vágópont célterületre 30 </w:t>
      </w:r>
      <w:r w:rsidR="00E55C39">
        <w:t xml:space="preserve">M </w:t>
      </w:r>
      <w:r>
        <w:t xml:space="preserve">Ft, számítástechnikai fejlesztésre 10 </w:t>
      </w:r>
      <w:r w:rsidR="00E55C39">
        <w:t xml:space="preserve">M </w:t>
      </w:r>
      <w:r>
        <w:t>Ft támogatás volt adható. Új feldolgozó üzemet csak saját termelésű mezőgazdasági termékkel lehetett létesíteni.</w:t>
      </w:r>
    </w:p>
    <w:p w:rsidR="00A76113" w:rsidRDefault="007E5FDF" w:rsidP="00673DDE">
      <w:pPr>
        <w:pStyle w:val="bra-cmetbla"/>
      </w:pPr>
      <w:fldSimple w:instr=" SEQ táblázat \* ARABIC ">
        <w:r w:rsidR="00E5031F">
          <w:rPr>
            <w:noProof/>
          </w:rPr>
          <w:t>43</w:t>
        </w:r>
      </w:fldSimple>
      <w:r w:rsidR="00673DDE">
        <w:t xml:space="preserve">. táblázat: </w:t>
      </w:r>
      <w:r w:rsidR="00011C3B" w:rsidRPr="00F35797">
        <w:t xml:space="preserve">Mezőgazdasági termékek értéknöveléséhez nyújtandó támogatások jogcím </w:t>
      </w:r>
      <w:r w:rsidR="00011C3B">
        <w:t>2012</w:t>
      </w:r>
      <w:r w:rsidR="00011C3B" w:rsidRPr="00F35797">
        <w:t>. évi eredményei</w:t>
      </w:r>
    </w:p>
    <w:p w:rsidR="00011C3B" w:rsidRDefault="00A76113" w:rsidP="00011C3B">
      <w:pPr>
        <w:keepNext/>
        <w:jc w:val="center"/>
        <w:rPr>
          <w:b/>
          <w:bCs/>
        </w:rPr>
      </w:pPr>
      <w:r w:rsidRPr="00A76113">
        <w:rPr>
          <w:noProof/>
        </w:rPr>
        <w:drawing>
          <wp:inline distT="0" distB="0" distL="0" distR="0" wp14:anchorId="468919A2" wp14:editId="14A9261C">
            <wp:extent cx="5175885" cy="1889125"/>
            <wp:effectExtent l="0" t="0" r="571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5885" cy="1889125"/>
                    </a:xfrm>
                    <a:prstGeom prst="rect">
                      <a:avLst/>
                    </a:prstGeom>
                    <a:noFill/>
                    <a:ln>
                      <a:noFill/>
                    </a:ln>
                  </pic:spPr>
                </pic:pic>
              </a:graphicData>
            </a:graphic>
          </wp:inline>
        </w:drawing>
      </w:r>
      <w:r w:rsidR="00011C3B" w:rsidRPr="00F35797">
        <w:rPr>
          <w:b/>
          <w:bCs/>
          <w:kern w:val="0"/>
        </w:rPr>
        <w:t xml:space="preserve"> </w:t>
      </w:r>
    </w:p>
    <w:p w:rsidR="00011C3B" w:rsidRPr="00F35797" w:rsidRDefault="00011C3B" w:rsidP="00011C3B">
      <w:pPr>
        <w:pStyle w:val="Normlforrs"/>
      </w:pPr>
      <w:r w:rsidRPr="00F35797">
        <w:t>Forrás: MVH</w:t>
      </w:r>
    </w:p>
    <w:p w:rsidR="00011C3B" w:rsidRDefault="00011C3B" w:rsidP="004869BB">
      <w:r w:rsidRPr="008C4E68">
        <w:t xml:space="preserve">A </w:t>
      </w:r>
      <w:r>
        <w:t>benyújtott kifizetési kérelmekből 255 db-ot hagyott jóvá az MVH. A 2012</w:t>
      </w:r>
      <w:r w:rsidRPr="008C4E68">
        <w:t>-ben kifizetett összeg 3</w:t>
      </w:r>
      <w:r>
        <w:t>7,</w:t>
      </w:r>
      <w:r w:rsidR="00DA5FC9">
        <w:t>2</w:t>
      </w:r>
      <w:r w:rsidR="00E55C39">
        <w:t> </w:t>
      </w:r>
      <w:r>
        <w:t>M euró (</w:t>
      </w:r>
      <w:r w:rsidR="00DA5FC9">
        <w:t xml:space="preserve">10,9 </w:t>
      </w:r>
      <w:r>
        <w:t>Mrd</w:t>
      </w:r>
      <w:r w:rsidRPr="008C4E68">
        <w:t xml:space="preserve"> Ft</w:t>
      </w:r>
      <w:r>
        <w:t>) volt</w:t>
      </w:r>
      <w:r w:rsidRPr="008C4E68">
        <w:t xml:space="preserve">. </w:t>
      </w:r>
    </w:p>
    <w:p w:rsidR="00011C3B" w:rsidRPr="00ED7150" w:rsidRDefault="00011C3B" w:rsidP="004869BB">
      <w:r w:rsidRPr="00287921">
        <w:t xml:space="preserve">A megyék közül jelentős volt Bács-Kiskun, Baranya és Tolna megye – mind a három megye kifizetése meghaladta az 1 Mrd Ft-ot. </w:t>
      </w:r>
    </w:p>
    <w:p w:rsidR="00011C3B" w:rsidRPr="00604B6F" w:rsidRDefault="00011C3B" w:rsidP="00715E86">
      <w:pPr>
        <w:pStyle w:val="Cmsor4"/>
      </w:pPr>
      <w:r w:rsidRPr="00604B6F">
        <w:t xml:space="preserve">Nem élelmiszeripari célú kiskapacitású, növényi alapú nyersszesz, nyersolaj előállító üzemek létesítéséhez nyújtandó támogatások jogcím </w:t>
      </w:r>
      <w:r>
        <w:t>rövid bemutatása</w:t>
      </w:r>
    </w:p>
    <w:p w:rsidR="00011C3B" w:rsidRPr="00604B6F" w:rsidRDefault="00011C3B" w:rsidP="00011C3B">
      <w:r w:rsidRPr="00DA27DF">
        <w:t xml:space="preserve">A támogatás </w:t>
      </w:r>
      <w:r w:rsidRPr="00604B6F">
        <w:t>célja, hogy a kis kapacitású nyersszesz, nyersolaj üzemek létesítésével a mezőgazdasági eredetű alapanyagok bio-üzemanyag célú feldolgozásával javuljon a termelők versenyképessége, a mezőgazdasági szektor a bio-üzemanyag gyártási vertikumnak aktív szereplője legyen és növekedjen az Európai Unión belül a bio-üzemanyagok termelési volumene.</w:t>
      </w:r>
    </w:p>
    <w:p w:rsidR="008400C0" w:rsidRPr="008400C0" w:rsidRDefault="008400C0" w:rsidP="00DA27DF">
      <w:r w:rsidRPr="008400C0">
        <w:t>A jogcím a Program 123 intézkedésének megvalósítását szolgálja</w:t>
      </w:r>
      <w:r w:rsidR="00BB0764" w:rsidRPr="00BB0764">
        <w:t xml:space="preserve"> </w:t>
      </w:r>
      <w:r w:rsidR="00BB0764" w:rsidRPr="008400C0">
        <w:t xml:space="preserve">és szorosan kapcsolódik a Program 121.5 alintézkedéséhez </w:t>
      </w:r>
      <w:r w:rsidR="00BB0764">
        <w:t>(</w:t>
      </w:r>
      <w:r w:rsidR="00BB0764" w:rsidRPr="008400C0">
        <w:t>Üzemi diverzifikáció</w:t>
      </w:r>
      <w:r w:rsidR="00BB0764">
        <w:t>)</w:t>
      </w:r>
      <w:r w:rsidR="00245CD0">
        <w:t xml:space="preserve">, </w:t>
      </w:r>
      <w:r w:rsidR="00BB0764">
        <w:t xml:space="preserve">így </w:t>
      </w:r>
      <w:r w:rsidR="00B13C56">
        <w:t>egy</w:t>
      </w:r>
      <w:r w:rsidRPr="008400C0">
        <w:t xml:space="preserve"> jogcímrendelet keretében kerültek meghirdetésre</w:t>
      </w:r>
      <w:r w:rsidR="00B13C56">
        <w:t xml:space="preserve"> </w:t>
      </w:r>
      <w:r w:rsidR="00BB0764">
        <w:t>egy alkalommal (</w:t>
      </w:r>
      <w:r w:rsidR="00BB0764" w:rsidRPr="008400C0">
        <w:t>4</w:t>
      </w:r>
      <w:r w:rsidR="00BB0764">
        <w:t>4</w:t>
      </w:r>
      <w:r w:rsidR="00BB0764" w:rsidRPr="008400C0">
        <w:t>/200</w:t>
      </w:r>
      <w:r w:rsidR="00BB0764">
        <w:t>9</w:t>
      </w:r>
      <w:r w:rsidR="00BB0764" w:rsidRPr="008400C0">
        <w:t>. (</w:t>
      </w:r>
      <w:r w:rsidR="00BB0764">
        <w:t xml:space="preserve">IV.11.) FVM rendelet). </w:t>
      </w:r>
      <w:r w:rsidR="00245CD0">
        <w:t>A rendelet rögzíti a 121.5 intézkedéssel való lehatárolást.</w:t>
      </w:r>
    </w:p>
    <w:p w:rsidR="00011C3B" w:rsidRDefault="007E5FDF" w:rsidP="00673DDE">
      <w:pPr>
        <w:pStyle w:val="bra-cmetbla"/>
      </w:pPr>
      <w:fldSimple w:instr=" SEQ táblázat \* ARABIC ">
        <w:r w:rsidR="00E5031F">
          <w:rPr>
            <w:noProof/>
          </w:rPr>
          <w:t>44</w:t>
        </w:r>
      </w:fldSimple>
      <w:r w:rsidR="00673DDE">
        <w:t xml:space="preserve">. táblázat: </w:t>
      </w:r>
      <w:r w:rsidR="00011C3B" w:rsidRPr="00F35797">
        <w:t>Nem élelmiszeripari célú kiskapacitású, növényi alapú nyersszesz, nyersolaj előállító üzemek létesítéséhez nyújtandó támogatások jogcím</w:t>
      </w:r>
      <w:r w:rsidR="00011C3B">
        <w:t xml:space="preserve"> 2012</w:t>
      </w:r>
      <w:r w:rsidR="00011C3B" w:rsidRPr="00F35797">
        <w:t xml:space="preserve">. évi eredményei </w:t>
      </w:r>
    </w:p>
    <w:p w:rsidR="00011C3B" w:rsidRPr="00F35797" w:rsidRDefault="00B452BF" w:rsidP="00011C3B">
      <w:pPr>
        <w:keepNext/>
        <w:jc w:val="center"/>
        <w:rPr>
          <w:b/>
          <w:kern w:val="0"/>
        </w:rPr>
      </w:pPr>
      <w:r>
        <w:rPr>
          <w:noProof/>
        </w:rPr>
        <w:drawing>
          <wp:inline distT="0" distB="0" distL="0" distR="0" wp14:anchorId="3827B3E0" wp14:editId="662C5896">
            <wp:extent cx="5167630" cy="1882140"/>
            <wp:effectExtent l="0" t="0" r="0" b="3810"/>
            <wp:docPr id="30"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F35797">
        <w:t>Forrás: MVH</w:t>
      </w:r>
    </w:p>
    <w:p w:rsidR="00011C3B" w:rsidRDefault="00011C3B" w:rsidP="004869BB">
      <w:r>
        <w:t>A jogcímre 2011-ben 2 db kifizetési kérelmet hagyott jóvá az MVH, összesen 478 ezer euró (</w:t>
      </w:r>
      <w:r w:rsidR="00673A07">
        <w:t>139,7 </w:t>
      </w:r>
      <w:r>
        <w:t>M Ft) összeg kifizetése történt meg.</w:t>
      </w:r>
    </w:p>
    <w:p w:rsidR="00011C3B" w:rsidRPr="008C309B" w:rsidRDefault="00673A07" w:rsidP="004869BB">
      <w:r>
        <w:lastRenderedPageBreak/>
        <w:t xml:space="preserve">A 2012. évi jóváhagyott támogatási összeg </w:t>
      </w:r>
      <w:r w:rsidRPr="008C309B">
        <w:t>negatív összeg</w:t>
      </w:r>
      <w:r>
        <w:t>ét</w:t>
      </w:r>
      <w:r w:rsidRPr="008C309B">
        <w:t xml:space="preserve"> a következő</w:t>
      </w:r>
      <w:r>
        <w:t xml:space="preserve"> tényező</w:t>
      </w:r>
      <w:r w:rsidRPr="008C309B">
        <w:t>k</w:t>
      </w:r>
      <w:r>
        <w:t xml:space="preserve"> idézték elő:</w:t>
      </w:r>
      <w:r w:rsidRPr="008C309B">
        <w:t xml:space="preserve"> </w:t>
      </w:r>
      <w:r>
        <w:t>egyrészt a lekötés összege csak minimális volt, másrészt a korábbi években lekötött források tekintetében jelentős összegű forrás-felszabadulás volt tapasztalható a támogatásról történő lemondás, visszavonás, illetve utolsó kifizetési kérelem lezárását követően keletkezett maradványösszegek felszabadítása okán, melyek</w:t>
      </w:r>
      <w:r w:rsidR="00011C3B" w:rsidRPr="008C309B">
        <w:t xml:space="preserve"> </w:t>
      </w:r>
      <w:r w:rsidR="00011C3B">
        <w:t>jogerőre emelked</w:t>
      </w:r>
      <w:r>
        <w:t>ése 2012-ben történt</w:t>
      </w:r>
      <w:r w:rsidR="00011C3B">
        <w:t>.</w:t>
      </w:r>
    </w:p>
    <w:p w:rsidR="00011C3B" w:rsidRPr="00F35797" w:rsidRDefault="00011C3B" w:rsidP="004869BB">
      <w:r w:rsidRPr="00287921">
        <w:t>Kifizetés csak Komárom-Esztergom megyében történt.</w:t>
      </w:r>
    </w:p>
    <w:p w:rsidR="00011C3B" w:rsidRPr="00896E03" w:rsidRDefault="00011C3B" w:rsidP="00DB48A3">
      <w:pPr>
        <w:pStyle w:val="Cmsor3"/>
      </w:pPr>
      <w:bookmarkStart w:id="240" w:name="_Toc328638709"/>
      <w:bookmarkStart w:id="241" w:name="_Toc360176799"/>
      <w:r w:rsidRPr="00896E03">
        <w:t>A mezőgazdaság és az erdészet fejlesztéséhez és korszerűsítéséhez kapcsolódó infrastruktúra fejlesztését célzó intézkedés (125) rövid bemutatása</w:t>
      </w:r>
      <w:bookmarkEnd w:id="240"/>
      <w:bookmarkEnd w:id="241"/>
    </w:p>
    <w:p w:rsidR="00011C3B" w:rsidRPr="00604B6F" w:rsidRDefault="00011C3B" w:rsidP="004869BB">
      <w:r w:rsidRPr="00604B6F">
        <w:t xml:space="preserve">Az intézkedés több célterületre koncentrál, </w:t>
      </w:r>
      <w:r>
        <w:t>úgy</w:t>
      </w:r>
      <w:r w:rsidRPr="00604B6F">
        <w:t>mint az öntözővíz biztosításához szükséges létesítmények állapotának és kapacitás-kihasználtságának javítása a víz és energiatakarékos öntözéses-gazdálkodás fejlesztése érdekében, valamint a termőföld meliorációs beavatkozásokkal történő védelme, a helyi belvízvédelem és vízkárelhárítás hatékonyságának, a vízkészletek helyben tartásának és tárolási lehetőségének javítása. E három célterületet fogja össze az öntözés, a melioráció és a területi vízgazdálkodás mezőgazdasági üzemi és közösségi létesítményeinek fejlesztése címen megnyitott jogcím, amely 2008-ban került beindításra.</w:t>
      </w:r>
    </w:p>
    <w:p w:rsidR="00011C3B" w:rsidRPr="00604B6F" w:rsidRDefault="00011C3B" w:rsidP="004869BB">
      <w:r w:rsidRPr="00604B6F">
        <w:t>Az intézkedés további célja burkolt mezőgazdasági utak létesítése, melyek kizárólag az agrárlogisztika fejlesztésének részét képezik, a történelmi borvidékek megközelítését szolgálják, valamint a tanyák jobb elérhetőségét teszik lehetővé. Az intézkedés erre irányuló másik, a mezőgazdasági utak fejlesztését szolgáló jogcíme</w:t>
      </w:r>
      <w:r>
        <w:t>,</w:t>
      </w:r>
      <w:r w:rsidRPr="00604B6F">
        <w:t xml:space="preserve"> először 2009-ben került beindításra. Burkolat nélküli, mezőgazdasági utak építésére és felújítására 2011-ben jelent meg a 111/2011.(XI.24.) VM rende</w:t>
      </w:r>
      <w:r>
        <w:t>let.</w:t>
      </w:r>
    </w:p>
    <w:p w:rsidR="00011C3B" w:rsidRDefault="00011C3B" w:rsidP="004869BB">
      <w:r w:rsidRPr="006F0141">
        <w:t>Az intézkedés népszerűsítését szolgálja a Program módosítása, mely szerint a belvízvédelem, vízkárelhárítás támogatás intenzitása 100%-ra, míg a mezőgazdasági utak létesítésének támogatása 2012-től 75%-ról 80%-ra növekedett.</w:t>
      </w:r>
      <w:r w:rsidRPr="00604B6F">
        <w:t xml:space="preserve"> Az öntözéses-gazdálkodás esetében a meglévő öntözővíz-szolgáltató létesítmények kihasználása alig éri el az 50%-ot, így ezen létesítmények kihasználtságának fokozása a cél. Új létesítmények építése csak új öntözőtelepek esetén indokolt. </w:t>
      </w:r>
    </w:p>
    <w:p w:rsidR="00011C3B" w:rsidRPr="00F92037" w:rsidRDefault="007E5FDF" w:rsidP="00F92037">
      <w:pPr>
        <w:pStyle w:val="bra-cmetbla"/>
      </w:pPr>
      <w:fldSimple w:instr=" SEQ táblázat \* ARABIC ">
        <w:r w:rsidR="00E5031F">
          <w:rPr>
            <w:noProof/>
          </w:rPr>
          <w:t>45</w:t>
        </w:r>
      </w:fldSimple>
      <w:r w:rsidR="00673DDE">
        <w:t xml:space="preserve">. táblázat: </w:t>
      </w:r>
      <w:r w:rsidR="00011C3B" w:rsidRPr="00F92037">
        <w:t>A mezőgazdaság és az erdészet fejlesztéséhez és korszerűsítéséhez kapcsolódó infrastruktúra (125) indikátorainak megvalósulása</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6"/>
        <w:gridCol w:w="1568"/>
        <w:gridCol w:w="1512"/>
      </w:tblGrid>
      <w:tr w:rsidR="00011C3B" w:rsidRPr="00A174E7" w:rsidTr="00011C3B">
        <w:trPr>
          <w:cantSplit/>
          <w:tblHeader/>
          <w:jc w:val="center"/>
        </w:trPr>
        <w:tc>
          <w:tcPr>
            <w:tcW w:w="315" w:type="pct"/>
            <w:shd w:val="clear" w:color="auto" w:fill="B3B3B3"/>
          </w:tcPr>
          <w:p w:rsidR="00011C3B" w:rsidRPr="00A174E7" w:rsidRDefault="00011C3B" w:rsidP="00011C3B">
            <w:pPr>
              <w:keepNext/>
              <w:spacing w:after="0"/>
              <w:jc w:val="center"/>
              <w:rPr>
                <w:b/>
                <w:sz w:val="20"/>
                <w:szCs w:val="20"/>
              </w:rPr>
            </w:pPr>
          </w:p>
        </w:tc>
        <w:tc>
          <w:tcPr>
            <w:tcW w:w="3072" w:type="pct"/>
            <w:shd w:val="clear" w:color="auto" w:fill="B3B3B3"/>
            <w:vAlign w:val="center"/>
          </w:tcPr>
          <w:p w:rsidR="00011C3B" w:rsidRPr="00BD037E" w:rsidRDefault="00011C3B" w:rsidP="00BD037E">
            <w:pPr>
              <w:keepNext/>
              <w:spacing w:after="0"/>
              <w:jc w:val="center"/>
            </w:pPr>
            <w:r w:rsidRPr="00BD037E">
              <w:t>Indikátor leírása</w:t>
            </w:r>
          </w:p>
        </w:tc>
        <w:tc>
          <w:tcPr>
            <w:tcW w:w="821" w:type="pct"/>
            <w:shd w:val="clear" w:color="auto" w:fill="B3B3B3"/>
            <w:vAlign w:val="center"/>
          </w:tcPr>
          <w:p w:rsidR="00011C3B" w:rsidRPr="00BD037E" w:rsidRDefault="00011C3B" w:rsidP="00BD037E">
            <w:pPr>
              <w:keepNext/>
              <w:spacing w:after="0"/>
              <w:jc w:val="center"/>
            </w:pPr>
            <w:r w:rsidRPr="00BD037E">
              <w:t>Program szerinti tervadat</w:t>
            </w:r>
          </w:p>
        </w:tc>
        <w:tc>
          <w:tcPr>
            <w:tcW w:w="792" w:type="pct"/>
            <w:shd w:val="clear" w:color="auto" w:fill="B3B3B3"/>
            <w:vAlign w:val="center"/>
          </w:tcPr>
          <w:p w:rsidR="00011C3B" w:rsidRPr="00A174E7" w:rsidRDefault="00011C3B" w:rsidP="00011C3B">
            <w:pPr>
              <w:keepNext/>
              <w:spacing w:after="0"/>
              <w:jc w:val="center"/>
              <w:rPr>
                <w:b/>
                <w:sz w:val="20"/>
                <w:szCs w:val="20"/>
              </w:rPr>
            </w:pPr>
            <w:r w:rsidRPr="00A174E7">
              <w:rPr>
                <w:b/>
                <w:sz w:val="20"/>
                <w:szCs w:val="20"/>
              </w:rPr>
              <w:t>Indikátorok kumulált értéke</w:t>
            </w:r>
          </w:p>
        </w:tc>
      </w:tr>
      <w:tr w:rsidR="00011C3B" w:rsidRPr="00A174E7" w:rsidTr="00011C3B">
        <w:trPr>
          <w:cantSplit/>
          <w:jc w:val="center"/>
        </w:trPr>
        <w:tc>
          <w:tcPr>
            <w:tcW w:w="315" w:type="pct"/>
            <w:vMerge w:val="restart"/>
          </w:tcPr>
          <w:p w:rsidR="00011C3B" w:rsidRPr="00A174E7" w:rsidRDefault="00011C3B" w:rsidP="00011C3B">
            <w:pPr>
              <w:keepNext/>
              <w:spacing w:after="0"/>
              <w:rPr>
                <w:sz w:val="20"/>
                <w:szCs w:val="20"/>
              </w:rPr>
            </w:pPr>
            <w:r w:rsidRPr="00A174E7">
              <w:rPr>
                <w:sz w:val="20"/>
                <w:szCs w:val="20"/>
              </w:rPr>
              <w:t>O</w:t>
            </w:r>
          </w:p>
        </w:tc>
        <w:tc>
          <w:tcPr>
            <w:tcW w:w="3072" w:type="pct"/>
            <w:shd w:val="clear" w:color="auto" w:fill="auto"/>
          </w:tcPr>
          <w:p w:rsidR="00011C3B" w:rsidRPr="00A174E7" w:rsidRDefault="00011C3B" w:rsidP="00011C3B">
            <w:pPr>
              <w:keepNext/>
              <w:spacing w:after="0"/>
              <w:rPr>
                <w:sz w:val="20"/>
                <w:szCs w:val="20"/>
              </w:rPr>
            </w:pPr>
            <w:r w:rsidRPr="00A174E7">
              <w:rPr>
                <w:sz w:val="20"/>
                <w:szCs w:val="20"/>
              </w:rPr>
              <w:t>Támogatásban részesülő beruházások száma</w:t>
            </w:r>
          </w:p>
        </w:tc>
        <w:tc>
          <w:tcPr>
            <w:tcW w:w="821" w:type="pct"/>
            <w:shd w:val="clear" w:color="auto" w:fill="auto"/>
            <w:vAlign w:val="bottom"/>
          </w:tcPr>
          <w:p w:rsidR="00011C3B" w:rsidRPr="00A174E7" w:rsidRDefault="00011C3B" w:rsidP="00011C3B">
            <w:pPr>
              <w:keepNext/>
              <w:spacing w:after="0"/>
              <w:jc w:val="right"/>
              <w:rPr>
                <w:sz w:val="20"/>
                <w:szCs w:val="20"/>
                <w:lang w:val="en-GB"/>
              </w:rPr>
            </w:pPr>
            <w:r w:rsidRPr="00A174E7">
              <w:rPr>
                <w:sz w:val="20"/>
                <w:szCs w:val="20"/>
                <w:lang w:val="en-GB"/>
              </w:rPr>
              <w:t>440 db</w:t>
            </w:r>
          </w:p>
        </w:tc>
        <w:tc>
          <w:tcPr>
            <w:tcW w:w="792" w:type="pct"/>
          </w:tcPr>
          <w:p w:rsidR="00011C3B" w:rsidRPr="00A174E7" w:rsidRDefault="00011C3B" w:rsidP="00011C3B">
            <w:pPr>
              <w:keepNext/>
              <w:spacing w:after="0"/>
              <w:jc w:val="right"/>
              <w:rPr>
                <w:sz w:val="20"/>
                <w:szCs w:val="20"/>
              </w:rPr>
            </w:pPr>
            <w:r>
              <w:rPr>
                <w:sz w:val="20"/>
                <w:szCs w:val="20"/>
              </w:rPr>
              <w:t>3</w:t>
            </w:r>
            <w:r w:rsidRPr="00A174E7">
              <w:rPr>
                <w:sz w:val="20"/>
                <w:szCs w:val="20"/>
              </w:rPr>
              <w:t>42</w:t>
            </w:r>
          </w:p>
        </w:tc>
      </w:tr>
      <w:tr w:rsidR="00011C3B" w:rsidRPr="00A174E7" w:rsidTr="00011C3B">
        <w:trPr>
          <w:cantSplit/>
          <w:jc w:val="center"/>
        </w:trPr>
        <w:tc>
          <w:tcPr>
            <w:tcW w:w="315" w:type="pct"/>
            <w:vMerge/>
          </w:tcPr>
          <w:p w:rsidR="00011C3B" w:rsidRPr="00A174E7" w:rsidRDefault="00011C3B" w:rsidP="00011C3B">
            <w:pPr>
              <w:keepNext/>
              <w:spacing w:after="0"/>
              <w:rPr>
                <w:sz w:val="20"/>
                <w:szCs w:val="20"/>
              </w:rPr>
            </w:pPr>
          </w:p>
        </w:tc>
        <w:tc>
          <w:tcPr>
            <w:tcW w:w="3072" w:type="pct"/>
            <w:shd w:val="clear" w:color="auto" w:fill="auto"/>
          </w:tcPr>
          <w:p w:rsidR="00011C3B" w:rsidRPr="00A174E7" w:rsidRDefault="00011C3B" w:rsidP="00011C3B">
            <w:pPr>
              <w:keepNext/>
              <w:spacing w:after="0"/>
              <w:rPr>
                <w:sz w:val="20"/>
                <w:szCs w:val="20"/>
              </w:rPr>
            </w:pPr>
            <w:r w:rsidRPr="00A174E7">
              <w:rPr>
                <w:sz w:val="20"/>
                <w:szCs w:val="20"/>
              </w:rPr>
              <w:t>A földterület típusa:</w:t>
            </w:r>
            <w:r w:rsidRPr="00A174E7">
              <w:rPr>
                <w:sz w:val="20"/>
                <w:szCs w:val="20"/>
                <w:lang w:val="en-GB"/>
              </w:rPr>
              <w:t xml:space="preserve"> </w:t>
            </w:r>
          </w:p>
        </w:tc>
        <w:tc>
          <w:tcPr>
            <w:tcW w:w="821" w:type="pct"/>
            <w:shd w:val="clear" w:color="auto" w:fill="auto"/>
            <w:vAlign w:val="bottom"/>
          </w:tcPr>
          <w:p w:rsidR="00011C3B" w:rsidRPr="00A174E7" w:rsidRDefault="00011C3B" w:rsidP="00011C3B">
            <w:pPr>
              <w:keepNext/>
              <w:spacing w:after="0"/>
              <w:jc w:val="right"/>
              <w:rPr>
                <w:sz w:val="20"/>
                <w:szCs w:val="20"/>
                <w:lang w:val="en-GB"/>
              </w:rPr>
            </w:pPr>
            <w:r w:rsidRPr="00A174E7">
              <w:rPr>
                <w:sz w:val="20"/>
                <w:szCs w:val="20"/>
                <w:lang w:val="en-GB"/>
              </w:rPr>
              <w:t> </w:t>
            </w:r>
          </w:p>
        </w:tc>
        <w:tc>
          <w:tcPr>
            <w:tcW w:w="792" w:type="pct"/>
          </w:tcPr>
          <w:p w:rsidR="00011C3B" w:rsidRPr="00A174E7" w:rsidRDefault="00011C3B" w:rsidP="00011C3B">
            <w:pPr>
              <w:keepNext/>
              <w:spacing w:after="0"/>
              <w:jc w:val="right"/>
              <w:rPr>
                <w:sz w:val="20"/>
                <w:szCs w:val="20"/>
                <w:lang w:val="en-GB"/>
              </w:rPr>
            </w:pP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ind w:firstLineChars="100" w:firstLine="200"/>
              <w:rPr>
                <w:sz w:val="20"/>
                <w:szCs w:val="20"/>
              </w:rPr>
            </w:pPr>
            <w:r w:rsidRPr="00A174E7">
              <w:rPr>
                <w:sz w:val="20"/>
                <w:szCs w:val="20"/>
              </w:rPr>
              <w:t>Gazdálkodást szolgáló terület</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440</w:t>
            </w:r>
          </w:p>
        </w:tc>
        <w:tc>
          <w:tcPr>
            <w:tcW w:w="792" w:type="pct"/>
          </w:tcPr>
          <w:p w:rsidR="00011C3B" w:rsidRPr="00A174E7" w:rsidRDefault="00011C3B" w:rsidP="00011C3B">
            <w:pPr>
              <w:spacing w:after="0"/>
              <w:jc w:val="right"/>
              <w:rPr>
                <w:sz w:val="20"/>
                <w:szCs w:val="20"/>
                <w:lang w:val="en-GB"/>
              </w:rPr>
            </w:pPr>
            <w:r>
              <w:rPr>
                <w:sz w:val="20"/>
                <w:szCs w:val="20"/>
                <w:lang w:val="en-GB"/>
              </w:rPr>
              <w:t>3</w:t>
            </w:r>
            <w:r w:rsidRPr="00A174E7">
              <w:rPr>
                <w:sz w:val="20"/>
                <w:szCs w:val="20"/>
                <w:lang w:val="en-GB"/>
              </w:rPr>
              <w:t>41</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ind w:firstLineChars="100" w:firstLine="200"/>
              <w:rPr>
                <w:sz w:val="20"/>
                <w:szCs w:val="20"/>
              </w:rPr>
            </w:pPr>
            <w:r w:rsidRPr="00A174E7">
              <w:rPr>
                <w:sz w:val="20"/>
                <w:szCs w:val="20"/>
              </w:rPr>
              <w:t>Erdő</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0</w:t>
            </w:r>
          </w:p>
        </w:tc>
        <w:tc>
          <w:tcPr>
            <w:tcW w:w="792" w:type="pct"/>
          </w:tcPr>
          <w:p w:rsidR="00011C3B" w:rsidRPr="00A174E7" w:rsidRDefault="00011C3B" w:rsidP="00011C3B">
            <w:pPr>
              <w:spacing w:after="0"/>
              <w:jc w:val="right"/>
              <w:rPr>
                <w:sz w:val="20"/>
                <w:szCs w:val="20"/>
                <w:lang w:val="en-GB"/>
              </w:rPr>
            </w:pPr>
            <w:r w:rsidRPr="00A174E7">
              <w:rPr>
                <w:sz w:val="20"/>
                <w:szCs w:val="20"/>
                <w:lang w:val="en-GB"/>
              </w:rPr>
              <w:t>1</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rPr>
                <w:sz w:val="20"/>
                <w:szCs w:val="20"/>
              </w:rPr>
            </w:pPr>
            <w:r w:rsidRPr="00A174E7">
              <w:rPr>
                <w:sz w:val="20"/>
                <w:szCs w:val="20"/>
              </w:rPr>
              <w:t>Tevékenység típusa:</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 </w:t>
            </w:r>
          </w:p>
        </w:tc>
        <w:tc>
          <w:tcPr>
            <w:tcW w:w="792" w:type="pct"/>
          </w:tcPr>
          <w:p w:rsidR="00011C3B" w:rsidRPr="00A174E7" w:rsidRDefault="00011C3B" w:rsidP="00011C3B">
            <w:pPr>
              <w:spacing w:after="0"/>
              <w:jc w:val="right"/>
              <w:rPr>
                <w:sz w:val="20"/>
                <w:szCs w:val="20"/>
                <w:lang w:val="en-GB"/>
              </w:rPr>
            </w:pP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 xml:space="preserve">megközelíthetőség </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180</w:t>
            </w:r>
          </w:p>
        </w:tc>
        <w:tc>
          <w:tcPr>
            <w:tcW w:w="792" w:type="pct"/>
          </w:tcPr>
          <w:p w:rsidR="00011C3B" w:rsidRPr="00A174E7" w:rsidRDefault="00011C3B" w:rsidP="00011C3B">
            <w:pPr>
              <w:spacing w:after="0"/>
              <w:jc w:val="right"/>
              <w:rPr>
                <w:sz w:val="20"/>
                <w:szCs w:val="20"/>
                <w:lang w:val="en-GB"/>
              </w:rPr>
            </w:pPr>
            <w:r w:rsidRPr="00A174E7">
              <w:rPr>
                <w:sz w:val="20"/>
                <w:szCs w:val="20"/>
                <w:lang w:val="en-GB"/>
              </w:rPr>
              <w:t>2</w:t>
            </w:r>
            <w:r>
              <w:rPr>
                <w:sz w:val="20"/>
                <w:szCs w:val="20"/>
                <w:lang w:val="en-GB"/>
              </w:rPr>
              <w:t>01</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energiaellátás</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0</w:t>
            </w:r>
          </w:p>
        </w:tc>
        <w:tc>
          <w:tcPr>
            <w:tcW w:w="792" w:type="pct"/>
          </w:tcPr>
          <w:p w:rsidR="00011C3B" w:rsidRPr="00A174E7" w:rsidRDefault="00011C3B" w:rsidP="00011C3B">
            <w:pPr>
              <w:spacing w:after="0"/>
              <w:jc w:val="right"/>
              <w:rPr>
                <w:sz w:val="20"/>
                <w:szCs w:val="20"/>
                <w:lang w:val="en-GB"/>
              </w:rPr>
            </w:pPr>
            <w:r w:rsidRPr="00A174E7">
              <w:rPr>
                <w:sz w:val="20"/>
                <w:szCs w:val="20"/>
                <w:lang w:val="en-GB"/>
              </w:rPr>
              <w:t>0</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vízgazdálkodás</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260</w:t>
            </w:r>
          </w:p>
        </w:tc>
        <w:tc>
          <w:tcPr>
            <w:tcW w:w="792" w:type="pct"/>
          </w:tcPr>
          <w:p w:rsidR="00011C3B" w:rsidRPr="00A174E7" w:rsidRDefault="00011C3B" w:rsidP="00011C3B">
            <w:pPr>
              <w:spacing w:after="0"/>
              <w:jc w:val="right"/>
              <w:rPr>
                <w:sz w:val="20"/>
                <w:szCs w:val="20"/>
                <w:lang w:val="en-GB"/>
              </w:rPr>
            </w:pPr>
            <w:r>
              <w:rPr>
                <w:sz w:val="20"/>
                <w:szCs w:val="20"/>
                <w:lang w:val="en-GB"/>
              </w:rPr>
              <w:t>141</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talaj konszolidáció és -javítás</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0</w:t>
            </w:r>
          </w:p>
        </w:tc>
        <w:tc>
          <w:tcPr>
            <w:tcW w:w="792" w:type="pct"/>
          </w:tcPr>
          <w:p w:rsidR="00011C3B" w:rsidRPr="00A174E7" w:rsidRDefault="00011C3B" w:rsidP="00011C3B">
            <w:pPr>
              <w:spacing w:after="0"/>
              <w:jc w:val="right"/>
              <w:rPr>
                <w:sz w:val="20"/>
                <w:szCs w:val="20"/>
                <w:lang w:val="en-GB"/>
              </w:rPr>
            </w:pPr>
            <w:r w:rsidRPr="00A174E7">
              <w:rPr>
                <w:sz w:val="20"/>
                <w:szCs w:val="20"/>
                <w:lang w:val="en-GB"/>
              </w:rPr>
              <w:t>0</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egyéb</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 </w:t>
            </w:r>
          </w:p>
        </w:tc>
        <w:tc>
          <w:tcPr>
            <w:tcW w:w="792" w:type="pct"/>
          </w:tcPr>
          <w:p w:rsidR="00011C3B" w:rsidRPr="00A174E7" w:rsidRDefault="00011C3B" w:rsidP="00011C3B">
            <w:pPr>
              <w:spacing w:after="0"/>
              <w:jc w:val="right"/>
              <w:rPr>
                <w:sz w:val="20"/>
                <w:szCs w:val="20"/>
                <w:lang w:val="en-GB"/>
              </w:rPr>
            </w:pPr>
            <w:r w:rsidRPr="00A174E7">
              <w:rPr>
                <w:sz w:val="20"/>
                <w:szCs w:val="20"/>
                <w:lang w:val="en-GB"/>
              </w:rPr>
              <w:t>0</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rPr>
                <w:sz w:val="20"/>
                <w:szCs w:val="20"/>
              </w:rPr>
            </w:pPr>
            <w:r w:rsidRPr="00A174E7">
              <w:rPr>
                <w:sz w:val="20"/>
                <w:szCs w:val="20"/>
              </w:rPr>
              <w:t>A beruházás teljes összege (euró)</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 xml:space="preserve">90 millió </w:t>
            </w:r>
          </w:p>
        </w:tc>
        <w:tc>
          <w:tcPr>
            <w:tcW w:w="792" w:type="pct"/>
          </w:tcPr>
          <w:p w:rsidR="00011C3B" w:rsidRPr="00A174E7" w:rsidRDefault="006444BD" w:rsidP="00011C3B">
            <w:pPr>
              <w:spacing w:after="0"/>
              <w:jc w:val="right"/>
              <w:rPr>
                <w:sz w:val="20"/>
                <w:szCs w:val="20"/>
              </w:rPr>
            </w:pPr>
            <w:r>
              <w:rPr>
                <w:sz w:val="20"/>
                <w:szCs w:val="20"/>
              </w:rPr>
              <w:t>91</w:t>
            </w:r>
            <w:r w:rsidR="00011C3B">
              <w:rPr>
                <w:sz w:val="20"/>
                <w:szCs w:val="20"/>
              </w:rPr>
              <w:t>,04</w:t>
            </w:r>
            <w:r w:rsidR="00011C3B" w:rsidRPr="00A174E7">
              <w:rPr>
                <w:sz w:val="20"/>
                <w:szCs w:val="20"/>
              </w:rPr>
              <w:t xml:space="preserve"> millió</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rPr>
                <w:sz w:val="20"/>
                <w:szCs w:val="20"/>
              </w:rPr>
            </w:pPr>
            <w:r w:rsidRPr="00A174E7">
              <w:rPr>
                <w:sz w:val="20"/>
                <w:szCs w:val="20"/>
              </w:rPr>
              <w:t>A földterület típusa:</w:t>
            </w:r>
            <w:r w:rsidRPr="00A174E7">
              <w:rPr>
                <w:sz w:val="20"/>
                <w:szCs w:val="20"/>
                <w:lang w:val="en-GB"/>
              </w:rPr>
              <w:t xml:space="preserve"> </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 </w:t>
            </w:r>
          </w:p>
        </w:tc>
        <w:tc>
          <w:tcPr>
            <w:tcW w:w="792" w:type="pct"/>
            <w:tcBorders>
              <w:bottom w:val="single" w:sz="4" w:space="0" w:color="auto"/>
            </w:tcBorders>
          </w:tcPr>
          <w:p w:rsidR="00011C3B" w:rsidRPr="00A174E7" w:rsidRDefault="00011C3B" w:rsidP="00011C3B">
            <w:pPr>
              <w:spacing w:after="0"/>
              <w:jc w:val="right"/>
              <w:rPr>
                <w:sz w:val="20"/>
                <w:szCs w:val="20"/>
                <w:lang w:val="en-GB"/>
              </w:rPr>
            </w:pP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ind w:firstLineChars="223" w:firstLine="446"/>
              <w:rPr>
                <w:sz w:val="20"/>
                <w:szCs w:val="20"/>
              </w:rPr>
            </w:pPr>
            <w:r w:rsidRPr="00A174E7">
              <w:rPr>
                <w:sz w:val="20"/>
                <w:szCs w:val="20"/>
              </w:rPr>
              <w:t>Gazdálkodást szolgáló terület</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90</w:t>
            </w:r>
          </w:p>
        </w:tc>
        <w:tc>
          <w:tcPr>
            <w:tcW w:w="792" w:type="pct"/>
            <w:shd w:val="clear" w:color="auto" w:fill="auto"/>
          </w:tcPr>
          <w:p w:rsidR="00011C3B" w:rsidRPr="00A174E7" w:rsidRDefault="00011C3B" w:rsidP="00011C3B">
            <w:pPr>
              <w:spacing w:after="0"/>
              <w:jc w:val="right"/>
              <w:rPr>
                <w:sz w:val="20"/>
                <w:szCs w:val="20"/>
                <w:lang w:val="en-GB"/>
              </w:rPr>
            </w:pPr>
            <w:r>
              <w:rPr>
                <w:sz w:val="20"/>
                <w:szCs w:val="20"/>
                <w:lang w:val="en-GB"/>
              </w:rPr>
              <w:t>90,97</w:t>
            </w:r>
            <w:r w:rsidRPr="00A174E7">
              <w:rPr>
                <w:sz w:val="20"/>
                <w:szCs w:val="20"/>
                <w:lang w:val="en-GB"/>
              </w:rPr>
              <w:t xml:space="preserve"> </w:t>
            </w:r>
            <w:r w:rsidRPr="00A174E7">
              <w:rPr>
                <w:sz w:val="20"/>
                <w:szCs w:val="20"/>
              </w:rPr>
              <w:t>millió</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ind w:firstLineChars="223" w:firstLine="446"/>
              <w:rPr>
                <w:sz w:val="20"/>
                <w:szCs w:val="20"/>
              </w:rPr>
            </w:pPr>
            <w:r w:rsidRPr="00A174E7">
              <w:rPr>
                <w:sz w:val="20"/>
                <w:szCs w:val="20"/>
              </w:rPr>
              <w:t>Erdő</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0</w:t>
            </w:r>
          </w:p>
        </w:tc>
        <w:tc>
          <w:tcPr>
            <w:tcW w:w="792" w:type="pct"/>
          </w:tcPr>
          <w:p w:rsidR="00011C3B" w:rsidRPr="00A174E7" w:rsidRDefault="00011C3B" w:rsidP="00011C3B">
            <w:pPr>
              <w:spacing w:after="0"/>
              <w:jc w:val="right"/>
              <w:rPr>
                <w:sz w:val="20"/>
                <w:szCs w:val="20"/>
                <w:lang w:val="en-GB"/>
              </w:rPr>
            </w:pPr>
            <w:r>
              <w:rPr>
                <w:sz w:val="20"/>
                <w:szCs w:val="20"/>
                <w:lang w:val="en-GB"/>
              </w:rPr>
              <w:t>0,07</w:t>
            </w:r>
            <w:r w:rsidRPr="00A174E7">
              <w:rPr>
                <w:sz w:val="20"/>
                <w:szCs w:val="20"/>
                <w:lang w:val="en-GB"/>
              </w:rPr>
              <w:t xml:space="preserve"> millió</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rPr>
                <w:sz w:val="20"/>
                <w:szCs w:val="20"/>
              </w:rPr>
            </w:pPr>
            <w:r w:rsidRPr="00A174E7">
              <w:rPr>
                <w:sz w:val="20"/>
                <w:szCs w:val="20"/>
              </w:rPr>
              <w:t>Tevékenység típusa:</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 </w:t>
            </w:r>
          </w:p>
        </w:tc>
        <w:tc>
          <w:tcPr>
            <w:tcW w:w="792" w:type="pct"/>
          </w:tcPr>
          <w:p w:rsidR="00011C3B" w:rsidRPr="00A174E7" w:rsidRDefault="00011C3B" w:rsidP="00011C3B">
            <w:pPr>
              <w:spacing w:after="0"/>
              <w:jc w:val="right"/>
              <w:rPr>
                <w:sz w:val="20"/>
                <w:szCs w:val="20"/>
                <w:lang w:val="en-GB"/>
              </w:rPr>
            </w:pP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 xml:space="preserve">megközelíthetőség </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54</w:t>
            </w:r>
          </w:p>
        </w:tc>
        <w:tc>
          <w:tcPr>
            <w:tcW w:w="792" w:type="pct"/>
          </w:tcPr>
          <w:p w:rsidR="00011C3B" w:rsidRPr="00A174E7" w:rsidRDefault="00011C3B" w:rsidP="00011C3B">
            <w:pPr>
              <w:spacing w:after="0"/>
              <w:jc w:val="right"/>
              <w:rPr>
                <w:sz w:val="20"/>
                <w:szCs w:val="20"/>
                <w:lang w:val="en-GB"/>
              </w:rPr>
            </w:pPr>
            <w:r>
              <w:rPr>
                <w:sz w:val="20"/>
                <w:szCs w:val="20"/>
                <w:lang w:val="en-GB"/>
              </w:rPr>
              <w:t>42,21</w:t>
            </w:r>
            <w:r w:rsidRPr="00A174E7">
              <w:rPr>
                <w:sz w:val="20"/>
                <w:szCs w:val="20"/>
                <w:lang w:val="en-GB"/>
              </w:rPr>
              <w:t xml:space="preserve"> millió</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energiaellátás</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0</w:t>
            </w:r>
          </w:p>
        </w:tc>
        <w:tc>
          <w:tcPr>
            <w:tcW w:w="792" w:type="pct"/>
          </w:tcPr>
          <w:p w:rsidR="00011C3B" w:rsidRPr="00A174E7" w:rsidRDefault="00011C3B" w:rsidP="00011C3B">
            <w:pPr>
              <w:spacing w:after="0"/>
              <w:jc w:val="right"/>
              <w:rPr>
                <w:sz w:val="20"/>
                <w:szCs w:val="20"/>
                <w:lang w:val="en-GB"/>
              </w:rPr>
            </w:pPr>
            <w:r w:rsidRPr="00A174E7">
              <w:rPr>
                <w:sz w:val="20"/>
                <w:szCs w:val="20"/>
                <w:lang w:val="en-GB"/>
              </w:rPr>
              <w:t>0</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vízgazdálkodás</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36</w:t>
            </w:r>
          </w:p>
        </w:tc>
        <w:tc>
          <w:tcPr>
            <w:tcW w:w="792" w:type="pct"/>
          </w:tcPr>
          <w:p w:rsidR="00011C3B" w:rsidRPr="00A174E7" w:rsidRDefault="00011C3B" w:rsidP="00011C3B">
            <w:pPr>
              <w:spacing w:after="0"/>
              <w:jc w:val="right"/>
              <w:rPr>
                <w:sz w:val="20"/>
                <w:szCs w:val="20"/>
                <w:lang w:val="en-GB"/>
              </w:rPr>
            </w:pPr>
            <w:r>
              <w:rPr>
                <w:sz w:val="20"/>
                <w:szCs w:val="20"/>
                <w:lang w:val="en-GB"/>
              </w:rPr>
              <w:t>48,83</w:t>
            </w:r>
            <w:r w:rsidRPr="00A174E7">
              <w:rPr>
                <w:sz w:val="20"/>
                <w:szCs w:val="20"/>
                <w:lang w:val="en-GB"/>
              </w:rPr>
              <w:t xml:space="preserve"> millió</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talaj konszolidáció és -javítás</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0</w:t>
            </w:r>
          </w:p>
        </w:tc>
        <w:tc>
          <w:tcPr>
            <w:tcW w:w="792" w:type="pct"/>
          </w:tcPr>
          <w:p w:rsidR="00011C3B" w:rsidRPr="00A174E7" w:rsidRDefault="00011C3B" w:rsidP="00011C3B">
            <w:pPr>
              <w:spacing w:after="0"/>
              <w:jc w:val="right"/>
              <w:rPr>
                <w:sz w:val="20"/>
                <w:szCs w:val="20"/>
                <w:lang w:val="en-GB"/>
              </w:rPr>
            </w:pPr>
            <w:r w:rsidRPr="00A174E7">
              <w:rPr>
                <w:sz w:val="20"/>
                <w:szCs w:val="20"/>
                <w:lang w:val="en-GB"/>
              </w:rPr>
              <w:t>0</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egyéb</w:t>
            </w:r>
          </w:p>
        </w:tc>
        <w:tc>
          <w:tcPr>
            <w:tcW w:w="821" w:type="pct"/>
            <w:shd w:val="clear" w:color="auto" w:fill="auto"/>
            <w:vAlign w:val="bottom"/>
          </w:tcPr>
          <w:p w:rsidR="00011C3B" w:rsidRPr="00A174E7" w:rsidRDefault="00011C3B" w:rsidP="00011C3B">
            <w:pPr>
              <w:spacing w:after="0"/>
              <w:jc w:val="right"/>
              <w:rPr>
                <w:sz w:val="20"/>
                <w:szCs w:val="20"/>
                <w:lang w:val="en-GB"/>
              </w:rPr>
            </w:pPr>
            <w:r w:rsidRPr="00A174E7">
              <w:rPr>
                <w:sz w:val="20"/>
                <w:szCs w:val="20"/>
                <w:lang w:val="en-GB"/>
              </w:rPr>
              <w:t> </w:t>
            </w:r>
          </w:p>
        </w:tc>
        <w:tc>
          <w:tcPr>
            <w:tcW w:w="792" w:type="pct"/>
            <w:tcBorders>
              <w:bottom w:val="single" w:sz="4" w:space="0" w:color="auto"/>
            </w:tcBorders>
          </w:tcPr>
          <w:p w:rsidR="00011C3B" w:rsidRPr="00A174E7" w:rsidRDefault="00011C3B" w:rsidP="00011C3B">
            <w:pPr>
              <w:spacing w:after="0"/>
              <w:jc w:val="right"/>
              <w:rPr>
                <w:sz w:val="20"/>
                <w:szCs w:val="20"/>
                <w:lang w:val="en-GB"/>
              </w:rPr>
            </w:pPr>
            <w:r w:rsidRPr="00A174E7">
              <w:rPr>
                <w:sz w:val="20"/>
                <w:szCs w:val="20"/>
                <w:lang w:val="en-GB"/>
              </w:rPr>
              <w:t>0</w:t>
            </w:r>
          </w:p>
        </w:tc>
      </w:tr>
      <w:tr w:rsidR="00011C3B" w:rsidRPr="00A174E7" w:rsidTr="00011C3B">
        <w:trPr>
          <w:cantSplit/>
          <w:jc w:val="center"/>
        </w:trPr>
        <w:tc>
          <w:tcPr>
            <w:tcW w:w="315" w:type="pct"/>
            <w:vMerge w:val="restart"/>
          </w:tcPr>
          <w:p w:rsidR="00011C3B" w:rsidRPr="00A174E7" w:rsidRDefault="00011C3B" w:rsidP="00011C3B">
            <w:pPr>
              <w:spacing w:after="0"/>
              <w:rPr>
                <w:sz w:val="20"/>
                <w:szCs w:val="20"/>
              </w:rPr>
            </w:pPr>
            <w:r w:rsidRPr="00A174E7">
              <w:rPr>
                <w:sz w:val="20"/>
                <w:szCs w:val="20"/>
              </w:rPr>
              <w:lastRenderedPageBreak/>
              <w:t>R</w:t>
            </w:r>
          </w:p>
        </w:tc>
        <w:tc>
          <w:tcPr>
            <w:tcW w:w="3072" w:type="pct"/>
            <w:shd w:val="clear" w:color="auto" w:fill="auto"/>
          </w:tcPr>
          <w:p w:rsidR="00011C3B" w:rsidRPr="00A174E7" w:rsidRDefault="00011C3B" w:rsidP="00011C3B">
            <w:pPr>
              <w:spacing w:after="0"/>
              <w:rPr>
                <w:sz w:val="20"/>
                <w:szCs w:val="20"/>
              </w:rPr>
            </w:pPr>
            <w:r w:rsidRPr="00A174E7">
              <w:rPr>
                <w:sz w:val="20"/>
                <w:szCs w:val="20"/>
              </w:rPr>
              <w:t>A bruttó hozzáadott érték növekedése a támogatott birtokok/vállalkozások esetén (euró)</w:t>
            </w:r>
          </w:p>
        </w:tc>
        <w:tc>
          <w:tcPr>
            <w:tcW w:w="821" w:type="pct"/>
            <w:shd w:val="clear" w:color="auto" w:fill="auto"/>
          </w:tcPr>
          <w:p w:rsidR="00011C3B" w:rsidRPr="00A174E7" w:rsidRDefault="00011C3B" w:rsidP="00011C3B">
            <w:pPr>
              <w:spacing w:after="0"/>
              <w:jc w:val="right"/>
              <w:rPr>
                <w:sz w:val="20"/>
                <w:szCs w:val="20"/>
                <w:lang w:val="en-GB"/>
              </w:rPr>
            </w:pPr>
            <w:r w:rsidRPr="00A174E7">
              <w:rPr>
                <w:sz w:val="20"/>
                <w:szCs w:val="20"/>
                <w:lang w:val="en-GB"/>
              </w:rPr>
              <w:t xml:space="preserve">93 millió </w:t>
            </w:r>
          </w:p>
        </w:tc>
        <w:tc>
          <w:tcPr>
            <w:tcW w:w="792" w:type="pct"/>
            <w:shd w:val="clear" w:color="auto" w:fill="auto"/>
          </w:tcPr>
          <w:p w:rsidR="00011C3B" w:rsidRPr="00A174E7" w:rsidRDefault="00011C3B" w:rsidP="00011C3B">
            <w:pPr>
              <w:spacing w:after="0"/>
              <w:jc w:val="right"/>
              <w:rPr>
                <w:sz w:val="20"/>
                <w:szCs w:val="20"/>
              </w:rPr>
            </w:pPr>
            <w:r w:rsidRPr="00017030">
              <w:rPr>
                <w:sz w:val="20"/>
                <w:szCs w:val="20"/>
              </w:rPr>
              <w:t>31,599 millió</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rPr>
                <w:sz w:val="20"/>
                <w:szCs w:val="20"/>
              </w:rPr>
            </w:pPr>
            <w:r w:rsidRPr="00A174E7">
              <w:rPr>
                <w:sz w:val="20"/>
                <w:szCs w:val="20"/>
              </w:rPr>
              <w:t>Intézkedés</w:t>
            </w:r>
          </w:p>
        </w:tc>
        <w:tc>
          <w:tcPr>
            <w:tcW w:w="821" w:type="pct"/>
            <w:shd w:val="clear" w:color="auto" w:fill="auto"/>
          </w:tcPr>
          <w:p w:rsidR="00011C3B" w:rsidRPr="00A174E7" w:rsidRDefault="00011C3B" w:rsidP="00011C3B">
            <w:pPr>
              <w:spacing w:after="0"/>
              <w:jc w:val="right"/>
              <w:rPr>
                <w:sz w:val="20"/>
                <w:szCs w:val="20"/>
                <w:lang w:val="en-GB"/>
              </w:rPr>
            </w:pPr>
            <w:r w:rsidRPr="00A174E7">
              <w:rPr>
                <w:sz w:val="20"/>
                <w:szCs w:val="20"/>
                <w:lang w:val="en-GB"/>
              </w:rPr>
              <w:t> </w:t>
            </w:r>
          </w:p>
        </w:tc>
        <w:tc>
          <w:tcPr>
            <w:tcW w:w="792" w:type="pct"/>
            <w:shd w:val="clear" w:color="auto" w:fill="auto"/>
          </w:tcPr>
          <w:p w:rsidR="00011C3B" w:rsidRPr="00A174E7" w:rsidRDefault="00011C3B" w:rsidP="00011C3B">
            <w:pPr>
              <w:spacing w:after="0"/>
              <w:jc w:val="right"/>
              <w:rPr>
                <w:sz w:val="20"/>
                <w:szCs w:val="20"/>
                <w:lang w:val="en-GB"/>
              </w:rPr>
            </w:pP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011C3B">
            <w:pPr>
              <w:spacing w:after="0"/>
              <w:rPr>
                <w:sz w:val="20"/>
                <w:szCs w:val="20"/>
              </w:rPr>
            </w:pPr>
            <w:r w:rsidRPr="00A174E7">
              <w:rPr>
                <w:sz w:val="20"/>
                <w:szCs w:val="20"/>
              </w:rPr>
              <w:t>Ágazat:</w:t>
            </w:r>
          </w:p>
        </w:tc>
        <w:tc>
          <w:tcPr>
            <w:tcW w:w="821" w:type="pct"/>
            <w:shd w:val="clear" w:color="auto" w:fill="auto"/>
          </w:tcPr>
          <w:p w:rsidR="00011C3B" w:rsidRPr="00A174E7" w:rsidRDefault="00011C3B" w:rsidP="00011C3B">
            <w:pPr>
              <w:spacing w:after="0"/>
              <w:jc w:val="right"/>
              <w:rPr>
                <w:sz w:val="20"/>
                <w:szCs w:val="20"/>
                <w:lang w:val="en-GB"/>
              </w:rPr>
            </w:pPr>
            <w:r w:rsidRPr="00A174E7">
              <w:rPr>
                <w:sz w:val="20"/>
                <w:szCs w:val="20"/>
                <w:lang w:val="en-GB"/>
              </w:rPr>
              <w:t> </w:t>
            </w:r>
          </w:p>
        </w:tc>
        <w:tc>
          <w:tcPr>
            <w:tcW w:w="792" w:type="pct"/>
            <w:shd w:val="clear" w:color="auto" w:fill="auto"/>
          </w:tcPr>
          <w:p w:rsidR="00011C3B" w:rsidRPr="00A174E7" w:rsidRDefault="00011C3B" w:rsidP="00011C3B">
            <w:pPr>
              <w:spacing w:after="0"/>
              <w:jc w:val="right"/>
              <w:rPr>
                <w:sz w:val="20"/>
                <w:szCs w:val="20"/>
                <w:lang w:val="en-GB"/>
              </w:rPr>
            </w:pP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mezőgazdaság</w:t>
            </w:r>
          </w:p>
        </w:tc>
        <w:tc>
          <w:tcPr>
            <w:tcW w:w="821" w:type="pct"/>
            <w:shd w:val="clear" w:color="auto" w:fill="auto"/>
          </w:tcPr>
          <w:p w:rsidR="00011C3B" w:rsidRPr="00A174E7" w:rsidRDefault="00011C3B" w:rsidP="00011C3B">
            <w:pPr>
              <w:spacing w:after="0"/>
              <w:jc w:val="right"/>
              <w:rPr>
                <w:sz w:val="20"/>
                <w:szCs w:val="20"/>
                <w:lang w:val="en-GB"/>
              </w:rPr>
            </w:pPr>
            <w:r w:rsidRPr="00A174E7">
              <w:rPr>
                <w:sz w:val="20"/>
                <w:szCs w:val="20"/>
                <w:lang w:val="en-GB"/>
              </w:rPr>
              <w:t>93</w:t>
            </w:r>
          </w:p>
        </w:tc>
        <w:tc>
          <w:tcPr>
            <w:tcW w:w="792" w:type="pct"/>
            <w:shd w:val="clear" w:color="auto" w:fill="auto"/>
          </w:tcPr>
          <w:p w:rsidR="00011C3B" w:rsidRPr="00A174E7" w:rsidRDefault="00011C3B" w:rsidP="00011C3B">
            <w:pPr>
              <w:spacing w:after="0"/>
              <w:jc w:val="right"/>
              <w:rPr>
                <w:sz w:val="20"/>
                <w:szCs w:val="20"/>
                <w:lang w:val="en-GB"/>
              </w:rPr>
            </w:pPr>
            <w:r w:rsidRPr="00017030">
              <w:rPr>
                <w:sz w:val="20"/>
                <w:szCs w:val="20"/>
                <w:lang w:val="en-GB"/>
              </w:rPr>
              <w:t>31,599</w:t>
            </w:r>
          </w:p>
        </w:tc>
      </w:tr>
      <w:tr w:rsidR="00011C3B" w:rsidRPr="00A174E7"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A174E7" w:rsidRDefault="00011C3B" w:rsidP="00495C8B">
            <w:pPr>
              <w:numPr>
                <w:ilvl w:val="0"/>
                <w:numId w:val="36"/>
              </w:numPr>
              <w:spacing w:after="0"/>
              <w:rPr>
                <w:sz w:val="20"/>
                <w:szCs w:val="20"/>
              </w:rPr>
            </w:pPr>
            <w:r w:rsidRPr="00A174E7">
              <w:rPr>
                <w:sz w:val="20"/>
                <w:szCs w:val="20"/>
              </w:rPr>
              <w:t>élelmiszeripar</w:t>
            </w:r>
          </w:p>
        </w:tc>
        <w:tc>
          <w:tcPr>
            <w:tcW w:w="821" w:type="pct"/>
            <w:shd w:val="clear" w:color="auto" w:fill="auto"/>
          </w:tcPr>
          <w:p w:rsidR="00011C3B" w:rsidRPr="00A174E7" w:rsidRDefault="00011C3B" w:rsidP="00011C3B">
            <w:pPr>
              <w:spacing w:after="0"/>
              <w:jc w:val="right"/>
              <w:rPr>
                <w:sz w:val="20"/>
                <w:szCs w:val="20"/>
                <w:lang w:val="en-GB"/>
              </w:rPr>
            </w:pPr>
            <w:r w:rsidRPr="00A174E7">
              <w:rPr>
                <w:sz w:val="20"/>
                <w:szCs w:val="20"/>
                <w:lang w:val="en-GB"/>
              </w:rPr>
              <w:t>0</w:t>
            </w:r>
          </w:p>
        </w:tc>
        <w:tc>
          <w:tcPr>
            <w:tcW w:w="792" w:type="pct"/>
            <w:shd w:val="clear" w:color="auto" w:fill="auto"/>
          </w:tcPr>
          <w:p w:rsidR="00011C3B" w:rsidRPr="00A174E7" w:rsidRDefault="00011C3B" w:rsidP="00011C3B">
            <w:pPr>
              <w:spacing w:after="0"/>
              <w:jc w:val="right"/>
              <w:rPr>
                <w:sz w:val="20"/>
                <w:szCs w:val="20"/>
                <w:lang w:val="en-GB"/>
              </w:rPr>
            </w:pPr>
            <w:r w:rsidRPr="00017030">
              <w:rPr>
                <w:sz w:val="20"/>
                <w:szCs w:val="20"/>
                <w:lang w:val="en-GB"/>
              </w:rPr>
              <w:t>0</w:t>
            </w:r>
          </w:p>
        </w:tc>
      </w:tr>
      <w:tr w:rsidR="00011C3B" w:rsidRPr="00E42E7E"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E42E7E" w:rsidRDefault="00011C3B" w:rsidP="00495C8B">
            <w:pPr>
              <w:numPr>
                <w:ilvl w:val="0"/>
                <w:numId w:val="36"/>
              </w:numPr>
              <w:spacing w:after="0"/>
              <w:rPr>
                <w:sz w:val="20"/>
                <w:szCs w:val="20"/>
              </w:rPr>
            </w:pPr>
            <w:r w:rsidRPr="00E42E7E">
              <w:rPr>
                <w:sz w:val="20"/>
                <w:szCs w:val="20"/>
              </w:rPr>
              <w:t>erdőgazdálkodás</w:t>
            </w:r>
          </w:p>
        </w:tc>
        <w:tc>
          <w:tcPr>
            <w:tcW w:w="821" w:type="pct"/>
            <w:shd w:val="clear" w:color="auto" w:fill="auto"/>
          </w:tcPr>
          <w:p w:rsidR="00011C3B" w:rsidRPr="00E42E7E" w:rsidRDefault="00011C3B" w:rsidP="00011C3B">
            <w:pPr>
              <w:spacing w:after="0"/>
              <w:jc w:val="right"/>
              <w:rPr>
                <w:sz w:val="20"/>
                <w:szCs w:val="20"/>
                <w:lang w:val="en-GB"/>
              </w:rPr>
            </w:pPr>
            <w:r w:rsidRPr="00E42E7E">
              <w:rPr>
                <w:sz w:val="20"/>
                <w:szCs w:val="20"/>
                <w:lang w:val="en-GB"/>
              </w:rPr>
              <w:t>0</w:t>
            </w:r>
          </w:p>
        </w:tc>
        <w:tc>
          <w:tcPr>
            <w:tcW w:w="792" w:type="pct"/>
            <w:shd w:val="clear" w:color="auto" w:fill="auto"/>
          </w:tcPr>
          <w:p w:rsidR="00011C3B" w:rsidRPr="00E42E7E" w:rsidRDefault="00011C3B" w:rsidP="00011C3B">
            <w:pPr>
              <w:spacing w:after="0"/>
              <w:jc w:val="right"/>
              <w:rPr>
                <w:sz w:val="20"/>
                <w:szCs w:val="20"/>
                <w:lang w:val="en-GB"/>
              </w:rPr>
            </w:pPr>
            <w:r w:rsidRPr="00E42E7E">
              <w:rPr>
                <w:sz w:val="20"/>
                <w:szCs w:val="20"/>
                <w:lang w:val="en-GB"/>
              </w:rPr>
              <w:t>0</w:t>
            </w:r>
          </w:p>
        </w:tc>
      </w:tr>
      <w:tr w:rsidR="00011C3B" w:rsidRPr="00E42E7E" w:rsidTr="00011C3B">
        <w:trPr>
          <w:cantSplit/>
          <w:jc w:val="center"/>
        </w:trPr>
        <w:tc>
          <w:tcPr>
            <w:tcW w:w="315" w:type="pct"/>
            <w:vMerge w:val="restart"/>
          </w:tcPr>
          <w:p w:rsidR="00011C3B" w:rsidRPr="00A174E7" w:rsidRDefault="00011C3B" w:rsidP="00011C3B">
            <w:pPr>
              <w:spacing w:after="0"/>
              <w:rPr>
                <w:sz w:val="20"/>
                <w:szCs w:val="20"/>
              </w:rPr>
            </w:pPr>
            <w:r w:rsidRPr="00A174E7">
              <w:rPr>
                <w:sz w:val="20"/>
                <w:szCs w:val="20"/>
              </w:rPr>
              <w:t>I</w:t>
            </w:r>
          </w:p>
        </w:tc>
        <w:tc>
          <w:tcPr>
            <w:tcW w:w="3072" w:type="pct"/>
            <w:shd w:val="clear" w:color="auto" w:fill="auto"/>
          </w:tcPr>
          <w:p w:rsidR="00011C3B" w:rsidRPr="00E42E7E" w:rsidRDefault="00011C3B" w:rsidP="00011C3B">
            <w:pPr>
              <w:spacing w:after="0"/>
              <w:ind w:left="244"/>
              <w:rPr>
                <w:sz w:val="20"/>
                <w:szCs w:val="20"/>
              </w:rPr>
            </w:pPr>
            <w:r w:rsidRPr="00E42E7E">
              <w:rPr>
                <w:sz w:val="20"/>
                <w:szCs w:val="20"/>
              </w:rPr>
              <w:t>Nettó hozzáadott érték PPS-ben kifejezve (euró)</w:t>
            </w:r>
          </w:p>
        </w:tc>
        <w:tc>
          <w:tcPr>
            <w:tcW w:w="821" w:type="pct"/>
            <w:shd w:val="clear" w:color="auto" w:fill="auto"/>
          </w:tcPr>
          <w:p w:rsidR="00011C3B" w:rsidRPr="00E42E7E" w:rsidRDefault="00011C3B" w:rsidP="00011C3B">
            <w:pPr>
              <w:spacing w:after="0"/>
              <w:ind w:left="244"/>
              <w:jc w:val="right"/>
              <w:rPr>
                <w:sz w:val="20"/>
                <w:szCs w:val="20"/>
                <w:lang w:val="en-GB"/>
              </w:rPr>
            </w:pPr>
            <w:r w:rsidRPr="00E42E7E">
              <w:rPr>
                <w:sz w:val="20"/>
                <w:szCs w:val="20"/>
                <w:lang w:val="en-GB"/>
              </w:rPr>
              <w:t xml:space="preserve">130 millió </w:t>
            </w:r>
          </w:p>
        </w:tc>
        <w:tc>
          <w:tcPr>
            <w:tcW w:w="792" w:type="pct"/>
            <w:shd w:val="clear" w:color="auto" w:fill="auto"/>
          </w:tcPr>
          <w:p w:rsidR="00011C3B" w:rsidRPr="00E42E7E" w:rsidRDefault="00011C3B" w:rsidP="00011C3B">
            <w:pPr>
              <w:spacing w:after="0"/>
              <w:ind w:left="244"/>
              <w:jc w:val="right"/>
              <w:rPr>
                <w:sz w:val="20"/>
                <w:szCs w:val="20"/>
              </w:rPr>
            </w:pPr>
            <w:r w:rsidRPr="00E42E7E">
              <w:rPr>
                <w:sz w:val="20"/>
                <w:szCs w:val="20"/>
              </w:rPr>
              <w:t>NA</w:t>
            </w:r>
          </w:p>
        </w:tc>
      </w:tr>
      <w:tr w:rsidR="00011C3B" w:rsidRPr="00E42E7E" w:rsidTr="00011C3B">
        <w:trPr>
          <w:cantSplit/>
          <w:jc w:val="center"/>
        </w:trPr>
        <w:tc>
          <w:tcPr>
            <w:tcW w:w="315" w:type="pct"/>
            <w:vMerge/>
          </w:tcPr>
          <w:p w:rsidR="00011C3B" w:rsidRPr="00A174E7" w:rsidRDefault="00011C3B" w:rsidP="00011C3B">
            <w:pPr>
              <w:spacing w:after="0"/>
              <w:rPr>
                <w:sz w:val="20"/>
                <w:szCs w:val="20"/>
              </w:rPr>
            </w:pPr>
          </w:p>
        </w:tc>
        <w:tc>
          <w:tcPr>
            <w:tcW w:w="3072" w:type="pct"/>
            <w:shd w:val="clear" w:color="auto" w:fill="auto"/>
          </w:tcPr>
          <w:p w:rsidR="00011C3B" w:rsidRPr="00E42E7E" w:rsidRDefault="00011C3B" w:rsidP="00011C3B">
            <w:pPr>
              <w:spacing w:after="0"/>
              <w:ind w:left="244"/>
              <w:rPr>
                <w:sz w:val="20"/>
                <w:szCs w:val="20"/>
              </w:rPr>
            </w:pPr>
            <w:r w:rsidRPr="00E42E7E">
              <w:rPr>
                <w:sz w:val="20"/>
                <w:szCs w:val="20"/>
              </w:rPr>
              <w:t>A bruttó hozzáadott érték változása teljes munkaidő egyenértékhez viszonyítva (euró)</w:t>
            </w:r>
          </w:p>
        </w:tc>
        <w:tc>
          <w:tcPr>
            <w:tcW w:w="821" w:type="pct"/>
            <w:shd w:val="clear" w:color="auto" w:fill="auto"/>
          </w:tcPr>
          <w:p w:rsidR="00011C3B" w:rsidRPr="00E42E7E" w:rsidRDefault="00011C3B" w:rsidP="00011C3B">
            <w:pPr>
              <w:spacing w:after="0"/>
              <w:ind w:left="244"/>
              <w:jc w:val="right"/>
              <w:rPr>
                <w:sz w:val="20"/>
                <w:szCs w:val="20"/>
                <w:lang w:val="en-GB"/>
              </w:rPr>
            </w:pPr>
            <w:r w:rsidRPr="00E42E7E">
              <w:rPr>
                <w:sz w:val="20"/>
                <w:szCs w:val="20"/>
                <w:lang w:val="en-GB"/>
              </w:rPr>
              <w:t xml:space="preserve">19.500 </w:t>
            </w:r>
          </w:p>
        </w:tc>
        <w:tc>
          <w:tcPr>
            <w:tcW w:w="792" w:type="pct"/>
            <w:shd w:val="clear" w:color="auto" w:fill="auto"/>
          </w:tcPr>
          <w:p w:rsidR="00011C3B" w:rsidRPr="00E42E7E" w:rsidRDefault="00011C3B" w:rsidP="00011C3B">
            <w:pPr>
              <w:spacing w:after="0"/>
              <w:ind w:left="244"/>
              <w:jc w:val="right"/>
              <w:rPr>
                <w:sz w:val="20"/>
                <w:szCs w:val="20"/>
                <w:lang w:val="en-GB"/>
              </w:rPr>
            </w:pPr>
            <w:r w:rsidRPr="00E42E7E">
              <w:rPr>
                <w:sz w:val="20"/>
                <w:szCs w:val="20"/>
                <w:lang w:val="en-GB"/>
              </w:rPr>
              <w:t>NA</w:t>
            </w:r>
          </w:p>
        </w:tc>
      </w:tr>
    </w:tbl>
    <w:p w:rsidR="00011C3B" w:rsidRDefault="00011C3B" w:rsidP="00011C3B">
      <w:pPr>
        <w:pStyle w:val="Normlforrs"/>
      </w:pPr>
      <w:r w:rsidRPr="00F35797">
        <w:t>Forrás: MVH</w:t>
      </w:r>
    </w:p>
    <w:p w:rsidR="00011C3B" w:rsidRDefault="00011C3B" w:rsidP="004869BB">
      <w:r w:rsidRPr="00604B6F">
        <w:t>Az indikátorok vizsgálata alapján a tervezettől kevesebb a támogatásban részesülő beruházások száma</w:t>
      </w:r>
      <w:r>
        <w:t>, ugyanakkor az előző évihez képest jelentős a változás növekedése egyes esetekben</w:t>
      </w:r>
      <w:r w:rsidRPr="00604B6F">
        <w:t>.</w:t>
      </w:r>
      <w:r>
        <w:t xml:space="preserve"> Azonban figyelemmel kell lenni arra</w:t>
      </w:r>
      <w:r w:rsidRPr="00604B6F">
        <w:t xml:space="preserve">, hogy nem </w:t>
      </w:r>
      <w:r w:rsidR="00890C0F">
        <w:t xml:space="preserve">került </w:t>
      </w:r>
      <w:r w:rsidRPr="00604B6F">
        <w:t>megnyit</w:t>
      </w:r>
      <w:r w:rsidR="00890C0F">
        <w:t>ásra</w:t>
      </w:r>
      <w:r w:rsidRPr="00604B6F">
        <w:t xml:space="preserve"> a mezőgazdasági üzemek víz- és energiaellátása és a birtokrendezés jogcím. </w:t>
      </w:r>
    </w:p>
    <w:p w:rsidR="00E442DA" w:rsidRDefault="00E442DA" w:rsidP="00E442DA">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442DA"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Pr="00B67120">
        <w:rPr>
          <w:rFonts w:cs="Times New Roman"/>
        </w:rPr>
        <w:t>A BHÉ értékeket a társasági adóbevallással nem rendelkező kedvezményezettek esetén FAD</w:t>
      </w:r>
      <w:r>
        <w:rPr>
          <w:rFonts w:cs="Times New Roman"/>
        </w:rPr>
        <w:t>N mutatóra alapozott becslésre alapozva számolta az AKI, a becslés során figyelembe vette</w:t>
      </w:r>
      <w:r w:rsidRPr="00B67120">
        <w:rPr>
          <w:rFonts w:cs="Times New Roman"/>
        </w:rPr>
        <w:t xml:space="preserve"> azok legjellemzőbb mezőgazdasági ágazatukat valamint méretüket.</w:t>
      </w:r>
    </w:p>
    <w:p w:rsidR="00E42E7E" w:rsidRPr="000E0FD3" w:rsidRDefault="00E442DA" w:rsidP="00E442DA">
      <w:r>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p>
    <w:p w:rsidR="00011C3B" w:rsidRPr="00604B6F" w:rsidRDefault="00011C3B" w:rsidP="00715E86">
      <w:pPr>
        <w:pStyle w:val="Cmsor4"/>
      </w:pPr>
      <w:r w:rsidRPr="00604B6F">
        <w:t xml:space="preserve">Az öntözés, a melioráció és a területi vízgazdálkodás mezőgazdasági üzemi és közösségi létesítményeinek fejlesztése támogatási jogcím </w:t>
      </w:r>
      <w:r>
        <w:t>rövid bemutatása</w:t>
      </w:r>
    </w:p>
    <w:p w:rsidR="00890C0F" w:rsidRPr="00BA5A0B" w:rsidRDefault="00890C0F" w:rsidP="00890C0F">
      <w:r w:rsidRPr="00BA5A0B">
        <w:t>A jogcím a Program 125 intézkedésének megvalósítását szolgálja és</w:t>
      </w:r>
      <w:r w:rsidR="00126F94" w:rsidRPr="00BA5A0B">
        <w:t xml:space="preserve"> szorosan kapcsolódik a Program 121.1 alintézkedésének - Beruházások a szántóföldi növénytermesztésben és a kertészetben -</w:t>
      </w:r>
      <w:r w:rsidRPr="00BA5A0B">
        <w:t>, így egy jogcímrendelet keretében került meghirdetésre az öntözés, a melioráció és a területi vízgazdálkodás mezőgazdasági üzemi és közösségi létesítményeinek fejlesztéséhez nyújtandó támogatási jogcímrendelet keretében (34/2008. (III. 27.) FVM rendelet).</w:t>
      </w:r>
    </w:p>
    <w:p w:rsidR="00890C0F" w:rsidRDefault="00890C0F" w:rsidP="00890C0F">
      <w:r w:rsidRPr="00BA5A0B">
        <w:t>A két egymáshoz kapcsolódó intézkedés egy jogcímrendelet keretében történő meghirdetése csak a kedvezményezettek számára történő átláthatóságot biztosította. A két intézkedés esetében a Programban rögzített tevékenységi és kedvezményezettek közötti lehatárolást a jogcímrendelet egyértelműen szabályozza.</w:t>
      </w:r>
    </w:p>
    <w:p w:rsidR="00890C0F" w:rsidRDefault="00890C0F" w:rsidP="00890C0F">
      <w:r w:rsidRPr="00604B6F">
        <w:lastRenderedPageBreak/>
        <w:t xml:space="preserve">A </w:t>
      </w:r>
      <w:r w:rsidRPr="008400C0">
        <w:t xml:space="preserve">2012-es év során a jogcímet érintő rendelet egy alkalommal került módosításra </w:t>
      </w:r>
      <w:r>
        <w:t xml:space="preserve">a </w:t>
      </w:r>
      <w:r w:rsidRPr="008400C0">
        <w:t>76/2012.</w:t>
      </w:r>
      <w:r>
        <w:t> </w:t>
      </w:r>
      <w:r w:rsidRPr="008400C0">
        <w:t>(VII.27.) VM rendelet</w:t>
      </w:r>
      <w:r>
        <w:t xml:space="preserve"> keretében</w:t>
      </w:r>
      <w:r w:rsidRPr="008400C0">
        <w:t xml:space="preserve">. A </w:t>
      </w:r>
      <w:r>
        <w:t xml:space="preserve">módosítás a </w:t>
      </w:r>
      <w:r w:rsidRPr="008400C0">
        <w:t>technikai</w:t>
      </w:r>
      <w:r>
        <w:t xml:space="preserve"> jellegű módosítás mellett módosítja az</w:t>
      </w:r>
      <w:r w:rsidRPr="00CF0379">
        <w:t xml:space="preserve"> egyéb elszámolható kiadásnak nem minősülő összeg</w:t>
      </w:r>
      <w:r>
        <w:t xml:space="preserve"> elszámolására benyújtható</w:t>
      </w:r>
      <w:r w:rsidRPr="00CF0379">
        <w:t xml:space="preserve"> </w:t>
      </w:r>
      <w:r>
        <w:t>első kifizetési kérelem beadásának határidejét</w:t>
      </w:r>
      <w:r w:rsidRPr="00CF0379">
        <w:t xml:space="preserve"> legkésőbb 2012. </w:t>
      </w:r>
      <w:r>
        <w:t>december 31. napjára.</w:t>
      </w:r>
      <w:r w:rsidRPr="00604B6F">
        <w:t xml:space="preserve"> </w:t>
      </w:r>
    </w:p>
    <w:p w:rsidR="00011C3B" w:rsidRPr="00604B6F" w:rsidRDefault="00890C0F" w:rsidP="00890C0F">
      <w:pPr>
        <w:rPr>
          <w:szCs w:val="22"/>
        </w:rPr>
      </w:pPr>
      <w:r w:rsidRPr="00604B6F">
        <w:t xml:space="preserve">A támogatási </w:t>
      </w:r>
      <w:r>
        <w:t>jogcím</w:t>
      </w:r>
      <w:r w:rsidRPr="00604B6F">
        <w:t xml:space="preserve"> keretében technológia- és gépbeszerzés, építési valamint </w:t>
      </w:r>
      <w:r>
        <w:t>végrehajtási rendelet</w:t>
      </w:r>
      <w:r w:rsidRPr="00604B6F">
        <w:t xml:space="preserve"> szerinti egyéb elszámolható kiadások számolhatóak el. Az elszámolt kiadások döntő többségét adó építési beruházások elszámolás</w:t>
      </w:r>
      <w:r>
        <w:t>ára</w:t>
      </w:r>
      <w:r w:rsidRPr="00604B6F">
        <w:t xml:space="preserve"> vagy az Építési Normagyűjtemény referenciaárai vagy – amennyiben ez nem lehetséges, akkor - az ügyfél által beszerzett árajánlatok alapján kerülhet sor.</w:t>
      </w:r>
    </w:p>
    <w:p w:rsidR="00011C3B" w:rsidRPr="00F92037" w:rsidRDefault="007E5FDF" w:rsidP="00F92037">
      <w:pPr>
        <w:pStyle w:val="bra-cmetbla"/>
      </w:pPr>
      <w:fldSimple w:instr=" SEQ táblázat \* ARABIC ">
        <w:r w:rsidR="00E5031F">
          <w:rPr>
            <w:noProof/>
          </w:rPr>
          <w:t>46</w:t>
        </w:r>
      </w:fldSimple>
      <w:r w:rsidR="00673DDE">
        <w:t xml:space="preserve">. táblázat: </w:t>
      </w:r>
      <w:r w:rsidR="00011C3B" w:rsidRPr="00F92037">
        <w:t xml:space="preserve">Az öntözés, a melioráció és a területi vízgazdálkodás mezőgazdasági üzemi és közösségi létesítményeinek fejlesztése támogatási jogcím 2012. évi eredményei </w:t>
      </w:r>
    </w:p>
    <w:p w:rsidR="00011C3B" w:rsidRPr="00F92037" w:rsidRDefault="00B452BF" w:rsidP="00F92037">
      <w:pPr>
        <w:pStyle w:val="bra-cmetbla"/>
      </w:pPr>
      <w:r w:rsidRPr="00F92037">
        <w:rPr>
          <w:noProof/>
        </w:rPr>
        <w:drawing>
          <wp:inline distT="0" distB="0" distL="0" distR="0" wp14:anchorId="4E4F65E2" wp14:editId="57045E73">
            <wp:extent cx="5167630" cy="1882140"/>
            <wp:effectExtent l="0" t="0" r="0" b="3810"/>
            <wp:docPr id="31"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B23ADA" w:rsidRDefault="00011C3B" w:rsidP="004869BB">
      <w:pPr>
        <w:rPr>
          <w:lang w:eastAsia="en-US" w:bidi="en-US"/>
        </w:rPr>
      </w:pPr>
      <w:r>
        <w:rPr>
          <w:lang w:eastAsia="en-US" w:bidi="en-US"/>
        </w:rPr>
        <w:t>A jogcímre 2012-ben támogatási kérelmet nem nyújtottak be</w:t>
      </w:r>
      <w:r w:rsidR="00B23ADA">
        <w:rPr>
          <w:lang w:eastAsia="en-US" w:bidi="en-US"/>
        </w:rPr>
        <w:t>, így a korábbi években benyújtott kérelmek esetében került sor támogatási határozathozatalra</w:t>
      </w:r>
      <w:r>
        <w:rPr>
          <w:lang w:eastAsia="en-US" w:bidi="en-US"/>
        </w:rPr>
        <w:t xml:space="preserve">. </w:t>
      </w:r>
    </w:p>
    <w:p w:rsidR="00011C3B" w:rsidRDefault="00011C3B" w:rsidP="004869BB">
      <w:r>
        <w:rPr>
          <w:lang w:eastAsia="en-US" w:bidi="en-US"/>
        </w:rPr>
        <w:t>Kifizetés 10 M euró (</w:t>
      </w:r>
      <w:r w:rsidR="00B23ADA">
        <w:rPr>
          <w:lang w:eastAsia="en-US" w:bidi="en-US"/>
        </w:rPr>
        <w:t>2,9</w:t>
      </w:r>
      <w:r>
        <w:rPr>
          <w:lang w:eastAsia="en-US" w:bidi="en-US"/>
        </w:rPr>
        <w:t xml:space="preserve"> Mrd Ft) összegben történt. </w:t>
      </w:r>
    </w:p>
    <w:p w:rsidR="00011C3B" w:rsidRDefault="00011C3B" w:rsidP="004869BB">
      <w:pPr>
        <w:rPr>
          <w:lang w:eastAsia="en-US" w:bidi="en-US"/>
        </w:rPr>
      </w:pPr>
      <w:r w:rsidRPr="006F44F8">
        <w:rPr>
          <w:lang w:eastAsia="en-US" w:bidi="en-US"/>
        </w:rPr>
        <w:t>A legnagyobb összegű kifizetés Csongrád és Jász-Nagykun-Szolnok megyében történt.</w:t>
      </w:r>
    </w:p>
    <w:p w:rsidR="00011C3B" w:rsidRPr="00604B6F" w:rsidRDefault="00011C3B" w:rsidP="00715E86">
      <w:pPr>
        <w:pStyle w:val="Cmsor4"/>
      </w:pPr>
      <w:r w:rsidRPr="00604B6F">
        <w:t>A</w:t>
      </w:r>
      <w:r w:rsidR="00764947">
        <w:t xml:space="preserve"> mezőgazdasági utak fejlesztéséhez nyújtandó támogatások jogcím </w:t>
      </w:r>
      <w:r w:rsidRPr="00604B6F">
        <w:t>rövid bemutatása</w:t>
      </w:r>
    </w:p>
    <w:p w:rsidR="00011C3B" w:rsidRPr="00604B6F" w:rsidRDefault="00011C3B" w:rsidP="004869BB">
      <w:r w:rsidRPr="00604B6F">
        <w:t xml:space="preserve">A mezőgazdaság és az erdészet fejlesztéséhez és korszerűsítéséhez kapcsolódó infrastruktúra fejlesztését célzó intézkedés másik, a mezőgazdasági utak fejlesztését szolgáló jogcíme először 2009-ben került </w:t>
      </w:r>
      <w:r w:rsidR="00B23ADA">
        <w:t>megnyi</w:t>
      </w:r>
      <w:r w:rsidR="00B23ADA" w:rsidRPr="00604B6F">
        <w:t>tásra</w:t>
      </w:r>
      <w:r w:rsidRPr="00604B6F">
        <w:t xml:space="preserve">. A támogatás célja a pormentesített vagy szilárd burkolatú, csak helyrajzi számmal rendelkező mezőgazdasági utak építése, felújítása a történelmi borvidékek megközelítése és a tanyás térségek elérhetőségének biztosítása, </w:t>
      </w:r>
      <w:r w:rsidR="00B23ADA">
        <w:t>a</w:t>
      </w:r>
      <w:r w:rsidR="00B23ADA" w:rsidRPr="00604B6F">
        <w:t xml:space="preserve"> </w:t>
      </w:r>
      <w:r w:rsidRPr="00604B6F">
        <w:t>fontos logisztikai utak fejlesztése érdekében.</w:t>
      </w:r>
    </w:p>
    <w:p w:rsidR="00890C0F" w:rsidRDefault="00890C0F" w:rsidP="00890C0F">
      <w:pPr>
        <w:spacing w:before="120"/>
        <w:ind w:firstLine="0"/>
        <w:rPr>
          <w:bCs/>
          <w:szCs w:val="22"/>
        </w:rPr>
      </w:pPr>
      <w:r w:rsidRPr="00604B6F">
        <w:t xml:space="preserve">A támogatási jogcímet </w:t>
      </w:r>
      <w:r>
        <w:t xml:space="preserve">az első támogatási kérelembenyújtási időszakban </w:t>
      </w:r>
      <w:r w:rsidRPr="00604B6F">
        <w:t>szabályozó 125/2009. (IX.</w:t>
      </w:r>
      <w:r>
        <w:t xml:space="preserve"> </w:t>
      </w:r>
      <w:r w:rsidRPr="00604B6F">
        <w:t>29.) FVM rendelet 201</w:t>
      </w:r>
      <w:r>
        <w:t>2</w:t>
      </w:r>
      <w:r w:rsidRPr="00604B6F">
        <w:t xml:space="preserve">-ben </w:t>
      </w:r>
      <w:r>
        <w:t>egy alkalommal</w:t>
      </w:r>
      <w:r w:rsidRPr="00604B6F">
        <w:t xml:space="preserve"> módosult. </w:t>
      </w:r>
      <w:r w:rsidRPr="005535A7">
        <w:rPr>
          <w:bCs/>
          <w:szCs w:val="22"/>
        </w:rPr>
        <w:t xml:space="preserve">A rendeletet a </w:t>
      </w:r>
      <w:r w:rsidRPr="005535A7">
        <w:rPr>
          <w:szCs w:val="22"/>
        </w:rPr>
        <w:t>76/2012. (VII.</w:t>
      </w:r>
      <w:r>
        <w:rPr>
          <w:szCs w:val="22"/>
        </w:rPr>
        <w:t xml:space="preserve"> </w:t>
      </w:r>
      <w:r w:rsidRPr="005535A7">
        <w:rPr>
          <w:szCs w:val="22"/>
        </w:rPr>
        <w:t xml:space="preserve">27.) VM rendelet módosította. A </w:t>
      </w:r>
      <w:r>
        <w:rPr>
          <w:szCs w:val="22"/>
        </w:rPr>
        <w:t xml:space="preserve">módosítás </w:t>
      </w:r>
      <w:r w:rsidRPr="005535A7">
        <w:rPr>
          <w:szCs w:val="22"/>
        </w:rPr>
        <w:t>technikai jellegű módosítás mellet</w:t>
      </w:r>
      <w:r>
        <w:rPr>
          <w:szCs w:val="22"/>
        </w:rPr>
        <w:t>t</w:t>
      </w:r>
      <w:r w:rsidRPr="005535A7">
        <w:rPr>
          <w:szCs w:val="22"/>
        </w:rPr>
        <w:t xml:space="preserve"> </w:t>
      </w:r>
      <w:r>
        <w:rPr>
          <w:szCs w:val="22"/>
        </w:rPr>
        <w:t>az</w:t>
      </w:r>
      <w:r w:rsidRPr="00CF0379">
        <w:rPr>
          <w:szCs w:val="22"/>
        </w:rPr>
        <w:t xml:space="preserve"> egyéb elszámolható kiadásnak nem minősülő összeg</w:t>
      </w:r>
      <w:r>
        <w:rPr>
          <w:szCs w:val="22"/>
        </w:rPr>
        <w:t xml:space="preserve"> elszámolására benyújtható</w:t>
      </w:r>
      <w:r w:rsidRPr="00CF0379">
        <w:rPr>
          <w:szCs w:val="22"/>
        </w:rPr>
        <w:t xml:space="preserve"> </w:t>
      </w:r>
      <w:r>
        <w:rPr>
          <w:szCs w:val="22"/>
        </w:rPr>
        <w:t>első kifizetési kérelem beadásának határidejét</w:t>
      </w:r>
      <w:r w:rsidRPr="005535A7">
        <w:rPr>
          <w:szCs w:val="22"/>
        </w:rPr>
        <w:t xml:space="preserve"> legkésőbb 2012</w:t>
      </w:r>
      <w:r w:rsidRPr="00CF0379">
        <w:rPr>
          <w:szCs w:val="22"/>
        </w:rPr>
        <w:t xml:space="preserve">. </w:t>
      </w:r>
      <w:r>
        <w:rPr>
          <w:szCs w:val="22"/>
        </w:rPr>
        <w:t>december 31. napjára módosítja.</w:t>
      </w:r>
    </w:p>
    <w:p w:rsidR="00890C0F" w:rsidRDefault="00890C0F" w:rsidP="00890C0F">
      <w:r w:rsidRPr="00214014">
        <w:t>A 111/2011. (XI.</w:t>
      </w:r>
      <w:r>
        <w:t xml:space="preserve"> </w:t>
      </w:r>
      <w:r w:rsidRPr="00214014">
        <w:t xml:space="preserve">24.) VM rendelet értelmében </w:t>
      </w:r>
      <w:r>
        <w:t xml:space="preserve">második alkalommal 2012. január 1. és 31. között lehetett támogatási kérelmeket benyújtani. Ebben a </w:t>
      </w:r>
      <w:r w:rsidRPr="00214014">
        <w:t>benyújtási időszakban beérkezett és jóváhagyott kérelmek esetében az ügyfeleknek lehetősége nyílt támogatási előleg igénybevételére 2012. december 7. napjától.</w:t>
      </w:r>
    </w:p>
    <w:p w:rsidR="00890C0F" w:rsidRDefault="00890C0F" w:rsidP="00890C0F">
      <w:r>
        <w:t>K</w:t>
      </w:r>
      <w:r w:rsidRPr="00214014">
        <w:t xml:space="preserve">ifizetési kérelmek benyújtására 2012-ben február 1. – május 31. és augusztus 1. – december 31. között volt lehetőség. A hosszú kifizetési kérelem benyújtási időszak bevezetésének célja a kifizetések gyorsítása, illetve a kedvezményezetteknek a kifizetési kérelmek mielőbbi benyújtására történő ösztönzése. </w:t>
      </w:r>
    </w:p>
    <w:p w:rsidR="00890C0F" w:rsidRPr="00214014" w:rsidRDefault="00890C0F" w:rsidP="00890C0F"/>
    <w:p w:rsidR="00011C3B" w:rsidRPr="00604B6F" w:rsidRDefault="00890C0F" w:rsidP="00890C0F">
      <w:r w:rsidRPr="00604B6F">
        <w:t>A korszerű üzemi technológiák bevezetése, a termékek piacra juttatása igényli az infrastruktúra teljes körű kiépítését. A támogatási igény ezen jogcím esetében is többszörösen meghaladja a lehetőségeket.</w:t>
      </w:r>
    </w:p>
    <w:p w:rsidR="00011C3B" w:rsidRPr="00F92037" w:rsidRDefault="007E5FDF" w:rsidP="00F92037">
      <w:pPr>
        <w:pStyle w:val="bra-cmetbla"/>
      </w:pPr>
      <w:fldSimple w:instr=" SEQ táblázat \* ARABIC ">
        <w:r w:rsidR="00E5031F">
          <w:rPr>
            <w:noProof/>
          </w:rPr>
          <w:t>47</w:t>
        </w:r>
      </w:fldSimple>
      <w:r w:rsidR="00673DDE">
        <w:t xml:space="preserve">. táblázat: </w:t>
      </w:r>
      <w:r w:rsidR="00011C3B" w:rsidRPr="00F92037">
        <w:t>A mezőgazdasági utak fejlesztés</w:t>
      </w:r>
      <w:r w:rsidR="00764947">
        <w:t>éhez nyújtandó</w:t>
      </w:r>
      <w:r w:rsidR="00011C3B" w:rsidRPr="00F92037">
        <w:t xml:space="preserve"> támogatás</w:t>
      </w:r>
      <w:r w:rsidR="00764947">
        <w:t>ok</w:t>
      </w:r>
      <w:r w:rsidR="00011C3B" w:rsidRPr="00F92037">
        <w:t xml:space="preserve"> jogcím 2012. évi eredményei</w:t>
      </w:r>
    </w:p>
    <w:p w:rsidR="00011C3B" w:rsidRPr="00F92037" w:rsidRDefault="00B452BF" w:rsidP="00F92037">
      <w:pPr>
        <w:pStyle w:val="bra-cmetbla"/>
      </w:pPr>
      <w:r w:rsidRPr="00F92037">
        <w:rPr>
          <w:noProof/>
        </w:rPr>
        <w:drawing>
          <wp:inline distT="0" distB="0" distL="0" distR="0" wp14:anchorId="5DA84954" wp14:editId="1C11F668">
            <wp:extent cx="5167630" cy="1882140"/>
            <wp:effectExtent l="0" t="0" r="0" b="3810"/>
            <wp:docPr id="32"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rPr>
          <w:kern w:val="0"/>
          <w:sz w:val="20"/>
          <w:szCs w:val="20"/>
        </w:rPr>
      </w:pPr>
      <w:r w:rsidRPr="00F35797">
        <w:rPr>
          <w:kern w:val="0"/>
          <w:sz w:val="20"/>
          <w:szCs w:val="20"/>
        </w:rPr>
        <w:t>Forrás: MVH</w:t>
      </w:r>
    </w:p>
    <w:p w:rsidR="00B23ADA" w:rsidRDefault="00011C3B" w:rsidP="004869BB">
      <w:r>
        <w:t xml:space="preserve">A 2012-ben 234 db támogatási kérelem érkezett be, melyből 114 db került jóváhagyásra. </w:t>
      </w:r>
    </w:p>
    <w:p w:rsidR="00011C3B" w:rsidRDefault="00011C3B" w:rsidP="004869BB">
      <w:r>
        <w:t xml:space="preserve">A jóváhagyott kifizetési kérelmekre 9,2 </w:t>
      </w:r>
      <w:r w:rsidR="00B23ADA">
        <w:t>M</w:t>
      </w:r>
      <w:r>
        <w:t xml:space="preserve"> euró (2,7 Mrd Ft) került kifizetésre.</w:t>
      </w:r>
    </w:p>
    <w:p w:rsidR="00011C3B" w:rsidRPr="00604B6F" w:rsidRDefault="00011C3B" w:rsidP="004869BB">
      <w:pPr>
        <w:rPr>
          <w:lang w:eastAsia="en-US"/>
        </w:rPr>
      </w:pPr>
      <w:r w:rsidRPr="005535A7">
        <w:rPr>
          <w:lang w:eastAsia="en-US"/>
        </w:rPr>
        <w:t>A legtöbb kifizetésre Bács-Kiskun megyében került sor.</w:t>
      </w:r>
      <w:r w:rsidR="00890C0F">
        <w:rPr>
          <w:lang w:eastAsia="en-US"/>
        </w:rPr>
        <w:t xml:space="preserve"> </w:t>
      </w:r>
      <w:r w:rsidR="00890C0F" w:rsidRPr="00890C0F">
        <w:rPr>
          <w:lang w:eastAsia="en-US"/>
        </w:rPr>
        <w:t>2012. évben 234 db támogatási kérelem érkezett be. A legtöbb Zala megyéből (14%). A legkevesebb Budapestről (0,85%), valamint Fejér, és Tolna megyéből (1,7%). Nem volt olyan megye ahonnan nem nyújtottak be kérelmet</w:t>
      </w:r>
    </w:p>
    <w:p w:rsidR="004B409D" w:rsidRPr="00896E03" w:rsidRDefault="004B409D" w:rsidP="00DB48A3">
      <w:pPr>
        <w:pStyle w:val="Cmsor3"/>
      </w:pPr>
      <w:bookmarkStart w:id="242" w:name="_Toc327360228"/>
      <w:bookmarkStart w:id="243" w:name="_Toc327369235"/>
      <w:bookmarkStart w:id="244" w:name="_Toc327369333"/>
      <w:bookmarkStart w:id="245" w:name="_Toc327360230"/>
      <w:bookmarkStart w:id="246" w:name="_Toc327369237"/>
      <w:bookmarkStart w:id="247" w:name="_Toc327369335"/>
      <w:bookmarkStart w:id="248" w:name="_Toc328638710"/>
      <w:bookmarkEnd w:id="242"/>
      <w:bookmarkEnd w:id="243"/>
      <w:bookmarkEnd w:id="244"/>
      <w:bookmarkEnd w:id="245"/>
      <w:bookmarkEnd w:id="246"/>
      <w:bookmarkEnd w:id="247"/>
      <w:r w:rsidRPr="00896E03">
        <w:t xml:space="preserve"> </w:t>
      </w:r>
      <w:bookmarkStart w:id="249" w:name="_Toc360176800"/>
      <w:r w:rsidRPr="00896E03">
        <w:t xml:space="preserve">Közösségi szabályokon </w:t>
      </w:r>
      <w:r w:rsidR="00A2427D" w:rsidRPr="00896E03">
        <w:t>alapuló előírások</w:t>
      </w:r>
      <w:r w:rsidRPr="00896E03">
        <w:t xml:space="preserve"> betartása</w:t>
      </w:r>
      <w:r w:rsidR="00A2427D" w:rsidRPr="00896E03">
        <w:t xml:space="preserve"> (131)</w:t>
      </w:r>
      <w:bookmarkEnd w:id="249"/>
    </w:p>
    <w:p w:rsidR="004B409D" w:rsidRDefault="004B409D" w:rsidP="0033390A">
      <w:pPr>
        <w:pStyle w:val="Szvegtrzs"/>
      </w:pPr>
      <w:r>
        <w:t>Az intézkedés két alintézkedésből áll. Az első alintézkedés (</w:t>
      </w:r>
      <w:r w:rsidRPr="00422E1E">
        <w:t>Az EU környezetvédelmi, állatjóléti és higiéniai követelményeinek való megfelelés támogatás</w:t>
      </w:r>
      <w:r>
        <w:t xml:space="preserve">a) bevezetésének elsődleges indoka az előző programozási periódusban megtett pénzügyi kötelezettségvállalások kielégítése ugyanezen intézkedés tekintetében (meeting standards elnevezésű intézkedés). </w:t>
      </w:r>
    </w:p>
    <w:p w:rsidR="004B409D" w:rsidRDefault="004B409D" w:rsidP="0033390A">
      <w:pPr>
        <w:pStyle w:val="Szvegtrzs"/>
      </w:pPr>
      <w:r>
        <w:t xml:space="preserve">A másik alintézkedés (A juh és kecske állatállomány elektronikus jelölése kapcsán nyújtandó támogatás) célja a 21/2004/EK tanácsi rendelet előírásainak való megfelelés, azaz a juh- és kecskefajok egyedeit megfelelő egyedi azonosítóval való ellátásának támogatása. A magyarországi juh- és kecskeállomány nagysága meghaladja a rendeletben írt állománynagyságot, így a jelölés kötelező. A felmerülő költségek megnehezítik az állattenyésztő ágazat – így a kiskérődző ágazat – helyzetét, így indokolt a jelenlegi jelölési módszerek és az elektronikus jelölés közötti költségkülönbözet finanszírozása. Az új jelölés 2010. január 1-vel került bevezetésre. </w:t>
      </w:r>
    </w:p>
    <w:p w:rsidR="00A2427D" w:rsidRPr="00F92037" w:rsidRDefault="007E5FDF" w:rsidP="00F92037">
      <w:pPr>
        <w:pStyle w:val="bra-cmetbla"/>
      </w:pPr>
      <w:fldSimple w:instr=" SEQ táblázat \* ARABIC ">
        <w:r w:rsidR="00E5031F">
          <w:rPr>
            <w:noProof/>
          </w:rPr>
          <w:t>48</w:t>
        </w:r>
      </w:fldSimple>
      <w:r w:rsidR="00673DDE">
        <w:t xml:space="preserve">. táblázat: </w:t>
      </w:r>
      <w:r w:rsidR="00A2427D" w:rsidRPr="00F92037">
        <w:t>A Közösségi szabályokon alapuló előírásoknak betartása intézkedés (131) indikátorainak megvalósulása</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6"/>
        <w:gridCol w:w="1568"/>
        <w:gridCol w:w="1512"/>
      </w:tblGrid>
      <w:tr w:rsidR="00A2427D" w:rsidRPr="00A174E7" w:rsidTr="00A2427D">
        <w:trPr>
          <w:cantSplit/>
          <w:tblHeader/>
          <w:jc w:val="center"/>
        </w:trPr>
        <w:tc>
          <w:tcPr>
            <w:tcW w:w="315" w:type="pct"/>
            <w:shd w:val="clear" w:color="auto" w:fill="B3B3B3"/>
          </w:tcPr>
          <w:p w:rsidR="00A2427D" w:rsidRPr="00A174E7" w:rsidRDefault="00A2427D" w:rsidP="00A2427D">
            <w:pPr>
              <w:keepNext/>
              <w:spacing w:after="0"/>
              <w:jc w:val="center"/>
              <w:rPr>
                <w:b/>
                <w:sz w:val="20"/>
                <w:szCs w:val="20"/>
              </w:rPr>
            </w:pPr>
          </w:p>
        </w:tc>
        <w:tc>
          <w:tcPr>
            <w:tcW w:w="3072" w:type="pct"/>
            <w:shd w:val="clear" w:color="auto" w:fill="B3B3B3"/>
            <w:vAlign w:val="center"/>
          </w:tcPr>
          <w:p w:rsidR="00A2427D" w:rsidRPr="00BD037E" w:rsidRDefault="00A2427D" w:rsidP="00BD037E">
            <w:pPr>
              <w:keepNext/>
              <w:spacing w:after="0"/>
              <w:jc w:val="center"/>
            </w:pPr>
            <w:r w:rsidRPr="00BD037E">
              <w:t>Indikátor leírása</w:t>
            </w:r>
          </w:p>
        </w:tc>
        <w:tc>
          <w:tcPr>
            <w:tcW w:w="821" w:type="pct"/>
            <w:shd w:val="clear" w:color="auto" w:fill="B3B3B3"/>
            <w:vAlign w:val="center"/>
          </w:tcPr>
          <w:p w:rsidR="00A2427D" w:rsidRPr="00BD037E" w:rsidRDefault="00A2427D" w:rsidP="00BD037E">
            <w:pPr>
              <w:keepNext/>
              <w:spacing w:after="0"/>
              <w:jc w:val="center"/>
            </w:pPr>
            <w:r w:rsidRPr="00BD037E">
              <w:t>Program szerinti tervadat</w:t>
            </w:r>
          </w:p>
        </w:tc>
        <w:tc>
          <w:tcPr>
            <w:tcW w:w="792" w:type="pct"/>
            <w:shd w:val="clear" w:color="auto" w:fill="B3B3B3"/>
            <w:vAlign w:val="center"/>
          </w:tcPr>
          <w:p w:rsidR="00A2427D" w:rsidRPr="00A174E7" w:rsidRDefault="00A2427D" w:rsidP="00A2427D">
            <w:pPr>
              <w:keepNext/>
              <w:spacing w:after="0"/>
              <w:jc w:val="center"/>
              <w:rPr>
                <w:b/>
                <w:sz w:val="20"/>
                <w:szCs w:val="20"/>
              </w:rPr>
            </w:pPr>
            <w:r w:rsidRPr="00A174E7">
              <w:rPr>
                <w:b/>
                <w:sz w:val="20"/>
                <w:szCs w:val="20"/>
              </w:rPr>
              <w:t>Indikátorok kumulált értéke</w:t>
            </w:r>
          </w:p>
        </w:tc>
      </w:tr>
      <w:tr w:rsidR="00A2427D" w:rsidRPr="00A174E7" w:rsidTr="00A2427D">
        <w:trPr>
          <w:cantSplit/>
          <w:jc w:val="center"/>
        </w:trPr>
        <w:tc>
          <w:tcPr>
            <w:tcW w:w="315" w:type="pct"/>
            <w:vMerge w:val="restart"/>
          </w:tcPr>
          <w:p w:rsidR="00A2427D" w:rsidRPr="00A174E7" w:rsidRDefault="00A2427D" w:rsidP="00A2427D">
            <w:pPr>
              <w:keepNext/>
              <w:spacing w:after="0"/>
              <w:rPr>
                <w:sz w:val="20"/>
                <w:szCs w:val="20"/>
              </w:rPr>
            </w:pPr>
            <w:r w:rsidRPr="00A174E7">
              <w:rPr>
                <w:sz w:val="20"/>
                <w:szCs w:val="20"/>
              </w:rPr>
              <w:t>O</w:t>
            </w:r>
          </w:p>
        </w:tc>
        <w:tc>
          <w:tcPr>
            <w:tcW w:w="3072" w:type="pct"/>
            <w:shd w:val="clear" w:color="auto" w:fill="auto"/>
          </w:tcPr>
          <w:p w:rsidR="00A2427D" w:rsidRPr="00A174E7" w:rsidRDefault="00A2427D" w:rsidP="00A2427D">
            <w:pPr>
              <w:keepNext/>
              <w:spacing w:after="0"/>
              <w:rPr>
                <w:sz w:val="20"/>
                <w:szCs w:val="20"/>
              </w:rPr>
            </w:pPr>
            <w:r>
              <w:rPr>
                <w:sz w:val="20"/>
                <w:szCs w:val="20"/>
              </w:rPr>
              <w:t>A kedvezményezettek száma (gazdaságok, db)</w:t>
            </w:r>
          </w:p>
        </w:tc>
        <w:tc>
          <w:tcPr>
            <w:tcW w:w="821" w:type="pct"/>
            <w:shd w:val="clear" w:color="auto" w:fill="auto"/>
            <w:vAlign w:val="bottom"/>
          </w:tcPr>
          <w:p w:rsidR="00A2427D" w:rsidRPr="00A174E7" w:rsidRDefault="00A2427D" w:rsidP="00A2427D">
            <w:pPr>
              <w:keepNext/>
              <w:spacing w:after="0"/>
              <w:jc w:val="right"/>
              <w:rPr>
                <w:sz w:val="20"/>
                <w:szCs w:val="20"/>
                <w:lang w:val="en-GB"/>
              </w:rPr>
            </w:pPr>
            <w:r>
              <w:rPr>
                <w:sz w:val="20"/>
                <w:szCs w:val="20"/>
                <w:lang w:val="en-GB"/>
              </w:rPr>
              <w:t>7 300</w:t>
            </w:r>
          </w:p>
        </w:tc>
        <w:tc>
          <w:tcPr>
            <w:tcW w:w="792" w:type="pct"/>
          </w:tcPr>
          <w:p w:rsidR="00A2427D" w:rsidRPr="00A174E7" w:rsidRDefault="00C50925" w:rsidP="000A017F">
            <w:pPr>
              <w:keepNext/>
              <w:spacing w:after="0"/>
              <w:jc w:val="right"/>
              <w:rPr>
                <w:sz w:val="20"/>
                <w:szCs w:val="20"/>
              </w:rPr>
            </w:pPr>
            <w:r>
              <w:rPr>
                <w:sz w:val="20"/>
                <w:szCs w:val="20"/>
              </w:rPr>
              <w:t>4 8</w:t>
            </w:r>
            <w:r w:rsidR="000A017F">
              <w:rPr>
                <w:sz w:val="20"/>
                <w:szCs w:val="20"/>
              </w:rPr>
              <w:t>56</w:t>
            </w:r>
          </w:p>
        </w:tc>
      </w:tr>
      <w:tr w:rsidR="00A2427D" w:rsidRPr="00A174E7" w:rsidTr="00A2427D">
        <w:trPr>
          <w:cantSplit/>
          <w:jc w:val="center"/>
        </w:trPr>
        <w:tc>
          <w:tcPr>
            <w:tcW w:w="315" w:type="pct"/>
            <w:vMerge/>
          </w:tcPr>
          <w:p w:rsidR="00A2427D" w:rsidRPr="00A174E7" w:rsidRDefault="00A2427D" w:rsidP="00A2427D">
            <w:pPr>
              <w:keepNext/>
              <w:spacing w:after="0"/>
              <w:rPr>
                <w:sz w:val="20"/>
                <w:szCs w:val="20"/>
              </w:rPr>
            </w:pPr>
          </w:p>
        </w:tc>
        <w:tc>
          <w:tcPr>
            <w:tcW w:w="3072" w:type="pct"/>
            <w:shd w:val="clear" w:color="auto" w:fill="auto"/>
          </w:tcPr>
          <w:p w:rsidR="00A2427D" w:rsidRPr="00A174E7" w:rsidRDefault="00A2427D" w:rsidP="00A2427D">
            <w:pPr>
              <w:keepNext/>
              <w:spacing w:after="0"/>
              <w:rPr>
                <w:sz w:val="20"/>
                <w:szCs w:val="20"/>
              </w:rPr>
            </w:pPr>
            <w:r>
              <w:rPr>
                <w:sz w:val="20"/>
                <w:szCs w:val="20"/>
              </w:rPr>
              <w:t>0-6 hónapos kor közötti egyedek száma:</w:t>
            </w:r>
          </w:p>
        </w:tc>
        <w:tc>
          <w:tcPr>
            <w:tcW w:w="821" w:type="pct"/>
            <w:shd w:val="clear" w:color="auto" w:fill="auto"/>
            <w:vAlign w:val="bottom"/>
          </w:tcPr>
          <w:p w:rsidR="00A2427D" w:rsidRPr="00A174E7" w:rsidRDefault="00A2427D" w:rsidP="00A2427D">
            <w:pPr>
              <w:keepNext/>
              <w:spacing w:after="0"/>
              <w:jc w:val="right"/>
              <w:rPr>
                <w:sz w:val="20"/>
                <w:szCs w:val="20"/>
                <w:lang w:val="en-GB"/>
              </w:rPr>
            </w:pPr>
          </w:p>
        </w:tc>
        <w:tc>
          <w:tcPr>
            <w:tcW w:w="792" w:type="pct"/>
          </w:tcPr>
          <w:p w:rsidR="00A2427D" w:rsidRPr="00A174E7" w:rsidRDefault="00A2427D" w:rsidP="00A2427D">
            <w:pPr>
              <w:keepNext/>
              <w:spacing w:after="0"/>
              <w:jc w:val="right"/>
              <w:rPr>
                <w:sz w:val="20"/>
                <w:szCs w:val="20"/>
                <w:lang w:val="en-GB"/>
              </w:rPr>
            </w:pP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2427D" w:rsidRDefault="00A2427D" w:rsidP="00A2427D">
            <w:pPr>
              <w:pStyle w:val="Listaszerbekezds"/>
              <w:numPr>
                <w:ilvl w:val="0"/>
                <w:numId w:val="80"/>
              </w:numPr>
              <w:spacing w:after="0"/>
              <w:ind w:firstLine="220"/>
              <w:rPr>
                <w:sz w:val="20"/>
                <w:szCs w:val="20"/>
              </w:rPr>
            </w:pPr>
            <w:r>
              <w:rPr>
                <w:sz w:val="20"/>
                <w:szCs w:val="20"/>
              </w:rPr>
              <w:t>juh</w:t>
            </w:r>
          </w:p>
        </w:tc>
        <w:tc>
          <w:tcPr>
            <w:tcW w:w="821" w:type="pct"/>
            <w:shd w:val="clear" w:color="auto" w:fill="auto"/>
            <w:vAlign w:val="bottom"/>
          </w:tcPr>
          <w:p w:rsidR="00A2427D" w:rsidRPr="00A174E7" w:rsidRDefault="00A2427D" w:rsidP="00A2427D">
            <w:pPr>
              <w:spacing w:after="0"/>
              <w:jc w:val="right"/>
              <w:rPr>
                <w:sz w:val="20"/>
                <w:szCs w:val="20"/>
                <w:lang w:val="en-GB"/>
              </w:rPr>
            </w:pPr>
            <w:r>
              <w:rPr>
                <w:sz w:val="20"/>
                <w:szCs w:val="20"/>
                <w:lang w:val="en-GB"/>
              </w:rPr>
              <w:t>850 000</w:t>
            </w:r>
          </w:p>
        </w:tc>
        <w:tc>
          <w:tcPr>
            <w:tcW w:w="792" w:type="pct"/>
          </w:tcPr>
          <w:p w:rsidR="00A2427D" w:rsidRPr="00A174E7" w:rsidRDefault="006444BD" w:rsidP="00A2427D">
            <w:pPr>
              <w:spacing w:after="0"/>
              <w:jc w:val="right"/>
              <w:rPr>
                <w:sz w:val="20"/>
                <w:szCs w:val="20"/>
                <w:lang w:val="en-GB"/>
              </w:rPr>
            </w:pPr>
            <w:r>
              <w:rPr>
                <w:sz w:val="20"/>
                <w:szCs w:val="20"/>
                <w:lang w:val="en-GB"/>
              </w:rPr>
              <w:t>NA</w:t>
            </w: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2427D" w:rsidRDefault="00A2427D" w:rsidP="00A2427D">
            <w:pPr>
              <w:pStyle w:val="Listaszerbekezds"/>
              <w:numPr>
                <w:ilvl w:val="0"/>
                <w:numId w:val="80"/>
              </w:numPr>
              <w:spacing w:after="0"/>
              <w:ind w:firstLine="220"/>
              <w:rPr>
                <w:sz w:val="20"/>
                <w:szCs w:val="20"/>
              </w:rPr>
            </w:pPr>
            <w:r>
              <w:rPr>
                <w:sz w:val="20"/>
                <w:szCs w:val="20"/>
              </w:rPr>
              <w:t>kecske</w:t>
            </w:r>
          </w:p>
        </w:tc>
        <w:tc>
          <w:tcPr>
            <w:tcW w:w="821" w:type="pct"/>
            <w:shd w:val="clear" w:color="auto" w:fill="auto"/>
            <w:vAlign w:val="bottom"/>
          </w:tcPr>
          <w:p w:rsidR="00A2427D" w:rsidRPr="00A174E7" w:rsidRDefault="00A2427D" w:rsidP="00A2427D">
            <w:pPr>
              <w:spacing w:after="0"/>
              <w:jc w:val="right"/>
              <w:rPr>
                <w:sz w:val="20"/>
                <w:szCs w:val="20"/>
                <w:lang w:val="en-GB"/>
              </w:rPr>
            </w:pPr>
            <w:r>
              <w:rPr>
                <w:sz w:val="20"/>
                <w:szCs w:val="20"/>
                <w:lang w:val="en-GB"/>
              </w:rPr>
              <w:t>20 000</w:t>
            </w:r>
          </w:p>
        </w:tc>
        <w:tc>
          <w:tcPr>
            <w:tcW w:w="792" w:type="pct"/>
          </w:tcPr>
          <w:p w:rsidR="00A2427D" w:rsidRPr="00A174E7" w:rsidRDefault="006444BD" w:rsidP="00A2427D">
            <w:pPr>
              <w:spacing w:after="0"/>
              <w:jc w:val="right"/>
              <w:rPr>
                <w:sz w:val="20"/>
                <w:szCs w:val="20"/>
                <w:lang w:val="en-GB"/>
              </w:rPr>
            </w:pPr>
            <w:r>
              <w:rPr>
                <w:sz w:val="20"/>
                <w:szCs w:val="20"/>
                <w:lang w:val="en-GB"/>
              </w:rPr>
              <w:t>NA</w:t>
            </w: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174E7" w:rsidRDefault="00A2427D" w:rsidP="00A2427D">
            <w:pPr>
              <w:spacing w:after="0"/>
              <w:rPr>
                <w:sz w:val="20"/>
                <w:szCs w:val="20"/>
              </w:rPr>
            </w:pPr>
            <w:r>
              <w:rPr>
                <w:sz w:val="20"/>
                <w:szCs w:val="20"/>
              </w:rPr>
              <w:t>6 hónapos kor feletti egyedek száma</w:t>
            </w:r>
          </w:p>
        </w:tc>
        <w:tc>
          <w:tcPr>
            <w:tcW w:w="821" w:type="pct"/>
            <w:shd w:val="clear" w:color="auto" w:fill="auto"/>
            <w:vAlign w:val="bottom"/>
          </w:tcPr>
          <w:p w:rsidR="00A2427D" w:rsidRPr="00A174E7" w:rsidRDefault="00A2427D" w:rsidP="00A2427D">
            <w:pPr>
              <w:spacing w:after="0"/>
              <w:jc w:val="right"/>
              <w:rPr>
                <w:sz w:val="20"/>
                <w:szCs w:val="20"/>
                <w:lang w:val="en-GB"/>
              </w:rPr>
            </w:pPr>
          </w:p>
        </w:tc>
        <w:tc>
          <w:tcPr>
            <w:tcW w:w="792" w:type="pct"/>
          </w:tcPr>
          <w:p w:rsidR="00A2427D" w:rsidRPr="00A174E7" w:rsidRDefault="00A2427D" w:rsidP="00A2427D">
            <w:pPr>
              <w:spacing w:after="0"/>
              <w:jc w:val="right"/>
              <w:rPr>
                <w:sz w:val="20"/>
                <w:szCs w:val="20"/>
                <w:lang w:val="en-GB"/>
              </w:rPr>
            </w:pP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2427D" w:rsidRDefault="00A2427D" w:rsidP="00A2427D">
            <w:pPr>
              <w:pStyle w:val="Listaszerbekezds"/>
              <w:numPr>
                <w:ilvl w:val="0"/>
                <w:numId w:val="80"/>
              </w:numPr>
              <w:spacing w:after="0"/>
              <w:ind w:firstLine="220"/>
              <w:rPr>
                <w:sz w:val="20"/>
                <w:szCs w:val="20"/>
              </w:rPr>
            </w:pPr>
            <w:r>
              <w:rPr>
                <w:sz w:val="20"/>
                <w:szCs w:val="20"/>
              </w:rPr>
              <w:t>juh:</w:t>
            </w:r>
          </w:p>
        </w:tc>
        <w:tc>
          <w:tcPr>
            <w:tcW w:w="821" w:type="pct"/>
            <w:shd w:val="clear" w:color="auto" w:fill="auto"/>
            <w:vAlign w:val="bottom"/>
          </w:tcPr>
          <w:p w:rsidR="00A2427D" w:rsidRPr="00A174E7" w:rsidRDefault="00A2427D" w:rsidP="00A2427D">
            <w:pPr>
              <w:spacing w:after="0"/>
              <w:jc w:val="right"/>
              <w:rPr>
                <w:sz w:val="20"/>
                <w:szCs w:val="20"/>
                <w:lang w:val="en-GB"/>
              </w:rPr>
            </w:pPr>
            <w:r>
              <w:rPr>
                <w:sz w:val="20"/>
                <w:szCs w:val="20"/>
                <w:lang w:val="en-GB"/>
              </w:rPr>
              <w:t>1 020 000</w:t>
            </w:r>
          </w:p>
        </w:tc>
        <w:tc>
          <w:tcPr>
            <w:tcW w:w="792" w:type="pct"/>
          </w:tcPr>
          <w:p w:rsidR="00A2427D" w:rsidRPr="00A174E7" w:rsidRDefault="006444BD" w:rsidP="00A2427D">
            <w:pPr>
              <w:spacing w:after="0"/>
              <w:jc w:val="right"/>
              <w:rPr>
                <w:sz w:val="20"/>
                <w:szCs w:val="20"/>
                <w:lang w:val="en-GB"/>
              </w:rPr>
            </w:pPr>
            <w:r>
              <w:rPr>
                <w:sz w:val="20"/>
                <w:szCs w:val="20"/>
                <w:lang w:val="en-GB"/>
              </w:rPr>
              <w:t>NA</w:t>
            </w: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2427D" w:rsidRDefault="00A2427D" w:rsidP="00A2427D">
            <w:pPr>
              <w:pStyle w:val="Listaszerbekezds"/>
              <w:numPr>
                <w:ilvl w:val="0"/>
                <w:numId w:val="80"/>
              </w:numPr>
              <w:spacing w:after="0"/>
              <w:ind w:firstLine="220"/>
              <w:rPr>
                <w:sz w:val="20"/>
                <w:szCs w:val="20"/>
              </w:rPr>
            </w:pPr>
            <w:r>
              <w:rPr>
                <w:sz w:val="20"/>
                <w:szCs w:val="20"/>
              </w:rPr>
              <w:t>kecske</w:t>
            </w:r>
          </w:p>
        </w:tc>
        <w:tc>
          <w:tcPr>
            <w:tcW w:w="821" w:type="pct"/>
            <w:shd w:val="clear" w:color="auto" w:fill="auto"/>
            <w:vAlign w:val="bottom"/>
          </w:tcPr>
          <w:p w:rsidR="00A2427D" w:rsidRPr="00433E42" w:rsidRDefault="00A2427D" w:rsidP="00433E42">
            <w:pPr>
              <w:spacing w:after="0"/>
              <w:jc w:val="right"/>
              <w:rPr>
                <w:sz w:val="20"/>
                <w:szCs w:val="20"/>
                <w:lang w:val="en-GB"/>
              </w:rPr>
            </w:pPr>
            <w:r>
              <w:rPr>
                <w:sz w:val="20"/>
                <w:szCs w:val="20"/>
                <w:lang w:val="en-GB"/>
              </w:rPr>
              <w:t xml:space="preserve">16 </w:t>
            </w:r>
            <w:r w:rsidRPr="00A2427D">
              <w:rPr>
                <w:sz w:val="20"/>
                <w:szCs w:val="20"/>
                <w:lang w:val="en-GB"/>
              </w:rPr>
              <w:t>000</w:t>
            </w:r>
          </w:p>
        </w:tc>
        <w:tc>
          <w:tcPr>
            <w:tcW w:w="792" w:type="pct"/>
          </w:tcPr>
          <w:p w:rsidR="00A2427D" w:rsidRPr="00A2427D" w:rsidRDefault="006444BD" w:rsidP="00A2427D">
            <w:pPr>
              <w:spacing w:after="0"/>
              <w:jc w:val="right"/>
              <w:rPr>
                <w:sz w:val="20"/>
                <w:szCs w:val="20"/>
                <w:lang w:val="en-GB"/>
              </w:rPr>
            </w:pPr>
            <w:r>
              <w:rPr>
                <w:sz w:val="20"/>
                <w:szCs w:val="20"/>
                <w:lang w:val="en-GB"/>
              </w:rPr>
              <w:t>NA</w:t>
            </w: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174E7" w:rsidRDefault="00A2427D" w:rsidP="00A2427D">
            <w:pPr>
              <w:pStyle w:val="Listaszerbekezds"/>
              <w:spacing w:after="0"/>
              <w:ind w:left="220" w:firstLine="0"/>
              <w:rPr>
                <w:sz w:val="20"/>
                <w:szCs w:val="20"/>
              </w:rPr>
            </w:pPr>
            <w:r>
              <w:rPr>
                <w:sz w:val="20"/>
                <w:szCs w:val="20"/>
              </w:rPr>
              <w:t>A gazdas</w:t>
            </w:r>
            <w:r w:rsidRPr="00A174E7">
              <w:rPr>
                <w:sz w:val="20"/>
                <w:szCs w:val="20"/>
              </w:rPr>
              <w:t>á</w:t>
            </w:r>
            <w:r>
              <w:rPr>
                <w:sz w:val="20"/>
                <w:szCs w:val="20"/>
              </w:rPr>
              <w:t>g mérete (db egyed)</w:t>
            </w:r>
          </w:p>
        </w:tc>
        <w:tc>
          <w:tcPr>
            <w:tcW w:w="821" w:type="pct"/>
            <w:shd w:val="clear" w:color="auto" w:fill="auto"/>
            <w:vAlign w:val="bottom"/>
          </w:tcPr>
          <w:p w:rsidR="00A2427D" w:rsidRPr="00A174E7" w:rsidRDefault="00A2427D" w:rsidP="00A2427D">
            <w:pPr>
              <w:spacing w:after="0"/>
              <w:jc w:val="right"/>
              <w:rPr>
                <w:sz w:val="20"/>
                <w:szCs w:val="20"/>
                <w:lang w:val="en-GB"/>
              </w:rPr>
            </w:pPr>
          </w:p>
        </w:tc>
        <w:tc>
          <w:tcPr>
            <w:tcW w:w="792" w:type="pct"/>
          </w:tcPr>
          <w:p w:rsidR="00A2427D" w:rsidRPr="00A174E7" w:rsidRDefault="00A2427D" w:rsidP="00A2427D">
            <w:pPr>
              <w:spacing w:after="0"/>
              <w:jc w:val="right"/>
              <w:rPr>
                <w:sz w:val="20"/>
                <w:szCs w:val="20"/>
                <w:lang w:val="en-GB"/>
              </w:rPr>
            </w:pP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2427D" w:rsidRDefault="00A2427D" w:rsidP="00A2427D">
            <w:pPr>
              <w:pStyle w:val="Listaszerbekezds"/>
              <w:numPr>
                <w:ilvl w:val="0"/>
                <w:numId w:val="80"/>
              </w:numPr>
              <w:spacing w:after="0"/>
              <w:ind w:firstLine="220"/>
              <w:rPr>
                <w:sz w:val="20"/>
                <w:szCs w:val="20"/>
              </w:rPr>
            </w:pPr>
            <w:r>
              <w:rPr>
                <w:rFonts w:cs="Times New Roman"/>
                <w:sz w:val="20"/>
                <w:szCs w:val="20"/>
              </w:rPr>
              <w:t>≤</w:t>
            </w:r>
            <w:r>
              <w:rPr>
                <w:sz w:val="20"/>
                <w:szCs w:val="20"/>
              </w:rPr>
              <w:t xml:space="preserve"> 500</w:t>
            </w:r>
          </w:p>
        </w:tc>
        <w:tc>
          <w:tcPr>
            <w:tcW w:w="821" w:type="pct"/>
            <w:shd w:val="clear" w:color="auto" w:fill="auto"/>
            <w:vAlign w:val="bottom"/>
          </w:tcPr>
          <w:p w:rsidR="00A2427D" w:rsidRPr="00A174E7" w:rsidRDefault="00A2427D" w:rsidP="00A2427D">
            <w:pPr>
              <w:spacing w:after="0"/>
              <w:jc w:val="right"/>
              <w:rPr>
                <w:sz w:val="20"/>
                <w:szCs w:val="20"/>
                <w:lang w:val="en-GB"/>
              </w:rPr>
            </w:pPr>
            <w:r>
              <w:rPr>
                <w:sz w:val="20"/>
                <w:szCs w:val="20"/>
                <w:lang w:val="en-GB"/>
              </w:rPr>
              <w:t>6 850</w:t>
            </w:r>
          </w:p>
        </w:tc>
        <w:tc>
          <w:tcPr>
            <w:tcW w:w="792" w:type="pct"/>
          </w:tcPr>
          <w:p w:rsidR="00A2427D" w:rsidRPr="00A174E7" w:rsidRDefault="00C50925" w:rsidP="00A2427D">
            <w:pPr>
              <w:spacing w:after="0"/>
              <w:jc w:val="right"/>
              <w:rPr>
                <w:sz w:val="20"/>
                <w:szCs w:val="20"/>
                <w:lang w:val="en-GB"/>
              </w:rPr>
            </w:pPr>
            <w:r>
              <w:rPr>
                <w:sz w:val="20"/>
                <w:szCs w:val="20"/>
                <w:lang w:val="en-GB"/>
              </w:rPr>
              <w:t>4 515</w:t>
            </w: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2427D" w:rsidRDefault="00A2427D" w:rsidP="00A2427D">
            <w:pPr>
              <w:pStyle w:val="Listaszerbekezds"/>
              <w:numPr>
                <w:ilvl w:val="0"/>
                <w:numId w:val="80"/>
              </w:numPr>
              <w:spacing w:after="0"/>
              <w:ind w:firstLine="220"/>
              <w:rPr>
                <w:sz w:val="20"/>
                <w:szCs w:val="20"/>
              </w:rPr>
            </w:pPr>
            <w:r>
              <w:rPr>
                <w:sz w:val="20"/>
                <w:szCs w:val="20"/>
              </w:rPr>
              <w:t>500-2000</w:t>
            </w:r>
          </w:p>
        </w:tc>
        <w:tc>
          <w:tcPr>
            <w:tcW w:w="821" w:type="pct"/>
            <w:shd w:val="clear" w:color="auto" w:fill="auto"/>
            <w:vAlign w:val="bottom"/>
          </w:tcPr>
          <w:p w:rsidR="00A2427D" w:rsidRPr="00A174E7" w:rsidRDefault="00A2427D" w:rsidP="00A2427D">
            <w:pPr>
              <w:spacing w:after="0"/>
              <w:jc w:val="right"/>
              <w:rPr>
                <w:sz w:val="20"/>
                <w:szCs w:val="20"/>
                <w:lang w:val="en-GB"/>
              </w:rPr>
            </w:pPr>
            <w:r w:rsidRPr="00A174E7">
              <w:rPr>
                <w:sz w:val="20"/>
                <w:szCs w:val="20"/>
                <w:lang w:val="en-GB"/>
              </w:rPr>
              <w:t> </w:t>
            </w:r>
            <w:r>
              <w:rPr>
                <w:sz w:val="20"/>
                <w:szCs w:val="20"/>
                <w:lang w:val="en-GB"/>
              </w:rPr>
              <w:t>435</w:t>
            </w:r>
          </w:p>
        </w:tc>
        <w:tc>
          <w:tcPr>
            <w:tcW w:w="792" w:type="pct"/>
          </w:tcPr>
          <w:p w:rsidR="00A2427D" w:rsidRPr="00A174E7" w:rsidRDefault="00C50925" w:rsidP="00A2427D">
            <w:pPr>
              <w:spacing w:after="0"/>
              <w:jc w:val="right"/>
              <w:rPr>
                <w:sz w:val="20"/>
                <w:szCs w:val="20"/>
                <w:lang w:val="en-GB"/>
              </w:rPr>
            </w:pPr>
            <w:r>
              <w:rPr>
                <w:sz w:val="20"/>
                <w:szCs w:val="20"/>
                <w:lang w:val="en-GB"/>
              </w:rPr>
              <w:t>339</w:t>
            </w:r>
          </w:p>
        </w:tc>
      </w:tr>
      <w:tr w:rsidR="00A2427D" w:rsidRPr="00A174E7" w:rsidTr="00A2427D">
        <w:trPr>
          <w:cantSplit/>
          <w:jc w:val="center"/>
        </w:trPr>
        <w:tc>
          <w:tcPr>
            <w:tcW w:w="315" w:type="pct"/>
            <w:vMerge/>
          </w:tcPr>
          <w:p w:rsidR="00A2427D" w:rsidRPr="00A174E7" w:rsidRDefault="00A2427D" w:rsidP="00A2427D">
            <w:pPr>
              <w:spacing w:after="0"/>
              <w:rPr>
                <w:sz w:val="20"/>
                <w:szCs w:val="20"/>
              </w:rPr>
            </w:pPr>
          </w:p>
        </w:tc>
        <w:tc>
          <w:tcPr>
            <w:tcW w:w="3072" w:type="pct"/>
            <w:shd w:val="clear" w:color="auto" w:fill="auto"/>
          </w:tcPr>
          <w:p w:rsidR="00A2427D" w:rsidRPr="00A2427D" w:rsidRDefault="00A2427D" w:rsidP="00A2427D">
            <w:pPr>
              <w:pStyle w:val="Listaszerbekezds"/>
              <w:numPr>
                <w:ilvl w:val="0"/>
                <w:numId w:val="80"/>
              </w:numPr>
              <w:spacing w:after="0"/>
              <w:ind w:firstLine="220"/>
              <w:rPr>
                <w:sz w:val="20"/>
                <w:szCs w:val="20"/>
              </w:rPr>
            </w:pPr>
            <w:r>
              <w:rPr>
                <w:sz w:val="20"/>
                <w:szCs w:val="20"/>
              </w:rPr>
              <w:t>2000</w:t>
            </w:r>
            <w:r>
              <w:rPr>
                <w:rFonts w:cs="Times New Roman"/>
                <w:sz w:val="20"/>
                <w:szCs w:val="20"/>
              </w:rPr>
              <w:t>≤</w:t>
            </w:r>
          </w:p>
        </w:tc>
        <w:tc>
          <w:tcPr>
            <w:tcW w:w="821" w:type="pct"/>
            <w:shd w:val="clear" w:color="auto" w:fill="auto"/>
            <w:vAlign w:val="bottom"/>
          </w:tcPr>
          <w:p w:rsidR="00A2427D" w:rsidRPr="00A174E7" w:rsidRDefault="00A2427D" w:rsidP="00A2427D">
            <w:pPr>
              <w:spacing w:after="0"/>
              <w:jc w:val="right"/>
              <w:rPr>
                <w:sz w:val="20"/>
                <w:szCs w:val="20"/>
                <w:lang w:val="en-GB"/>
              </w:rPr>
            </w:pPr>
            <w:r>
              <w:rPr>
                <w:sz w:val="20"/>
                <w:szCs w:val="20"/>
                <w:lang w:val="en-GB"/>
              </w:rPr>
              <w:t>15</w:t>
            </w:r>
            <w:r w:rsidRPr="00A174E7">
              <w:rPr>
                <w:sz w:val="20"/>
                <w:szCs w:val="20"/>
                <w:lang w:val="en-GB"/>
              </w:rPr>
              <w:t xml:space="preserve"> </w:t>
            </w:r>
          </w:p>
        </w:tc>
        <w:tc>
          <w:tcPr>
            <w:tcW w:w="792" w:type="pct"/>
          </w:tcPr>
          <w:p w:rsidR="00A2427D" w:rsidRPr="00A174E7" w:rsidRDefault="00C50925" w:rsidP="00A2427D">
            <w:pPr>
              <w:spacing w:after="0"/>
              <w:jc w:val="right"/>
              <w:rPr>
                <w:sz w:val="20"/>
                <w:szCs w:val="20"/>
              </w:rPr>
            </w:pPr>
            <w:r>
              <w:rPr>
                <w:sz w:val="20"/>
                <w:szCs w:val="20"/>
              </w:rPr>
              <w:t>11</w:t>
            </w:r>
          </w:p>
        </w:tc>
      </w:tr>
      <w:tr w:rsidR="00A74CD8" w:rsidRPr="00E42E7E" w:rsidTr="00A2427D">
        <w:trPr>
          <w:cantSplit/>
          <w:jc w:val="center"/>
        </w:trPr>
        <w:tc>
          <w:tcPr>
            <w:tcW w:w="315" w:type="pct"/>
          </w:tcPr>
          <w:p w:rsidR="00A74CD8" w:rsidRPr="00E42E7E" w:rsidRDefault="00A74CD8" w:rsidP="00A2427D">
            <w:pPr>
              <w:spacing w:after="0"/>
              <w:rPr>
                <w:sz w:val="20"/>
                <w:szCs w:val="20"/>
              </w:rPr>
            </w:pPr>
            <w:r w:rsidRPr="00E42E7E">
              <w:rPr>
                <w:sz w:val="20"/>
                <w:szCs w:val="20"/>
              </w:rPr>
              <w:t>R</w:t>
            </w:r>
          </w:p>
        </w:tc>
        <w:tc>
          <w:tcPr>
            <w:tcW w:w="3072" w:type="pct"/>
            <w:shd w:val="clear" w:color="auto" w:fill="auto"/>
          </w:tcPr>
          <w:p w:rsidR="00A74CD8" w:rsidRPr="00E42E7E" w:rsidRDefault="00A74CD8" w:rsidP="00A2427D">
            <w:pPr>
              <w:spacing w:after="0"/>
              <w:ind w:left="244"/>
              <w:rPr>
                <w:sz w:val="20"/>
                <w:szCs w:val="20"/>
              </w:rPr>
            </w:pPr>
            <w:r w:rsidRPr="00E42E7E">
              <w:rPr>
                <w:sz w:val="20"/>
                <w:szCs w:val="20"/>
              </w:rPr>
              <w:t>A piacra kilépő gazdaságok száma</w:t>
            </w:r>
          </w:p>
        </w:tc>
        <w:tc>
          <w:tcPr>
            <w:tcW w:w="821" w:type="pct"/>
            <w:shd w:val="clear" w:color="auto" w:fill="auto"/>
          </w:tcPr>
          <w:p w:rsidR="00A74CD8" w:rsidRPr="00E42E7E" w:rsidRDefault="00A74CD8" w:rsidP="00A2427D">
            <w:pPr>
              <w:spacing w:after="0"/>
              <w:ind w:left="244"/>
              <w:jc w:val="right"/>
              <w:rPr>
                <w:sz w:val="20"/>
                <w:szCs w:val="20"/>
                <w:lang w:val="en-GB"/>
              </w:rPr>
            </w:pPr>
            <w:r w:rsidRPr="00E42E7E">
              <w:rPr>
                <w:sz w:val="20"/>
                <w:szCs w:val="20"/>
                <w:lang w:val="en-GB"/>
              </w:rPr>
              <w:t xml:space="preserve">6000 </w:t>
            </w:r>
          </w:p>
        </w:tc>
        <w:tc>
          <w:tcPr>
            <w:tcW w:w="792" w:type="pct"/>
            <w:shd w:val="clear" w:color="auto" w:fill="auto"/>
          </w:tcPr>
          <w:p w:rsidR="00A74CD8" w:rsidRPr="00E42E7E" w:rsidRDefault="00A74CD8" w:rsidP="00A2427D">
            <w:pPr>
              <w:spacing w:after="0"/>
              <w:jc w:val="right"/>
              <w:rPr>
                <w:sz w:val="20"/>
                <w:szCs w:val="20"/>
              </w:rPr>
            </w:pPr>
            <w:r>
              <w:rPr>
                <w:sz w:val="20"/>
                <w:szCs w:val="20"/>
              </w:rPr>
              <w:t>NA</w:t>
            </w:r>
          </w:p>
        </w:tc>
      </w:tr>
      <w:tr w:rsidR="00A2427D" w:rsidRPr="00E42E7E" w:rsidTr="00A2427D">
        <w:trPr>
          <w:cantSplit/>
          <w:jc w:val="center"/>
        </w:trPr>
        <w:tc>
          <w:tcPr>
            <w:tcW w:w="315" w:type="pct"/>
            <w:vMerge w:val="restart"/>
          </w:tcPr>
          <w:p w:rsidR="00A2427D" w:rsidRPr="00E42E7E" w:rsidRDefault="00A2427D" w:rsidP="00A2427D">
            <w:pPr>
              <w:spacing w:after="0"/>
              <w:rPr>
                <w:sz w:val="20"/>
                <w:szCs w:val="20"/>
              </w:rPr>
            </w:pPr>
            <w:r w:rsidRPr="00E42E7E">
              <w:rPr>
                <w:sz w:val="20"/>
                <w:szCs w:val="20"/>
              </w:rPr>
              <w:t>I</w:t>
            </w:r>
          </w:p>
        </w:tc>
        <w:tc>
          <w:tcPr>
            <w:tcW w:w="3072" w:type="pct"/>
            <w:shd w:val="clear" w:color="auto" w:fill="auto"/>
          </w:tcPr>
          <w:p w:rsidR="00A2427D" w:rsidRPr="00E42E7E" w:rsidRDefault="00A2427D" w:rsidP="00A2427D">
            <w:pPr>
              <w:spacing w:after="0"/>
              <w:ind w:left="244"/>
              <w:rPr>
                <w:sz w:val="20"/>
                <w:szCs w:val="20"/>
              </w:rPr>
            </w:pPr>
            <w:r w:rsidRPr="00E42E7E">
              <w:rPr>
                <w:sz w:val="20"/>
                <w:szCs w:val="20"/>
              </w:rPr>
              <w:t>Nettó hozzáadott érték PPS-ben kifejezve (euró)</w:t>
            </w:r>
          </w:p>
        </w:tc>
        <w:tc>
          <w:tcPr>
            <w:tcW w:w="821" w:type="pct"/>
            <w:shd w:val="clear" w:color="auto" w:fill="auto"/>
          </w:tcPr>
          <w:p w:rsidR="00A2427D" w:rsidRPr="00E42E7E" w:rsidRDefault="00A2427D" w:rsidP="00A2427D">
            <w:pPr>
              <w:spacing w:after="0"/>
              <w:ind w:left="244"/>
              <w:jc w:val="right"/>
              <w:rPr>
                <w:sz w:val="20"/>
                <w:szCs w:val="20"/>
                <w:lang w:val="en-GB"/>
              </w:rPr>
            </w:pPr>
            <w:r w:rsidRPr="00E42E7E">
              <w:rPr>
                <w:sz w:val="20"/>
                <w:szCs w:val="20"/>
                <w:lang w:val="en-GB"/>
              </w:rPr>
              <w:t>27 550 000</w:t>
            </w:r>
          </w:p>
        </w:tc>
        <w:tc>
          <w:tcPr>
            <w:tcW w:w="792" w:type="pct"/>
            <w:shd w:val="clear" w:color="auto" w:fill="auto"/>
          </w:tcPr>
          <w:p w:rsidR="00A2427D" w:rsidRPr="00E42E7E" w:rsidRDefault="00A2427D" w:rsidP="00A2427D">
            <w:pPr>
              <w:spacing w:after="0"/>
              <w:ind w:left="244"/>
              <w:jc w:val="right"/>
              <w:rPr>
                <w:sz w:val="20"/>
                <w:szCs w:val="20"/>
              </w:rPr>
            </w:pPr>
            <w:r w:rsidRPr="00E42E7E">
              <w:rPr>
                <w:sz w:val="20"/>
                <w:szCs w:val="20"/>
              </w:rPr>
              <w:t>NA</w:t>
            </w:r>
          </w:p>
        </w:tc>
      </w:tr>
      <w:tr w:rsidR="00A2427D" w:rsidRPr="00E42E7E" w:rsidTr="00A2427D">
        <w:trPr>
          <w:cantSplit/>
          <w:jc w:val="center"/>
        </w:trPr>
        <w:tc>
          <w:tcPr>
            <w:tcW w:w="315" w:type="pct"/>
            <w:vMerge/>
          </w:tcPr>
          <w:p w:rsidR="00A2427D" w:rsidRPr="00E42E7E" w:rsidRDefault="00A2427D" w:rsidP="00A2427D">
            <w:pPr>
              <w:spacing w:after="0"/>
              <w:rPr>
                <w:sz w:val="20"/>
                <w:szCs w:val="20"/>
              </w:rPr>
            </w:pPr>
          </w:p>
        </w:tc>
        <w:tc>
          <w:tcPr>
            <w:tcW w:w="3072" w:type="pct"/>
            <w:shd w:val="clear" w:color="auto" w:fill="auto"/>
          </w:tcPr>
          <w:p w:rsidR="00A2427D" w:rsidRPr="00E42E7E" w:rsidRDefault="00A2427D" w:rsidP="00A2427D">
            <w:pPr>
              <w:spacing w:after="0"/>
              <w:ind w:left="244"/>
              <w:rPr>
                <w:sz w:val="20"/>
                <w:szCs w:val="20"/>
              </w:rPr>
            </w:pPr>
            <w:r w:rsidRPr="00E42E7E">
              <w:rPr>
                <w:sz w:val="20"/>
                <w:szCs w:val="20"/>
              </w:rPr>
              <w:t>A bruttó hozzáadott érték változása teljes munkaidő egyenértékhez viszonyítva (euró)</w:t>
            </w:r>
          </w:p>
        </w:tc>
        <w:tc>
          <w:tcPr>
            <w:tcW w:w="821" w:type="pct"/>
            <w:shd w:val="clear" w:color="auto" w:fill="auto"/>
          </w:tcPr>
          <w:p w:rsidR="00A2427D" w:rsidRPr="00E42E7E" w:rsidRDefault="00BB0764" w:rsidP="00A2427D">
            <w:pPr>
              <w:spacing w:after="0"/>
              <w:ind w:left="244"/>
              <w:jc w:val="right"/>
              <w:rPr>
                <w:sz w:val="20"/>
                <w:szCs w:val="20"/>
                <w:lang w:val="en-GB"/>
              </w:rPr>
            </w:pPr>
            <w:r w:rsidRPr="00E42E7E">
              <w:rPr>
                <w:sz w:val="20"/>
                <w:szCs w:val="20"/>
                <w:lang w:val="en-GB"/>
              </w:rPr>
              <w:t xml:space="preserve">2 750 </w:t>
            </w:r>
            <w:r w:rsidR="00A2427D" w:rsidRPr="00E42E7E">
              <w:rPr>
                <w:sz w:val="20"/>
                <w:szCs w:val="20"/>
                <w:lang w:val="en-GB"/>
              </w:rPr>
              <w:t xml:space="preserve"> </w:t>
            </w:r>
          </w:p>
        </w:tc>
        <w:tc>
          <w:tcPr>
            <w:tcW w:w="792" w:type="pct"/>
            <w:shd w:val="clear" w:color="auto" w:fill="auto"/>
          </w:tcPr>
          <w:p w:rsidR="00A2427D" w:rsidRPr="00E42E7E" w:rsidRDefault="00A2427D" w:rsidP="00A2427D">
            <w:pPr>
              <w:spacing w:after="0"/>
              <w:ind w:left="244"/>
              <w:jc w:val="right"/>
              <w:rPr>
                <w:sz w:val="20"/>
                <w:szCs w:val="20"/>
                <w:lang w:val="en-GB"/>
              </w:rPr>
            </w:pPr>
            <w:r w:rsidRPr="00E42E7E">
              <w:rPr>
                <w:sz w:val="20"/>
                <w:szCs w:val="20"/>
                <w:lang w:val="en-GB"/>
              </w:rPr>
              <w:t>NA</w:t>
            </w:r>
          </w:p>
        </w:tc>
      </w:tr>
    </w:tbl>
    <w:p w:rsidR="00A2427D" w:rsidRDefault="00C50925" w:rsidP="00BB0764">
      <w:pPr>
        <w:pStyle w:val="Szvegtrzs"/>
      </w:pPr>
      <w:r w:rsidRPr="00E42E7E">
        <w:t>Forrás:</w:t>
      </w:r>
      <w:r w:rsidR="00F46173" w:rsidRPr="00E42E7E">
        <w:t xml:space="preserve"> </w:t>
      </w:r>
      <w:r w:rsidRPr="00E42E7E">
        <w:t>MVH</w:t>
      </w:r>
    </w:p>
    <w:p w:rsidR="00C50925" w:rsidRDefault="00C50925" w:rsidP="00BB0764">
      <w:pPr>
        <w:pStyle w:val="Szvegtrzs"/>
      </w:pPr>
      <w:r>
        <w:t>Az intézkedés végrehajtása megfelelő ütemben halad, a célértékektől kismértékű lemaradás tapasztalható.</w:t>
      </w:r>
    </w:p>
    <w:p w:rsidR="00AB3376" w:rsidRPr="004B409D" w:rsidRDefault="00AB3376" w:rsidP="00BB0764">
      <w:pPr>
        <w:pStyle w:val="Szvegtrzs"/>
      </w:pPr>
      <w:r w:rsidRPr="00AB3376">
        <w:t xml:space="preserve">Az R4 indikátor </w:t>
      </w:r>
      <w:r>
        <w:t>(</w:t>
      </w:r>
      <w:r w:rsidR="000A64E1">
        <w:t>Elismert minősítéssel rendelkező és az előírásoknak megfelelő mezőgazdasági termékek értéke, ezer euróban</w:t>
      </w:r>
      <w:r>
        <w:t xml:space="preserve">) </w:t>
      </w:r>
      <w:r w:rsidRPr="00AB3376">
        <w:t>értékének 2012-es évre történő meghatározása a korábban átadott módszertan alapján – az MVH adatszolgáltatására alapozva – történt. A 131. intézkedés keretében 2012-ben – a pótlásként kiadott füljelzőket nem számítva – összesen 634,65 ezer db füljelző felhelyezését támogatták. A PÁIR adatai szerint a vágóbárány eladási átlagára 2012-ben 828,54 Ft/kg volt. Bárányonként átlagosan 20 kg élősúllyal számolva ez 16,57 ezer HUF-ot jelent. A tenyészállatok átlagos értéke</w:t>
      </w:r>
      <w:r>
        <w:t xml:space="preserve"> 23,0 ezer HUF volt egyedenként</w:t>
      </w:r>
      <w:r w:rsidRPr="00AB3376">
        <w:t xml:space="preserve">. ENAR adatok alapján a támogatott állatlétszám 31,7%-a volt továbbtartásra szánt vagy felnőtt egyed, 68,3%-a bárány. Ennek alapján az R4 indikátor értéke 2012-ben </w:t>
      </w:r>
      <w:r w:rsidR="00A74CD8">
        <w:t>100 282</w:t>
      </w:r>
      <w:r w:rsidRPr="00AB3376">
        <w:t xml:space="preserve"> ezer EUR-t tett ki. Az ÚMVP 8. verziójában szereplő outputindikátor célértékéből kiindulva (összesen 1,9 millió db támogatott állatlétszám) 2012-ben az indikátor megvalósulási aránya 82,6%.</w:t>
      </w:r>
    </w:p>
    <w:p w:rsidR="00011C3B" w:rsidRPr="00422E1E" w:rsidRDefault="00011C3B" w:rsidP="00715E86">
      <w:pPr>
        <w:pStyle w:val="Cmsor4"/>
      </w:pPr>
      <w:r w:rsidRPr="00422E1E">
        <w:t>Az EU környezetvédelmi, állatjóléti és higiéniai követelményeinek való megfelelés támogatás</w:t>
      </w:r>
      <w:r w:rsidR="008F006C">
        <w:t>a (NVT)</w:t>
      </w:r>
      <w:r w:rsidRPr="00422E1E">
        <w:t xml:space="preserve"> rövid bemutatása</w:t>
      </w:r>
      <w:bookmarkEnd w:id="248"/>
      <w:r w:rsidR="004B409D">
        <w:t xml:space="preserve"> (Meetin</w:t>
      </w:r>
      <w:r w:rsidR="00BB0764">
        <w:t>g Standards)</w:t>
      </w:r>
    </w:p>
    <w:p w:rsidR="00011C3B" w:rsidRPr="00422E1E" w:rsidRDefault="00011C3B" w:rsidP="004869BB">
      <w:r w:rsidRPr="00422E1E">
        <w:t xml:space="preserve">Az intézkedés az Nemzeti Vidékfejlesztési Terv keretében 2004. évben indult és azt követően még 2005., 2006. és 2007. évben volt lehetősége az ügyfeleknek támogatási kérelmek benyújtására, melynek kapcsán a kifizetést a támogatási formától függően évente kellett igényelni. Az intézkedés keretében az utolsó kifizetési kérelem benyújtására 2009. évben volt lehetőség. </w:t>
      </w:r>
    </w:p>
    <w:p w:rsidR="00011C3B" w:rsidRPr="00422E1E" w:rsidRDefault="00387A75" w:rsidP="004869BB">
      <w:r w:rsidRPr="00422E1E">
        <w:t>Az EU környezetvédelmi, állatjóléti- és higiéniai előírásainak való megfeleléshez nyúj</w:t>
      </w:r>
      <w:r>
        <w:t xml:space="preserve">tott </w:t>
      </w:r>
      <w:r w:rsidR="00B82CCC">
        <w:t xml:space="preserve">NVT </w:t>
      </w:r>
      <w:r>
        <w:t xml:space="preserve">támogatás keretében </w:t>
      </w:r>
      <w:r w:rsidR="00B82CCC">
        <w:t>2012</w:t>
      </w:r>
      <w:r>
        <w:t>-</w:t>
      </w:r>
      <w:r w:rsidR="00B82CCC">
        <w:t>ben</w:t>
      </w:r>
      <w:r w:rsidR="00B82CCC" w:rsidRPr="00422E1E">
        <w:t xml:space="preserve"> </w:t>
      </w:r>
      <w:r w:rsidRPr="00422E1E">
        <w:t>sem támogatási, sem pedig kifizetési kérelem benyújtására nem volt lehetőség.</w:t>
      </w:r>
      <w:r w:rsidR="00B82CCC">
        <w:t xml:space="preserve"> Az alábbi tábla a korábban kifizetett támogatások pénzügyi korrekcióit ta</w:t>
      </w:r>
      <w:r w:rsidR="00F20FAC">
        <w:t>r</w:t>
      </w:r>
      <w:r w:rsidR="00B82CCC">
        <w:t>talmazza</w:t>
      </w:r>
      <w:r w:rsidR="00F20FAC">
        <w:t>.</w:t>
      </w:r>
    </w:p>
    <w:p w:rsidR="00011C3B" w:rsidRPr="00F92037" w:rsidRDefault="007E5FDF" w:rsidP="00F92037">
      <w:pPr>
        <w:pStyle w:val="bra-cmetbla"/>
      </w:pPr>
      <w:fldSimple w:instr=" SEQ táblázat \* ARABIC ">
        <w:r w:rsidR="00E5031F">
          <w:rPr>
            <w:noProof/>
          </w:rPr>
          <w:t>49</w:t>
        </w:r>
      </w:fldSimple>
      <w:r w:rsidR="00673DDE">
        <w:t xml:space="preserve">. táblázat: </w:t>
      </w:r>
      <w:r w:rsidR="00011C3B" w:rsidRPr="00F92037">
        <w:t>Az EU környezetvédelmi, állatjóléti és higiéniai követelményeinek való megfelelés támogatása</w:t>
      </w:r>
      <w:r w:rsidR="00B82CCC" w:rsidRPr="00F92037">
        <w:t xml:space="preserve"> (NVT)</w:t>
      </w:r>
      <w:r w:rsidR="00011C3B" w:rsidRPr="00F92037">
        <w:t xml:space="preserve"> jogcím 2012. évi eredményei</w:t>
      </w:r>
    </w:p>
    <w:p w:rsidR="00BB0764" w:rsidRPr="00F92037" w:rsidRDefault="00BB0764" w:rsidP="00F92037">
      <w:pPr>
        <w:pStyle w:val="bra-cmetbla"/>
      </w:pPr>
      <w:r w:rsidRPr="00F92037">
        <w:rPr>
          <w:noProof/>
        </w:rPr>
        <w:drawing>
          <wp:inline distT="0" distB="0" distL="0" distR="0" wp14:anchorId="7826B3EB" wp14:editId="7FD12ACA">
            <wp:extent cx="5172075" cy="188595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2075" cy="1885950"/>
                    </a:xfrm>
                    <a:prstGeom prst="rect">
                      <a:avLst/>
                    </a:prstGeom>
                    <a:noFill/>
                    <a:ln>
                      <a:noFill/>
                    </a:ln>
                  </pic:spPr>
                </pic:pic>
              </a:graphicData>
            </a:graphic>
          </wp:inline>
        </w:drawing>
      </w:r>
    </w:p>
    <w:p w:rsidR="00011C3B" w:rsidRPr="00604B6F" w:rsidRDefault="00011C3B" w:rsidP="00011C3B">
      <w:pPr>
        <w:pStyle w:val="Normlforrs"/>
      </w:pPr>
      <w:r w:rsidRPr="00422E1E">
        <w:t>Forrás: MVH</w:t>
      </w:r>
      <w:r w:rsidRPr="00604B6F">
        <w:t xml:space="preserve"> </w:t>
      </w:r>
    </w:p>
    <w:p w:rsidR="00011C3B" w:rsidRPr="00604B6F" w:rsidRDefault="00011C3B" w:rsidP="00715E86">
      <w:pPr>
        <w:pStyle w:val="Cmsor4"/>
      </w:pPr>
      <w:r w:rsidRPr="00604B6F">
        <w:lastRenderedPageBreak/>
        <w:t>A juh és kecske állatállomány elektronikus jelölése kapcsán nyújtandó támogatási jogcím rövid bemutatása</w:t>
      </w:r>
    </w:p>
    <w:p w:rsidR="00011C3B" w:rsidRPr="00604B6F" w:rsidRDefault="00011C3B" w:rsidP="004869BB">
      <w:r w:rsidRPr="00604B6F">
        <w:t>A 21/2004/EK Tanácsi Rendelet előírásai, különösen annak 9. cikke szerint 2009. december 31-től a juh- és kecskefajok egyedeit megfelelő egyedi azonosítóval kell ellátni. A rendelet részletesen szabályozza az egyedek megjelölésének módozatát, kiterjed az adatok tárolásának, elérhetőségének, hozzáférési lehetőségeinek időbeni kereteire is.</w:t>
      </w:r>
    </w:p>
    <w:p w:rsidR="00011C3B" w:rsidRPr="00604B6F" w:rsidRDefault="00011C3B" w:rsidP="004869BB">
      <w:r w:rsidRPr="00604B6F">
        <w:t xml:space="preserve">Az Európai Mezőgazdasági Vidékfejlesztési Alapból a juh és kecske állatállomány elektronikus jelölése kapcsán nyújtandó támogatások részletes feltételeiről szóló 79/2011. (VIII.3.) VM rendelet alapján támogatás vehető igénybe elektronikus egyedi jelölőeszközök beszerzéséhez, a beszerzés költségeinek részbeni, utólagos megtérítéséhez. A támogatás normatív jellegű, degresszív támogatás, amely állattartónként legfeljebb öt éven keresztül adható. </w:t>
      </w:r>
      <w:r w:rsidR="00B82CCC" w:rsidRPr="000D2F40">
        <w:rPr>
          <w:bCs/>
          <w:szCs w:val="20"/>
        </w:rPr>
        <w:t>A jogcímet érintő rendelet 2012-ben nem módosult.</w:t>
      </w:r>
    </w:p>
    <w:p w:rsidR="00011C3B" w:rsidRPr="00461517" w:rsidRDefault="00461517" w:rsidP="004869BB">
      <w:r w:rsidRPr="00461517">
        <w:t>Támogatási kérelmet 2012. évben február 1. és február 28., valamint augusztus 1. és augusztus 31. közötti időszakban lehetett benyújtani a Mezőgazdasági és Vidékfejlesztési Hivatalhoz. A támogatási kérelem egyben kifizetési kérelemne</w:t>
      </w:r>
      <w:r>
        <w:t>k is minősül</w:t>
      </w:r>
      <w:r w:rsidR="00B82CCC">
        <w:t xml:space="preserve">t. </w:t>
      </w:r>
    </w:p>
    <w:p w:rsidR="00011C3B" w:rsidRPr="00F92037" w:rsidRDefault="007E5FDF" w:rsidP="00F92037">
      <w:pPr>
        <w:pStyle w:val="bra-cmetbla"/>
      </w:pPr>
      <w:fldSimple w:instr=" SEQ táblázat \* ARABIC ">
        <w:r w:rsidR="00E5031F">
          <w:rPr>
            <w:noProof/>
          </w:rPr>
          <w:t>50</w:t>
        </w:r>
      </w:fldSimple>
      <w:r w:rsidR="00673DDE">
        <w:t xml:space="preserve">. táblázat: </w:t>
      </w:r>
      <w:r w:rsidR="00011C3B" w:rsidRPr="00F92037">
        <w:t>A juh és kecske állatállomány elektronikus jelölése kapcsán nyújtandó támogatási jogcím 2012. évi eredményei</w:t>
      </w:r>
    </w:p>
    <w:p w:rsidR="00011C3B" w:rsidRPr="00F92037" w:rsidRDefault="00B452BF" w:rsidP="00F92037">
      <w:pPr>
        <w:pStyle w:val="bra-cmetbla"/>
      </w:pPr>
      <w:r w:rsidRPr="00F92037">
        <w:rPr>
          <w:noProof/>
        </w:rPr>
        <w:drawing>
          <wp:inline distT="0" distB="0" distL="0" distR="0" wp14:anchorId="1663814B" wp14:editId="0263E21B">
            <wp:extent cx="5167630" cy="1882140"/>
            <wp:effectExtent l="0" t="0" r="0" b="3810"/>
            <wp:docPr id="34"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B82CCC" w:rsidRDefault="00011C3B" w:rsidP="004869BB">
      <w:r w:rsidRPr="00604B6F">
        <w:t>4</w:t>
      </w:r>
      <w:r w:rsidR="008F006C">
        <w:t> </w:t>
      </w:r>
      <w:r w:rsidRPr="00604B6F">
        <w:t>2</w:t>
      </w:r>
      <w:r>
        <w:t>29</w:t>
      </w:r>
      <w:r w:rsidRPr="00604B6F">
        <w:t xml:space="preserve"> db </w:t>
      </w:r>
      <w:r>
        <w:t xml:space="preserve">támogatási </w:t>
      </w:r>
      <w:r w:rsidRPr="00604B6F">
        <w:t>kérelem érkezett be a 201</w:t>
      </w:r>
      <w:r>
        <w:t>2</w:t>
      </w:r>
      <w:r w:rsidRPr="00604B6F">
        <w:t>-es évi benyújtási időszakban</w:t>
      </w:r>
      <w:r>
        <w:t>, melyek az év végégig nem kerültek feldolgozásra</w:t>
      </w:r>
      <w:r w:rsidRPr="00604B6F">
        <w:t>.</w:t>
      </w:r>
      <w:r w:rsidR="00B82CCC">
        <w:t xml:space="preserve"> A támogatási határozatok a korábban benyújtott kérelmek esetében kerültek kiadásra.</w:t>
      </w:r>
      <w:r w:rsidRPr="00604B6F">
        <w:t xml:space="preserve"> </w:t>
      </w:r>
    </w:p>
    <w:p w:rsidR="00011C3B" w:rsidRDefault="00011C3B" w:rsidP="004869BB">
      <w:r w:rsidRPr="00604B6F">
        <w:t xml:space="preserve">A jogcímre kifizetés </w:t>
      </w:r>
      <w:r>
        <w:t xml:space="preserve">1,4 </w:t>
      </w:r>
      <w:r w:rsidR="00B82CCC">
        <w:t>M</w:t>
      </w:r>
      <w:r>
        <w:t xml:space="preserve"> euró (420,6 Mrd Ft) </w:t>
      </w:r>
      <w:r w:rsidR="00B82CCC">
        <w:t xml:space="preserve">összegben </w:t>
      </w:r>
      <w:r w:rsidRPr="00604B6F">
        <w:t>történt.</w:t>
      </w:r>
      <w:r>
        <w:t xml:space="preserve"> </w:t>
      </w:r>
    </w:p>
    <w:p w:rsidR="00011C3B" w:rsidRPr="00604B6F" w:rsidRDefault="00011C3B" w:rsidP="004869BB">
      <w:r w:rsidRPr="00461517">
        <w:t>A benyújtott támogatási kérelmek megyei eloszlását tekintve elmondható, hogy a legtöbb támogatási kérelem a jogcímre Bács-Kiskun megyébe</w:t>
      </w:r>
      <w:r w:rsidR="006F27AF">
        <w:t>n</w:t>
      </w:r>
      <w:r w:rsidRPr="00461517">
        <w:t>, a legkevesebb támogatási kérelem Vas megyébe</w:t>
      </w:r>
      <w:r w:rsidR="00461517">
        <w:t>n</w:t>
      </w:r>
      <w:r w:rsidRPr="00461517">
        <w:t xml:space="preserve"> érkezett be.</w:t>
      </w:r>
    </w:p>
    <w:p w:rsidR="00011C3B" w:rsidRPr="00896E03" w:rsidRDefault="00011C3B" w:rsidP="00DB48A3">
      <w:pPr>
        <w:pStyle w:val="Cmsor3"/>
      </w:pPr>
      <w:bookmarkStart w:id="250" w:name="_Toc328638711"/>
      <w:bookmarkStart w:id="251" w:name="_Toc360176801"/>
      <w:r w:rsidRPr="00896E03">
        <w:t>Szerkezetátalakítás alatt álló félig önellátó gazdaságok támogatása (</w:t>
      </w:r>
      <w:r w:rsidR="00F20FAC" w:rsidRPr="00896E03">
        <w:t xml:space="preserve">NVT) </w:t>
      </w:r>
      <w:r w:rsidRPr="00896E03">
        <w:t>141. intézkedés rövid bemutatása</w:t>
      </w:r>
      <w:bookmarkEnd w:id="250"/>
      <w:bookmarkEnd w:id="251"/>
    </w:p>
    <w:p w:rsidR="00011C3B" w:rsidRPr="00604B6F" w:rsidRDefault="00011C3B" w:rsidP="004869BB">
      <w:r w:rsidRPr="00604B6F">
        <w:t>Az eredetileg NVT keretében meghirdetett intézkedés célja az árutermelésre képes, a piaci kihívás követelményeinek megfelelő, de tőkehiányos kisgazdaságok segítése, az általuk végzett mezőgazdasági tevékenység fenntartása és fejlesztése, jövedelemszerzési lehetőségeinek javítása, a gazdaságok árutermelésre való átállásának segítése.</w:t>
      </w:r>
    </w:p>
    <w:p w:rsidR="00461517" w:rsidRPr="00461517" w:rsidRDefault="00011C3B" w:rsidP="004869BB">
      <w:r w:rsidRPr="00604B6F">
        <w:t xml:space="preserve">A jogcím 2004. évben indult és azt követően még 2005. és 2006. évben volt lehetősége az ügyfeleknek támogatási kérelmek benyújtására. A támogatási időszak öt évet foglalt magába, így a 2006. évi támogatási kérelmek esetében a kifizetési kérelmek benyújtására a 2010. évben nyílt utoljára </w:t>
      </w:r>
      <w:r w:rsidRPr="00604B6F">
        <w:lastRenderedPageBreak/>
        <w:t xml:space="preserve">lehetőség. </w:t>
      </w:r>
      <w:r w:rsidR="00461517" w:rsidRPr="00604B6F">
        <w:t>A 2010. évi kifizetési kérelmek ügyintézése adott évben lezárásra</w:t>
      </w:r>
      <w:r w:rsidR="00461517">
        <w:t xml:space="preserve"> és kifizetésre</w:t>
      </w:r>
      <w:r w:rsidR="00461517" w:rsidRPr="00604B6F">
        <w:t xml:space="preserve"> került. </w:t>
      </w:r>
      <w:r w:rsidR="00F20FAC">
        <w:t>Az alábbi tábla a korábban kifizetett támogatások pénzügyi korrekcióit tartalmazza.</w:t>
      </w:r>
    </w:p>
    <w:p w:rsidR="00461517" w:rsidRDefault="00461517" w:rsidP="004869BB">
      <w:r>
        <w:t>Az intézkedés a Program kereteiben eddig nem került megnyitásra.</w:t>
      </w:r>
    </w:p>
    <w:p w:rsidR="00011C3B" w:rsidRPr="00F92037" w:rsidRDefault="007E5FDF" w:rsidP="00F92037">
      <w:pPr>
        <w:pStyle w:val="bra-cmetbla"/>
      </w:pPr>
      <w:fldSimple w:instr=" SEQ táblázat \* ARABIC ">
        <w:r w:rsidR="00E5031F">
          <w:rPr>
            <w:noProof/>
          </w:rPr>
          <w:t>51</w:t>
        </w:r>
      </w:fldSimple>
      <w:r w:rsidR="00673DDE">
        <w:t xml:space="preserve">. táblázat: </w:t>
      </w:r>
      <w:r w:rsidR="00011C3B" w:rsidRPr="00F92037">
        <w:t xml:space="preserve">A Szerkezetátalakítás alatt álló félig önellátó gazdaságok támogatása </w:t>
      </w:r>
      <w:r w:rsidR="00F20FAC" w:rsidRPr="00F92037">
        <w:t xml:space="preserve">intézkedés </w:t>
      </w:r>
      <w:r w:rsidR="00011C3B" w:rsidRPr="00F92037">
        <w:t>2012. évi eredményei</w:t>
      </w:r>
    </w:p>
    <w:p w:rsidR="00011C3B" w:rsidRPr="00F92037" w:rsidRDefault="006F44F8" w:rsidP="00F92037">
      <w:pPr>
        <w:pStyle w:val="bra-cmetbla"/>
      </w:pPr>
      <w:r w:rsidRPr="00F92037">
        <w:rPr>
          <w:noProof/>
        </w:rPr>
        <w:drawing>
          <wp:inline distT="0" distB="0" distL="0" distR="0" wp14:anchorId="4CE5E0B4" wp14:editId="29EA2A64">
            <wp:extent cx="5175885" cy="1017905"/>
            <wp:effectExtent l="0" t="0" r="571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5885" cy="1017905"/>
                    </a:xfrm>
                    <a:prstGeom prst="rect">
                      <a:avLst/>
                    </a:prstGeom>
                    <a:noFill/>
                    <a:ln>
                      <a:noFill/>
                    </a:ln>
                  </pic:spPr>
                </pic:pic>
              </a:graphicData>
            </a:graphic>
          </wp:inline>
        </w:drawing>
      </w:r>
    </w:p>
    <w:p w:rsidR="006F27AF" w:rsidRPr="00850FC8" w:rsidRDefault="00011C3B" w:rsidP="00CC7190">
      <w:pPr>
        <w:pStyle w:val="Normlforrs"/>
      </w:pPr>
      <w:r w:rsidRPr="00604B6F">
        <w:t>Forrás: MVH</w:t>
      </w:r>
    </w:p>
    <w:p w:rsidR="00011C3B" w:rsidRPr="00896E03" w:rsidRDefault="00011C3B" w:rsidP="00DB48A3">
      <w:pPr>
        <w:pStyle w:val="Cmsor3"/>
      </w:pPr>
      <w:bookmarkStart w:id="252" w:name="_Toc328638712"/>
      <w:bookmarkStart w:id="253" w:name="_Toc360176802"/>
      <w:r w:rsidRPr="00896E03">
        <w:t>Termelői csoportok létrehozásának támogatása intézkedés (142) rövid bemutatása</w:t>
      </w:r>
      <w:bookmarkEnd w:id="252"/>
      <w:bookmarkEnd w:id="253"/>
    </w:p>
    <w:p w:rsidR="00011C3B" w:rsidRPr="00604B6F" w:rsidRDefault="00011C3B" w:rsidP="004869BB">
      <w:r w:rsidRPr="00604B6F">
        <w:t>A termelői csoportok létrehozásának támogatása intézkedés célja a mezőgazdasági termelők termékeinek biztos piacra juttatása</w:t>
      </w:r>
      <w:r>
        <w:t>,</w:t>
      </w:r>
      <w:r w:rsidRPr="00604B6F">
        <w:t xml:space="preserve"> termelői csoportok létrehozatalának, működtetésének és növekedésének támogatásával. A támogatás célcsoportját az elismeréssel rendelkező termelői csoportok alkotják. A Nemzeti Vidékfejlesztési Terv keretei között már sikeresen működő intézkedés </w:t>
      </w:r>
      <w:r>
        <w:t>a Program</w:t>
      </w:r>
      <w:r w:rsidRPr="00604B6F">
        <w:t xml:space="preserve"> keretei között tovább folytatódott. Az NVT</w:t>
      </w:r>
      <w:r w:rsidR="00F20FAC">
        <w:t xml:space="preserve"> keretében</w:t>
      </w:r>
      <w:r w:rsidRPr="00604B6F">
        <w:t xml:space="preserve"> közel kétszáz termelői csoport támogatása valósult meg, amely </w:t>
      </w:r>
      <w:r>
        <w:t>a Program</w:t>
      </w:r>
      <w:r w:rsidRPr="00604B6F">
        <w:t xml:space="preserve"> forrásainak segítségével további mintegy 100 csoporttal bővülhet.</w:t>
      </w:r>
    </w:p>
    <w:p w:rsidR="00461517" w:rsidRPr="00604B6F" w:rsidRDefault="00011C3B" w:rsidP="004869BB">
      <w:r w:rsidRPr="00604B6F">
        <w:t>A 81/2004. (V.4.) FVM rendelet módosításával lehetővé vált az úgynevezett minősített elismerés megszerzése. A módosítás azon termelői csoportokat érinti, amelyek más csoporttal való egyesülés, illetve taglétszám vagy értékesítési volumen tekintetében tudnak a jogszabályban foglalt minősített elismerést jelentő kötelezettségüknek eleget tenni. A minősített elismerés is lehetőséget ad a támogatási rendszer igénybevételére.</w:t>
      </w:r>
      <w:r w:rsidR="00F20FAC">
        <w:rPr>
          <w:szCs w:val="22"/>
        </w:rPr>
        <w:t xml:space="preserve"> </w:t>
      </w:r>
    </w:p>
    <w:p w:rsidR="00011C3B" w:rsidRPr="00604B6F" w:rsidRDefault="00011C3B" w:rsidP="004869BB">
      <w:r w:rsidRPr="00604B6F">
        <w:t>Az intézkedés nem</w:t>
      </w:r>
      <w:r w:rsidR="006F27AF">
        <w:t xml:space="preserve"> tartalmaz alintézkedéseket, a t</w:t>
      </w:r>
      <w:r w:rsidRPr="00604B6F">
        <w:t xml:space="preserve">ermelői csoportok létrehozásához és működéséhez nyújtandó támogatási jogcímrendelet az intézkedést teljes egészében lefedi. </w:t>
      </w:r>
    </w:p>
    <w:p w:rsidR="00011C3B" w:rsidRPr="00F92037" w:rsidRDefault="007E5FDF" w:rsidP="00F92037">
      <w:pPr>
        <w:pStyle w:val="bra-cmetbla"/>
      </w:pPr>
      <w:fldSimple w:instr=" SEQ táblázat \* ARABIC ">
        <w:r w:rsidR="00E5031F">
          <w:rPr>
            <w:noProof/>
          </w:rPr>
          <w:t>52</w:t>
        </w:r>
      </w:fldSimple>
      <w:r w:rsidR="00673DDE">
        <w:t xml:space="preserve">. táblázat: </w:t>
      </w:r>
      <w:r w:rsidR="00011C3B" w:rsidRPr="00F92037">
        <w:t>Termelői csoportok létrehozásának támogatása intézkedés (142) indikátorainak megvalósulása</w:t>
      </w: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3"/>
        <w:gridCol w:w="1576"/>
        <w:gridCol w:w="1559"/>
      </w:tblGrid>
      <w:tr w:rsidR="00011C3B" w:rsidRPr="00FE2E5E" w:rsidTr="00011C3B">
        <w:trPr>
          <w:cantSplit/>
          <w:trHeight w:val="20"/>
          <w:tblHeader/>
          <w:jc w:val="center"/>
        </w:trPr>
        <w:tc>
          <w:tcPr>
            <w:tcW w:w="313" w:type="pct"/>
            <w:shd w:val="clear" w:color="auto" w:fill="B3B3B3"/>
          </w:tcPr>
          <w:p w:rsidR="00011C3B" w:rsidRPr="00FE2E5E" w:rsidRDefault="00011C3B" w:rsidP="00011C3B">
            <w:pPr>
              <w:spacing w:after="0"/>
              <w:jc w:val="center"/>
              <w:rPr>
                <w:b/>
                <w:sz w:val="20"/>
                <w:szCs w:val="20"/>
              </w:rPr>
            </w:pPr>
          </w:p>
        </w:tc>
        <w:tc>
          <w:tcPr>
            <w:tcW w:w="3054" w:type="pct"/>
            <w:shd w:val="clear" w:color="auto" w:fill="B3B3B3"/>
            <w:vAlign w:val="center"/>
          </w:tcPr>
          <w:p w:rsidR="00011C3B" w:rsidRPr="00BD037E" w:rsidRDefault="00011C3B" w:rsidP="00BD037E">
            <w:pPr>
              <w:spacing w:after="0"/>
              <w:jc w:val="center"/>
            </w:pPr>
            <w:r w:rsidRPr="00BD037E">
              <w:t>Indikátor leírása</w:t>
            </w:r>
          </w:p>
        </w:tc>
        <w:tc>
          <w:tcPr>
            <w:tcW w:w="821" w:type="pct"/>
            <w:shd w:val="clear" w:color="auto" w:fill="B3B3B3"/>
            <w:vAlign w:val="center"/>
          </w:tcPr>
          <w:p w:rsidR="00011C3B" w:rsidRPr="00BD037E" w:rsidRDefault="00011C3B" w:rsidP="00BD037E">
            <w:pPr>
              <w:spacing w:after="0"/>
              <w:jc w:val="center"/>
            </w:pPr>
            <w:r w:rsidRPr="00BD037E">
              <w:t>Program szerinti tervadat</w:t>
            </w:r>
          </w:p>
        </w:tc>
        <w:tc>
          <w:tcPr>
            <w:tcW w:w="812" w:type="pct"/>
            <w:shd w:val="clear" w:color="auto" w:fill="B3B3B3"/>
            <w:vAlign w:val="center"/>
          </w:tcPr>
          <w:p w:rsidR="00011C3B" w:rsidRPr="00FE2E5E" w:rsidRDefault="00011C3B" w:rsidP="00011C3B">
            <w:pPr>
              <w:spacing w:after="0"/>
              <w:jc w:val="center"/>
              <w:rPr>
                <w:b/>
                <w:sz w:val="20"/>
                <w:szCs w:val="20"/>
              </w:rPr>
            </w:pPr>
            <w:r w:rsidRPr="00FE2E5E">
              <w:rPr>
                <w:b/>
                <w:sz w:val="20"/>
                <w:szCs w:val="20"/>
              </w:rPr>
              <w:t>Indikátorok kumulált értéke</w:t>
            </w:r>
          </w:p>
        </w:tc>
      </w:tr>
      <w:tr w:rsidR="00011C3B" w:rsidRPr="00FE2E5E" w:rsidTr="00011C3B">
        <w:trPr>
          <w:trHeight w:val="20"/>
          <w:jc w:val="center"/>
        </w:trPr>
        <w:tc>
          <w:tcPr>
            <w:tcW w:w="313" w:type="pct"/>
            <w:vMerge w:val="restart"/>
          </w:tcPr>
          <w:p w:rsidR="00011C3B" w:rsidRPr="00FE2E5E" w:rsidRDefault="00011C3B" w:rsidP="00011C3B">
            <w:pPr>
              <w:spacing w:after="0"/>
              <w:rPr>
                <w:sz w:val="20"/>
                <w:szCs w:val="20"/>
              </w:rPr>
            </w:pPr>
            <w:r w:rsidRPr="00FE2E5E">
              <w:rPr>
                <w:sz w:val="20"/>
                <w:szCs w:val="20"/>
              </w:rPr>
              <w:t>O</w:t>
            </w:r>
          </w:p>
        </w:tc>
        <w:tc>
          <w:tcPr>
            <w:tcW w:w="3054" w:type="pct"/>
            <w:shd w:val="clear" w:color="auto" w:fill="auto"/>
            <w:vAlign w:val="bottom"/>
          </w:tcPr>
          <w:p w:rsidR="00011C3B" w:rsidRPr="00FE2E5E" w:rsidRDefault="00011C3B" w:rsidP="00011C3B">
            <w:pPr>
              <w:spacing w:after="0"/>
              <w:rPr>
                <w:sz w:val="20"/>
                <w:szCs w:val="20"/>
              </w:rPr>
            </w:pPr>
            <w:r w:rsidRPr="00FE2E5E">
              <w:rPr>
                <w:sz w:val="20"/>
                <w:szCs w:val="20"/>
              </w:rPr>
              <w:t>Támogatott termelői csoportok száma</w:t>
            </w:r>
            <w:r w:rsidRPr="00FE2E5E">
              <w:rPr>
                <w:sz w:val="20"/>
                <w:szCs w:val="20"/>
                <w:lang w:val="en-GB"/>
              </w:rPr>
              <w:t xml:space="preserve"> </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300 db</w:t>
            </w:r>
          </w:p>
        </w:tc>
        <w:tc>
          <w:tcPr>
            <w:tcW w:w="812" w:type="pct"/>
          </w:tcPr>
          <w:p w:rsidR="00011C3B" w:rsidRPr="00FE2E5E" w:rsidRDefault="00011C3B" w:rsidP="00011C3B">
            <w:pPr>
              <w:spacing w:after="0"/>
              <w:jc w:val="right"/>
              <w:rPr>
                <w:sz w:val="20"/>
                <w:szCs w:val="20"/>
              </w:rPr>
            </w:pPr>
            <w:r>
              <w:rPr>
                <w:sz w:val="20"/>
                <w:szCs w:val="20"/>
              </w:rPr>
              <w:t>183</w:t>
            </w:r>
          </w:p>
        </w:tc>
      </w:tr>
      <w:tr w:rsidR="00011C3B" w:rsidRPr="00FE2E5E" w:rsidTr="00011C3B">
        <w:trPr>
          <w:trHeight w:val="20"/>
          <w:jc w:val="center"/>
        </w:trPr>
        <w:tc>
          <w:tcPr>
            <w:tcW w:w="313" w:type="pct"/>
            <w:vMerge/>
          </w:tcPr>
          <w:p w:rsidR="00011C3B" w:rsidRPr="00FE2E5E" w:rsidRDefault="00011C3B" w:rsidP="00011C3B">
            <w:pPr>
              <w:spacing w:after="0"/>
              <w:rPr>
                <w:sz w:val="20"/>
                <w:szCs w:val="20"/>
              </w:rPr>
            </w:pPr>
          </w:p>
        </w:tc>
        <w:tc>
          <w:tcPr>
            <w:tcW w:w="3054" w:type="pct"/>
            <w:shd w:val="clear" w:color="auto" w:fill="auto"/>
            <w:vAlign w:val="bottom"/>
          </w:tcPr>
          <w:p w:rsidR="00011C3B" w:rsidRPr="00FE2E5E" w:rsidRDefault="00011C3B" w:rsidP="00011C3B">
            <w:pPr>
              <w:spacing w:after="0"/>
              <w:rPr>
                <w:sz w:val="20"/>
                <w:szCs w:val="20"/>
              </w:rPr>
            </w:pPr>
            <w:r w:rsidRPr="00FE2E5E">
              <w:rPr>
                <w:sz w:val="20"/>
                <w:szCs w:val="20"/>
              </w:rPr>
              <w:t>Termelői csoportok típusa</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lang w:val="en-GB"/>
              </w:rPr>
              <w:t> </w:t>
            </w:r>
          </w:p>
        </w:tc>
        <w:tc>
          <w:tcPr>
            <w:tcW w:w="812" w:type="pct"/>
          </w:tcPr>
          <w:p w:rsidR="00011C3B" w:rsidRPr="00FE2E5E" w:rsidRDefault="00011C3B" w:rsidP="00011C3B">
            <w:pPr>
              <w:spacing w:after="0"/>
              <w:jc w:val="right"/>
              <w:rPr>
                <w:sz w:val="20"/>
                <w:szCs w:val="20"/>
                <w:lang w:val="en-GB"/>
              </w:rPr>
            </w:pP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 xml:space="preserve">Új termelői csoportok </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100</w:t>
            </w:r>
          </w:p>
        </w:tc>
        <w:tc>
          <w:tcPr>
            <w:tcW w:w="812" w:type="pct"/>
            <w:tcBorders>
              <w:bottom w:val="single" w:sz="4" w:space="0" w:color="auto"/>
            </w:tcBorders>
          </w:tcPr>
          <w:p w:rsidR="00011C3B" w:rsidRPr="00FE2E5E" w:rsidRDefault="00011C3B" w:rsidP="00011C3B">
            <w:pPr>
              <w:spacing w:after="0"/>
              <w:jc w:val="right"/>
              <w:rPr>
                <w:sz w:val="20"/>
                <w:szCs w:val="20"/>
                <w:lang w:val="en-GB"/>
              </w:rPr>
            </w:pPr>
            <w:r>
              <w:rPr>
                <w:sz w:val="20"/>
                <w:szCs w:val="20"/>
                <w:lang w:val="en-GB"/>
              </w:rPr>
              <w:t>183</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Jelenlegi termelői csoportok a 2000-2006-os programozási időszakból</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200</w:t>
            </w:r>
          </w:p>
        </w:tc>
        <w:tc>
          <w:tcPr>
            <w:tcW w:w="812" w:type="pct"/>
            <w:shd w:val="clear" w:color="auto" w:fill="auto"/>
          </w:tcPr>
          <w:p w:rsidR="00011C3B" w:rsidRPr="00FE2E5E" w:rsidRDefault="00011C3B" w:rsidP="00011C3B">
            <w:pPr>
              <w:spacing w:after="0"/>
              <w:jc w:val="right"/>
              <w:rPr>
                <w:sz w:val="20"/>
                <w:szCs w:val="20"/>
                <w:lang w:val="en-GB"/>
              </w:rPr>
            </w:pPr>
            <w:r>
              <w:rPr>
                <w:sz w:val="20"/>
                <w:szCs w:val="20"/>
                <w:lang w:val="en-GB"/>
              </w:rPr>
              <w:t>248</w:t>
            </w:r>
          </w:p>
        </w:tc>
      </w:tr>
      <w:tr w:rsidR="00011C3B" w:rsidRPr="00FE2E5E" w:rsidTr="00011C3B">
        <w:trPr>
          <w:trHeight w:val="20"/>
          <w:jc w:val="center"/>
        </w:trPr>
        <w:tc>
          <w:tcPr>
            <w:tcW w:w="313" w:type="pct"/>
            <w:vMerge/>
          </w:tcPr>
          <w:p w:rsidR="00011C3B" w:rsidRPr="00FE2E5E" w:rsidRDefault="00011C3B" w:rsidP="00011C3B">
            <w:pPr>
              <w:spacing w:after="0"/>
              <w:rPr>
                <w:sz w:val="20"/>
                <w:szCs w:val="20"/>
              </w:rPr>
            </w:pPr>
          </w:p>
        </w:tc>
        <w:tc>
          <w:tcPr>
            <w:tcW w:w="3054" w:type="pct"/>
            <w:shd w:val="clear" w:color="auto" w:fill="auto"/>
            <w:vAlign w:val="bottom"/>
          </w:tcPr>
          <w:p w:rsidR="00011C3B" w:rsidRPr="00FE2E5E" w:rsidRDefault="00011C3B" w:rsidP="00011C3B">
            <w:pPr>
              <w:spacing w:after="0"/>
              <w:rPr>
                <w:sz w:val="20"/>
                <w:szCs w:val="20"/>
              </w:rPr>
            </w:pPr>
            <w:r w:rsidRPr="00FE2E5E">
              <w:rPr>
                <w:sz w:val="20"/>
                <w:szCs w:val="20"/>
              </w:rPr>
              <w:t>Mezőgazdasági ágazatok típusai, melyekre termelői csoportokat hoztak létre (TF 8, a 2003/369/EK alapján)</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 </w:t>
            </w:r>
          </w:p>
        </w:tc>
        <w:tc>
          <w:tcPr>
            <w:tcW w:w="812" w:type="pct"/>
          </w:tcPr>
          <w:p w:rsidR="00011C3B" w:rsidRPr="00FE2E5E" w:rsidRDefault="00011C3B" w:rsidP="00011C3B">
            <w:pPr>
              <w:spacing w:after="0"/>
              <w:jc w:val="right"/>
              <w:rPr>
                <w:sz w:val="20"/>
                <w:szCs w:val="20"/>
              </w:rPr>
            </w:pP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Szántóföldi növénytermesztés</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25</w:t>
            </w:r>
          </w:p>
        </w:tc>
        <w:tc>
          <w:tcPr>
            <w:tcW w:w="812" w:type="pct"/>
          </w:tcPr>
          <w:p w:rsidR="00011C3B" w:rsidRPr="00FE2E5E" w:rsidRDefault="00011C3B" w:rsidP="00011C3B">
            <w:pPr>
              <w:spacing w:after="0"/>
              <w:jc w:val="right"/>
              <w:rPr>
                <w:sz w:val="20"/>
                <w:szCs w:val="20"/>
                <w:lang w:val="en-GB"/>
              </w:rPr>
            </w:pPr>
            <w:r>
              <w:rPr>
                <w:sz w:val="20"/>
                <w:szCs w:val="20"/>
                <w:lang w:val="en-GB"/>
              </w:rPr>
              <w:t>77</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Kertészet</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3</w:t>
            </w:r>
          </w:p>
        </w:tc>
        <w:tc>
          <w:tcPr>
            <w:tcW w:w="812" w:type="pct"/>
          </w:tcPr>
          <w:p w:rsidR="00011C3B" w:rsidRPr="00FE2E5E" w:rsidRDefault="00011C3B" w:rsidP="00011C3B">
            <w:pPr>
              <w:spacing w:after="0"/>
              <w:jc w:val="right"/>
              <w:rPr>
                <w:sz w:val="20"/>
                <w:szCs w:val="20"/>
                <w:lang w:val="en-GB"/>
              </w:rPr>
            </w:pPr>
            <w:r w:rsidRPr="00FE2E5E">
              <w:rPr>
                <w:sz w:val="20"/>
                <w:szCs w:val="20"/>
                <w:lang w:val="en-GB"/>
              </w:rPr>
              <w:t>0</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Bor</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2</w:t>
            </w:r>
          </w:p>
        </w:tc>
        <w:tc>
          <w:tcPr>
            <w:tcW w:w="812" w:type="pct"/>
          </w:tcPr>
          <w:p w:rsidR="00011C3B" w:rsidRPr="00FE2E5E" w:rsidRDefault="00011C3B" w:rsidP="00011C3B">
            <w:pPr>
              <w:spacing w:after="0"/>
              <w:jc w:val="right"/>
              <w:rPr>
                <w:sz w:val="20"/>
                <w:szCs w:val="20"/>
                <w:lang w:val="en-GB"/>
              </w:rPr>
            </w:pPr>
            <w:r>
              <w:rPr>
                <w:sz w:val="20"/>
                <w:szCs w:val="20"/>
                <w:lang w:val="en-GB"/>
              </w:rPr>
              <w:t>6</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Évelő növények termesztése</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5</w:t>
            </w:r>
          </w:p>
        </w:tc>
        <w:tc>
          <w:tcPr>
            <w:tcW w:w="812" w:type="pct"/>
          </w:tcPr>
          <w:p w:rsidR="00011C3B" w:rsidRPr="00FE2E5E" w:rsidRDefault="00011C3B" w:rsidP="00011C3B">
            <w:pPr>
              <w:spacing w:after="0"/>
              <w:jc w:val="right"/>
              <w:rPr>
                <w:sz w:val="20"/>
                <w:szCs w:val="20"/>
                <w:lang w:val="en-GB"/>
              </w:rPr>
            </w:pPr>
            <w:r w:rsidRPr="00FE2E5E">
              <w:rPr>
                <w:sz w:val="20"/>
                <w:szCs w:val="20"/>
                <w:lang w:val="en-GB"/>
              </w:rPr>
              <w:t>0</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Tejtermelés</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15</w:t>
            </w:r>
          </w:p>
        </w:tc>
        <w:tc>
          <w:tcPr>
            <w:tcW w:w="812" w:type="pct"/>
          </w:tcPr>
          <w:p w:rsidR="00011C3B" w:rsidRPr="00FE2E5E" w:rsidRDefault="00011C3B" w:rsidP="00011C3B">
            <w:pPr>
              <w:spacing w:after="0"/>
              <w:jc w:val="right"/>
              <w:rPr>
                <w:sz w:val="20"/>
                <w:szCs w:val="20"/>
                <w:lang w:val="en-GB"/>
              </w:rPr>
            </w:pPr>
            <w:r>
              <w:rPr>
                <w:sz w:val="20"/>
                <w:szCs w:val="20"/>
                <w:lang w:val="en-GB"/>
              </w:rPr>
              <w:t>10</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Legeltetéses állattartás (kivéve a tejtermelést)</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18</w:t>
            </w:r>
          </w:p>
        </w:tc>
        <w:tc>
          <w:tcPr>
            <w:tcW w:w="812" w:type="pct"/>
          </w:tcPr>
          <w:p w:rsidR="00011C3B" w:rsidRPr="00FE2E5E" w:rsidRDefault="00011C3B" w:rsidP="00011C3B">
            <w:pPr>
              <w:spacing w:after="0"/>
              <w:jc w:val="right"/>
              <w:rPr>
                <w:sz w:val="20"/>
                <w:szCs w:val="20"/>
                <w:lang w:val="en-GB"/>
              </w:rPr>
            </w:pPr>
            <w:r>
              <w:rPr>
                <w:sz w:val="20"/>
                <w:szCs w:val="20"/>
                <w:lang w:val="en-GB"/>
              </w:rPr>
              <w:t>3</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Sertés és/vagy baromfi</w:t>
            </w:r>
          </w:p>
        </w:tc>
        <w:tc>
          <w:tcPr>
            <w:tcW w:w="821" w:type="pct"/>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5</w:t>
            </w:r>
          </w:p>
        </w:tc>
        <w:tc>
          <w:tcPr>
            <w:tcW w:w="812" w:type="pct"/>
          </w:tcPr>
          <w:p w:rsidR="00011C3B" w:rsidRPr="00FE2E5E" w:rsidRDefault="00011C3B" w:rsidP="00011C3B">
            <w:pPr>
              <w:spacing w:after="0"/>
              <w:jc w:val="right"/>
              <w:rPr>
                <w:sz w:val="20"/>
                <w:szCs w:val="20"/>
                <w:lang w:val="en-GB"/>
              </w:rPr>
            </w:pPr>
            <w:r>
              <w:rPr>
                <w:sz w:val="20"/>
                <w:szCs w:val="20"/>
                <w:lang w:val="en-GB"/>
              </w:rPr>
              <w:t>46</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tcBorders>
              <w:bottom w:val="single" w:sz="4" w:space="0" w:color="auto"/>
            </w:tcBorders>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Vegyes (növénytermesztés + állattartás)</w:t>
            </w:r>
          </w:p>
        </w:tc>
        <w:tc>
          <w:tcPr>
            <w:tcW w:w="821" w:type="pct"/>
            <w:tcBorders>
              <w:bottom w:val="single" w:sz="4" w:space="0" w:color="auto"/>
            </w:tcBorders>
            <w:shd w:val="clear" w:color="auto" w:fill="auto"/>
            <w:vAlign w:val="bottom"/>
          </w:tcPr>
          <w:p w:rsidR="00011C3B" w:rsidRPr="00FE2E5E" w:rsidRDefault="00011C3B" w:rsidP="00011C3B">
            <w:pPr>
              <w:spacing w:after="0"/>
              <w:jc w:val="right"/>
              <w:rPr>
                <w:sz w:val="20"/>
                <w:szCs w:val="20"/>
                <w:lang w:val="en-GB"/>
              </w:rPr>
            </w:pPr>
            <w:r w:rsidRPr="00FE2E5E">
              <w:rPr>
                <w:sz w:val="20"/>
                <w:szCs w:val="20"/>
                <w:lang w:val="en-GB"/>
              </w:rPr>
              <w:t>27</w:t>
            </w:r>
          </w:p>
        </w:tc>
        <w:tc>
          <w:tcPr>
            <w:tcW w:w="812" w:type="pct"/>
            <w:tcBorders>
              <w:bottom w:val="single" w:sz="4" w:space="0" w:color="auto"/>
            </w:tcBorders>
          </w:tcPr>
          <w:p w:rsidR="00011C3B" w:rsidRPr="00FE2E5E" w:rsidRDefault="00011C3B" w:rsidP="00011C3B">
            <w:pPr>
              <w:spacing w:after="0"/>
              <w:jc w:val="right"/>
              <w:rPr>
                <w:sz w:val="20"/>
                <w:szCs w:val="20"/>
                <w:lang w:val="en-GB"/>
              </w:rPr>
            </w:pPr>
            <w:r>
              <w:rPr>
                <w:sz w:val="20"/>
                <w:szCs w:val="20"/>
                <w:lang w:val="en-GB"/>
              </w:rPr>
              <w:t>0</w:t>
            </w:r>
          </w:p>
        </w:tc>
      </w:tr>
      <w:tr w:rsidR="00011C3B" w:rsidRPr="00FE2E5E" w:rsidTr="00011C3B">
        <w:trPr>
          <w:trHeight w:val="20"/>
          <w:jc w:val="center"/>
        </w:trPr>
        <w:tc>
          <w:tcPr>
            <w:tcW w:w="313" w:type="pct"/>
            <w:vMerge/>
          </w:tcPr>
          <w:p w:rsidR="00011C3B" w:rsidRPr="00FE2E5E" w:rsidRDefault="00011C3B" w:rsidP="00011C3B">
            <w:pPr>
              <w:spacing w:after="0"/>
              <w:rPr>
                <w:sz w:val="20"/>
                <w:szCs w:val="20"/>
              </w:rPr>
            </w:pPr>
          </w:p>
        </w:tc>
        <w:tc>
          <w:tcPr>
            <w:tcW w:w="3054" w:type="pct"/>
            <w:shd w:val="clear" w:color="auto" w:fill="auto"/>
            <w:vAlign w:val="bottom"/>
          </w:tcPr>
          <w:p w:rsidR="00011C3B" w:rsidRPr="00FE2E5E" w:rsidRDefault="00011C3B" w:rsidP="00011C3B">
            <w:pPr>
              <w:spacing w:after="0"/>
              <w:rPr>
                <w:sz w:val="20"/>
                <w:szCs w:val="20"/>
              </w:rPr>
            </w:pPr>
            <w:r w:rsidRPr="00FE2E5E">
              <w:rPr>
                <w:sz w:val="20"/>
                <w:szCs w:val="20"/>
              </w:rPr>
              <w:t>A támogatott termelői csoportok forgalma (EUR)</w:t>
            </w:r>
          </w:p>
        </w:tc>
        <w:tc>
          <w:tcPr>
            <w:tcW w:w="821" w:type="pct"/>
            <w:shd w:val="clear" w:color="auto" w:fill="auto"/>
            <w:vAlign w:val="bottom"/>
          </w:tcPr>
          <w:p w:rsidR="00011C3B" w:rsidRPr="00FE2E5E" w:rsidRDefault="00011C3B" w:rsidP="00011C3B">
            <w:pPr>
              <w:spacing w:after="0"/>
              <w:jc w:val="right"/>
              <w:rPr>
                <w:sz w:val="20"/>
                <w:szCs w:val="20"/>
              </w:rPr>
            </w:pPr>
            <w:r>
              <w:rPr>
                <w:sz w:val="20"/>
                <w:szCs w:val="20"/>
              </w:rPr>
              <w:t xml:space="preserve">3 </w:t>
            </w:r>
            <w:r w:rsidRPr="00FE2E5E">
              <w:rPr>
                <w:sz w:val="20"/>
                <w:szCs w:val="20"/>
              </w:rPr>
              <w:t>200 millió</w:t>
            </w:r>
            <w:r w:rsidRPr="00FE2E5E">
              <w:rPr>
                <w:sz w:val="20"/>
                <w:szCs w:val="20"/>
                <w:lang w:val="en-GB"/>
              </w:rPr>
              <w:t xml:space="preserve"> </w:t>
            </w:r>
          </w:p>
        </w:tc>
        <w:tc>
          <w:tcPr>
            <w:tcW w:w="812" w:type="pct"/>
          </w:tcPr>
          <w:p w:rsidR="00011C3B" w:rsidRPr="006444BD" w:rsidRDefault="00011C3B" w:rsidP="00011C3B">
            <w:pPr>
              <w:spacing w:after="0"/>
              <w:jc w:val="right"/>
              <w:rPr>
                <w:sz w:val="20"/>
                <w:szCs w:val="20"/>
              </w:rPr>
            </w:pPr>
            <w:r w:rsidRPr="006444BD">
              <w:rPr>
                <w:sz w:val="20"/>
                <w:szCs w:val="20"/>
              </w:rPr>
              <w:t>418,853 millió</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új termelői csoportok a 2000-2006-os programozási időszakban létrejöttekhez képest</w:t>
            </w:r>
          </w:p>
        </w:tc>
        <w:tc>
          <w:tcPr>
            <w:tcW w:w="821" w:type="pct"/>
            <w:shd w:val="clear" w:color="auto" w:fill="auto"/>
            <w:vAlign w:val="bottom"/>
          </w:tcPr>
          <w:p w:rsidR="00011C3B" w:rsidRPr="00FE2E5E" w:rsidRDefault="00011C3B" w:rsidP="00011C3B">
            <w:pPr>
              <w:spacing w:after="0"/>
              <w:jc w:val="right"/>
              <w:rPr>
                <w:sz w:val="20"/>
                <w:szCs w:val="20"/>
                <w:lang w:val="de-DE"/>
              </w:rPr>
            </w:pPr>
            <w:r w:rsidRPr="00FE2E5E">
              <w:rPr>
                <w:sz w:val="20"/>
                <w:szCs w:val="20"/>
              </w:rPr>
              <w:t>1</w:t>
            </w:r>
            <w:r w:rsidR="00F20FAC">
              <w:rPr>
                <w:sz w:val="20"/>
                <w:szCs w:val="20"/>
              </w:rPr>
              <w:t xml:space="preserve"> </w:t>
            </w:r>
            <w:r w:rsidRPr="00FE2E5E">
              <w:rPr>
                <w:sz w:val="20"/>
                <w:szCs w:val="20"/>
              </w:rPr>
              <w:t>000 millió / 2</w:t>
            </w:r>
            <w:r w:rsidR="00F20FAC">
              <w:rPr>
                <w:sz w:val="20"/>
                <w:szCs w:val="20"/>
              </w:rPr>
              <w:t xml:space="preserve"> </w:t>
            </w:r>
            <w:r w:rsidRPr="00FE2E5E">
              <w:rPr>
                <w:sz w:val="20"/>
                <w:szCs w:val="20"/>
              </w:rPr>
              <w:t>200 millió</w:t>
            </w:r>
          </w:p>
        </w:tc>
        <w:tc>
          <w:tcPr>
            <w:tcW w:w="812" w:type="pct"/>
          </w:tcPr>
          <w:p w:rsidR="00011C3B" w:rsidRPr="00FE2E5E" w:rsidRDefault="00011C3B" w:rsidP="00011C3B">
            <w:pPr>
              <w:spacing w:after="0"/>
              <w:jc w:val="right"/>
              <w:rPr>
                <w:sz w:val="20"/>
                <w:szCs w:val="20"/>
              </w:rPr>
            </w:pPr>
            <w:r>
              <w:rPr>
                <w:sz w:val="20"/>
                <w:szCs w:val="20"/>
              </w:rPr>
              <w:t>418,853</w:t>
            </w:r>
            <w:r w:rsidRPr="00FE2E5E">
              <w:rPr>
                <w:sz w:val="20"/>
                <w:szCs w:val="20"/>
              </w:rPr>
              <w:t xml:space="preserve"> millió</w:t>
            </w:r>
          </w:p>
        </w:tc>
      </w:tr>
      <w:tr w:rsidR="00011C3B" w:rsidRPr="00FE2E5E" w:rsidTr="00011C3B">
        <w:trPr>
          <w:trHeight w:val="20"/>
          <w:jc w:val="center"/>
        </w:trPr>
        <w:tc>
          <w:tcPr>
            <w:tcW w:w="313" w:type="pct"/>
            <w:vMerge/>
          </w:tcPr>
          <w:p w:rsidR="00011C3B" w:rsidRPr="00FE2E5E" w:rsidRDefault="00011C3B" w:rsidP="00011C3B">
            <w:pPr>
              <w:spacing w:after="0"/>
              <w:ind w:left="57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azon ágazatok, amelyekben termelői csoportokat hoztak létre (lsd. a 26. indikátort)</w:t>
            </w:r>
          </w:p>
        </w:tc>
        <w:tc>
          <w:tcPr>
            <w:tcW w:w="821" w:type="pct"/>
            <w:shd w:val="clear" w:color="auto" w:fill="auto"/>
            <w:vAlign w:val="bottom"/>
          </w:tcPr>
          <w:p w:rsidR="00011C3B" w:rsidRPr="00FE2E5E" w:rsidRDefault="00011C3B" w:rsidP="00011C3B">
            <w:pPr>
              <w:spacing w:after="0"/>
              <w:jc w:val="right"/>
              <w:rPr>
                <w:sz w:val="20"/>
                <w:szCs w:val="20"/>
              </w:rPr>
            </w:pPr>
          </w:p>
        </w:tc>
        <w:tc>
          <w:tcPr>
            <w:tcW w:w="812" w:type="pct"/>
          </w:tcPr>
          <w:p w:rsidR="00011C3B" w:rsidRPr="00FE2E5E" w:rsidRDefault="00011C3B" w:rsidP="00011C3B">
            <w:pPr>
              <w:spacing w:after="0"/>
              <w:jc w:val="right"/>
              <w:rPr>
                <w:sz w:val="20"/>
                <w:szCs w:val="20"/>
              </w:rPr>
            </w:pPr>
          </w:p>
        </w:tc>
      </w:tr>
      <w:tr w:rsidR="00011C3B" w:rsidRPr="00FE2E5E" w:rsidTr="00011C3B">
        <w:trPr>
          <w:trHeight w:val="20"/>
          <w:jc w:val="center"/>
        </w:trPr>
        <w:tc>
          <w:tcPr>
            <w:tcW w:w="313" w:type="pct"/>
            <w:vMerge/>
          </w:tcPr>
          <w:p w:rsidR="00011C3B" w:rsidRPr="00FE2E5E" w:rsidRDefault="00011C3B" w:rsidP="00011C3B">
            <w:pPr>
              <w:spacing w:after="0"/>
              <w:ind w:left="111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Szántóföldi növénytermesztés</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970 millió</w:t>
            </w:r>
          </w:p>
        </w:tc>
        <w:tc>
          <w:tcPr>
            <w:tcW w:w="812" w:type="pct"/>
          </w:tcPr>
          <w:p w:rsidR="00011C3B" w:rsidRPr="00FE2E5E" w:rsidRDefault="00011C3B" w:rsidP="006444BD">
            <w:pPr>
              <w:spacing w:after="0"/>
              <w:jc w:val="right"/>
              <w:rPr>
                <w:sz w:val="20"/>
                <w:szCs w:val="20"/>
              </w:rPr>
            </w:pPr>
            <w:r>
              <w:rPr>
                <w:sz w:val="20"/>
                <w:szCs w:val="20"/>
              </w:rPr>
              <w:t>109,1</w:t>
            </w:r>
            <w:r w:rsidR="006444BD">
              <w:rPr>
                <w:sz w:val="20"/>
                <w:szCs w:val="20"/>
              </w:rPr>
              <w:t>2</w:t>
            </w:r>
            <w:r w:rsidRPr="00FE2E5E">
              <w:rPr>
                <w:sz w:val="20"/>
                <w:szCs w:val="20"/>
              </w:rPr>
              <w:t xml:space="preserve"> millió</w:t>
            </w:r>
          </w:p>
        </w:tc>
      </w:tr>
      <w:tr w:rsidR="00011C3B" w:rsidRPr="00FE2E5E" w:rsidTr="00011C3B">
        <w:trPr>
          <w:trHeight w:val="20"/>
          <w:jc w:val="center"/>
        </w:trPr>
        <w:tc>
          <w:tcPr>
            <w:tcW w:w="313" w:type="pct"/>
            <w:vMerge/>
          </w:tcPr>
          <w:p w:rsidR="00011C3B" w:rsidRPr="00FE2E5E" w:rsidRDefault="00011C3B" w:rsidP="00011C3B">
            <w:pPr>
              <w:spacing w:after="0"/>
              <w:ind w:left="111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Kertészet</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96 millió</w:t>
            </w:r>
            <w:r w:rsidRPr="00FE2E5E">
              <w:rPr>
                <w:sz w:val="20"/>
                <w:szCs w:val="20"/>
                <w:lang w:val="en-GB"/>
              </w:rPr>
              <w:t xml:space="preserve"> </w:t>
            </w:r>
          </w:p>
        </w:tc>
        <w:tc>
          <w:tcPr>
            <w:tcW w:w="812" w:type="pct"/>
          </w:tcPr>
          <w:p w:rsidR="00011C3B" w:rsidRPr="00FE2E5E" w:rsidRDefault="00011C3B" w:rsidP="00011C3B">
            <w:pPr>
              <w:spacing w:after="0"/>
              <w:jc w:val="right"/>
              <w:rPr>
                <w:sz w:val="20"/>
                <w:szCs w:val="20"/>
              </w:rPr>
            </w:pPr>
            <w:r w:rsidRPr="00FE2E5E">
              <w:rPr>
                <w:sz w:val="20"/>
                <w:szCs w:val="20"/>
              </w:rPr>
              <w:t>0</w:t>
            </w:r>
          </w:p>
        </w:tc>
      </w:tr>
      <w:tr w:rsidR="00011C3B" w:rsidRPr="00FE2E5E" w:rsidTr="00011C3B">
        <w:trPr>
          <w:trHeight w:val="20"/>
          <w:jc w:val="center"/>
        </w:trPr>
        <w:tc>
          <w:tcPr>
            <w:tcW w:w="313" w:type="pct"/>
            <w:vMerge/>
          </w:tcPr>
          <w:p w:rsidR="00011C3B" w:rsidRPr="00FE2E5E" w:rsidRDefault="00011C3B" w:rsidP="00011C3B">
            <w:pPr>
              <w:spacing w:after="0"/>
              <w:ind w:left="111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Bor</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50 millió</w:t>
            </w:r>
          </w:p>
        </w:tc>
        <w:tc>
          <w:tcPr>
            <w:tcW w:w="812" w:type="pct"/>
          </w:tcPr>
          <w:p w:rsidR="00011C3B" w:rsidRPr="00FE2E5E" w:rsidRDefault="00011C3B" w:rsidP="00011C3B">
            <w:pPr>
              <w:spacing w:after="0"/>
              <w:jc w:val="right"/>
              <w:rPr>
                <w:sz w:val="20"/>
                <w:szCs w:val="20"/>
              </w:rPr>
            </w:pPr>
            <w:r>
              <w:rPr>
                <w:sz w:val="20"/>
                <w:szCs w:val="20"/>
              </w:rPr>
              <w:t>2,48</w:t>
            </w:r>
            <w:r w:rsidRPr="00FE2E5E">
              <w:rPr>
                <w:sz w:val="20"/>
                <w:szCs w:val="20"/>
              </w:rPr>
              <w:t xml:space="preserve"> millió</w:t>
            </w:r>
          </w:p>
        </w:tc>
      </w:tr>
      <w:tr w:rsidR="00011C3B" w:rsidRPr="00FE2E5E" w:rsidTr="00011C3B">
        <w:trPr>
          <w:trHeight w:val="20"/>
          <w:jc w:val="center"/>
        </w:trPr>
        <w:tc>
          <w:tcPr>
            <w:tcW w:w="313" w:type="pct"/>
            <w:vMerge/>
          </w:tcPr>
          <w:p w:rsidR="00011C3B" w:rsidRPr="00FE2E5E" w:rsidRDefault="00011C3B" w:rsidP="00011C3B">
            <w:pPr>
              <w:spacing w:after="0"/>
              <w:ind w:left="111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Évelő növények termesztése</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320 millió</w:t>
            </w:r>
          </w:p>
        </w:tc>
        <w:tc>
          <w:tcPr>
            <w:tcW w:w="812" w:type="pct"/>
          </w:tcPr>
          <w:p w:rsidR="00011C3B" w:rsidRPr="00FE2E5E" w:rsidRDefault="00011C3B" w:rsidP="00011C3B">
            <w:pPr>
              <w:spacing w:after="0"/>
              <w:jc w:val="right"/>
              <w:rPr>
                <w:sz w:val="20"/>
                <w:szCs w:val="20"/>
              </w:rPr>
            </w:pPr>
            <w:r w:rsidRPr="00FE2E5E">
              <w:rPr>
                <w:sz w:val="20"/>
                <w:szCs w:val="20"/>
              </w:rPr>
              <w:t>0</w:t>
            </w:r>
          </w:p>
        </w:tc>
      </w:tr>
      <w:tr w:rsidR="00011C3B" w:rsidRPr="00FE2E5E" w:rsidTr="00011C3B">
        <w:trPr>
          <w:trHeight w:val="20"/>
          <w:jc w:val="center"/>
        </w:trPr>
        <w:tc>
          <w:tcPr>
            <w:tcW w:w="313" w:type="pct"/>
            <w:vMerge/>
          </w:tcPr>
          <w:p w:rsidR="00011C3B" w:rsidRPr="00FE2E5E" w:rsidRDefault="00011C3B" w:rsidP="00011C3B">
            <w:pPr>
              <w:spacing w:after="0"/>
              <w:ind w:left="111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Tejtermelés</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480 millió</w:t>
            </w:r>
          </w:p>
        </w:tc>
        <w:tc>
          <w:tcPr>
            <w:tcW w:w="812" w:type="pct"/>
          </w:tcPr>
          <w:p w:rsidR="00011C3B" w:rsidRPr="00FE2E5E" w:rsidRDefault="00011C3B" w:rsidP="00011C3B">
            <w:pPr>
              <w:spacing w:after="0"/>
              <w:jc w:val="right"/>
              <w:rPr>
                <w:sz w:val="20"/>
                <w:szCs w:val="20"/>
              </w:rPr>
            </w:pPr>
            <w:r>
              <w:rPr>
                <w:sz w:val="20"/>
                <w:szCs w:val="20"/>
              </w:rPr>
              <w:t>35,38</w:t>
            </w:r>
            <w:r w:rsidRPr="00FE2E5E">
              <w:rPr>
                <w:sz w:val="20"/>
                <w:szCs w:val="20"/>
              </w:rPr>
              <w:t xml:space="preserve"> millió</w:t>
            </w:r>
          </w:p>
        </w:tc>
      </w:tr>
      <w:tr w:rsidR="00011C3B" w:rsidRPr="00FE2E5E" w:rsidTr="00011C3B">
        <w:trPr>
          <w:trHeight w:val="20"/>
          <w:jc w:val="center"/>
        </w:trPr>
        <w:tc>
          <w:tcPr>
            <w:tcW w:w="313" w:type="pct"/>
            <w:vMerge/>
          </w:tcPr>
          <w:p w:rsidR="00011C3B" w:rsidRPr="00FE2E5E" w:rsidRDefault="00011C3B" w:rsidP="00011C3B">
            <w:pPr>
              <w:spacing w:after="0"/>
              <w:ind w:left="111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Legeltetéses állattartás (kivéve a tejtermelést)</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420 millió</w:t>
            </w:r>
          </w:p>
        </w:tc>
        <w:tc>
          <w:tcPr>
            <w:tcW w:w="812" w:type="pct"/>
          </w:tcPr>
          <w:p w:rsidR="00011C3B" w:rsidRPr="00FE2E5E" w:rsidRDefault="00011C3B" w:rsidP="00011C3B">
            <w:pPr>
              <w:spacing w:after="0"/>
              <w:jc w:val="right"/>
              <w:rPr>
                <w:sz w:val="20"/>
                <w:szCs w:val="20"/>
              </w:rPr>
            </w:pPr>
            <w:r w:rsidRPr="00FE2E5E">
              <w:rPr>
                <w:sz w:val="20"/>
                <w:szCs w:val="20"/>
              </w:rPr>
              <w:t>1</w:t>
            </w:r>
            <w:r>
              <w:rPr>
                <w:sz w:val="20"/>
                <w:szCs w:val="20"/>
              </w:rPr>
              <w:t>,74</w:t>
            </w:r>
            <w:r w:rsidRPr="00FE2E5E">
              <w:rPr>
                <w:sz w:val="20"/>
                <w:szCs w:val="20"/>
              </w:rPr>
              <w:t xml:space="preserve"> millió</w:t>
            </w:r>
          </w:p>
        </w:tc>
      </w:tr>
      <w:tr w:rsidR="00011C3B" w:rsidRPr="00FE2E5E" w:rsidTr="00011C3B">
        <w:trPr>
          <w:trHeight w:val="20"/>
          <w:jc w:val="center"/>
        </w:trPr>
        <w:tc>
          <w:tcPr>
            <w:tcW w:w="313" w:type="pct"/>
            <w:vMerge/>
          </w:tcPr>
          <w:p w:rsidR="00011C3B" w:rsidRPr="00FE2E5E" w:rsidRDefault="00011C3B" w:rsidP="00011C3B">
            <w:pPr>
              <w:spacing w:after="0"/>
              <w:ind w:left="1110"/>
              <w:rPr>
                <w:sz w:val="20"/>
                <w:szCs w:val="20"/>
              </w:rPr>
            </w:pPr>
          </w:p>
        </w:tc>
        <w:tc>
          <w:tcPr>
            <w:tcW w:w="3054" w:type="pct"/>
            <w:shd w:val="clear" w:color="auto" w:fill="auto"/>
            <w:vAlign w:val="bottom"/>
          </w:tcPr>
          <w:p w:rsidR="00011C3B" w:rsidRPr="00FE2E5E" w:rsidRDefault="00011C3B" w:rsidP="0033390A">
            <w:pPr>
              <w:numPr>
                <w:ilvl w:val="0"/>
                <w:numId w:val="80"/>
              </w:numPr>
              <w:spacing w:after="0"/>
              <w:rPr>
                <w:sz w:val="20"/>
                <w:szCs w:val="20"/>
              </w:rPr>
            </w:pPr>
            <w:r w:rsidRPr="00FE2E5E">
              <w:rPr>
                <w:sz w:val="20"/>
                <w:szCs w:val="20"/>
              </w:rPr>
              <w:t>Sertés és/vagy baromfi</w:t>
            </w:r>
          </w:p>
        </w:tc>
        <w:tc>
          <w:tcPr>
            <w:tcW w:w="821" w:type="pct"/>
            <w:shd w:val="clear" w:color="auto" w:fill="auto"/>
            <w:vAlign w:val="bottom"/>
          </w:tcPr>
          <w:p w:rsidR="00011C3B" w:rsidRPr="00FE2E5E" w:rsidRDefault="00011C3B" w:rsidP="00011C3B">
            <w:pPr>
              <w:spacing w:after="0"/>
              <w:jc w:val="right"/>
              <w:rPr>
                <w:sz w:val="20"/>
                <w:szCs w:val="20"/>
              </w:rPr>
            </w:pPr>
            <w:r w:rsidRPr="00FE2E5E">
              <w:rPr>
                <w:sz w:val="20"/>
                <w:szCs w:val="20"/>
              </w:rPr>
              <w:t>320 millió</w:t>
            </w:r>
          </w:p>
        </w:tc>
        <w:tc>
          <w:tcPr>
            <w:tcW w:w="812" w:type="pct"/>
          </w:tcPr>
          <w:p w:rsidR="00011C3B" w:rsidRPr="00FE2E5E" w:rsidRDefault="00011C3B" w:rsidP="00011C3B">
            <w:pPr>
              <w:spacing w:after="0"/>
              <w:jc w:val="right"/>
              <w:rPr>
                <w:sz w:val="20"/>
                <w:szCs w:val="20"/>
              </w:rPr>
            </w:pPr>
            <w:r>
              <w:rPr>
                <w:sz w:val="20"/>
                <w:szCs w:val="20"/>
              </w:rPr>
              <w:t>167,98</w:t>
            </w:r>
            <w:r w:rsidRPr="00FE2E5E">
              <w:rPr>
                <w:sz w:val="20"/>
                <w:szCs w:val="20"/>
              </w:rPr>
              <w:t xml:space="preserve"> millió</w:t>
            </w:r>
          </w:p>
        </w:tc>
      </w:tr>
      <w:tr w:rsidR="00011C3B" w:rsidRPr="00E42E7E" w:rsidTr="00011C3B">
        <w:trPr>
          <w:trHeight w:val="20"/>
          <w:jc w:val="center"/>
        </w:trPr>
        <w:tc>
          <w:tcPr>
            <w:tcW w:w="313" w:type="pct"/>
            <w:vMerge/>
            <w:tcBorders>
              <w:bottom w:val="single" w:sz="4" w:space="0" w:color="auto"/>
            </w:tcBorders>
          </w:tcPr>
          <w:p w:rsidR="00011C3B" w:rsidRPr="00FE2E5E" w:rsidRDefault="00011C3B" w:rsidP="00011C3B">
            <w:pPr>
              <w:spacing w:after="0"/>
              <w:ind w:left="1110"/>
              <w:rPr>
                <w:sz w:val="20"/>
                <w:szCs w:val="20"/>
              </w:rPr>
            </w:pPr>
          </w:p>
        </w:tc>
        <w:tc>
          <w:tcPr>
            <w:tcW w:w="3054" w:type="pct"/>
            <w:tcBorders>
              <w:bottom w:val="single" w:sz="4" w:space="0" w:color="auto"/>
            </w:tcBorders>
            <w:shd w:val="clear" w:color="auto" w:fill="auto"/>
            <w:vAlign w:val="bottom"/>
          </w:tcPr>
          <w:p w:rsidR="00011C3B" w:rsidRPr="00E42E7E" w:rsidRDefault="00011C3B" w:rsidP="0033390A">
            <w:pPr>
              <w:numPr>
                <w:ilvl w:val="0"/>
                <w:numId w:val="80"/>
              </w:numPr>
              <w:spacing w:after="0"/>
              <w:rPr>
                <w:sz w:val="20"/>
                <w:szCs w:val="20"/>
              </w:rPr>
            </w:pPr>
            <w:r w:rsidRPr="00E42E7E">
              <w:rPr>
                <w:sz w:val="20"/>
                <w:szCs w:val="20"/>
              </w:rPr>
              <w:t>Vegyes (növénytermesztés + állattartás)</w:t>
            </w:r>
          </w:p>
        </w:tc>
        <w:tc>
          <w:tcPr>
            <w:tcW w:w="821" w:type="pct"/>
            <w:tcBorders>
              <w:bottom w:val="single" w:sz="4" w:space="0" w:color="auto"/>
            </w:tcBorders>
            <w:shd w:val="clear" w:color="auto" w:fill="auto"/>
            <w:vAlign w:val="bottom"/>
          </w:tcPr>
          <w:p w:rsidR="00011C3B" w:rsidRPr="00E42E7E" w:rsidRDefault="00011C3B" w:rsidP="00011C3B">
            <w:pPr>
              <w:spacing w:after="0"/>
              <w:jc w:val="right"/>
              <w:rPr>
                <w:sz w:val="20"/>
                <w:szCs w:val="20"/>
              </w:rPr>
            </w:pPr>
            <w:r w:rsidRPr="00E42E7E">
              <w:rPr>
                <w:sz w:val="20"/>
                <w:szCs w:val="20"/>
              </w:rPr>
              <w:t>864 millió</w:t>
            </w:r>
          </w:p>
        </w:tc>
        <w:tc>
          <w:tcPr>
            <w:tcW w:w="812" w:type="pct"/>
            <w:tcBorders>
              <w:bottom w:val="single" w:sz="4" w:space="0" w:color="auto"/>
            </w:tcBorders>
          </w:tcPr>
          <w:p w:rsidR="00011C3B" w:rsidRPr="00E42E7E" w:rsidRDefault="00011C3B" w:rsidP="00011C3B">
            <w:pPr>
              <w:spacing w:after="0"/>
              <w:jc w:val="right"/>
              <w:rPr>
                <w:sz w:val="20"/>
                <w:szCs w:val="20"/>
              </w:rPr>
            </w:pPr>
            <w:r w:rsidRPr="00E42E7E">
              <w:rPr>
                <w:sz w:val="20"/>
                <w:szCs w:val="20"/>
              </w:rPr>
              <w:t>0</w:t>
            </w:r>
          </w:p>
        </w:tc>
      </w:tr>
      <w:tr w:rsidR="00011C3B" w:rsidRPr="00E42E7E" w:rsidTr="00011C3B">
        <w:trPr>
          <w:trHeight w:val="20"/>
          <w:jc w:val="center"/>
        </w:trPr>
        <w:tc>
          <w:tcPr>
            <w:tcW w:w="313" w:type="pct"/>
            <w:vMerge w:val="restart"/>
          </w:tcPr>
          <w:p w:rsidR="00011C3B" w:rsidRPr="00FE2E5E" w:rsidRDefault="00011C3B" w:rsidP="00011C3B">
            <w:pPr>
              <w:spacing w:after="0"/>
              <w:rPr>
                <w:sz w:val="20"/>
                <w:szCs w:val="20"/>
              </w:rPr>
            </w:pPr>
            <w:r w:rsidRPr="00FE2E5E">
              <w:rPr>
                <w:sz w:val="20"/>
                <w:szCs w:val="20"/>
              </w:rPr>
              <w:t>R</w:t>
            </w:r>
          </w:p>
        </w:tc>
        <w:tc>
          <w:tcPr>
            <w:tcW w:w="3054" w:type="pct"/>
            <w:shd w:val="clear" w:color="auto" w:fill="auto"/>
            <w:vAlign w:val="bottom"/>
          </w:tcPr>
          <w:p w:rsidR="00011C3B" w:rsidRPr="00E42E7E" w:rsidRDefault="00011C3B" w:rsidP="00011C3B">
            <w:pPr>
              <w:spacing w:after="0"/>
              <w:rPr>
                <w:sz w:val="20"/>
                <w:szCs w:val="20"/>
              </w:rPr>
            </w:pPr>
            <w:r w:rsidRPr="00E42E7E">
              <w:rPr>
                <w:sz w:val="20"/>
                <w:szCs w:val="20"/>
              </w:rPr>
              <w:t>Bruttó hozzáadott érték támogatott termelői csoportonként (EUR)</w:t>
            </w:r>
          </w:p>
        </w:tc>
        <w:tc>
          <w:tcPr>
            <w:tcW w:w="821" w:type="pct"/>
            <w:shd w:val="clear" w:color="auto" w:fill="auto"/>
            <w:vAlign w:val="bottom"/>
          </w:tcPr>
          <w:p w:rsidR="00011C3B" w:rsidRPr="00E42E7E" w:rsidRDefault="00011C3B" w:rsidP="00011C3B">
            <w:pPr>
              <w:spacing w:after="0"/>
              <w:jc w:val="right"/>
              <w:rPr>
                <w:sz w:val="20"/>
                <w:szCs w:val="20"/>
              </w:rPr>
            </w:pPr>
            <w:r w:rsidRPr="00E42E7E">
              <w:rPr>
                <w:sz w:val="20"/>
                <w:szCs w:val="20"/>
              </w:rPr>
              <w:t>300 millió</w:t>
            </w:r>
            <w:r w:rsidRPr="00E42E7E">
              <w:rPr>
                <w:sz w:val="20"/>
                <w:szCs w:val="20"/>
                <w:lang w:val="en-GB"/>
              </w:rPr>
              <w:t xml:space="preserve"> </w:t>
            </w:r>
          </w:p>
        </w:tc>
        <w:tc>
          <w:tcPr>
            <w:tcW w:w="812" w:type="pct"/>
            <w:shd w:val="clear" w:color="auto" w:fill="auto"/>
          </w:tcPr>
          <w:p w:rsidR="00011C3B" w:rsidRPr="00E42E7E" w:rsidRDefault="00011C3B" w:rsidP="00011C3B">
            <w:pPr>
              <w:spacing w:after="0"/>
              <w:jc w:val="right"/>
              <w:rPr>
                <w:sz w:val="20"/>
                <w:szCs w:val="20"/>
              </w:rPr>
            </w:pPr>
            <w:r w:rsidRPr="00E42E7E">
              <w:rPr>
                <w:sz w:val="20"/>
                <w:szCs w:val="20"/>
              </w:rPr>
              <w:t>4,33 millió</w:t>
            </w:r>
          </w:p>
        </w:tc>
      </w:tr>
      <w:tr w:rsidR="00011C3B" w:rsidRPr="00E42E7E" w:rsidTr="00011C3B">
        <w:trPr>
          <w:trHeight w:val="20"/>
          <w:jc w:val="center"/>
        </w:trPr>
        <w:tc>
          <w:tcPr>
            <w:tcW w:w="313" w:type="pct"/>
            <w:vMerge/>
          </w:tcPr>
          <w:p w:rsidR="00011C3B" w:rsidRPr="00FE2E5E" w:rsidRDefault="00011C3B" w:rsidP="00011C3B">
            <w:pPr>
              <w:spacing w:after="0"/>
              <w:rPr>
                <w:sz w:val="20"/>
                <w:szCs w:val="20"/>
              </w:rPr>
            </w:pPr>
          </w:p>
        </w:tc>
        <w:tc>
          <w:tcPr>
            <w:tcW w:w="3054" w:type="pct"/>
            <w:shd w:val="clear" w:color="auto" w:fill="auto"/>
            <w:vAlign w:val="bottom"/>
          </w:tcPr>
          <w:p w:rsidR="00011C3B" w:rsidRPr="00E42E7E" w:rsidRDefault="00011C3B" w:rsidP="00011C3B">
            <w:pPr>
              <w:spacing w:after="0"/>
              <w:rPr>
                <w:sz w:val="20"/>
                <w:szCs w:val="20"/>
              </w:rPr>
            </w:pPr>
            <w:r w:rsidRPr="00E42E7E">
              <w:rPr>
                <w:sz w:val="20"/>
                <w:szCs w:val="20"/>
              </w:rPr>
              <w:t>A piacra kilépő gazdaságok száma</w:t>
            </w:r>
            <w:r w:rsidRPr="00E42E7E">
              <w:rPr>
                <w:sz w:val="20"/>
                <w:szCs w:val="20"/>
                <w:lang w:val="es-ES_tradnl"/>
              </w:rPr>
              <w:t xml:space="preserve"> </w:t>
            </w:r>
          </w:p>
        </w:tc>
        <w:tc>
          <w:tcPr>
            <w:tcW w:w="821" w:type="pct"/>
            <w:shd w:val="clear" w:color="auto" w:fill="auto"/>
            <w:vAlign w:val="bottom"/>
          </w:tcPr>
          <w:p w:rsidR="00011C3B" w:rsidRPr="00E42E7E" w:rsidRDefault="00011C3B" w:rsidP="00011C3B">
            <w:pPr>
              <w:spacing w:after="0"/>
              <w:jc w:val="right"/>
              <w:rPr>
                <w:sz w:val="20"/>
                <w:szCs w:val="20"/>
                <w:lang w:val="en-GB"/>
              </w:rPr>
            </w:pPr>
            <w:r w:rsidRPr="00E42E7E">
              <w:rPr>
                <w:sz w:val="20"/>
                <w:szCs w:val="20"/>
                <w:lang w:val="en-GB"/>
              </w:rPr>
              <w:t>1.800</w:t>
            </w:r>
          </w:p>
        </w:tc>
        <w:tc>
          <w:tcPr>
            <w:tcW w:w="812" w:type="pct"/>
            <w:shd w:val="clear" w:color="auto" w:fill="auto"/>
          </w:tcPr>
          <w:p w:rsidR="00011C3B" w:rsidRPr="00E42E7E" w:rsidRDefault="00011C3B" w:rsidP="00011C3B">
            <w:pPr>
              <w:spacing w:after="0"/>
              <w:jc w:val="right"/>
              <w:rPr>
                <w:sz w:val="20"/>
                <w:szCs w:val="20"/>
                <w:lang w:val="en-GB"/>
              </w:rPr>
            </w:pPr>
            <w:r w:rsidRPr="00E42E7E">
              <w:rPr>
                <w:sz w:val="20"/>
                <w:szCs w:val="20"/>
                <w:lang w:val="en-GB"/>
              </w:rPr>
              <w:t>2206</w:t>
            </w:r>
          </w:p>
        </w:tc>
      </w:tr>
      <w:tr w:rsidR="00011C3B" w:rsidRPr="00E42E7E" w:rsidTr="00011C3B">
        <w:trPr>
          <w:trHeight w:val="20"/>
          <w:jc w:val="center"/>
        </w:trPr>
        <w:tc>
          <w:tcPr>
            <w:tcW w:w="313" w:type="pct"/>
            <w:vMerge w:val="restart"/>
          </w:tcPr>
          <w:p w:rsidR="00011C3B" w:rsidRPr="00FE2E5E" w:rsidRDefault="00011C3B" w:rsidP="00011C3B">
            <w:pPr>
              <w:keepNext/>
              <w:spacing w:after="0"/>
              <w:rPr>
                <w:sz w:val="20"/>
                <w:szCs w:val="20"/>
              </w:rPr>
            </w:pPr>
            <w:r w:rsidRPr="00FE2E5E">
              <w:rPr>
                <w:sz w:val="20"/>
                <w:szCs w:val="20"/>
              </w:rPr>
              <w:t>I</w:t>
            </w:r>
          </w:p>
        </w:tc>
        <w:tc>
          <w:tcPr>
            <w:tcW w:w="3054" w:type="pct"/>
            <w:shd w:val="clear" w:color="auto" w:fill="auto"/>
            <w:vAlign w:val="bottom"/>
          </w:tcPr>
          <w:p w:rsidR="00011C3B" w:rsidRPr="00E42E7E" w:rsidRDefault="00011C3B" w:rsidP="00011C3B">
            <w:pPr>
              <w:keepNext/>
              <w:spacing w:after="0"/>
              <w:ind w:left="244"/>
              <w:rPr>
                <w:sz w:val="20"/>
                <w:szCs w:val="20"/>
              </w:rPr>
            </w:pPr>
            <w:r w:rsidRPr="00E42E7E">
              <w:rPr>
                <w:sz w:val="20"/>
                <w:szCs w:val="20"/>
              </w:rPr>
              <w:t>Nettó hozzáadott érték PPS-ben kifejezve (euró)</w:t>
            </w:r>
          </w:p>
        </w:tc>
        <w:tc>
          <w:tcPr>
            <w:tcW w:w="821" w:type="pct"/>
            <w:shd w:val="clear" w:color="auto" w:fill="auto"/>
            <w:vAlign w:val="bottom"/>
          </w:tcPr>
          <w:p w:rsidR="00011C3B" w:rsidRPr="00E42E7E" w:rsidRDefault="00011C3B" w:rsidP="00011C3B">
            <w:pPr>
              <w:keepNext/>
              <w:spacing w:after="0"/>
              <w:jc w:val="right"/>
              <w:rPr>
                <w:sz w:val="20"/>
                <w:szCs w:val="20"/>
              </w:rPr>
            </w:pPr>
            <w:r w:rsidRPr="00E42E7E">
              <w:rPr>
                <w:sz w:val="20"/>
                <w:szCs w:val="20"/>
              </w:rPr>
              <w:t>510 millió</w:t>
            </w:r>
            <w:r w:rsidRPr="00E42E7E">
              <w:rPr>
                <w:sz w:val="20"/>
                <w:szCs w:val="20"/>
                <w:lang w:val="en-GB"/>
              </w:rPr>
              <w:t xml:space="preserve"> </w:t>
            </w:r>
          </w:p>
        </w:tc>
        <w:tc>
          <w:tcPr>
            <w:tcW w:w="812" w:type="pct"/>
            <w:shd w:val="clear" w:color="auto" w:fill="auto"/>
          </w:tcPr>
          <w:p w:rsidR="00011C3B" w:rsidRPr="00E42E7E" w:rsidRDefault="00011C3B" w:rsidP="00011C3B">
            <w:pPr>
              <w:keepNext/>
              <w:spacing w:after="0"/>
              <w:jc w:val="right"/>
              <w:rPr>
                <w:sz w:val="20"/>
                <w:szCs w:val="20"/>
              </w:rPr>
            </w:pPr>
            <w:r w:rsidRPr="00E42E7E">
              <w:rPr>
                <w:sz w:val="20"/>
                <w:szCs w:val="20"/>
              </w:rPr>
              <w:t>NA</w:t>
            </w:r>
          </w:p>
        </w:tc>
      </w:tr>
      <w:tr w:rsidR="00011C3B" w:rsidRPr="00E42E7E" w:rsidTr="00011C3B">
        <w:trPr>
          <w:trHeight w:val="20"/>
          <w:jc w:val="center"/>
        </w:trPr>
        <w:tc>
          <w:tcPr>
            <w:tcW w:w="313" w:type="pct"/>
            <w:vMerge/>
          </w:tcPr>
          <w:p w:rsidR="00011C3B" w:rsidRPr="00FE2E5E" w:rsidRDefault="00011C3B" w:rsidP="00011C3B">
            <w:pPr>
              <w:keepNext/>
              <w:spacing w:after="0"/>
              <w:rPr>
                <w:sz w:val="20"/>
                <w:szCs w:val="20"/>
              </w:rPr>
            </w:pPr>
          </w:p>
        </w:tc>
        <w:tc>
          <w:tcPr>
            <w:tcW w:w="3054" w:type="pct"/>
            <w:shd w:val="clear" w:color="auto" w:fill="auto"/>
            <w:vAlign w:val="bottom"/>
          </w:tcPr>
          <w:p w:rsidR="00011C3B" w:rsidRPr="00E42E7E" w:rsidRDefault="00011C3B" w:rsidP="00011C3B">
            <w:pPr>
              <w:keepNext/>
              <w:spacing w:after="0"/>
              <w:ind w:left="244"/>
              <w:rPr>
                <w:sz w:val="20"/>
                <w:szCs w:val="20"/>
              </w:rPr>
            </w:pPr>
            <w:r w:rsidRPr="00E42E7E">
              <w:rPr>
                <w:sz w:val="20"/>
                <w:szCs w:val="20"/>
              </w:rPr>
              <w:t>A bruttó hozzáadott érték változása teljes munkaidő egyenértékhez viszonyítva (euró)</w:t>
            </w:r>
          </w:p>
        </w:tc>
        <w:tc>
          <w:tcPr>
            <w:tcW w:w="821" w:type="pct"/>
            <w:shd w:val="clear" w:color="auto" w:fill="auto"/>
            <w:vAlign w:val="bottom"/>
          </w:tcPr>
          <w:p w:rsidR="00011C3B" w:rsidRPr="00E42E7E" w:rsidRDefault="00011C3B" w:rsidP="00011C3B">
            <w:pPr>
              <w:keepNext/>
              <w:spacing w:after="0"/>
              <w:jc w:val="right"/>
              <w:rPr>
                <w:sz w:val="20"/>
                <w:szCs w:val="20"/>
                <w:lang w:val="en-GB"/>
              </w:rPr>
            </w:pPr>
            <w:r w:rsidRPr="00E42E7E">
              <w:rPr>
                <w:sz w:val="20"/>
                <w:szCs w:val="20"/>
                <w:lang w:val="en-GB"/>
              </w:rPr>
              <w:t xml:space="preserve">26500 </w:t>
            </w:r>
          </w:p>
        </w:tc>
        <w:tc>
          <w:tcPr>
            <w:tcW w:w="812" w:type="pct"/>
            <w:shd w:val="clear" w:color="auto" w:fill="auto"/>
          </w:tcPr>
          <w:p w:rsidR="00011C3B" w:rsidRPr="00E42E7E" w:rsidRDefault="00011C3B" w:rsidP="00011C3B">
            <w:pPr>
              <w:keepNext/>
              <w:spacing w:after="0"/>
              <w:jc w:val="right"/>
              <w:rPr>
                <w:sz w:val="20"/>
                <w:szCs w:val="20"/>
                <w:lang w:val="en-GB"/>
              </w:rPr>
            </w:pPr>
            <w:r w:rsidRPr="00E42E7E">
              <w:rPr>
                <w:sz w:val="20"/>
                <w:szCs w:val="20"/>
                <w:lang w:val="en-GB"/>
              </w:rPr>
              <w:t>NA</w:t>
            </w:r>
          </w:p>
        </w:tc>
      </w:tr>
    </w:tbl>
    <w:p w:rsidR="00011C3B" w:rsidRDefault="00011C3B" w:rsidP="00011C3B">
      <w:pPr>
        <w:pStyle w:val="Normlforrs"/>
      </w:pPr>
      <w:r w:rsidRPr="00604B6F">
        <w:t>Forrás: MVH</w:t>
      </w:r>
    </w:p>
    <w:p w:rsidR="00851B3C" w:rsidRDefault="00851B3C" w:rsidP="00BD037E">
      <w:r w:rsidRPr="002C1255">
        <w:t>A termelői csoportok száma nem éri el a tervezett értéket, azonban, mivel 2013 folyamán sor került számos termelői csoport elismerésére, az indikátor érték növekedése vártató a programozási időszak végéig. A termelői csoportok forgalmára vonatkozó adatok a piaci helyzet – beleértve a Ft/euró árfolyamot - és</w:t>
      </w:r>
      <w:r w:rsidRPr="00BD037E">
        <w:t xml:space="preserve"> a több ágazatot érintő aszálykár miatt marad el a tervezettől. </w:t>
      </w:r>
    </w:p>
    <w:p w:rsidR="00E442DA" w:rsidRDefault="00E442DA" w:rsidP="00E442DA">
      <w:r>
        <w:t xml:space="preserve">A korábban számolt eredmény indikátor (BHÉ) érték az MVH által közvetlenül a kedvezményezettektől gyűjtött adatok alapján került meghatározásra. Ennek során a BHÉ értékkel közel azonos tartalommal bíró adat, az iparűzési adó adóalapjához megadandó ún. fedezeti összegre vonatkozó adat segítségével kalkulált az MVH. A kedvezményezetteket terhelő monitoring adatszolgáltatás az adminisztratív terhek csökkentése érdekében megszűnt, az Irányító Hatóság alternatív adatforrások, módszertanok alkalmazását kezdeményezte. Az indikátorokat érintő felülvizsgálat során az Agrárgazdasági Kutatóintézet (AKI) tehát más módszertant alkalmazott, az MVH minden kedvezményezett esetében figyelembe vette a szolgáltatott adatokat és nem alkalmazta a CMEF által ajánlott szűrést. </w:t>
      </w:r>
    </w:p>
    <w:p w:rsidR="00E442DA" w:rsidRPr="00B67120" w:rsidRDefault="00E442DA" w:rsidP="00E442DA">
      <w:pPr>
        <w:rPr>
          <w:rFonts w:cs="Times New Roman"/>
        </w:rPr>
      </w:pPr>
      <w:r>
        <w:t xml:space="preserve">Elsőként az érintett kedvezményezettek adószáma alapján a társasági adóbevallás mutatói segítségével a CMEF tartalmát leginkább kifejező tételek felhasználásával meghatározott becsült BHÉ érték hozzárendelése történt meg az AKI által a 2010-2012 évek esetében, amelyek különbsége mutatja meg a 2012. évi BHÉ indikátor értékét, tehát a BHÉ aktuális változását. </w:t>
      </w:r>
      <w:r w:rsidRPr="00B67120">
        <w:rPr>
          <w:rFonts w:cs="Times New Roman"/>
        </w:rPr>
        <w:t>A BHÉ értékeket a társasági adóbevallással nem rendelkező kedvezményezettek esetén FAD</w:t>
      </w:r>
      <w:r>
        <w:rPr>
          <w:rFonts w:cs="Times New Roman"/>
        </w:rPr>
        <w:t>N mutatóra alapozott becslésre alapozva számolta az AKI, a becslés során figyelembe vette</w:t>
      </w:r>
      <w:r w:rsidRPr="00B67120">
        <w:rPr>
          <w:rFonts w:cs="Times New Roman"/>
        </w:rPr>
        <w:t xml:space="preserve"> azok legjellemzőbb mezőgazdasági ágazatukat valamint méretüket.</w:t>
      </w:r>
    </w:p>
    <w:p w:rsidR="00E42E7E" w:rsidRDefault="00E442DA" w:rsidP="00E442DA">
      <w:pPr>
        <w:rPr>
          <w:rFonts w:eastAsia="Times New Roman"/>
        </w:rPr>
      </w:pPr>
      <w:r>
        <w:t>Az MVH által készített alapkimutatás alapján az utolsó kifizetés éve és az utána következő második év között mért bruttó hozzáadott érték változás a BHÉ indikátor tartalma</w:t>
      </w:r>
      <w:r w:rsidRPr="00ED13EB">
        <w:t xml:space="preserve">. </w:t>
      </w:r>
      <w:r>
        <w:t>A BHÉ</w:t>
      </w:r>
      <w:r w:rsidRPr="00ED13EB">
        <w:t xml:space="preserve"> indikátor ugyanis </w:t>
      </w:r>
      <w:r w:rsidRPr="00ED13EB">
        <w:rPr>
          <w:rFonts w:eastAsia="Times New Roman"/>
        </w:rPr>
        <w:t>n+2 szemléletben kerül kiszámításra, ezért a 2012. évi változás esetében minden esetben, így itt is a 2010-ben utolsó kifizetéssel rendelkezők kerülnek figyelembevételre.</w:t>
      </w:r>
    </w:p>
    <w:p w:rsidR="000A64E1" w:rsidRPr="000A64E1" w:rsidRDefault="000A64E1" w:rsidP="000A64E1">
      <w:pPr>
        <w:rPr>
          <w:rFonts w:eastAsia="Times New Roman"/>
        </w:rPr>
      </w:pPr>
      <w:r w:rsidRPr="000A64E1">
        <w:rPr>
          <w:rFonts w:eastAsia="Times New Roman"/>
        </w:rPr>
        <w:t xml:space="preserve">Az R5 </w:t>
      </w:r>
      <w:r w:rsidR="00B921B3">
        <w:rPr>
          <w:rFonts w:eastAsia="Times New Roman"/>
        </w:rPr>
        <w:t>(</w:t>
      </w:r>
      <w:r>
        <w:rPr>
          <w:rFonts w:eastAsia="Times New Roman"/>
        </w:rPr>
        <w:t xml:space="preserve">A piacra belépő gazdaságok száma) </w:t>
      </w:r>
      <w:r w:rsidRPr="000A64E1">
        <w:rPr>
          <w:rFonts w:eastAsia="Times New Roman"/>
        </w:rPr>
        <w:t xml:space="preserve">indikátor értékének 2012-es évre történő meghatározása a korábban átadott módszertan alapján – az MVH adatszolgáltatására alapozva – történt. Tekintettel arra, hogy a Vidékfejlesztési Minisztérium Agrárpiaci Főosztályának termelői csoportokra vonatkozó adatbázisa 2011-ig tartalmaz tagi, árbevételi adatokat, és a 2012. évi adatok feltöltése folyamatban van, az R-5 eredményindikátor értékének meghatározását a 142-es intézkedés esetében a tárgyévben (2012-ben) támogatott termelői csoportok 25 százalékát </w:t>
      </w:r>
      <w:r>
        <w:rPr>
          <w:rFonts w:eastAsia="Times New Roman"/>
        </w:rPr>
        <w:t>érintő mintavételre alapozta az AKI</w:t>
      </w:r>
      <w:r w:rsidRPr="000A64E1">
        <w:rPr>
          <w:rFonts w:eastAsia="Times New Roman"/>
        </w:rPr>
        <w:t xml:space="preserve">. </w:t>
      </w:r>
    </w:p>
    <w:p w:rsidR="000A64E1" w:rsidRDefault="000A64E1" w:rsidP="000A64E1">
      <w:pPr>
        <w:rPr>
          <w:rFonts w:eastAsia="Times New Roman"/>
        </w:rPr>
      </w:pPr>
      <w:r w:rsidRPr="000A64E1">
        <w:rPr>
          <w:rFonts w:eastAsia="Times New Roman"/>
        </w:rPr>
        <w:lastRenderedPageBreak/>
        <w:t>A mintavételi szempontok meghatározásánál az MVH által átadott ágazati, árbevételi, támogatási adatokra, valamint a VM Agrárpiaci Főosztálya által szolgálta</w:t>
      </w:r>
      <w:r>
        <w:rPr>
          <w:rFonts w:eastAsia="Times New Roman"/>
        </w:rPr>
        <w:t>tott információkra támaszkodott a kalkuláció</w:t>
      </w:r>
      <w:r w:rsidRPr="000A64E1">
        <w:rPr>
          <w:rFonts w:eastAsia="Times New Roman"/>
        </w:rPr>
        <w:t>. A mintavételt követően a termelői csoportok piacra belépő tagjainak beazonosítására telefonos kapcsol</w:t>
      </w:r>
      <w:r>
        <w:rPr>
          <w:rFonts w:eastAsia="Times New Roman"/>
        </w:rPr>
        <w:t>atfelvétel keretében került sor, a</w:t>
      </w:r>
      <w:r w:rsidRPr="000A64E1">
        <w:rPr>
          <w:rFonts w:eastAsia="Times New Roman"/>
        </w:rPr>
        <w:t xml:space="preserve"> kumulált érték meghatározásánál az AKI Vidékpolitikai Kutatások Osztálya által kidolgozott, a Tesztüzemi Információs Rend</w:t>
      </w:r>
      <w:r>
        <w:rPr>
          <w:rFonts w:eastAsia="Times New Roman"/>
        </w:rPr>
        <w:t>szer adatain alapuló módszertan</w:t>
      </w:r>
      <w:r w:rsidRPr="000A64E1">
        <w:rPr>
          <w:rFonts w:eastAsia="Times New Roman"/>
        </w:rPr>
        <w:t xml:space="preserve">, illetve az ez alapján a korábbi évekre (2007-2011) becsült értékeket </w:t>
      </w:r>
      <w:r>
        <w:rPr>
          <w:rFonts w:eastAsia="Times New Roman"/>
        </w:rPr>
        <w:t xml:space="preserve">krült </w:t>
      </w:r>
      <w:r w:rsidRPr="000A64E1">
        <w:rPr>
          <w:rFonts w:eastAsia="Times New Roman"/>
        </w:rPr>
        <w:t>figyelembe</w:t>
      </w:r>
      <w:r>
        <w:rPr>
          <w:rFonts w:eastAsia="Times New Roman"/>
        </w:rPr>
        <w:t xml:space="preserve"> vételre</w:t>
      </w:r>
      <w:r w:rsidRPr="000A64E1">
        <w:rPr>
          <w:rFonts w:eastAsia="Times New Roman"/>
        </w:rPr>
        <w:t>.</w:t>
      </w:r>
    </w:p>
    <w:p w:rsidR="00011C3B" w:rsidRPr="00626269" w:rsidRDefault="00011C3B" w:rsidP="00715E86">
      <w:pPr>
        <w:pStyle w:val="Cmsor4"/>
      </w:pPr>
      <w:r w:rsidRPr="00626269">
        <w:t>létrehozásához és működéséhez nyújtandó támogatási jogcím rövid bemutatása</w:t>
      </w:r>
    </w:p>
    <w:p w:rsidR="00F20FAC" w:rsidRPr="00BD037E" w:rsidRDefault="00F20FAC" w:rsidP="00BD037E">
      <w:r w:rsidRPr="00BD037E">
        <w:t>A jogcímet az 59/2007. (VII.10.) FVM rendelet hirdette meg. A 2012-es év során a jogcímet érintő rendelet egy alkalommal került módosításra (124/2012. (XII.6.) VM rendelet). A technikai jellegű módosítás mellett a módosítás egyértelműsíti, hogy egy elismerési okirat vonatkozásában évente egy támogatási kérelem hagyható jóvá.</w:t>
      </w:r>
    </w:p>
    <w:p w:rsidR="006F27AF" w:rsidRPr="00604B6F" w:rsidRDefault="006F27AF" w:rsidP="004869BB">
      <w:r>
        <w:t>2012. szeptember 1. és 30. között nyílt lehetőség támogatási kérelem benyújtására. A jogcímet szabályozó 59/2007. (VII. 10.) FVM rendelet módosításra került 2012. december 6-án. A jogszabály módosítással nem érintett ügyfelek határozathozatala lezárult 2012-ben, a fennmaradó kérelmek ügyintézése 2013-ra tolódott.</w:t>
      </w:r>
    </w:p>
    <w:p w:rsidR="00011C3B" w:rsidRDefault="00011C3B" w:rsidP="004869BB">
      <w:r w:rsidRPr="00604B6F">
        <w:t>A kifizetési kérelmek beadására 201</w:t>
      </w:r>
      <w:r w:rsidR="00890C0F">
        <w:t>2</w:t>
      </w:r>
      <w:r w:rsidRPr="00604B6F">
        <w:t>. június 1. és 30. között nyílt lehetőség.</w:t>
      </w:r>
    </w:p>
    <w:p w:rsidR="00011C3B" w:rsidRPr="00604B6F" w:rsidRDefault="00011C3B" w:rsidP="00D53DF7">
      <w:pPr>
        <w:rPr>
          <w:szCs w:val="22"/>
        </w:rPr>
      </w:pPr>
      <w:r w:rsidRPr="00604B6F">
        <w:rPr>
          <w:szCs w:val="22"/>
        </w:rPr>
        <w:t>A támogatási és a kifizetési kérelmeket jóváhagyó határozatokban is feltüntetésre kerül a következő évi kifizetési kérelem benyújtási időszaka. Ezzel felhívva az ügyfelek figyelmét az évenként esedékes kifizetési kérelem benyújtásra, mely alapfeltétele a támogatás lehívásának.</w:t>
      </w:r>
    </w:p>
    <w:p w:rsidR="00011C3B" w:rsidRDefault="00011C3B" w:rsidP="00D53DF7">
      <w:r w:rsidRPr="00604B6F">
        <w:t>A jogcím végrehajtása során leginkább a kérelmek pontatlan, ellentmondásos kitöltése okoz problémát. A hiánypótlásra szoruló kérelmek nagy aránya (70% fölötti) miatt nagyban m</w:t>
      </w:r>
      <w:r>
        <w:t>egnövekszik az ügyintézési idő.</w:t>
      </w:r>
    </w:p>
    <w:p w:rsidR="00011C3B" w:rsidRPr="00F92037" w:rsidRDefault="007E5FDF" w:rsidP="00F92037">
      <w:pPr>
        <w:pStyle w:val="bra-cmetbla"/>
      </w:pPr>
      <w:fldSimple w:instr=" SEQ táblázat \* ARABIC ">
        <w:r w:rsidR="00E5031F">
          <w:rPr>
            <w:noProof/>
          </w:rPr>
          <w:t>53</w:t>
        </w:r>
      </w:fldSimple>
      <w:r w:rsidR="00673DDE">
        <w:t xml:space="preserve">. táblázat: </w:t>
      </w:r>
      <w:r w:rsidR="00011C3B" w:rsidRPr="00F92037">
        <w:t>Termelői csoportok létrehozásához és működéséhez nyújtandó támogatási jogcím 2012. évi eredményei</w:t>
      </w:r>
    </w:p>
    <w:p w:rsidR="00011C3B" w:rsidRPr="00F92037" w:rsidRDefault="00B452BF" w:rsidP="00F92037">
      <w:pPr>
        <w:pStyle w:val="bra-cmetbla"/>
      </w:pPr>
      <w:r w:rsidRPr="00F92037">
        <w:rPr>
          <w:noProof/>
        </w:rPr>
        <w:drawing>
          <wp:inline distT="0" distB="0" distL="0" distR="0" wp14:anchorId="1769165F" wp14:editId="358BFE66">
            <wp:extent cx="5167630" cy="1882140"/>
            <wp:effectExtent l="0" t="0" r="0" b="3810"/>
            <wp:docPr id="36"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35797" w:rsidRDefault="00011C3B" w:rsidP="00011C3B">
      <w:pPr>
        <w:pStyle w:val="Normlforrs"/>
      </w:pPr>
      <w:r w:rsidRPr="00F35797">
        <w:t>Forrás: MVH</w:t>
      </w:r>
    </w:p>
    <w:p w:rsidR="00A7194C" w:rsidRDefault="00011C3B" w:rsidP="00D53DF7">
      <w:pPr>
        <w:rPr>
          <w:szCs w:val="22"/>
        </w:rPr>
      </w:pPr>
      <w:r w:rsidRPr="00604B6F">
        <w:rPr>
          <w:szCs w:val="22"/>
        </w:rPr>
        <w:t>A</w:t>
      </w:r>
      <w:r>
        <w:rPr>
          <w:szCs w:val="22"/>
        </w:rPr>
        <w:t>z</w:t>
      </w:r>
      <w:r w:rsidRPr="00604B6F">
        <w:rPr>
          <w:szCs w:val="22"/>
        </w:rPr>
        <w:t xml:space="preserve"> MVH</w:t>
      </w:r>
      <w:r>
        <w:rPr>
          <w:szCs w:val="22"/>
        </w:rPr>
        <w:t>-</w:t>
      </w:r>
      <w:r w:rsidRPr="00604B6F">
        <w:rPr>
          <w:szCs w:val="22"/>
        </w:rPr>
        <w:t xml:space="preserve">hoz </w:t>
      </w:r>
      <w:r>
        <w:rPr>
          <w:szCs w:val="22"/>
        </w:rPr>
        <w:t>2012. évben 20 db</w:t>
      </w:r>
      <w:r w:rsidRPr="00604B6F">
        <w:rPr>
          <w:szCs w:val="22"/>
        </w:rPr>
        <w:t xml:space="preserve"> támoga</w:t>
      </w:r>
      <w:r>
        <w:rPr>
          <w:szCs w:val="22"/>
        </w:rPr>
        <w:t xml:space="preserve">tási kérelem került benyújtásra. </w:t>
      </w:r>
      <w:r w:rsidR="00A7194C">
        <w:t>A támogatási határozatok a korábban benyújtott kérelmek esetében kerültek kiadásra.</w:t>
      </w:r>
    </w:p>
    <w:p w:rsidR="00011C3B" w:rsidRPr="00604B6F" w:rsidRDefault="00011C3B" w:rsidP="00D53DF7">
      <w:pPr>
        <w:rPr>
          <w:szCs w:val="22"/>
        </w:rPr>
      </w:pPr>
      <w:r>
        <w:rPr>
          <w:szCs w:val="22"/>
        </w:rPr>
        <w:t xml:space="preserve">Kifizetés az EMVA keretéből 13,7 M euró (4 Mrd Ft) történt. </w:t>
      </w:r>
    </w:p>
    <w:p w:rsidR="00CF7C1C" w:rsidRPr="00F35797" w:rsidRDefault="00011C3B" w:rsidP="00527629">
      <w:pPr>
        <w:pStyle w:val="Cmsor2"/>
      </w:pPr>
      <w:bookmarkStart w:id="254" w:name="_Toc297033298"/>
      <w:bookmarkStart w:id="255" w:name="_Toc297033912"/>
      <w:bookmarkStart w:id="256" w:name="_Toc297548949"/>
      <w:bookmarkStart w:id="257" w:name="_Toc297549740"/>
      <w:bookmarkEnd w:id="218"/>
      <w:bookmarkEnd w:id="219"/>
      <w:bookmarkEnd w:id="254"/>
      <w:bookmarkEnd w:id="255"/>
      <w:bookmarkEnd w:id="256"/>
      <w:bookmarkEnd w:id="257"/>
      <w:r w:rsidRPr="00F35797">
        <w:br w:type="page"/>
      </w:r>
      <w:bookmarkStart w:id="258" w:name="_Toc328638713"/>
      <w:bookmarkStart w:id="259" w:name="_Toc297560976"/>
      <w:bookmarkStart w:id="260" w:name="_Toc328638724"/>
      <w:bookmarkStart w:id="261" w:name="_Toc360176803"/>
      <w:r w:rsidR="00CF7C1C" w:rsidRPr="00F35797">
        <w:lastRenderedPageBreak/>
        <w:t>II. tengely</w:t>
      </w:r>
      <w:bookmarkEnd w:id="258"/>
      <w:bookmarkEnd w:id="261"/>
    </w:p>
    <w:p w:rsidR="00CF7C1C" w:rsidRPr="002B4681" w:rsidRDefault="00CF7C1C" w:rsidP="00CF7C1C">
      <w:pPr>
        <w:rPr>
          <w:b/>
          <w:bCs/>
          <w:szCs w:val="22"/>
        </w:rPr>
      </w:pPr>
      <w:bookmarkStart w:id="262" w:name="_Toc232505883"/>
      <w:bookmarkStart w:id="263" w:name="_Toc232561504"/>
      <w:bookmarkStart w:id="264" w:name="_Toc201068917"/>
      <w:bookmarkEnd w:id="262"/>
      <w:bookmarkEnd w:id="263"/>
      <w:r w:rsidRPr="002B4681">
        <w:rPr>
          <w:b/>
          <w:bCs/>
          <w:szCs w:val="22"/>
        </w:rPr>
        <w:t xml:space="preserve">A környezetkímélő mező- és erdőgazdálkodás támogatását a </w:t>
      </w:r>
      <w:r w:rsidRPr="002B4681">
        <w:rPr>
          <w:szCs w:val="22"/>
        </w:rPr>
        <w:t xml:space="preserve">Program II. tengelyének </w:t>
      </w:r>
      <w:r w:rsidRPr="002B4681">
        <w:rPr>
          <w:b/>
          <w:bCs/>
          <w:szCs w:val="22"/>
        </w:rPr>
        <w:t>forrásai biztosítják.</w:t>
      </w:r>
    </w:p>
    <w:p w:rsidR="00CF7C1C" w:rsidRPr="0058781B" w:rsidRDefault="00CF7C1C" w:rsidP="00D53DF7">
      <w:r w:rsidRPr="0058781B">
        <w:t xml:space="preserve">A II. tengely </w:t>
      </w:r>
      <w:r w:rsidR="0029704A" w:rsidRPr="0058781B">
        <w:t xml:space="preserve">két </w:t>
      </w:r>
      <w:r w:rsidRPr="0058781B">
        <w:t xml:space="preserve">intézkedés megnyitásával indult 2007-ben, amely 2012-re elérte a </w:t>
      </w:r>
      <w:r w:rsidR="0029704A" w:rsidRPr="0058781B">
        <w:t xml:space="preserve">13 </w:t>
      </w:r>
      <w:r w:rsidRPr="0058781B">
        <w:t xml:space="preserve">intézkedést. Ebből 2012-ben </w:t>
      </w:r>
      <w:r w:rsidR="0029704A" w:rsidRPr="0058781B">
        <w:t xml:space="preserve">két </w:t>
      </w:r>
      <w:r w:rsidRPr="0058781B">
        <w:t xml:space="preserve">új intézkedés nyílt meg, </w:t>
      </w:r>
      <w:r w:rsidRPr="00F46173">
        <w:rPr>
          <w:b/>
          <w:bCs/>
          <w:szCs w:val="22"/>
        </w:rPr>
        <w:t>a védett őshonos és veszélyeztetett mezőgazdasági állatfajták genetikai erőforrásának megőrzése</w:t>
      </w:r>
      <w:r w:rsidRPr="00F46173">
        <w:rPr>
          <w:bCs/>
          <w:szCs w:val="22"/>
        </w:rPr>
        <w:t xml:space="preserve">, </w:t>
      </w:r>
      <w:r w:rsidRPr="0058781B">
        <w:t>valamint a</w:t>
      </w:r>
      <w:r w:rsidRPr="00F46173">
        <w:rPr>
          <w:bCs/>
          <w:szCs w:val="22"/>
        </w:rPr>
        <w:t xml:space="preserve"> </w:t>
      </w:r>
      <w:r w:rsidRPr="00F46173">
        <w:rPr>
          <w:b/>
          <w:bCs/>
          <w:szCs w:val="22"/>
        </w:rPr>
        <w:t>Natura 2000 erdőterületeken történő gazdálkodáshoz nyújtandó kompenzációs támogatás</w:t>
      </w:r>
      <w:r w:rsidRPr="00F46173">
        <w:rPr>
          <w:bCs/>
          <w:szCs w:val="22"/>
        </w:rPr>
        <w:t xml:space="preserve"> </w:t>
      </w:r>
      <w:r w:rsidRPr="0058781B">
        <w:t xml:space="preserve">című intézkedés. </w:t>
      </w:r>
    </w:p>
    <w:p w:rsidR="00CF7C1C" w:rsidRPr="0058781B" w:rsidRDefault="00CF7C1C" w:rsidP="00CF7C1C">
      <w:r w:rsidRPr="0058781B">
        <w:t xml:space="preserve">A már 2007-óta működő </w:t>
      </w:r>
      <w:r w:rsidR="00BA7BF7" w:rsidRPr="00F46173">
        <w:rPr>
          <w:b/>
          <w:szCs w:val="22"/>
        </w:rPr>
        <w:t xml:space="preserve">kifizetés </w:t>
      </w:r>
      <w:r w:rsidRPr="00F46173">
        <w:rPr>
          <w:b/>
          <w:bCs/>
          <w:szCs w:val="22"/>
        </w:rPr>
        <w:t>kedvezőtlen adottságú területen gazdálkod</w:t>
      </w:r>
      <w:r w:rsidR="00BA7BF7" w:rsidRPr="00F46173">
        <w:rPr>
          <w:b/>
          <w:bCs/>
          <w:szCs w:val="22"/>
        </w:rPr>
        <w:t>ók részére</w:t>
      </w:r>
      <w:r w:rsidRPr="00F46173">
        <w:rPr>
          <w:bCs/>
          <w:szCs w:val="22"/>
        </w:rPr>
        <w:t xml:space="preserve"> </w:t>
      </w:r>
      <w:r w:rsidRPr="0058781B">
        <w:t xml:space="preserve">kompenzációs támogatás intézkedés 883 558 ha területet érint. 2007-től kezdve minden évben nyújtottak be támogatási kérelmet a gazdálkodók, melyek egyben a kifizetési kérelmek is. </w:t>
      </w:r>
    </w:p>
    <w:p w:rsidR="00CF7C1C" w:rsidRPr="0058781B" w:rsidRDefault="00CF7C1C" w:rsidP="00CF7C1C">
      <w:r w:rsidRPr="0058781B">
        <w:t xml:space="preserve">A </w:t>
      </w:r>
      <w:r w:rsidRPr="002B4681">
        <w:rPr>
          <w:b/>
          <w:szCs w:val="22"/>
        </w:rPr>
        <w:t xml:space="preserve">Natura 2000 </w:t>
      </w:r>
      <w:r w:rsidR="00BA7BF7">
        <w:rPr>
          <w:b/>
          <w:szCs w:val="22"/>
        </w:rPr>
        <w:t xml:space="preserve">kifizetések </w:t>
      </w:r>
      <w:r w:rsidR="000A64E1">
        <w:rPr>
          <w:b/>
          <w:szCs w:val="22"/>
        </w:rPr>
        <w:t>mezőgazdasági</w:t>
      </w:r>
      <w:r w:rsidR="00BA7BF7">
        <w:rPr>
          <w:b/>
          <w:szCs w:val="22"/>
        </w:rPr>
        <w:t xml:space="preserve"> területeken, </w:t>
      </w:r>
      <w:r w:rsidR="00BA7BF7" w:rsidRPr="0058781B">
        <w:t xml:space="preserve">a </w:t>
      </w:r>
      <w:r w:rsidRPr="0058781B">
        <w:t xml:space="preserve">gyepterületeken történő gazdálkodáshoz nyújtandó kompenzációs támogatás </w:t>
      </w:r>
      <w:r w:rsidR="00BA7BF7" w:rsidRPr="0058781B">
        <w:t xml:space="preserve">intézkedés </w:t>
      </w:r>
      <w:r w:rsidRPr="0058781B">
        <w:t xml:space="preserve">keretein belül évente lehet támogatási kérelmet beadni, melyre első alkalommal 2008-ban volt lehetőség. A támogatási kérelem egyben a kifizetési kérelem is. </w:t>
      </w:r>
    </w:p>
    <w:p w:rsidR="00CF7C1C" w:rsidRPr="0058781B" w:rsidRDefault="00CF7C1C" w:rsidP="0058781B">
      <w:r w:rsidRPr="0058781B">
        <w:t>Támogatás igénylésére mindkét intézkedés esetén az egységes területalapú támogatással együtt volt lehetőség.</w:t>
      </w:r>
    </w:p>
    <w:p w:rsidR="00CF7C1C" w:rsidRPr="0058781B" w:rsidRDefault="00CF7C1C" w:rsidP="0058781B">
      <w:r w:rsidRPr="0058781B">
        <w:t xml:space="preserve">A </w:t>
      </w:r>
      <w:r w:rsidRPr="002B4681">
        <w:rPr>
          <w:b/>
          <w:szCs w:val="22"/>
        </w:rPr>
        <w:t xml:space="preserve">mezőgazdasági </w:t>
      </w:r>
      <w:r w:rsidR="00BA7BF7">
        <w:rPr>
          <w:b/>
          <w:szCs w:val="22"/>
        </w:rPr>
        <w:t>föld</w:t>
      </w:r>
      <w:r w:rsidRPr="002B4681">
        <w:rPr>
          <w:b/>
          <w:szCs w:val="22"/>
        </w:rPr>
        <w:t>terület</w:t>
      </w:r>
      <w:r w:rsidR="00BA7BF7">
        <w:rPr>
          <w:b/>
          <w:szCs w:val="22"/>
        </w:rPr>
        <w:t xml:space="preserve"> első</w:t>
      </w:r>
      <w:r w:rsidRPr="002B4681">
        <w:rPr>
          <w:b/>
          <w:szCs w:val="22"/>
        </w:rPr>
        <w:t xml:space="preserve"> erdősítésének</w:t>
      </w:r>
      <w:r w:rsidRPr="002B4681">
        <w:rPr>
          <w:szCs w:val="22"/>
        </w:rPr>
        <w:t xml:space="preserve"> </w:t>
      </w:r>
      <w:r w:rsidRPr="002B4681">
        <w:rPr>
          <w:b/>
          <w:szCs w:val="22"/>
        </w:rPr>
        <w:t>támogatása</w:t>
      </w:r>
      <w:r w:rsidRPr="002B4681">
        <w:rPr>
          <w:szCs w:val="22"/>
        </w:rPr>
        <w:t xml:space="preserve"> </w:t>
      </w:r>
      <w:r w:rsidRPr="0058781B">
        <w:t>2007</w:t>
      </w:r>
      <w:r w:rsidR="00BA7BF7" w:rsidRPr="0058781B">
        <w:t>.</w:t>
      </w:r>
      <w:r w:rsidRPr="0058781B">
        <w:t xml:space="preserve"> óta minden évben nagy mértékű mezőgazdasági terület erdősítéséhez járul hozzá. Az MVH az </w:t>
      </w:r>
      <w:r w:rsidR="000A64E1">
        <w:t>NÉBIH</w:t>
      </w:r>
      <w:r w:rsidRPr="0058781B">
        <w:t xml:space="preserve"> Erdészeti Igazgatósága segítségé</w:t>
      </w:r>
      <w:r w:rsidR="00BA7BF7" w:rsidRPr="0058781B">
        <w:t xml:space="preserve">t veszi igénybe az intézkedés lebonyolításánál. </w:t>
      </w:r>
    </w:p>
    <w:p w:rsidR="00CF7C1C" w:rsidRPr="0058781B" w:rsidRDefault="00CF7C1C" w:rsidP="0058781B">
      <w:r w:rsidRPr="0058781B">
        <w:t xml:space="preserve">A 2008. évben bevezetett </w:t>
      </w:r>
      <w:r w:rsidRPr="0058781B">
        <w:rPr>
          <w:b/>
        </w:rPr>
        <w:t>természeti katasztrófával sújtott</w:t>
      </w:r>
      <w:r w:rsidRPr="0058781B">
        <w:t xml:space="preserve"> területek </w:t>
      </w:r>
      <w:r w:rsidRPr="0058781B">
        <w:rPr>
          <w:b/>
        </w:rPr>
        <w:t>erdészeti potenciáljának helyreállítása</w:t>
      </w:r>
      <w:r w:rsidR="00BA7BF7" w:rsidRPr="0058781B">
        <w:rPr>
          <w:b/>
        </w:rPr>
        <w:t xml:space="preserve"> és megelőző</w:t>
      </w:r>
      <w:r w:rsidRPr="0058781B">
        <w:t xml:space="preserve"> intézkedésre 2012-ben</w:t>
      </w:r>
      <w:r w:rsidR="00BA7BF7" w:rsidRPr="0058781B">
        <w:t xml:space="preserve"> is</w:t>
      </w:r>
      <w:r w:rsidRPr="0058781B">
        <w:t xml:space="preserve"> </w:t>
      </w:r>
      <w:r w:rsidR="00F46173" w:rsidRPr="0058781B">
        <w:t>folytatódottak</w:t>
      </w:r>
      <w:r w:rsidR="00BA7BF7" w:rsidRPr="0058781B">
        <w:t xml:space="preserve"> a kifizetések</w:t>
      </w:r>
      <w:r w:rsidRPr="0058781B">
        <w:t xml:space="preserve">. </w:t>
      </w:r>
    </w:p>
    <w:p w:rsidR="00CF7C1C" w:rsidRPr="0058781B" w:rsidRDefault="00CF7C1C" w:rsidP="00BD037E">
      <w:r w:rsidRPr="0058781B">
        <w:t xml:space="preserve">A 2009. évben meghirdetett intézkedések közül az előző időszakban sikerrel zárult </w:t>
      </w:r>
      <w:r w:rsidRPr="00BD037E">
        <w:rPr>
          <w:b/>
        </w:rPr>
        <w:t>agrár-környezetgazdálkodási kifizetések (AKG)</w:t>
      </w:r>
      <w:r w:rsidRPr="0058781B">
        <w:t xml:space="preserve"> </w:t>
      </w:r>
      <w:r w:rsidR="00BA7BF7" w:rsidRPr="0058781B">
        <w:t xml:space="preserve">meghirdetésére 2012-ben nem került sor, a korábbi kötelezettségvállalások alapján folytatódtak a kifizetések. </w:t>
      </w:r>
    </w:p>
    <w:p w:rsidR="00CF7C1C" w:rsidRPr="002B4681" w:rsidRDefault="00CF7C1C" w:rsidP="00F46173">
      <w:pPr>
        <w:pStyle w:val="Szvegtrzs"/>
        <w:autoSpaceDE w:val="0"/>
        <w:autoSpaceDN w:val="0"/>
        <w:adjustRightInd w:val="0"/>
      </w:pPr>
      <w:r w:rsidRPr="002B4681">
        <w:rPr>
          <w:szCs w:val="22"/>
        </w:rPr>
        <w:t>Az</w:t>
      </w:r>
      <w:r w:rsidRPr="0058781B">
        <w:rPr>
          <w:b/>
        </w:rPr>
        <w:t xml:space="preserve"> agrár-erdészeti rendszerek első létrehozása mezőgazdasági földterületeken</w:t>
      </w:r>
      <w:r w:rsidR="00BA7BF7" w:rsidRPr="0058781B">
        <w:rPr>
          <w:b/>
        </w:rPr>
        <w:t>, az</w:t>
      </w:r>
      <w:r w:rsidRPr="0058781B">
        <w:rPr>
          <w:b/>
        </w:rPr>
        <w:t xml:space="preserve"> </w:t>
      </w:r>
      <w:r w:rsidR="00BA7BF7" w:rsidRPr="0058781B">
        <w:rPr>
          <w:b/>
        </w:rPr>
        <w:t>erdő-környezetvédelmi kifizetések,</w:t>
      </w:r>
      <w:r w:rsidR="00BA7BF7" w:rsidRPr="00BA7BF7">
        <w:rPr>
          <w:szCs w:val="22"/>
        </w:rPr>
        <w:t xml:space="preserve"> </w:t>
      </w:r>
      <w:r w:rsidR="00BA7BF7" w:rsidRPr="002B4681">
        <w:rPr>
          <w:szCs w:val="22"/>
        </w:rPr>
        <w:t>a</w:t>
      </w:r>
      <w:r w:rsidR="00BA7BF7" w:rsidRPr="0058781B">
        <w:rPr>
          <w:b/>
        </w:rPr>
        <w:t xml:space="preserve"> nem termelő mezőgazdasági beruházások,</w:t>
      </w:r>
      <w:r w:rsidR="00BA7BF7" w:rsidRPr="002B4681">
        <w:rPr>
          <w:szCs w:val="22"/>
        </w:rPr>
        <w:t xml:space="preserve"> </w:t>
      </w:r>
      <w:r w:rsidR="00BA7BF7" w:rsidRPr="0058781B">
        <w:rPr>
          <w:b/>
        </w:rPr>
        <w:t>nem termelő beruházások erdőterületeken,</w:t>
      </w:r>
      <w:r w:rsidR="00BA7BF7" w:rsidRPr="002B4681">
        <w:rPr>
          <w:szCs w:val="22"/>
        </w:rPr>
        <w:t xml:space="preserve"> </w:t>
      </w:r>
      <w:r w:rsidR="00BA7BF7" w:rsidRPr="0058781B">
        <w:rPr>
          <w:b/>
        </w:rPr>
        <w:t>tejágazat szerkezetátalakítását kísérő állatjóléti támogatás</w:t>
      </w:r>
      <w:r w:rsidR="00921ED4" w:rsidRPr="0058781B">
        <w:rPr>
          <w:b/>
        </w:rPr>
        <w:t>,</w:t>
      </w:r>
      <w:r w:rsidR="00BA7BF7" w:rsidRPr="002B4681">
        <w:rPr>
          <w:bCs/>
          <w:szCs w:val="22"/>
        </w:rPr>
        <w:t xml:space="preserve"> </w:t>
      </w:r>
      <w:r w:rsidR="00921ED4" w:rsidRPr="0058781B">
        <w:rPr>
          <w:b/>
        </w:rPr>
        <w:t>genetikai erőforrások megőrzése intézkedés keretében a növényi genetikai erőforrások és mikroorganizmusok ex situ megőrzéséhez nyújtandó támogatás</w:t>
      </w:r>
      <w:r w:rsidR="00921ED4" w:rsidRPr="002B4681">
        <w:rPr>
          <w:bCs/>
          <w:szCs w:val="22"/>
        </w:rPr>
        <w:t xml:space="preserve"> </w:t>
      </w:r>
      <w:r w:rsidRPr="002B4681">
        <w:rPr>
          <w:szCs w:val="22"/>
        </w:rPr>
        <w:t>intézkedés</w:t>
      </w:r>
      <w:r w:rsidR="00BA7BF7">
        <w:rPr>
          <w:szCs w:val="22"/>
        </w:rPr>
        <w:t>ek</w:t>
      </w:r>
      <w:r w:rsidRPr="002B4681">
        <w:rPr>
          <w:szCs w:val="22"/>
        </w:rPr>
        <w:t xml:space="preserve">re </w:t>
      </w:r>
      <w:r w:rsidRPr="002B4681">
        <w:t xml:space="preserve">2012-ben </w:t>
      </w:r>
      <w:r w:rsidR="00BA7BF7">
        <w:t>is folytatódtak a kifizetések</w:t>
      </w:r>
      <w:r w:rsidRPr="002B4681">
        <w:rPr>
          <w:szCs w:val="22"/>
        </w:rPr>
        <w:t xml:space="preserve">. </w:t>
      </w:r>
    </w:p>
    <w:p w:rsidR="00CF7C1C" w:rsidRPr="002B4681" w:rsidRDefault="00CF7C1C" w:rsidP="00CF7C1C">
      <w:pPr>
        <w:rPr>
          <w:szCs w:val="22"/>
        </w:rPr>
      </w:pPr>
      <w:r w:rsidRPr="002B4681">
        <w:rPr>
          <w:szCs w:val="22"/>
        </w:rPr>
        <w:t>A kedvezőtlen adottságú területeken történő gazdálkodáshoz nyújtandó kompenzációs támogatás, a mezőgazdasági területek első erdősítése, valamint az agrár-környezetgazdálkodási kifizetés jogcímek az NVT keretében kerültek először meghirdetésre. Az ebben tett kötelezettségvállalások az NVT keretének kimerülése után a Program vonatkozó forrásait terhelő determinációként jelentkeznek, az EU Bizottság 1320/2006/EK rendelete szerint.</w:t>
      </w:r>
    </w:p>
    <w:p w:rsidR="00CF7C1C" w:rsidRPr="000A64E1" w:rsidRDefault="00CF7C1C" w:rsidP="00CF7C1C">
      <w:pPr>
        <w:pStyle w:val="bra-cmebra"/>
      </w:pPr>
      <w:r w:rsidRPr="000A64E1">
        <w:lastRenderedPageBreak/>
        <w:t>ábra</w:t>
      </w:r>
      <w:r w:rsidR="00673DDE" w:rsidRPr="000A64E1">
        <w:t xml:space="preserve">:  </w:t>
      </w:r>
      <w:r w:rsidRPr="000A64E1">
        <w:t xml:space="preserve">II. tengely </w:t>
      </w:r>
      <w:r w:rsidRPr="000A64E1">
        <w:rPr>
          <w:rFonts w:cs="Calibri"/>
        </w:rPr>
        <w:t>201</w:t>
      </w:r>
      <w:r w:rsidR="004D56B4" w:rsidRPr="000A64E1">
        <w:rPr>
          <w:rFonts w:cs="Calibri"/>
        </w:rPr>
        <w:t>2</w:t>
      </w:r>
      <w:r w:rsidRPr="000A64E1">
        <w:rPr>
          <w:rFonts w:cs="Calibri"/>
        </w:rPr>
        <w:t>.</w:t>
      </w:r>
      <w:r w:rsidRPr="000A64E1">
        <w:t xml:space="preserve"> évi kifizetéseinek megyénkénti eloszlása</w:t>
      </w:r>
    </w:p>
    <w:p w:rsidR="00FB2C0E" w:rsidRDefault="00FB2C0E" w:rsidP="00CF7C1C">
      <w:pPr>
        <w:pStyle w:val="j-bracm"/>
      </w:pPr>
      <w:r w:rsidRPr="0033390A">
        <w:rPr>
          <w:noProof/>
        </w:rPr>
        <w:drawing>
          <wp:inline distT="0" distB="0" distL="0" distR="0" wp14:anchorId="56AB5842" wp14:editId="0665C794">
            <wp:extent cx="5759450" cy="3601845"/>
            <wp:effectExtent l="0" t="0" r="0" b="0"/>
            <wp:docPr id="9" name="Kép 9" descr="C:\Users\HullaiB\AppData\Local\Microsoft\Windows\Temporary Internet Files\Content.Outlook\VXZSLSDC\kifiz 2 t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llaiB\AppData\Local\Microsoft\Windows\Temporary Internet Files\Content.Outlook\VXZSLSDC\kifiz 2 tg.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601845"/>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CF7C1C" w:rsidRPr="00896E03" w:rsidRDefault="00CF7C1C" w:rsidP="00DB48A3">
      <w:pPr>
        <w:pStyle w:val="Cmsor3"/>
      </w:pPr>
      <w:bookmarkStart w:id="265" w:name="_Toc297548951"/>
      <w:bookmarkStart w:id="266" w:name="_Toc297549742"/>
      <w:bookmarkStart w:id="267" w:name="_Toc328638714"/>
      <w:bookmarkStart w:id="268" w:name="_Toc360176804"/>
      <w:bookmarkEnd w:id="265"/>
      <w:bookmarkEnd w:id="266"/>
      <w:r w:rsidRPr="00896E03">
        <w:t>A hegyvidéki területeken kívüli hátrányos helyzetű területek mezőgazdasági termelőinek nyújtott kifizetések intézkedés (212) rövid bemutatása</w:t>
      </w:r>
      <w:bookmarkEnd w:id="267"/>
      <w:bookmarkEnd w:id="268"/>
    </w:p>
    <w:p w:rsidR="00CF7C1C" w:rsidRPr="00F35797" w:rsidRDefault="00CF7C1C" w:rsidP="00CF7C1C">
      <w:r w:rsidRPr="00F35797">
        <w:t>Magyarországon a Kedvezőtlen adottságú területek (KAT) támogatása intézkedés az Európai Bizottság által 2004. július 20-án elfogadott Nemzeti Vidékfejlesztési Terv 4.2 fejezetét alkotó KAT intézkedés folytatásaként, azt továbbfejlesztve kerül megvalósításra. Az intézkedés fő céljai a termőhelyi adottságoknak megfelelő termelési szerkezet kialakítása, az extenzív kultúrák (gyep- és takarmánynövények) alkalmazásának előmozdítása az érzékeny természeti területeken, a környezettudatos gazdálkodás és fenntartható táj-használat erősítése, valamint a kedvezőtlen adottságú területeken a mezőgazdasági tevékenység folytatásának és a mezőgazdasági célú földhasználat fenntartásának biztosítása és ezáltal hozzájárulás az életképes vidéki közösségek fenntartásához, a foglalkoztatási és jövedelemszerzési lehetőségek bővítéséhez.</w:t>
      </w:r>
    </w:p>
    <w:p w:rsidR="00CF7C1C" w:rsidRPr="002B4681" w:rsidRDefault="00CF7C1C" w:rsidP="00CF7C1C">
      <w:r w:rsidRPr="00F35797">
        <w:t xml:space="preserve">Az intézkedés nem tartalmaz alintézkedéseket, a kedvezőtlen adottságú területeken történő gazdálkodáshoz nyújtandó kompenzációs támogatások jogcímrendelet az intézkedést teljes egészében </w:t>
      </w:r>
      <w:r w:rsidRPr="002B4681">
        <w:t xml:space="preserve">lefedi. </w:t>
      </w:r>
    </w:p>
    <w:p w:rsidR="00CF7C1C" w:rsidRPr="00F92037" w:rsidRDefault="007E5FDF" w:rsidP="00F92037">
      <w:pPr>
        <w:pStyle w:val="bra-cmetbla"/>
      </w:pPr>
      <w:fldSimple w:instr=" SEQ táblázat \* ARABIC ">
        <w:r w:rsidR="00E5031F">
          <w:rPr>
            <w:noProof/>
          </w:rPr>
          <w:t>54</w:t>
        </w:r>
      </w:fldSimple>
      <w:r w:rsidR="00673DDE">
        <w:t xml:space="preserve">. táblázat: </w:t>
      </w:r>
      <w:r w:rsidR="00CF7C1C" w:rsidRPr="00F92037">
        <w:t>A hegyvidéki területeken kívüli hátrányos helyzetű területek mezőgazdasági termelőinek nyújtott kifizetések intézkedés (212) indikátorainak megvalósulása</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5963"/>
        <w:gridCol w:w="1792"/>
        <w:gridCol w:w="1764"/>
      </w:tblGrid>
      <w:tr w:rsidR="00CF7C1C" w:rsidRPr="00AB29BE" w:rsidTr="00CF7C1C">
        <w:trPr>
          <w:cantSplit/>
          <w:jc w:val="center"/>
        </w:trPr>
        <w:tc>
          <w:tcPr>
            <w:tcW w:w="610" w:type="dxa"/>
            <w:shd w:val="clear" w:color="auto" w:fill="B3B3B3"/>
          </w:tcPr>
          <w:p w:rsidR="00CF7C1C" w:rsidRPr="00AB29BE" w:rsidRDefault="00CF7C1C" w:rsidP="00CF7C1C">
            <w:pPr>
              <w:keepNext/>
              <w:spacing w:after="0"/>
              <w:jc w:val="center"/>
              <w:rPr>
                <w:rFonts w:eastAsia="Times New Roman" w:cs="Times New Roman"/>
                <w:b/>
                <w:bCs/>
                <w:kern w:val="0"/>
                <w:sz w:val="20"/>
                <w:szCs w:val="20"/>
                <w:lang w:eastAsia="ar-SA" w:bidi="sa-IN"/>
              </w:rPr>
            </w:pPr>
          </w:p>
        </w:tc>
        <w:tc>
          <w:tcPr>
            <w:tcW w:w="5963" w:type="dxa"/>
            <w:shd w:val="clear" w:color="auto" w:fill="B3B3B3"/>
            <w:vAlign w:val="center"/>
          </w:tcPr>
          <w:p w:rsidR="00CF7C1C" w:rsidRPr="00BD037E" w:rsidRDefault="00CF7C1C" w:rsidP="00BD037E">
            <w:pPr>
              <w:keepNext/>
              <w:spacing w:after="0"/>
              <w:jc w:val="center"/>
            </w:pPr>
            <w:r w:rsidRPr="00BD037E">
              <w:t>Indikátor leírása</w:t>
            </w:r>
          </w:p>
        </w:tc>
        <w:tc>
          <w:tcPr>
            <w:tcW w:w="1792" w:type="dxa"/>
            <w:shd w:val="clear" w:color="auto" w:fill="B3B3B3"/>
            <w:vAlign w:val="center"/>
          </w:tcPr>
          <w:p w:rsidR="00CF7C1C" w:rsidRPr="00BD037E" w:rsidRDefault="00CF7C1C" w:rsidP="00BD037E">
            <w:pPr>
              <w:keepNext/>
              <w:spacing w:after="0"/>
              <w:jc w:val="center"/>
            </w:pPr>
            <w:r w:rsidRPr="00BD037E">
              <w:t>Program szerinti tervadat</w:t>
            </w:r>
          </w:p>
        </w:tc>
        <w:tc>
          <w:tcPr>
            <w:tcW w:w="1764" w:type="dxa"/>
            <w:shd w:val="clear" w:color="auto" w:fill="B3B3B3"/>
            <w:vAlign w:val="center"/>
          </w:tcPr>
          <w:p w:rsidR="00CF7C1C" w:rsidRPr="00AB29BE" w:rsidRDefault="00CF7C1C" w:rsidP="00CF7C1C">
            <w:pPr>
              <w:keepNext/>
              <w:spacing w:after="0"/>
              <w:jc w:val="center"/>
              <w:rPr>
                <w:rFonts w:eastAsia="Times New Roman" w:cs="Times New Roman"/>
                <w:b/>
                <w:bCs/>
                <w:kern w:val="0"/>
                <w:sz w:val="20"/>
                <w:szCs w:val="20"/>
                <w:lang w:eastAsia="ar-SA" w:bidi="sa-IN"/>
              </w:rPr>
            </w:pPr>
            <w:r w:rsidRPr="00AB29BE">
              <w:rPr>
                <w:rFonts w:eastAsia="Times New Roman" w:cs="Times New Roman"/>
                <w:b/>
                <w:kern w:val="0"/>
                <w:sz w:val="20"/>
                <w:szCs w:val="20"/>
                <w:lang w:eastAsia="ar-SA"/>
              </w:rPr>
              <w:t>Indikátorok kumulált értéke</w:t>
            </w:r>
          </w:p>
        </w:tc>
      </w:tr>
      <w:tr w:rsidR="00CF7C1C" w:rsidRPr="00AB29BE" w:rsidTr="00CF7C1C">
        <w:trPr>
          <w:cantSplit/>
          <w:trHeight w:val="131"/>
          <w:jc w:val="center"/>
        </w:trPr>
        <w:tc>
          <w:tcPr>
            <w:tcW w:w="610" w:type="dxa"/>
            <w:vMerge w:val="restart"/>
          </w:tcPr>
          <w:p w:rsidR="00CF7C1C" w:rsidRPr="00AB29BE" w:rsidRDefault="00CF7C1C" w:rsidP="00CF7C1C">
            <w:pPr>
              <w:spacing w:after="0"/>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O</w:t>
            </w:r>
          </w:p>
        </w:tc>
        <w:tc>
          <w:tcPr>
            <w:tcW w:w="5963" w:type="dxa"/>
          </w:tcPr>
          <w:p w:rsidR="00CF7C1C" w:rsidRPr="00AB29BE" w:rsidRDefault="00CF7C1C" w:rsidP="00CF7C1C">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támogatásban részesülő kedvezményezettek száma</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3 800 db</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 xml:space="preserve">12 949 </w:t>
            </w:r>
          </w:p>
        </w:tc>
      </w:tr>
      <w:tr w:rsidR="00CF7C1C" w:rsidRPr="00AB29BE" w:rsidTr="00CF7C1C">
        <w:trPr>
          <w:cantSplit/>
          <w:trHeight w:val="167"/>
          <w:jc w:val="center"/>
        </w:trPr>
        <w:tc>
          <w:tcPr>
            <w:tcW w:w="610" w:type="dxa"/>
            <w:vMerge/>
          </w:tcPr>
          <w:p w:rsidR="00CF7C1C" w:rsidRPr="00AB29BE" w:rsidRDefault="00CF7C1C" w:rsidP="00CF7C1C">
            <w:pPr>
              <w:spacing w:after="0"/>
              <w:jc w:val="left"/>
              <w:rPr>
                <w:rFonts w:eastAsia="Times New Roman" w:cs="Times New Roman"/>
                <w:kern w:val="0"/>
                <w:sz w:val="20"/>
                <w:szCs w:val="20"/>
                <w:lang w:eastAsia="ar-SA" w:bidi="sa-IN"/>
              </w:rPr>
            </w:pPr>
          </w:p>
        </w:tc>
        <w:tc>
          <w:tcPr>
            <w:tcW w:w="5963" w:type="dxa"/>
          </w:tcPr>
          <w:p w:rsidR="00CF7C1C" w:rsidRPr="00AB29BE" w:rsidRDefault="00CF7C1C" w:rsidP="00CF7C1C">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19. cikk szerinti kedvezményezettek száma</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2 500 db</w:t>
            </w:r>
          </w:p>
        </w:tc>
        <w:tc>
          <w:tcPr>
            <w:tcW w:w="1764" w:type="dxa"/>
            <w:shd w:val="clear" w:color="auto" w:fill="auto"/>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 xml:space="preserve">8 332 </w:t>
            </w:r>
          </w:p>
        </w:tc>
      </w:tr>
      <w:tr w:rsidR="00CF7C1C" w:rsidRPr="00AB29BE" w:rsidTr="00CF7C1C">
        <w:trPr>
          <w:cantSplit/>
          <w:trHeight w:val="231"/>
          <w:jc w:val="center"/>
        </w:trPr>
        <w:tc>
          <w:tcPr>
            <w:tcW w:w="610" w:type="dxa"/>
            <w:vMerge/>
          </w:tcPr>
          <w:p w:rsidR="00CF7C1C" w:rsidRPr="00AB29BE" w:rsidRDefault="00CF7C1C" w:rsidP="00CF7C1C">
            <w:pPr>
              <w:spacing w:after="0"/>
              <w:jc w:val="left"/>
              <w:rPr>
                <w:rFonts w:eastAsia="Times New Roman" w:cs="Times New Roman"/>
                <w:kern w:val="0"/>
                <w:sz w:val="20"/>
                <w:szCs w:val="20"/>
                <w:lang w:eastAsia="ar-SA" w:bidi="sa-IN"/>
              </w:rPr>
            </w:pPr>
          </w:p>
        </w:tc>
        <w:tc>
          <w:tcPr>
            <w:tcW w:w="5963" w:type="dxa"/>
          </w:tcPr>
          <w:p w:rsidR="00CF7C1C" w:rsidRPr="00AB29BE" w:rsidRDefault="00CF7C1C" w:rsidP="00CF7C1C">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20. cikk szerinti kedvezményezettek száma</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1 300 db</w:t>
            </w:r>
          </w:p>
        </w:tc>
        <w:tc>
          <w:tcPr>
            <w:tcW w:w="1764" w:type="dxa"/>
            <w:shd w:val="clear" w:color="auto" w:fill="auto"/>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5 423</w:t>
            </w:r>
            <w:r w:rsidRPr="002B4681">
              <w:rPr>
                <w:rFonts w:eastAsia="Times New Roman" w:cs="Times New Roman"/>
                <w:kern w:val="0"/>
                <w:sz w:val="20"/>
                <w:szCs w:val="20"/>
                <w:highlight w:val="green"/>
                <w:lang w:eastAsia="ar-SA" w:bidi="sa-IN"/>
              </w:rPr>
              <w:t xml:space="preserve"> </w:t>
            </w:r>
          </w:p>
        </w:tc>
      </w:tr>
      <w:tr w:rsidR="00CF7C1C" w:rsidRPr="00AB29BE" w:rsidTr="00CF7C1C">
        <w:trPr>
          <w:cantSplit/>
          <w:trHeight w:val="233"/>
          <w:jc w:val="center"/>
        </w:trPr>
        <w:tc>
          <w:tcPr>
            <w:tcW w:w="610" w:type="dxa"/>
            <w:vMerge/>
          </w:tcPr>
          <w:p w:rsidR="00CF7C1C" w:rsidRPr="00AB29BE" w:rsidRDefault="00CF7C1C" w:rsidP="00CF7C1C">
            <w:pPr>
              <w:spacing w:after="0"/>
              <w:jc w:val="left"/>
              <w:rPr>
                <w:rFonts w:eastAsia="Times New Roman" w:cs="Times New Roman"/>
                <w:kern w:val="0"/>
                <w:sz w:val="20"/>
                <w:szCs w:val="20"/>
                <w:lang w:eastAsia="ar-SA" w:bidi="sa-IN"/>
              </w:rPr>
            </w:pPr>
          </w:p>
        </w:tc>
        <w:tc>
          <w:tcPr>
            <w:tcW w:w="5963" w:type="dxa"/>
          </w:tcPr>
          <w:p w:rsidR="00CF7C1C" w:rsidRPr="00AB29BE" w:rsidRDefault="00CF7C1C" w:rsidP="00CF7C1C">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hátrány típusa:</w:t>
            </w:r>
          </w:p>
        </w:tc>
        <w:tc>
          <w:tcPr>
            <w:tcW w:w="1792" w:type="dxa"/>
          </w:tcPr>
          <w:p w:rsidR="00CF7C1C" w:rsidRPr="00AB29BE" w:rsidRDefault="00CF7C1C" w:rsidP="00CF7C1C">
            <w:pPr>
              <w:spacing w:after="0"/>
              <w:ind w:left="284" w:hanging="284"/>
              <w:jc w:val="left"/>
              <w:rPr>
                <w:rFonts w:eastAsia="Times New Roman" w:cs="Times New Roman"/>
                <w:kern w:val="0"/>
                <w:sz w:val="20"/>
                <w:szCs w:val="20"/>
                <w:lang w:val="en-GB" w:eastAsia="ar-SA"/>
              </w:rPr>
            </w:pPr>
          </w:p>
        </w:tc>
        <w:tc>
          <w:tcPr>
            <w:tcW w:w="1764" w:type="dxa"/>
          </w:tcPr>
          <w:p w:rsidR="00CF7C1C" w:rsidRPr="002B4681" w:rsidRDefault="00CF7C1C" w:rsidP="00CF7C1C">
            <w:pPr>
              <w:spacing w:after="0"/>
              <w:ind w:left="284" w:hanging="284"/>
              <w:jc w:val="left"/>
              <w:rPr>
                <w:rFonts w:eastAsia="Times New Roman" w:cs="Times New Roman"/>
                <w:kern w:val="0"/>
                <w:sz w:val="20"/>
                <w:szCs w:val="20"/>
                <w:highlight w:val="green"/>
                <w:lang w:val="en-GB" w:eastAsia="ar-SA"/>
              </w:rPr>
            </w:pPr>
          </w:p>
        </w:tc>
      </w:tr>
      <w:tr w:rsidR="00CF7C1C" w:rsidRPr="00AB29BE" w:rsidTr="00CF7C1C">
        <w:trPr>
          <w:cantSplit/>
          <w:trHeight w:val="297"/>
          <w:jc w:val="center"/>
        </w:trPr>
        <w:tc>
          <w:tcPr>
            <w:tcW w:w="610" w:type="dxa"/>
            <w:vMerge/>
          </w:tcPr>
          <w:p w:rsidR="00CF7C1C" w:rsidRPr="00AB29BE" w:rsidRDefault="00CF7C1C" w:rsidP="00CF7C1C">
            <w:pPr>
              <w:spacing w:after="0"/>
              <w:ind w:left="570"/>
              <w:rPr>
                <w:rFonts w:eastAsia="Times New Roman" w:cs="Times New Roman"/>
                <w:kern w:val="0"/>
                <w:sz w:val="20"/>
                <w:szCs w:val="20"/>
                <w:lang w:eastAsia="ar-SA"/>
              </w:rPr>
            </w:pPr>
          </w:p>
        </w:tc>
        <w:tc>
          <w:tcPr>
            <w:tcW w:w="5963" w:type="dxa"/>
          </w:tcPr>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Vizes területek, pl. folyók árterei</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Nem alkalmazható</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p>
        </w:tc>
      </w:tr>
      <w:tr w:rsidR="00CF7C1C" w:rsidRPr="00AB29BE" w:rsidTr="00CF7C1C">
        <w:trPr>
          <w:cantSplit/>
          <w:trHeight w:val="154"/>
          <w:jc w:val="center"/>
        </w:trPr>
        <w:tc>
          <w:tcPr>
            <w:tcW w:w="610" w:type="dxa"/>
            <w:vMerge/>
          </w:tcPr>
          <w:p w:rsidR="00CF7C1C" w:rsidRPr="00AB29BE" w:rsidRDefault="00CF7C1C" w:rsidP="00CF7C1C">
            <w:pPr>
              <w:spacing w:after="0"/>
              <w:ind w:left="570"/>
              <w:rPr>
                <w:rFonts w:eastAsia="Times New Roman" w:cs="Times New Roman"/>
                <w:kern w:val="0"/>
                <w:sz w:val="20"/>
                <w:szCs w:val="20"/>
                <w:lang w:eastAsia="ar-SA"/>
              </w:rPr>
            </w:pPr>
          </w:p>
        </w:tc>
        <w:tc>
          <w:tcPr>
            <w:tcW w:w="5963" w:type="dxa"/>
          </w:tcPr>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Dombság és felföld</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Nem alkalmazható</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p>
        </w:tc>
      </w:tr>
      <w:tr w:rsidR="00CF7C1C" w:rsidRPr="00AB29BE" w:rsidTr="00CF7C1C">
        <w:trPr>
          <w:cantSplit/>
          <w:trHeight w:val="307"/>
          <w:jc w:val="center"/>
        </w:trPr>
        <w:tc>
          <w:tcPr>
            <w:tcW w:w="610" w:type="dxa"/>
            <w:vMerge/>
          </w:tcPr>
          <w:p w:rsidR="00CF7C1C" w:rsidRPr="00AB29BE" w:rsidRDefault="00CF7C1C" w:rsidP="00CF7C1C">
            <w:pPr>
              <w:spacing w:after="0"/>
              <w:ind w:left="570"/>
              <w:rPr>
                <w:rFonts w:eastAsia="Times New Roman" w:cs="Times New Roman"/>
                <w:kern w:val="0"/>
                <w:sz w:val="20"/>
                <w:szCs w:val="20"/>
                <w:lang w:eastAsia="ar-SA"/>
              </w:rPr>
            </w:pPr>
          </w:p>
        </w:tc>
        <w:tc>
          <w:tcPr>
            <w:tcW w:w="5963" w:type="dxa"/>
          </w:tcPr>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Rossz éghajlati viszonyokkal rendelkező terület (erős szél, aszály, hideg, …)</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2 500 db</w:t>
            </w:r>
            <w:r w:rsidRPr="00AB29BE">
              <w:rPr>
                <w:rFonts w:eastAsia="Times New Roman" w:cs="Times New Roman"/>
                <w:kern w:val="0"/>
                <w:sz w:val="20"/>
                <w:szCs w:val="20"/>
                <w:lang w:val="en-GB" w:eastAsia="ar-SA" w:bidi="sa-IN"/>
              </w:rPr>
              <w:t xml:space="preserve"> </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 xml:space="preserve">12 949 </w:t>
            </w:r>
          </w:p>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p>
        </w:tc>
      </w:tr>
      <w:tr w:rsidR="00CF7C1C" w:rsidRPr="00AB29BE" w:rsidTr="00CF7C1C">
        <w:trPr>
          <w:cantSplit/>
          <w:trHeight w:val="135"/>
          <w:jc w:val="center"/>
        </w:trPr>
        <w:tc>
          <w:tcPr>
            <w:tcW w:w="610" w:type="dxa"/>
            <w:vMerge/>
          </w:tcPr>
          <w:p w:rsidR="00CF7C1C" w:rsidRPr="00AB29BE" w:rsidRDefault="00CF7C1C" w:rsidP="00CF7C1C">
            <w:pPr>
              <w:spacing w:after="0"/>
              <w:ind w:left="570"/>
              <w:rPr>
                <w:rFonts w:eastAsia="Times New Roman" w:cs="Times New Roman"/>
                <w:kern w:val="0"/>
                <w:sz w:val="20"/>
                <w:szCs w:val="20"/>
                <w:lang w:eastAsia="ar-SA"/>
              </w:rPr>
            </w:pPr>
          </w:p>
        </w:tc>
        <w:tc>
          <w:tcPr>
            <w:tcW w:w="5963" w:type="dxa"/>
          </w:tcPr>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Part menti területek, kis szigetek</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Nem alkalmazható</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p>
        </w:tc>
      </w:tr>
      <w:tr w:rsidR="00CF7C1C" w:rsidRPr="00AB29BE" w:rsidTr="00CF7C1C">
        <w:trPr>
          <w:cantSplit/>
          <w:trHeight w:val="70"/>
          <w:jc w:val="center"/>
        </w:trPr>
        <w:tc>
          <w:tcPr>
            <w:tcW w:w="610" w:type="dxa"/>
            <w:vMerge/>
          </w:tcPr>
          <w:p w:rsidR="00CF7C1C" w:rsidRPr="00AB29BE" w:rsidRDefault="00CF7C1C" w:rsidP="00CF7C1C">
            <w:pPr>
              <w:spacing w:after="0"/>
              <w:ind w:left="570"/>
              <w:rPr>
                <w:rFonts w:eastAsia="Times New Roman" w:cs="Times New Roman"/>
                <w:kern w:val="0"/>
                <w:sz w:val="20"/>
                <w:szCs w:val="20"/>
                <w:lang w:eastAsia="ar-SA"/>
              </w:rPr>
            </w:pPr>
          </w:p>
        </w:tc>
        <w:tc>
          <w:tcPr>
            <w:tcW w:w="5963" w:type="dxa"/>
          </w:tcPr>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Egyéb</w:t>
            </w:r>
          </w:p>
        </w:tc>
        <w:tc>
          <w:tcPr>
            <w:tcW w:w="1792" w:type="dxa"/>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1 300 db</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NA</w:t>
            </w:r>
          </w:p>
        </w:tc>
      </w:tr>
      <w:tr w:rsidR="00CF7C1C" w:rsidRPr="00AB29BE" w:rsidTr="00CF7C1C">
        <w:trPr>
          <w:cantSplit/>
          <w:jc w:val="center"/>
        </w:trPr>
        <w:tc>
          <w:tcPr>
            <w:tcW w:w="610" w:type="dxa"/>
            <w:vMerge/>
          </w:tcPr>
          <w:p w:rsidR="00CF7C1C" w:rsidRPr="00AB29BE" w:rsidRDefault="00CF7C1C" w:rsidP="00CF7C1C">
            <w:pPr>
              <w:spacing w:after="0"/>
              <w:jc w:val="left"/>
              <w:rPr>
                <w:rFonts w:eastAsia="Times New Roman" w:cs="Times New Roman"/>
                <w:kern w:val="0"/>
                <w:sz w:val="20"/>
                <w:szCs w:val="20"/>
                <w:lang w:eastAsia="ar-SA" w:bidi="sa-IN"/>
              </w:rPr>
            </w:pPr>
          </w:p>
        </w:tc>
        <w:tc>
          <w:tcPr>
            <w:tcW w:w="5963" w:type="dxa"/>
          </w:tcPr>
          <w:p w:rsidR="00CF7C1C" w:rsidRPr="00AB29BE" w:rsidRDefault="00CF7C1C" w:rsidP="00CF7C1C">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programban résztvevő mezőgazdasági terület nagysága</w:t>
            </w:r>
          </w:p>
          <w:p w:rsidR="00CF7C1C" w:rsidRPr="00AB29BE" w:rsidRDefault="00CF7C1C" w:rsidP="00CF7C1C">
            <w:pPr>
              <w:spacing w:after="0"/>
              <w:ind w:left="284" w:hanging="284"/>
              <w:jc w:val="left"/>
              <w:rPr>
                <w:rFonts w:eastAsia="Times New Roman" w:cs="Times New Roman"/>
                <w:kern w:val="0"/>
                <w:sz w:val="20"/>
                <w:szCs w:val="20"/>
                <w:lang w:val="pl-PL" w:eastAsia="ar-SA" w:bidi="sa-IN"/>
              </w:rPr>
            </w:pPr>
            <w:r w:rsidRPr="00AB29BE">
              <w:rPr>
                <w:rFonts w:eastAsia="Times New Roman" w:cs="Times New Roman"/>
                <w:kern w:val="0"/>
                <w:sz w:val="20"/>
                <w:szCs w:val="20"/>
                <w:lang w:eastAsia="ar-SA" w:bidi="sa-IN"/>
              </w:rPr>
              <w:t>a 19. cikk szerinti terület nagysága (ha)</w:t>
            </w:r>
          </w:p>
          <w:p w:rsidR="00CF7C1C" w:rsidRPr="00AB29BE" w:rsidRDefault="00CF7C1C" w:rsidP="00CF7C1C">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20. cikk szerinti terület nagysága (ha)</w:t>
            </w:r>
          </w:p>
        </w:tc>
        <w:tc>
          <w:tcPr>
            <w:tcW w:w="1792" w:type="dxa"/>
            <w:vAlign w:val="center"/>
          </w:tcPr>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170 00 ha</w:t>
            </w: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102 000 ha</w:t>
            </w:r>
          </w:p>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68 000 ha</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 xml:space="preserve">421 965,52 </w:t>
            </w:r>
          </w:p>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 xml:space="preserve">229 144,41 </w:t>
            </w:r>
          </w:p>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 xml:space="preserve">192 821,11 </w:t>
            </w:r>
          </w:p>
        </w:tc>
      </w:tr>
      <w:tr w:rsidR="00CF7C1C" w:rsidRPr="00AB29BE" w:rsidTr="00CF7C1C">
        <w:trPr>
          <w:cantSplit/>
          <w:jc w:val="center"/>
        </w:trPr>
        <w:tc>
          <w:tcPr>
            <w:tcW w:w="610" w:type="dxa"/>
            <w:vMerge/>
          </w:tcPr>
          <w:p w:rsidR="00CF7C1C" w:rsidRPr="00AB29BE" w:rsidRDefault="00CF7C1C" w:rsidP="00CF7C1C">
            <w:pPr>
              <w:spacing w:after="0"/>
              <w:jc w:val="left"/>
              <w:rPr>
                <w:rFonts w:eastAsia="Times New Roman" w:cs="Times New Roman"/>
                <w:kern w:val="0"/>
                <w:sz w:val="20"/>
                <w:szCs w:val="20"/>
                <w:lang w:eastAsia="ar-SA" w:bidi="sa-IN"/>
              </w:rPr>
            </w:pPr>
          </w:p>
        </w:tc>
        <w:tc>
          <w:tcPr>
            <w:tcW w:w="5963" w:type="dxa"/>
          </w:tcPr>
          <w:p w:rsidR="00CF7C1C" w:rsidRPr="00AB29BE" w:rsidRDefault="00CF7C1C" w:rsidP="00CF7C1C">
            <w:pPr>
              <w:spacing w:after="0"/>
              <w:ind w:left="284" w:hanging="284"/>
              <w:jc w:val="lef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Terület típusa:</w:t>
            </w:r>
          </w:p>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bidi="sa-IN"/>
              </w:rPr>
              <w:t xml:space="preserve">Natura </w:t>
            </w:r>
            <w:r w:rsidRPr="00AB29BE">
              <w:rPr>
                <w:rFonts w:eastAsia="Times New Roman" w:cs="Times New Roman"/>
                <w:kern w:val="0"/>
                <w:sz w:val="20"/>
                <w:szCs w:val="20"/>
                <w:lang w:eastAsia="ar-SA"/>
              </w:rPr>
              <w:t>2000 területek</w:t>
            </w:r>
          </w:p>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2000/60/EK irányelv alá tartozó területen (VKI)</w:t>
            </w:r>
          </w:p>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Egyéb</w:t>
            </w:r>
          </w:p>
          <w:p w:rsidR="00CF7C1C" w:rsidRPr="00AB29BE" w:rsidRDefault="00CF7C1C" w:rsidP="00CF7C1C">
            <w:pPr>
              <w:spacing w:after="0"/>
              <w:ind w:left="284" w:hanging="284"/>
              <w:jc w:val="left"/>
              <w:rPr>
                <w:rFonts w:eastAsia="Times New Roman" w:cs="Times New Roman"/>
                <w:kern w:val="0"/>
                <w:sz w:val="20"/>
                <w:szCs w:val="20"/>
                <w:lang w:val="en-GB" w:eastAsia="ar-SA"/>
              </w:rPr>
            </w:pPr>
          </w:p>
          <w:p w:rsidR="00CF7C1C" w:rsidRPr="00AB29BE" w:rsidRDefault="00CF7C1C" w:rsidP="00CF7C1C">
            <w:pPr>
              <w:spacing w:after="0"/>
              <w:ind w:left="284" w:hanging="284"/>
              <w:jc w:val="lef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A hátrány típusa:</w:t>
            </w:r>
          </w:p>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bidi="sa-IN"/>
              </w:rPr>
              <w:t xml:space="preserve">Vizes </w:t>
            </w:r>
            <w:r w:rsidRPr="00AB29BE">
              <w:rPr>
                <w:rFonts w:eastAsia="Times New Roman" w:cs="Times New Roman"/>
                <w:kern w:val="0"/>
                <w:sz w:val="20"/>
                <w:szCs w:val="20"/>
                <w:lang w:eastAsia="ar-SA"/>
              </w:rPr>
              <w:t>területek, pl. folyók árterei</w:t>
            </w:r>
          </w:p>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Dombság és felföld</w:t>
            </w:r>
          </w:p>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Rossz éghajlati viszonyokkal rendelkező terület (erős szél, aszály, hideg, …)</w:t>
            </w:r>
          </w:p>
          <w:p w:rsidR="00CF7C1C" w:rsidRPr="00AB29BE" w:rsidRDefault="00CF7C1C" w:rsidP="0033390A">
            <w:pPr>
              <w:numPr>
                <w:ilvl w:val="0"/>
                <w:numId w:val="80"/>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Part menti területek, kis szigetek</w:t>
            </w:r>
          </w:p>
          <w:p w:rsidR="00CF7C1C" w:rsidRPr="00AB29BE" w:rsidRDefault="00CF7C1C" w:rsidP="0033390A">
            <w:pPr>
              <w:numPr>
                <w:ilvl w:val="0"/>
                <w:numId w:val="80"/>
              </w:numPr>
              <w:spacing w:after="0"/>
              <w:rPr>
                <w:rFonts w:eastAsia="Times New Roman" w:cs="Times New Roman"/>
                <w:kern w:val="0"/>
                <w:sz w:val="20"/>
                <w:szCs w:val="20"/>
                <w:lang w:eastAsia="ar-SA" w:bidi="sa-IN"/>
              </w:rPr>
            </w:pPr>
            <w:r w:rsidRPr="00AB29BE">
              <w:rPr>
                <w:rFonts w:eastAsia="Times New Roman" w:cs="Times New Roman"/>
                <w:kern w:val="0"/>
                <w:sz w:val="20"/>
                <w:szCs w:val="20"/>
                <w:lang w:eastAsia="ar-SA"/>
              </w:rPr>
              <w:t>Egyéb</w:t>
            </w:r>
          </w:p>
        </w:tc>
        <w:tc>
          <w:tcPr>
            <w:tcW w:w="1792" w:type="dxa"/>
            <w:vAlign w:val="center"/>
          </w:tcPr>
          <w:p w:rsidR="00CF7C1C" w:rsidRPr="00AB29BE" w:rsidRDefault="00CF7C1C" w:rsidP="00CF7C1C">
            <w:pPr>
              <w:spacing w:after="0"/>
              <w:ind w:left="284" w:hanging="284"/>
              <w:jc w:val="right"/>
              <w:rPr>
                <w:rFonts w:eastAsia="Times New Roman" w:cs="Times New Roman"/>
                <w:kern w:val="0"/>
                <w:sz w:val="20"/>
                <w:szCs w:val="20"/>
                <w:lang w:val="en-GB" w:eastAsia="ar-SA"/>
              </w:rPr>
            </w:pP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71 000 ha</w:t>
            </w: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99 000 ha</w:t>
            </w:r>
          </w:p>
          <w:p w:rsidR="00CF7C1C" w:rsidRPr="00AB29BE" w:rsidRDefault="00CF7C1C" w:rsidP="00CF7C1C">
            <w:pPr>
              <w:spacing w:after="0"/>
              <w:ind w:left="284" w:hanging="284"/>
              <w:jc w:val="right"/>
              <w:rPr>
                <w:rFonts w:eastAsia="Times New Roman" w:cs="Times New Roman"/>
                <w:kern w:val="0"/>
                <w:sz w:val="20"/>
                <w:szCs w:val="20"/>
                <w:lang w:val="en-GB" w:eastAsia="ar-SA"/>
              </w:rPr>
            </w:pPr>
          </w:p>
          <w:p w:rsidR="00CF7C1C" w:rsidRPr="00AB29BE" w:rsidRDefault="00CF7C1C" w:rsidP="00CF7C1C">
            <w:pPr>
              <w:spacing w:after="0"/>
              <w:ind w:left="284" w:hanging="284"/>
              <w:jc w:val="right"/>
              <w:rPr>
                <w:rFonts w:eastAsia="Times New Roman" w:cs="Times New Roman"/>
                <w:kern w:val="0"/>
                <w:sz w:val="20"/>
                <w:szCs w:val="20"/>
                <w:lang w:val="en-GB" w:eastAsia="ar-SA"/>
              </w:rPr>
            </w:pP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val="en-GB" w:eastAsia="ar-SA" w:bidi="sa-IN"/>
              </w:rPr>
              <w:t xml:space="preserve"> </w:t>
            </w:r>
            <w:r w:rsidRPr="00AB29BE">
              <w:rPr>
                <w:rFonts w:eastAsia="Times New Roman" w:cs="Times New Roman"/>
                <w:kern w:val="0"/>
                <w:sz w:val="20"/>
                <w:szCs w:val="20"/>
                <w:lang w:eastAsia="ar-SA" w:bidi="sa-IN"/>
              </w:rPr>
              <w:t>102 000 ha</w:t>
            </w:r>
          </w:p>
          <w:p w:rsidR="00CF7C1C" w:rsidRPr="00AB29BE" w:rsidRDefault="00CF7C1C" w:rsidP="00CF7C1C">
            <w:pPr>
              <w:spacing w:after="0"/>
              <w:ind w:left="284" w:hanging="284"/>
              <w:jc w:val="right"/>
              <w:rPr>
                <w:rFonts w:eastAsia="Times New Roman" w:cs="Times New Roman"/>
                <w:kern w:val="0"/>
                <w:sz w:val="20"/>
                <w:szCs w:val="20"/>
                <w:lang w:val="en-GB" w:eastAsia="ar-SA"/>
              </w:rPr>
            </w:pPr>
          </w:p>
          <w:p w:rsidR="00CF7C1C" w:rsidRPr="00AB29BE" w:rsidRDefault="00CF7C1C" w:rsidP="00CF7C1C">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val="en-GB" w:eastAsia="ar-SA" w:bidi="sa-IN"/>
              </w:rPr>
              <w:t xml:space="preserve"> </w:t>
            </w:r>
            <w:r w:rsidRPr="00AB29BE">
              <w:rPr>
                <w:rFonts w:eastAsia="Times New Roman" w:cs="Times New Roman"/>
                <w:kern w:val="0"/>
                <w:sz w:val="20"/>
                <w:szCs w:val="20"/>
                <w:lang w:eastAsia="ar-SA" w:bidi="sa-IN"/>
              </w:rPr>
              <w:t>68 000 ha</w:t>
            </w:r>
          </w:p>
        </w:tc>
        <w:tc>
          <w:tcPr>
            <w:tcW w:w="1764" w:type="dxa"/>
          </w:tcPr>
          <w:p w:rsidR="00CF7C1C" w:rsidRPr="002B4681" w:rsidRDefault="00CF7C1C" w:rsidP="00CF7C1C">
            <w:pPr>
              <w:spacing w:after="0"/>
              <w:ind w:left="284" w:hanging="284"/>
              <w:jc w:val="right"/>
              <w:rPr>
                <w:rFonts w:eastAsia="Times New Roman" w:cs="Times New Roman"/>
                <w:kern w:val="0"/>
                <w:sz w:val="20"/>
                <w:szCs w:val="20"/>
                <w:lang w:val="en-GB" w:eastAsia="ar-SA"/>
              </w:rPr>
            </w:pPr>
          </w:p>
          <w:p w:rsidR="00CF7C1C" w:rsidRPr="002B4681" w:rsidRDefault="00CF7C1C" w:rsidP="00CF7C1C">
            <w:pPr>
              <w:spacing w:after="0"/>
              <w:ind w:left="284" w:hanging="284"/>
              <w:jc w:val="right"/>
              <w:rPr>
                <w:rFonts w:eastAsia="Times New Roman" w:cs="Times New Roman"/>
                <w:kern w:val="0"/>
                <w:sz w:val="20"/>
                <w:szCs w:val="20"/>
                <w:lang w:val="en-GB" w:eastAsia="ar-SA"/>
              </w:rPr>
            </w:pPr>
            <w:r w:rsidRPr="002B4681">
              <w:rPr>
                <w:rFonts w:eastAsia="Times New Roman" w:cs="Times New Roman"/>
                <w:kern w:val="0"/>
                <w:sz w:val="20"/>
                <w:szCs w:val="20"/>
                <w:lang w:val="en-GB" w:eastAsia="ar-SA"/>
              </w:rPr>
              <w:t>248 451,21</w:t>
            </w:r>
          </w:p>
          <w:p w:rsidR="00CF7C1C" w:rsidRPr="002B4681" w:rsidRDefault="00CF7C1C" w:rsidP="00CF7C1C">
            <w:pPr>
              <w:spacing w:after="0"/>
              <w:ind w:left="284" w:hanging="284"/>
              <w:jc w:val="right"/>
              <w:rPr>
                <w:rFonts w:eastAsia="Times New Roman" w:cs="Times New Roman"/>
                <w:kern w:val="0"/>
                <w:sz w:val="20"/>
                <w:szCs w:val="20"/>
                <w:lang w:val="en-GB" w:eastAsia="ar-SA"/>
              </w:rPr>
            </w:pPr>
            <w:r w:rsidRPr="002B4681">
              <w:rPr>
                <w:rFonts w:eastAsia="Times New Roman" w:cs="Times New Roman"/>
                <w:kern w:val="0"/>
                <w:sz w:val="20"/>
                <w:szCs w:val="20"/>
                <w:lang w:val="en-GB" w:eastAsia="ar-SA"/>
              </w:rPr>
              <w:t>0</w:t>
            </w:r>
          </w:p>
          <w:p w:rsidR="00CF7C1C" w:rsidRPr="0083498C" w:rsidRDefault="00CF7C1C" w:rsidP="00CF7C1C">
            <w:pPr>
              <w:spacing w:after="0"/>
              <w:ind w:left="284" w:hanging="284"/>
              <w:jc w:val="right"/>
              <w:rPr>
                <w:rFonts w:eastAsia="Times New Roman" w:cs="Times New Roman"/>
                <w:kern w:val="0"/>
                <w:sz w:val="20"/>
                <w:szCs w:val="20"/>
                <w:highlight w:val="green"/>
                <w:lang w:val="en-GB" w:eastAsia="ar-SA"/>
              </w:rPr>
            </w:pPr>
            <w:r w:rsidRPr="0033390A">
              <w:rPr>
                <w:rFonts w:eastAsia="Times New Roman" w:cs="Times New Roman"/>
                <w:kern w:val="0"/>
                <w:sz w:val="20"/>
                <w:szCs w:val="20"/>
                <w:lang w:val="en-GB" w:eastAsia="ar-SA"/>
              </w:rPr>
              <w:t>173 514,31</w:t>
            </w:r>
            <w:r w:rsidRPr="0083498C">
              <w:rPr>
                <w:rFonts w:eastAsia="Times New Roman" w:cs="Times New Roman"/>
                <w:kern w:val="0"/>
                <w:sz w:val="20"/>
                <w:szCs w:val="20"/>
                <w:lang w:val="en-GB" w:eastAsia="ar-SA"/>
              </w:rPr>
              <w:t xml:space="preserve"> </w:t>
            </w:r>
          </w:p>
          <w:p w:rsidR="00CF7C1C" w:rsidRPr="002B4681" w:rsidRDefault="00CF7C1C" w:rsidP="00CF7C1C">
            <w:pPr>
              <w:spacing w:after="0"/>
              <w:ind w:left="284" w:hanging="284"/>
              <w:jc w:val="right"/>
              <w:rPr>
                <w:rFonts w:eastAsia="Times New Roman" w:cs="Times New Roman"/>
                <w:kern w:val="0"/>
                <w:sz w:val="20"/>
                <w:szCs w:val="20"/>
                <w:highlight w:val="green"/>
                <w:lang w:val="en-GB" w:eastAsia="ar-SA"/>
              </w:rPr>
            </w:pPr>
          </w:p>
          <w:p w:rsidR="00CF7C1C" w:rsidRPr="002B4681" w:rsidRDefault="00CF7C1C" w:rsidP="00CF7C1C">
            <w:pPr>
              <w:spacing w:after="0"/>
              <w:ind w:left="284" w:hanging="284"/>
              <w:jc w:val="right"/>
              <w:rPr>
                <w:rFonts w:eastAsia="Times New Roman" w:cs="Times New Roman"/>
                <w:kern w:val="0"/>
                <w:sz w:val="20"/>
                <w:szCs w:val="20"/>
                <w:highlight w:val="green"/>
                <w:lang w:val="en-GB" w:eastAsia="ar-SA"/>
              </w:rPr>
            </w:pPr>
          </w:p>
          <w:p w:rsidR="00CF7C1C" w:rsidRPr="002B4681" w:rsidRDefault="00CF7C1C" w:rsidP="00CF7C1C">
            <w:pPr>
              <w:spacing w:after="0"/>
              <w:ind w:left="284" w:hanging="284"/>
              <w:jc w:val="right"/>
              <w:rPr>
                <w:rFonts w:eastAsia="Times New Roman" w:cs="Times New Roman"/>
                <w:kern w:val="0"/>
                <w:sz w:val="20"/>
                <w:szCs w:val="20"/>
                <w:lang w:val="en-GB" w:eastAsia="ar-SA"/>
              </w:rPr>
            </w:pPr>
            <w:r w:rsidRPr="002B4681">
              <w:rPr>
                <w:rFonts w:eastAsia="Times New Roman" w:cs="Times New Roman"/>
                <w:kern w:val="0"/>
                <w:sz w:val="20"/>
                <w:szCs w:val="20"/>
                <w:lang w:val="en-GB" w:eastAsia="ar-SA"/>
              </w:rPr>
              <w:t>-</w:t>
            </w:r>
          </w:p>
          <w:p w:rsidR="00CF7C1C" w:rsidRPr="002B4681" w:rsidRDefault="00CF7C1C" w:rsidP="00CF7C1C">
            <w:pPr>
              <w:spacing w:after="0"/>
              <w:ind w:left="284" w:hanging="284"/>
              <w:jc w:val="right"/>
              <w:rPr>
                <w:rFonts w:eastAsia="Times New Roman" w:cs="Times New Roman"/>
                <w:kern w:val="0"/>
                <w:sz w:val="20"/>
                <w:szCs w:val="20"/>
                <w:lang w:val="en-GB" w:eastAsia="ar-SA"/>
              </w:rPr>
            </w:pPr>
            <w:r w:rsidRPr="002B4681">
              <w:rPr>
                <w:rFonts w:eastAsia="Times New Roman" w:cs="Times New Roman"/>
                <w:kern w:val="0"/>
                <w:sz w:val="20"/>
                <w:szCs w:val="20"/>
                <w:lang w:val="en-GB" w:eastAsia="ar-SA"/>
              </w:rPr>
              <w:t>-</w:t>
            </w:r>
          </w:p>
          <w:p w:rsidR="00CF7C1C" w:rsidRPr="002B4681" w:rsidRDefault="00CF7C1C" w:rsidP="00CF7C1C">
            <w:pPr>
              <w:spacing w:after="0"/>
              <w:ind w:left="284" w:hanging="284"/>
              <w:jc w:val="right"/>
              <w:rPr>
                <w:rFonts w:eastAsia="Times New Roman" w:cs="Times New Roman"/>
                <w:kern w:val="0"/>
                <w:sz w:val="20"/>
                <w:szCs w:val="20"/>
                <w:highlight w:val="green"/>
                <w:lang w:val="en-GB" w:eastAsia="ar-SA"/>
              </w:rPr>
            </w:pPr>
            <w:r w:rsidRPr="002B4681">
              <w:rPr>
                <w:rFonts w:eastAsia="Times New Roman" w:cs="Times New Roman"/>
                <w:kern w:val="0"/>
                <w:sz w:val="20"/>
                <w:szCs w:val="20"/>
                <w:lang w:val="en-GB" w:eastAsia="ar-SA"/>
              </w:rPr>
              <w:t xml:space="preserve">421 965,52 </w:t>
            </w:r>
          </w:p>
          <w:p w:rsidR="00CF7C1C" w:rsidRPr="002B4681" w:rsidRDefault="00CF7C1C" w:rsidP="00CF7C1C">
            <w:pPr>
              <w:spacing w:after="0"/>
              <w:ind w:left="284" w:hanging="284"/>
              <w:jc w:val="right"/>
              <w:rPr>
                <w:rFonts w:eastAsia="Times New Roman" w:cs="Times New Roman"/>
                <w:kern w:val="0"/>
                <w:sz w:val="20"/>
                <w:szCs w:val="20"/>
                <w:highlight w:val="green"/>
                <w:lang w:val="en-GB" w:eastAsia="ar-SA"/>
              </w:rPr>
            </w:pPr>
          </w:p>
          <w:p w:rsidR="00CF7C1C" w:rsidRPr="002B4681" w:rsidRDefault="00CF7C1C" w:rsidP="00CF7C1C">
            <w:pPr>
              <w:spacing w:after="0"/>
              <w:jc w:val="right"/>
              <w:rPr>
                <w:rFonts w:eastAsia="Times New Roman" w:cs="Times New Roman"/>
                <w:kern w:val="0"/>
                <w:sz w:val="20"/>
                <w:szCs w:val="20"/>
                <w:lang w:val="en-GB" w:eastAsia="ar-SA"/>
              </w:rPr>
            </w:pPr>
            <w:r w:rsidRPr="002B4681">
              <w:rPr>
                <w:rFonts w:eastAsia="Times New Roman" w:cs="Times New Roman"/>
                <w:kern w:val="0"/>
                <w:sz w:val="20"/>
                <w:szCs w:val="20"/>
                <w:lang w:val="en-GB" w:eastAsia="ar-SA"/>
              </w:rPr>
              <w:t>-</w:t>
            </w:r>
          </w:p>
          <w:p w:rsidR="00CF7C1C" w:rsidRPr="002B4681" w:rsidRDefault="00CF7C1C" w:rsidP="00CF7C1C">
            <w:pPr>
              <w:spacing w:after="0"/>
              <w:jc w:val="right"/>
              <w:rPr>
                <w:rFonts w:eastAsia="Times New Roman" w:cs="Times New Roman"/>
                <w:kern w:val="0"/>
                <w:sz w:val="20"/>
                <w:szCs w:val="20"/>
                <w:highlight w:val="green"/>
                <w:lang w:val="en-GB" w:eastAsia="ar-SA"/>
              </w:rPr>
            </w:pPr>
            <w:r w:rsidRPr="002B4681">
              <w:rPr>
                <w:rFonts w:eastAsia="Times New Roman" w:cs="Times New Roman"/>
                <w:kern w:val="0"/>
                <w:sz w:val="20"/>
                <w:szCs w:val="20"/>
                <w:lang w:val="en-GB" w:eastAsia="ar-SA"/>
              </w:rPr>
              <w:t>-</w:t>
            </w:r>
          </w:p>
        </w:tc>
      </w:tr>
      <w:tr w:rsidR="00CF7C1C" w:rsidRPr="00AB29BE" w:rsidTr="00CF7C1C">
        <w:trPr>
          <w:cantSplit/>
          <w:jc w:val="center"/>
        </w:trPr>
        <w:tc>
          <w:tcPr>
            <w:tcW w:w="610" w:type="dxa"/>
            <w:vMerge/>
          </w:tcPr>
          <w:p w:rsidR="00CF7C1C" w:rsidRPr="00AB29BE" w:rsidRDefault="00CF7C1C" w:rsidP="00CF7C1C">
            <w:pPr>
              <w:spacing w:after="0"/>
              <w:jc w:val="left"/>
              <w:rPr>
                <w:rFonts w:eastAsia="Times New Roman" w:cs="Times New Roman"/>
                <w:kern w:val="0"/>
                <w:sz w:val="20"/>
                <w:szCs w:val="20"/>
                <w:lang w:eastAsia="ar-SA" w:bidi="sa-IN"/>
              </w:rPr>
            </w:pPr>
          </w:p>
        </w:tc>
        <w:tc>
          <w:tcPr>
            <w:tcW w:w="5963" w:type="dxa"/>
          </w:tcPr>
          <w:p w:rsidR="00CF7C1C" w:rsidRPr="00AB29BE" w:rsidRDefault="00CF7C1C" w:rsidP="00CF7C1C">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program által érintett állatállomány nagysága</w:t>
            </w:r>
          </w:p>
        </w:tc>
        <w:tc>
          <w:tcPr>
            <w:tcW w:w="1792" w:type="dxa"/>
            <w:vAlign w:val="center"/>
          </w:tcPr>
          <w:p w:rsidR="00CF7C1C" w:rsidRPr="00AB29BE" w:rsidRDefault="00CF7C1C" w:rsidP="00CF7C1C">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65 000 ÁE</w:t>
            </w:r>
          </w:p>
        </w:tc>
        <w:tc>
          <w:tcPr>
            <w:tcW w:w="1764" w:type="dxa"/>
          </w:tcPr>
          <w:p w:rsidR="00CF7C1C" w:rsidRPr="002B4681" w:rsidRDefault="00CF7C1C" w:rsidP="00CF7C1C">
            <w:pPr>
              <w:spacing w:after="0"/>
              <w:ind w:left="284" w:hanging="284"/>
              <w:jc w:val="right"/>
              <w:rPr>
                <w:rFonts w:eastAsia="Times New Roman" w:cs="Times New Roman"/>
                <w:kern w:val="0"/>
                <w:sz w:val="20"/>
                <w:szCs w:val="20"/>
                <w:highlight w:val="green"/>
                <w:lang w:eastAsia="ar-SA" w:bidi="sa-IN"/>
              </w:rPr>
            </w:pPr>
            <w:r w:rsidRPr="002B4681">
              <w:rPr>
                <w:rFonts w:eastAsia="Times New Roman" w:cs="Times New Roman"/>
                <w:kern w:val="0"/>
                <w:sz w:val="20"/>
                <w:szCs w:val="20"/>
                <w:lang w:eastAsia="ar-SA" w:bidi="sa-IN"/>
              </w:rPr>
              <w:t>350 113</w:t>
            </w:r>
            <w:r w:rsidRPr="002B4681">
              <w:rPr>
                <w:rFonts w:eastAsia="Times New Roman" w:cs="Times New Roman"/>
                <w:kern w:val="0"/>
                <w:sz w:val="20"/>
                <w:szCs w:val="20"/>
                <w:highlight w:val="green"/>
                <w:lang w:eastAsia="ar-SA" w:bidi="sa-IN"/>
              </w:rPr>
              <w:t xml:space="preserve"> </w:t>
            </w:r>
          </w:p>
        </w:tc>
      </w:tr>
      <w:tr w:rsidR="00CF7C1C" w:rsidRPr="000A64E1" w:rsidTr="00CF7C1C">
        <w:trPr>
          <w:cantSplit/>
          <w:jc w:val="center"/>
        </w:trPr>
        <w:tc>
          <w:tcPr>
            <w:tcW w:w="610" w:type="dxa"/>
            <w:vMerge w:val="restart"/>
          </w:tcPr>
          <w:p w:rsidR="00CF7C1C" w:rsidRPr="000A64E1" w:rsidRDefault="00CF7C1C" w:rsidP="00CF7C1C">
            <w:pPr>
              <w:spacing w:after="0"/>
              <w:jc w:val="lef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R</w:t>
            </w:r>
          </w:p>
        </w:tc>
        <w:tc>
          <w:tcPr>
            <w:tcW w:w="5963" w:type="dxa"/>
          </w:tcPr>
          <w:p w:rsidR="00CF7C1C" w:rsidRPr="000A64E1" w:rsidRDefault="00CF7C1C" w:rsidP="00CF7C1C">
            <w:pPr>
              <w:spacing w:after="0"/>
              <w:jc w:val="lef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Kompenzációs kifizetések alá bevont, hasznosított mezőgazdasági terület (effektív területhasználat) hozzájárulása a művelés felhagyásának elkerüléséhez</w:t>
            </w:r>
          </w:p>
        </w:tc>
        <w:tc>
          <w:tcPr>
            <w:tcW w:w="1792" w:type="dxa"/>
            <w:vAlign w:val="center"/>
          </w:tcPr>
          <w:p w:rsidR="00CF7C1C" w:rsidRPr="000A64E1" w:rsidRDefault="00CF7C1C" w:rsidP="00CF7C1C">
            <w:pPr>
              <w:spacing w:after="0"/>
              <w:ind w:left="284" w:hanging="284"/>
              <w:jc w:val="right"/>
              <w:rPr>
                <w:rFonts w:eastAsia="Times New Roman" w:cs="Times New Roman"/>
                <w:kern w:val="0"/>
                <w:sz w:val="20"/>
                <w:szCs w:val="20"/>
                <w:lang w:val="en-GB" w:eastAsia="ar-SA" w:bidi="sa-IN"/>
              </w:rPr>
            </w:pPr>
            <w:r w:rsidRPr="000A64E1">
              <w:rPr>
                <w:rFonts w:eastAsia="Times New Roman" w:cs="Times New Roman"/>
                <w:kern w:val="0"/>
                <w:sz w:val="20"/>
                <w:szCs w:val="20"/>
                <w:lang w:eastAsia="ar-SA" w:bidi="sa-IN"/>
              </w:rPr>
              <w:t>70 000 ha</w:t>
            </w:r>
          </w:p>
          <w:p w:rsidR="00CF7C1C" w:rsidRPr="000A64E1" w:rsidRDefault="00CF7C1C" w:rsidP="00CF7C1C">
            <w:pPr>
              <w:spacing w:after="0"/>
              <w:ind w:left="284" w:hanging="284"/>
              <w:jc w:val="right"/>
              <w:rPr>
                <w:rFonts w:eastAsia="Times New Roman" w:cs="Times New Roman"/>
                <w:kern w:val="0"/>
                <w:sz w:val="20"/>
                <w:szCs w:val="20"/>
                <w:lang w:val="en-GB" w:eastAsia="ar-SA"/>
              </w:rPr>
            </w:pPr>
          </w:p>
        </w:tc>
        <w:tc>
          <w:tcPr>
            <w:tcW w:w="1764" w:type="dxa"/>
          </w:tcPr>
          <w:p w:rsidR="00CF7C1C" w:rsidRPr="000A64E1" w:rsidRDefault="000A64E1" w:rsidP="00CF7C1C">
            <w:pPr>
              <w:spacing w:after="0"/>
              <w:ind w:left="284" w:hanging="284"/>
              <w:jc w:val="right"/>
              <w:rPr>
                <w:rFonts w:eastAsia="Times New Roman" w:cs="Times New Roman"/>
                <w:kern w:val="0"/>
                <w:sz w:val="20"/>
                <w:szCs w:val="20"/>
                <w:lang w:eastAsia="ar-SA" w:bidi="sa-IN"/>
              </w:rPr>
            </w:pPr>
            <w:r>
              <w:rPr>
                <w:rFonts w:eastAsia="Times New Roman" w:cs="Times New Roman"/>
                <w:kern w:val="0"/>
                <w:sz w:val="20"/>
                <w:szCs w:val="20"/>
                <w:lang w:eastAsia="ar-SA" w:bidi="sa-IN"/>
              </w:rPr>
              <w:t>221 285,85</w:t>
            </w:r>
          </w:p>
        </w:tc>
      </w:tr>
      <w:tr w:rsidR="00CF7C1C" w:rsidRPr="000A64E1" w:rsidTr="00CF7C1C">
        <w:trPr>
          <w:cantSplit/>
          <w:trHeight w:val="1134"/>
          <w:jc w:val="center"/>
        </w:trPr>
        <w:tc>
          <w:tcPr>
            <w:tcW w:w="610" w:type="dxa"/>
            <w:vMerge/>
          </w:tcPr>
          <w:p w:rsidR="00CF7C1C" w:rsidRPr="000A64E1" w:rsidRDefault="00CF7C1C" w:rsidP="00CF7C1C">
            <w:pPr>
              <w:suppressAutoHyphens w:val="0"/>
              <w:spacing w:after="0"/>
              <w:jc w:val="left"/>
              <w:rPr>
                <w:rFonts w:eastAsia="Times New Roman" w:cs="Times New Roman"/>
                <w:kern w:val="0"/>
                <w:sz w:val="20"/>
                <w:szCs w:val="20"/>
                <w:lang w:eastAsia="ar-SA" w:bidi="sa-IN"/>
              </w:rPr>
            </w:pPr>
          </w:p>
        </w:tc>
        <w:tc>
          <w:tcPr>
            <w:tcW w:w="5963" w:type="dxa"/>
          </w:tcPr>
          <w:p w:rsidR="00CF7C1C" w:rsidRPr="000A64E1" w:rsidRDefault="00CF7C1C" w:rsidP="00CF7C1C">
            <w:pPr>
              <w:suppressAutoHyphens w:val="0"/>
              <w:spacing w:after="0"/>
              <w:jc w:val="left"/>
              <w:rPr>
                <w:rFonts w:eastAsia="Times New Roman" w:cs="Times New Roman"/>
                <w:kern w:val="0"/>
                <w:sz w:val="20"/>
                <w:szCs w:val="20"/>
                <w:lang w:val="en-GB" w:eastAsia="ar-SA" w:bidi="sa-IN"/>
              </w:rPr>
            </w:pPr>
            <w:r w:rsidRPr="000A64E1">
              <w:rPr>
                <w:rFonts w:eastAsia="Times New Roman" w:cs="Times New Roman"/>
                <w:kern w:val="0"/>
                <w:sz w:val="20"/>
                <w:szCs w:val="20"/>
                <w:lang w:eastAsia="ar-SA" w:bidi="sa-IN"/>
              </w:rPr>
              <w:t>Intézkedés</w:t>
            </w:r>
          </w:p>
          <w:p w:rsidR="00CF7C1C" w:rsidRPr="000A64E1" w:rsidRDefault="00CF7C1C" w:rsidP="00CF7C1C">
            <w:pPr>
              <w:suppressAutoHyphens w:val="0"/>
              <w:spacing w:after="0"/>
              <w:jc w:val="left"/>
              <w:rPr>
                <w:rFonts w:eastAsia="Times New Roman" w:cs="Times New Roman"/>
                <w:kern w:val="0"/>
                <w:sz w:val="20"/>
                <w:szCs w:val="20"/>
                <w:lang w:val="en-GB" w:eastAsia="ar-SA" w:bidi="sa-IN"/>
              </w:rPr>
            </w:pPr>
            <w:r w:rsidRPr="000A64E1">
              <w:rPr>
                <w:rFonts w:eastAsia="Times New Roman" w:cs="Times New Roman"/>
                <w:kern w:val="0"/>
                <w:sz w:val="20"/>
                <w:szCs w:val="20"/>
                <w:lang w:eastAsia="ar-SA" w:bidi="sa-IN"/>
              </w:rPr>
              <w:t>A hozzájárulás típusa</w:t>
            </w:r>
            <w:r w:rsidRPr="000A64E1">
              <w:rPr>
                <w:rFonts w:eastAsia="Times New Roman" w:cs="Times New Roman"/>
                <w:kern w:val="0"/>
                <w:sz w:val="20"/>
                <w:szCs w:val="20"/>
                <w:lang w:val="en-GB" w:eastAsia="ar-SA" w:bidi="sa-IN"/>
              </w:rPr>
              <w:t xml:space="preserve"> </w:t>
            </w:r>
          </w:p>
          <w:p w:rsidR="00CF7C1C" w:rsidRPr="000A64E1" w:rsidRDefault="00CF7C1C" w:rsidP="0033390A">
            <w:pPr>
              <w:numPr>
                <w:ilvl w:val="0"/>
                <w:numId w:val="80"/>
              </w:numPr>
              <w:spacing w:after="0"/>
              <w:rPr>
                <w:rFonts w:eastAsia="Times New Roman" w:cs="Times New Roman"/>
                <w:kern w:val="0"/>
                <w:sz w:val="20"/>
                <w:szCs w:val="20"/>
                <w:lang w:eastAsia="ar-SA"/>
              </w:rPr>
            </w:pPr>
            <w:r w:rsidRPr="000A64E1">
              <w:rPr>
                <w:rFonts w:eastAsia="Times New Roman" w:cs="Times New Roman"/>
                <w:kern w:val="0"/>
                <w:sz w:val="20"/>
                <w:szCs w:val="20"/>
                <w:lang w:eastAsia="ar-SA"/>
              </w:rPr>
              <w:t>Biodiverzitás növelése</w:t>
            </w:r>
          </w:p>
          <w:p w:rsidR="00CF7C1C" w:rsidRPr="000A64E1" w:rsidRDefault="00CF7C1C" w:rsidP="0033390A">
            <w:pPr>
              <w:numPr>
                <w:ilvl w:val="0"/>
                <w:numId w:val="80"/>
              </w:numPr>
              <w:spacing w:after="0"/>
              <w:rPr>
                <w:rFonts w:eastAsia="Times New Roman" w:cs="Times New Roman"/>
                <w:kern w:val="0"/>
                <w:sz w:val="20"/>
                <w:szCs w:val="20"/>
                <w:lang w:eastAsia="ar-SA"/>
              </w:rPr>
            </w:pPr>
            <w:r w:rsidRPr="000A64E1">
              <w:rPr>
                <w:rFonts w:eastAsia="Times New Roman" w:cs="Times New Roman"/>
                <w:kern w:val="0"/>
                <w:sz w:val="20"/>
                <w:szCs w:val="20"/>
                <w:lang w:eastAsia="ar-SA"/>
              </w:rPr>
              <w:t>Vízminőség javítása</w:t>
            </w:r>
          </w:p>
          <w:p w:rsidR="00CF7C1C" w:rsidRPr="000A64E1" w:rsidRDefault="00CF7C1C" w:rsidP="0033390A">
            <w:pPr>
              <w:numPr>
                <w:ilvl w:val="0"/>
                <w:numId w:val="80"/>
              </w:numPr>
              <w:spacing w:after="0"/>
              <w:rPr>
                <w:rFonts w:eastAsia="Times New Roman" w:cs="Times New Roman"/>
                <w:kern w:val="0"/>
                <w:sz w:val="20"/>
                <w:szCs w:val="20"/>
                <w:lang w:eastAsia="ar-SA"/>
              </w:rPr>
            </w:pPr>
            <w:r w:rsidRPr="000A64E1">
              <w:rPr>
                <w:rFonts w:eastAsia="Times New Roman" w:cs="Times New Roman"/>
                <w:kern w:val="0"/>
                <w:sz w:val="20"/>
                <w:szCs w:val="20"/>
                <w:lang w:eastAsia="ar-SA"/>
              </w:rPr>
              <w:t>Klímaváltozás mérséklése</w:t>
            </w:r>
          </w:p>
          <w:p w:rsidR="00CF7C1C" w:rsidRPr="000A64E1" w:rsidRDefault="00CF7C1C" w:rsidP="0033390A">
            <w:pPr>
              <w:numPr>
                <w:ilvl w:val="0"/>
                <w:numId w:val="80"/>
              </w:numPr>
              <w:spacing w:after="0"/>
              <w:rPr>
                <w:rFonts w:eastAsia="Times New Roman" w:cs="Times New Roman"/>
                <w:kern w:val="0"/>
                <w:sz w:val="20"/>
                <w:szCs w:val="20"/>
                <w:lang w:eastAsia="ar-SA"/>
              </w:rPr>
            </w:pPr>
            <w:r w:rsidRPr="000A64E1">
              <w:rPr>
                <w:rFonts w:eastAsia="Times New Roman" w:cs="Times New Roman"/>
                <w:kern w:val="0"/>
                <w:sz w:val="20"/>
                <w:szCs w:val="20"/>
                <w:lang w:eastAsia="ar-SA"/>
              </w:rPr>
              <w:t xml:space="preserve">Talajminőség javítása </w:t>
            </w:r>
          </w:p>
          <w:p w:rsidR="00CF7C1C" w:rsidRPr="000A64E1" w:rsidRDefault="00CF7C1C" w:rsidP="0033390A">
            <w:pPr>
              <w:numPr>
                <w:ilvl w:val="0"/>
                <w:numId w:val="80"/>
              </w:numPr>
              <w:spacing w:after="0"/>
              <w:rPr>
                <w:rFonts w:eastAsia="Times New Roman" w:cs="Times New Roman"/>
                <w:kern w:val="0"/>
                <w:sz w:val="20"/>
                <w:szCs w:val="20"/>
                <w:lang w:eastAsia="ar-SA" w:bidi="sa-IN"/>
              </w:rPr>
            </w:pPr>
            <w:r w:rsidRPr="000A64E1">
              <w:rPr>
                <w:rFonts w:eastAsia="Times New Roman" w:cs="Times New Roman"/>
                <w:kern w:val="0"/>
                <w:sz w:val="20"/>
                <w:szCs w:val="20"/>
                <w:lang w:eastAsia="ar-SA"/>
              </w:rPr>
              <w:t>A marginalizálódás</w:t>
            </w:r>
            <w:r w:rsidRPr="000A64E1">
              <w:rPr>
                <w:rFonts w:eastAsia="Times New Roman" w:cs="Times New Roman"/>
                <w:kern w:val="0"/>
                <w:sz w:val="20"/>
                <w:szCs w:val="20"/>
                <w:lang w:eastAsia="ar-SA" w:bidi="sa-IN"/>
              </w:rPr>
              <w:t xml:space="preserve"> és a föld felhagyásának elkerülése</w:t>
            </w:r>
          </w:p>
        </w:tc>
        <w:tc>
          <w:tcPr>
            <w:tcW w:w="1792" w:type="dxa"/>
          </w:tcPr>
          <w:p w:rsidR="00CF7C1C" w:rsidRPr="000A64E1" w:rsidRDefault="00CF7C1C" w:rsidP="00CF7C1C">
            <w:pPr>
              <w:spacing w:after="0"/>
              <w:ind w:left="284" w:hanging="284"/>
              <w:jc w:val="right"/>
              <w:rPr>
                <w:rFonts w:eastAsia="Times New Roman" w:cs="Times New Roman"/>
                <w:kern w:val="0"/>
                <w:sz w:val="20"/>
                <w:szCs w:val="20"/>
                <w:lang w:eastAsia="ar-SA" w:bidi="sa-IN"/>
              </w:rPr>
            </w:pPr>
          </w:p>
          <w:p w:rsidR="00CF7C1C" w:rsidRPr="000A64E1" w:rsidRDefault="00CF7C1C" w:rsidP="00CF7C1C">
            <w:pPr>
              <w:spacing w:after="0"/>
              <w:ind w:left="284" w:hanging="284"/>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Közvetett hatás</w:t>
            </w:r>
          </w:p>
          <w:p w:rsidR="00CF7C1C" w:rsidRPr="000A64E1" w:rsidRDefault="00CF7C1C" w:rsidP="00CF7C1C">
            <w:pPr>
              <w:spacing w:after="0"/>
              <w:ind w:left="284" w:hanging="284"/>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Pozitív hatás (HMKÁ)</w:t>
            </w:r>
          </w:p>
          <w:p w:rsidR="00CF7C1C" w:rsidRPr="000A64E1" w:rsidRDefault="00CF7C1C" w:rsidP="00CF7C1C">
            <w:pPr>
              <w:spacing w:after="0"/>
              <w:ind w:left="284" w:hanging="284"/>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Kismértékben</w:t>
            </w:r>
          </w:p>
          <w:p w:rsidR="00CF7C1C" w:rsidRPr="000A64E1" w:rsidRDefault="00CF7C1C" w:rsidP="00CF7C1C">
            <w:pPr>
              <w:spacing w:after="0"/>
              <w:ind w:left="284" w:hanging="284"/>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Kismértékben</w:t>
            </w:r>
          </w:p>
          <w:p w:rsidR="00CF7C1C" w:rsidRPr="000A64E1" w:rsidRDefault="00CF7C1C" w:rsidP="00CF7C1C">
            <w:pPr>
              <w:spacing w:after="0"/>
              <w:ind w:left="284" w:hanging="284"/>
              <w:jc w:val="right"/>
              <w:rPr>
                <w:rFonts w:eastAsia="Times New Roman" w:cs="Times New Roman"/>
                <w:kern w:val="0"/>
                <w:sz w:val="20"/>
                <w:szCs w:val="20"/>
                <w:vertAlign w:val="subscript"/>
                <w:lang w:eastAsia="ar-SA" w:bidi="sa-IN"/>
              </w:rPr>
            </w:pPr>
            <w:r w:rsidRPr="000A64E1">
              <w:rPr>
                <w:rFonts w:eastAsia="Times New Roman" w:cs="Times New Roman"/>
                <w:kern w:val="0"/>
                <w:sz w:val="20"/>
                <w:szCs w:val="20"/>
                <w:lang w:eastAsia="ar-SA" w:bidi="sa-IN"/>
              </w:rPr>
              <w:t>Jelentős közvetlen hatás</w:t>
            </w:r>
          </w:p>
        </w:tc>
        <w:tc>
          <w:tcPr>
            <w:tcW w:w="1764" w:type="dxa"/>
          </w:tcPr>
          <w:p w:rsidR="00CF7C1C" w:rsidRPr="000A64E1" w:rsidRDefault="00CF7C1C" w:rsidP="00CF7C1C">
            <w:pPr>
              <w:spacing w:after="0"/>
              <w:ind w:left="284" w:hanging="284"/>
              <w:jc w:val="right"/>
              <w:rPr>
                <w:rFonts w:eastAsia="Times New Roman" w:cs="Times New Roman"/>
                <w:kern w:val="0"/>
                <w:sz w:val="20"/>
                <w:szCs w:val="20"/>
                <w:lang w:eastAsia="ar-SA"/>
              </w:rPr>
            </w:pPr>
          </w:p>
          <w:p w:rsidR="00CF7C1C" w:rsidRPr="000A64E1" w:rsidRDefault="000A64E1" w:rsidP="00CF7C1C">
            <w:pPr>
              <w:spacing w:after="0"/>
              <w:ind w:left="284" w:hanging="284"/>
              <w:jc w:val="right"/>
              <w:rPr>
                <w:rFonts w:eastAsia="Times New Roman" w:cs="Times New Roman"/>
                <w:kern w:val="0"/>
                <w:sz w:val="20"/>
                <w:szCs w:val="20"/>
                <w:lang w:eastAsia="ar-SA"/>
              </w:rPr>
            </w:pPr>
            <w:r>
              <w:rPr>
                <w:rFonts w:eastAsia="Times New Roman" w:cs="Times New Roman"/>
                <w:kern w:val="0"/>
                <w:sz w:val="20"/>
                <w:szCs w:val="20"/>
                <w:lang w:eastAsia="ar-SA"/>
              </w:rPr>
              <w:t>457 070,04</w:t>
            </w:r>
          </w:p>
        </w:tc>
      </w:tr>
      <w:tr w:rsidR="00CF7C1C" w:rsidRPr="000A64E1" w:rsidTr="00CF7C1C">
        <w:trPr>
          <w:cantSplit/>
          <w:jc w:val="center"/>
        </w:trPr>
        <w:tc>
          <w:tcPr>
            <w:tcW w:w="610" w:type="dxa"/>
            <w:vMerge w:val="restart"/>
          </w:tcPr>
          <w:p w:rsidR="00CF7C1C" w:rsidRPr="000A64E1" w:rsidRDefault="00CF7C1C" w:rsidP="00313ED5">
            <w:pPr>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I</w:t>
            </w:r>
          </w:p>
        </w:tc>
        <w:tc>
          <w:tcPr>
            <w:tcW w:w="5963" w:type="dxa"/>
          </w:tcPr>
          <w:p w:rsidR="00CF7C1C" w:rsidRPr="000A64E1" w:rsidRDefault="00CF7C1C" w:rsidP="007B5AEF">
            <w:pPr>
              <w:pStyle w:val="Tbla-bal"/>
            </w:pPr>
            <w:r w:rsidRPr="000A64E1">
              <w:t>A hasznosított mezőgazdasági területen (effektív földhasználat) belül annak a szántóföldi gazdálkodásba vont területnek a nagysága, ahol a kijuttatott hasznosuló nitrogén (szerves- és műtrágya összesen) mennyisége kevesebb, mint 170 kg/ha/év (oly módon, hogy a nitrátérzékeny területen a szerves trágyával kijuttatott összes nitrogén mennyisége nem haladhatja meg a 170 kg/ha/év értéket)</w:t>
            </w:r>
          </w:p>
        </w:tc>
        <w:tc>
          <w:tcPr>
            <w:tcW w:w="1792" w:type="dxa"/>
          </w:tcPr>
          <w:p w:rsidR="00CF7C1C" w:rsidRPr="000A64E1" w:rsidRDefault="00CF7C1C" w:rsidP="0033390A">
            <w:pPr>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170 000 ha</w:t>
            </w:r>
          </w:p>
        </w:tc>
        <w:tc>
          <w:tcPr>
            <w:tcW w:w="1764" w:type="dxa"/>
          </w:tcPr>
          <w:p w:rsidR="00CF7C1C" w:rsidRPr="000A64E1" w:rsidRDefault="000A64E1" w:rsidP="000A64E1">
            <w:pPr>
              <w:jc w:val="right"/>
              <w:rPr>
                <w:rFonts w:eastAsia="Times New Roman" w:cs="Times New Roman"/>
                <w:kern w:val="0"/>
                <w:sz w:val="20"/>
                <w:szCs w:val="20"/>
                <w:lang w:eastAsia="ar-SA"/>
              </w:rPr>
            </w:pPr>
            <w:r>
              <w:rPr>
                <w:rFonts w:eastAsia="Times New Roman" w:cs="Times New Roman"/>
                <w:kern w:val="0"/>
                <w:sz w:val="20"/>
                <w:szCs w:val="20"/>
                <w:lang w:eastAsia="ar-SA"/>
              </w:rPr>
              <w:t>323 960,68</w:t>
            </w:r>
          </w:p>
        </w:tc>
      </w:tr>
      <w:tr w:rsidR="00CF7C1C" w:rsidRPr="00AB29BE" w:rsidTr="00CF7C1C">
        <w:trPr>
          <w:cantSplit/>
          <w:jc w:val="center"/>
        </w:trPr>
        <w:tc>
          <w:tcPr>
            <w:tcW w:w="610" w:type="dxa"/>
            <w:vMerge/>
          </w:tcPr>
          <w:p w:rsidR="00CF7C1C" w:rsidRPr="000A64E1" w:rsidRDefault="00CF7C1C" w:rsidP="00313ED5">
            <w:pPr>
              <w:rPr>
                <w:rFonts w:eastAsia="Times New Roman" w:cs="Times New Roman"/>
                <w:kern w:val="0"/>
                <w:sz w:val="20"/>
                <w:szCs w:val="20"/>
                <w:lang w:eastAsia="ar-SA" w:bidi="sa-IN"/>
              </w:rPr>
            </w:pPr>
          </w:p>
        </w:tc>
        <w:tc>
          <w:tcPr>
            <w:tcW w:w="5963" w:type="dxa"/>
          </w:tcPr>
          <w:p w:rsidR="00CF7C1C" w:rsidRPr="000A64E1" w:rsidRDefault="00CF7C1C" w:rsidP="007B5AEF">
            <w:pPr>
              <w:pStyle w:val="Tbla-bal"/>
            </w:pPr>
            <w:r w:rsidRPr="000A64E1">
              <w:t>A bevont területeken az állatállomány emelkedése a támogatási időszak alatt</w:t>
            </w:r>
          </w:p>
        </w:tc>
        <w:tc>
          <w:tcPr>
            <w:tcW w:w="1792" w:type="dxa"/>
          </w:tcPr>
          <w:p w:rsidR="00CF7C1C" w:rsidRPr="000A64E1" w:rsidRDefault="00CF7C1C" w:rsidP="0033390A">
            <w:pPr>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65 000 ÁE</w:t>
            </w:r>
          </w:p>
        </w:tc>
        <w:tc>
          <w:tcPr>
            <w:tcW w:w="1764" w:type="dxa"/>
          </w:tcPr>
          <w:p w:rsidR="00CF7C1C" w:rsidRPr="000A64E1" w:rsidRDefault="000A64E1" w:rsidP="000A64E1">
            <w:pPr>
              <w:jc w:val="right"/>
              <w:rPr>
                <w:rFonts w:eastAsia="Times New Roman" w:cs="Times New Roman"/>
                <w:kern w:val="0"/>
                <w:sz w:val="20"/>
                <w:szCs w:val="20"/>
                <w:lang w:eastAsia="ar-SA"/>
              </w:rPr>
            </w:pPr>
            <w:r>
              <w:rPr>
                <w:rFonts w:eastAsia="Times New Roman" w:cs="Times New Roman"/>
                <w:kern w:val="0"/>
                <w:sz w:val="20"/>
                <w:szCs w:val="20"/>
                <w:lang w:eastAsia="ar-SA"/>
              </w:rPr>
              <w:t>32 039,83</w:t>
            </w:r>
          </w:p>
        </w:tc>
      </w:tr>
    </w:tbl>
    <w:p w:rsidR="00CF7C1C" w:rsidRPr="00F35797" w:rsidRDefault="00CF7C1C" w:rsidP="00CF7C1C">
      <w:pPr>
        <w:pStyle w:val="Normlforrs"/>
      </w:pPr>
      <w:r w:rsidRPr="00F35797">
        <w:t>Forrás: MVH</w:t>
      </w:r>
    </w:p>
    <w:p w:rsidR="00225AD0" w:rsidRPr="000A64E1" w:rsidRDefault="00CF7C1C" w:rsidP="000A64E1">
      <w:pPr>
        <w:pStyle w:val="Normlforrs"/>
        <w:jc w:val="both"/>
        <w:rPr>
          <w:sz w:val="18"/>
          <w:szCs w:val="18"/>
        </w:rPr>
      </w:pPr>
      <w:r w:rsidRPr="000A64E1">
        <w:rPr>
          <w:sz w:val="18"/>
          <w:szCs w:val="18"/>
        </w:rPr>
        <w:t>*Egy ügyfél rendelkezhet egyszerre 19. és 20. cikk szerinti támogatott területtel, ezért a KAT támogatásban részesülő ügyfelek száma kevesebb, mint a 19. és 20. cikk szerinti kedvezményezettek számának összege.</w:t>
      </w:r>
      <w:r w:rsidR="00225AD0" w:rsidRPr="000A64E1">
        <w:rPr>
          <w:sz w:val="18"/>
          <w:szCs w:val="18"/>
        </w:rPr>
        <w:t>Az intézkedés jelentősen túlteljesítette a programban meghatározott célértékeket, nemcsak kérelemszám, hanem a lefedett terület mérete vonatkozásában is. A támogatást a KAT területen gazdálkodók jelentős része igénybe veszi.</w:t>
      </w:r>
    </w:p>
    <w:p w:rsidR="00CF7C1C" w:rsidRPr="00F35797" w:rsidRDefault="00CF7C1C" w:rsidP="00715E86">
      <w:pPr>
        <w:pStyle w:val="Cmsor4"/>
      </w:pPr>
      <w:r w:rsidRPr="00F35797">
        <w:t xml:space="preserve">A kedvezőtlen adottságú területeken történő gazdálkodáshoz nyújtandó kompenzációs támogatások </w:t>
      </w:r>
      <w:bookmarkEnd w:id="264"/>
      <w:r w:rsidRPr="00F35797">
        <w:t>jogcím rövid bemutatása</w:t>
      </w:r>
    </w:p>
    <w:p w:rsidR="00CF7C1C" w:rsidRPr="002B4681" w:rsidRDefault="00CF7C1C" w:rsidP="00CF7C1C">
      <w:r w:rsidRPr="002B4681">
        <w:t>A támogatási konstrukció feltételeit a 25/2007 (IV.17.) FVM rendelet határozza meg, az alaprendelet 2012-ben nem módosult. 2007 óta minden évben volt lehetőség támogatási kérelmet benyújtani. A támogatási kérelem ennél az intézkedésnél egyben kifizetési kérelem is.</w:t>
      </w:r>
    </w:p>
    <w:p w:rsidR="00CF7C1C" w:rsidRPr="00F35797" w:rsidRDefault="00CF7C1C" w:rsidP="00CF7C1C">
      <w:r w:rsidRPr="002B4681">
        <w:t xml:space="preserve">A kérelem benyújtása, valamint a benyújtásra nyitva álló időszak minden évben </w:t>
      </w:r>
      <w:r w:rsidRPr="00F35797">
        <w:t>május 15-ig, az egységes területalapú támogatás iránti kérelemmel együtt történik.</w:t>
      </w:r>
    </w:p>
    <w:p w:rsidR="00CF7C1C" w:rsidRPr="00F92037" w:rsidRDefault="007E5FDF" w:rsidP="00F92037">
      <w:pPr>
        <w:pStyle w:val="bra-cmetbla"/>
      </w:pPr>
      <w:fldSimple w:instr=" SEQ táblázat \* ARABIC ">
        <w:r w:rsidR="00E5031F">
          <w:rPr>
            <w:noProof/>
          </w:rPr>
          <w:t>55</w:t>
        </w:r>
      </w:fldSimple>
      <w:r w:rsidR="00673DDE">
        <w:t xml:space="preserve">. táblázat: </w:t>
      </w:r>
      <w:r w:rsidR="008B2B7C" w:rsidRPr="008B2B7C">
        <w:t xml:space="preserve">A kedvezőtlen adottságú területeken történő gazdálkodáshoz nyújtandó kompenzációs támogatások jogcím </w:t>
      </w:r>
      <w:r w:rsidR="00CF7C1C" w:rsidRPr="00F92037">
        <w:t>2012. évi eredményei</w:t>
      </w:r>
    </w:p>
    <w:p w:rsidR="00225AD0" w:rsidRPr="00F92037" w:rsidRDefault="00225AD0" w:rsidP="00F92037">
      <w:pPr>
        <w:pStyle w:val="bra-cmetbla"/>
      </w:pPr>
      <w:r w:rsidRPr="00F92037">
        <w:rPr>
          <w:noProof/>
        </w:rPr>
        <w:drawing>
          <wp:inline distT="0" distB="0" distL="0" distR="0" wp14:anchorId="09A625F3" wp14:editId="460AA30F">
            <wp:extent cx="5314950" cy="273367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4950" cy="2733675"/>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CF7C1C" w:rsidRPr="002B4681" w:rsidRDefault="00CF7C1C" w:rsidP="00CF7C1C">
      <w:r w:rsidRPr="002B4681">
        <w:t xml:space="preserve">A Program keretében meghirdetett jogcímre </w:t>
      </w:r>
      <w:r w:rsidR="0083498C" w:rsidRPr="002B4681">
        <w:rPr>
          <w:szCs w:val="22"/>
        </w:rPr>
        <w:t>8</w:t>
      </w:r>
      <w:r w:rsidR="0083498C">
        <w:rPr>
          <w:szCs w:val="22"/>
        </w:rPr>
        <w:t> </w:t>
      </w:r>
      <w:r w:rsidRPr="002B4681">
        <w:rPr>
          <w:szCs w:val="22"/>
        </w:rPr>
        <w:t xml:space="preserve">573 db </w:t>
      </w:r>
      <w:r w:rsidRPr="002B4681">
        <w:t>támogatási</w:t>
      </w:r>
      <w:r w:rsidR="0083498C">
        <w:t xml:space="preserve"> és egyben kifizetési</w:t>
      </w:r>
      <w:r w:rsidRPr="002B4681">
        <w:t xml:space="preserve"> kérelem érkezett be. A kedvezményezetteknek a</w:t>
      </w:r>
      <w:r w:rsidR="000A64FB">
        <w:t xml:space="preserve"> Program keretében vállalt</w:t>
      </w:r>
      <w:r w:rsidRPr="002B4681">
        <w:t xml:space="preserve"> kötelezettség</w:t>
      </w:r>
      <w:r w:rsidR="000A64FB">
        <w:t>ek</w:t>
      </w:r>
      <w:r w:rsidRPr="002B4681">
        <w:t xml:space="preserve"> alapján 2012. évben 9,6 M euró (2,8 Mrd Ft</w:t>
      </w:r>
      <w:r w:rsidRPr="0083498C">
        <w:t>)</w:t>
      </w:r>
      <w:r w:rsidRPr="0033390A">
        <w:rPr>
          <w:strike/>
        </w:rPr>
        <w:t xml:space="preserve"> </w:t>
      </w:r>
      <w:r w:rsidRPr="002B4681">
        <w:t>támogatási összeg került kifizetésre.</w:t>
      </w:r>
    </w:p>
    <w:p w:rsidR="0083498C" w:rsidRDefault="0083498C" w:rsidP="00CF7C1C">
      <w:pPr>
        <w:suppressAutoHyphens w:val="0"/>
      </w:pPr>
      <w:r w:rsidRPr="00EA7C8A">
        <w:t>Az NVT Kedvezőtlen adottságú területek támogatása intézkedés keretében vállalt kötelezettségek kifizetései 2010-ben lezárultak</w:t>
      </w:r>
      <w:r>
        <w:t xml:space="preserve">, azonban visszakövetelésekből adódó pénzügyi korrekciókra még sor került, mely adatokat az </w:t>
      </w:r>
      <w:r w:rsidR="000A64E1">
        <w:t xml:space="preserve">fenti </w:t>
      </w:r>
      <w:r>
        <w:t>összesített táblában figyelembe vettünk a kifizetések vonatkozásában.</w:t>
      </w:r>
    </w:p>
    <w:p w:rsidR="0083498C" w:rsidRPr="00C26CDD" w:rsidRDefault="00CF7C1C" w:rsidP="0033390A">
      <w:pPr>
        <w:suppressAutoHyphens w:val="0"/>
        <w:rPr>
          <w:strike/>
        </w:rPr>
      </w:pPr>
      <w:r w:rsidRPr="002B4681">
        <w:rPr>
          <w:szCs w:val="22"/>
        </w:rPr>
        <w:t>A beérkezett támogatási kérelmek regionális megoszlását tekintve Bács-Kiskun megyében (31,2%) volt messze a legnagyobb érdeklődés a jogcím iránt, emellett Hajdú-Bihar megyéből (18%) érkezett még nagy számú kérelem, míg a legkevesebb kérelem a Közép- és Dél-dunántúli megyékből érkezett be az MVH-hoz. Budapestről nem nyújtottak be kérelmet.</w:t>
      </w:r>
    </w:p>
    <w:p w:rsidR="00CF7C1C" w:rsidRPr="00896E03" w:rsidRDefault="00CF7C1C" w:rsidP="00DB48A3">
      <w:pPr>
        <w:pStyle w:val="Cmsor3"/>
      </w:pPr>
      <w:bookmarkStart w:id="269" w:name="_Toc297033301"/>
      <w:bookmarkStart w:id="270" w:name="_Toc297033915"/>
      <w:bookmarkStart w:id="271" w:name="_Toc297548953"/>
      <w:bookmarkStart w:id="272" w:name="_Toc297549744"/>
      <w:bookmarkStart w:id="273" w:name="_Toc328638715"/>
      <w:bookmarkStart w:id="274" w:name="_Toc201068923"/>
      <w:bookmarkStart w:id="275" w:name="_Toc360176805"/>
      <w:bookmarkEnd w:id="269"/>
      <w:bookmarkEnd w:id="270"/>
      <w:bookmarkEnd w:id="271"/>
      <w:bookmarkEnd w:id="272"/>
      <w:r w:rsidRPr="00896E03">
        <w:t>Natura 2000 gyepterületeken történő gazdálkodáshoz nyújtandó kompenzációs támogatást célzó intézkedés (213) rövid bemutatása</w:t>
      </w:r>
      <w:bookmarkEnd w:id="273"/>
      <w:bookmarkEnd w:id="275"/>
    </w:p>
    <w:p w:rsidR="00CF7C1C" w:rsidRPr="00F35797" w:rsidRDefault="00CF7C1C" w:rsidP="00CF7C1C">
      <w:r w:rsidRPr="00F35797">
        <w:t>Az intézkedés tartalma kizárólag a Natura 2000 gyepterületekre terjed ki, fő célja a vonatkozó uniós jogszabályokban felsorolt indikátorfajok, valamint kijelölt élőhelyek kedvező természetvédelmi helyzetének megőrzése az azt létrehozó, illetve fenntartó környezetkímélő földhasználati módok fenntartásával. A Natura 2000 területeken a kompenzációs kifizetés a Natura 2000 gyepterületek fenntartásának földhasználati szabályairól szóló 269/2007. (X.18.) Korm. rendeletben foglalt előírások betartásának ellentételezése céljából vehető igénybe. A Natura 2000 szántóföldi területek fejlesztését a 2009-ben induló agrár-környezetgazdálkodási kifizetések tették lehetővé.</w:t>
      </w:r>
    </w:p>
    <w:p w:rsidR="00CF7C1C" w:rsidRPr="00F35797" w:rsidRDefault="00CF7C1C" w:rsidP="00CF7C1C">
      <w:r w:rsidRPr="00F35797">
        <w:t xml:space="preserve">Az intézkedés nem tartalmaz alintézkedéseket, a </w:t>
      </w:r>
      <w:r w:rsidRPr="00F35797">
        <w:rPr>
          <w:lang w:bidi="sa-IN"/>
        </w:rPr>
        <w:t>Natura 2000 gyepterületeken történő gazdálkodáshoz nyújtandó kompenzációs támogatásról szóló</w:t>
      </w:r>
      <w:r w:rsidRPr="00F35797">
        <w:t xml:space="preserve"> jogcímrendelet az intézkedést teljes egészében lefedi.</w:t>
      </w:r>
    </w:p>
    <w:p w:rsidR="00CF7C1C" w:rsidRPr="00F92037" w:rsidRDefault="007E5FDF" w:rsidP="00F92037">
      <w:pPr>
        <w:pStyle w:val="bra-cmetbla"/>
      </w:pPr>
      <w:fldSimple w:instr=" SEQ táblázat \* ARABIC ">
        <w:r w:rsidR="00E5031F">
          <w:rPr>
            <w:noProof/>
          </w:rPr>
          <w:t>56</w:t>
        </w:r>
      </w:fldSimple>
      <w:r w:rsidR="00673DDE">
        <w:t xml:space="preserve">. táblázat: </w:t>
      </w:r>
      <w:r w:rsidR="00CF7C1C" w:rsidRPr="00F92037">
        <w:t xml:space="preserve">Natura </w:t>
      </w:r>
      <w:r w:rsidR="008B2B7C" w:rsidRPr="00896E03">
        <w:t>2000 gyepterületeken történő gazdálkodáshoz nyújtandó kompenzációs támogatást célzó intézkedés</w:t>
      </w:r>
      <w:r w:rsidR="008B2B7C" w:rsidRPr="00F92037">
        <w:t xml:space="preserve"> </w:t>
      </w:r>
      <w:r w:rsidR="00CF7C1C" w:rsidRPr="00F92037">
        <w:t>(213) indikátorainak megvalósulása</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
        <w:gridCol w:w="5994"/>
        <w:gridCol w:w="1661"/>
        <w:gridCol w:w="1585"/>
      </w:tblGrid>
      <w:tr w:rsidR="00CF7C1C" w:rsidRPr="00A825E2" w:rsidTr="00CF7C1C">
        <w:trPr>
          <w:jc w:val="center"/>
        </w:trPr>
        <w:tc>
          <w:tcPr>
            <w:tcW w:w="570" w:type="dxa"/>
            <w:shd w:val="clear" w:color="auto" w:fill="B3B3B3"/>
          </w:tcPr>
          <w:p w:rsidR="00CF7C1C" w:rsidRPr="00A825E2" w:rsidRDefault="00CF7C1C" w:rsidP="006C2767">
            <w:pPr>
              <w:keepNext/>
              <w:spacing w:after="0"/>
              <w:jc w:val="center"/>
              <w:rPr>
                <w:rFonts w:eastAsia="Times New Roman" w:cs="Times New Roman"/>
                <w:b/>
                <w:bCs/>
                <w:kern w:val="0"/>
                <w:sz w:val="20"/>
                <w:szCs w:val="20"/>
                <w:lang w:eastAsia="ar-SA" w:bidi="sa-IN"/>
              </w:rPr>
            </w:pPr>
          </w:p>
        </w:tc>
        <w:tc>
          <w:tcPr>
            <w:tcW w:w="5994" w:type="dxa"/>
            <w:shd w:val="clear" w:color="auto" w:fill="B3B3B3"/>
            <w:vAlign w:val="center"/>
          </w:tcPr>
          <w:p w:rsidR="00CF7C1C" w:rsidRPr="00BD037E" w:rsidRDefault="00CF7C1C" w:rsidP="006C2767">
            <w:pPr>
              <w:keepNext/>
              <w:spacing w:after="0"/>
              <w:jc w:val="center"/>
            </w:pPr>
            <w:r w:rsidRPr="00BD037E">
              <w:t>Indikátor leírása</w:t>
            </w:r>
          </w:p>
        </w:tc>
        <w:tc>
          <w:tcPr>
            <w:tcW w:w="1661" w:type="dxa"/>
            <w:shd w:val="clear" w:color="auto" w:fill="B3B3B3"/>
            <w:vAlign w:val="center"/>
          </w:tcPr>
          <w:p w:rsidR="00CF7C1C" w:rsidRPr="00BD037E" w:rsidRDefault="00CF7C1C" w:rsidP="006C2767">
            <w:pPr>
              <w:keepNext/>
              <w:spacing w:after="0"/>
              <w:jc w:val="center"/>
            </w:pPr>
            <w:r w:rsidRPr="00BD037E">
              <w:t>Program szerinti tervadat</w:t>
            </w:r>
          </w:p>
        </w:tc>
        <w:tc>
          <w:tcPr>
            <w:tcW w:w="1585" w:type="dxa"/>
            <w:tcBorders>
              <w:bottom w:val="single" w:sz="4" w:space="0" w:color="auto"/>
            </w:tcBorders>
            <w:shd w:val="clear" w:color="auto" w:fill="B3B3B3"/>
            <w:vAlign w:val="center"/>
          </w:tcPr>
          <w:p w:rsidR="00CF7C1C" w:rsidRPr="00A825E2" w:rsidRDefault="00CF7C1C" w:rsidP="006C2767">
            <w:pPr>
              <w:keepNext/>
              <w:spacing w:after="0"/>
              <w:jc w:val="center"/>
              <w:rPr>
                <w:rFonts w:eastAsia="Times New Roman" w:cs="Times New Roman"/>
                <w:b/>
                <w:bCs/>
                <w:kern w:val="0"/>
                <w:sz w:val="20"/>
                <w:szCs w:val="20"/>
                <w:lang w:eastAsia="ar-SA" w:bidi="sa-IN"/>
              </w:rPr>
            </w:pPr>
            <w:r w:rsidRPr="00A825E2">
              <w:rPr>
                <w:rFonts w:eastAsia="Times New Roman" w:cs="Times New Roman"/>
                <w:b/>
                <w:kern w:val="0"/>
                <w:sz w:val="20"/>
                <w:szCs w:val="20"/>
                <w:lang w:eastAsia="ar-SA"/>
              </w:rPr>
              <w:t>Indikátorok kumulált értéke</w:t>
            </w:r>
          </w:p>
        </w:tc>
      </w:tr>
      <w:tr w:rsidR="00CF7C1C" w:rsidRPr="000A64E1" w:rsidTr="00CF7C1C">
        <w:trPr>
          <w:cantSplit/>
          <w:jc w:val="center"/>
        </w:trPr>
        <w:tc>
          <w:tcPr>
            <w:tcW w:w="570" w:type="dxa"/>
            <w:vMerge w:val="restart"/>
          </w:tcPr>
          <w:p w:rsidR="00CF7C1C" w:rsidRPr="000A64E1" w:rsidRDefault="00CF7C1C" w:rsidP="002229D7">
            <w:pPr>
              <w:pStyle w:val="Normltblakzp"/>
              <w:rPr>
                <w:lang w:eastAsia="ar-SA" w:bidi="sa-IN"/>
              </w:rPr>
            </w:pPr>
            <w:r w:rsidRPr="000A64E1">
              <w:rPr>
                <w:lang w:eastAsia="ar-SA" w:bidi="sa-IN"/>
              </w:rPr>
              <w:t>O</w:t>
            </w:r>
          </w:p>
        </w:tc>
        <w:tc>
          <w:tcPr>
            <w:tcW w:w="5994" w:type="dxa"/>
          </w:tcPr>
          <w:p w:rsidR="00CF7C1C" w:rsidRPr="000A64E1" w:rsidRDefault="00CF7C1C" w:rsidP="007B5AEF">
            <w:pPr>
              <w:pStyle w:val="Tbla-bal"/>
              <w:rPr>
                <w:lang w:val="en-GB" w:eastAsia="ar-SA" w:bidi="sa-IN"/>
              </w:rPr>
            </w:pPr>
            <w:r w:rsidRPr="000A64E1">
              <w:rPr>
                <w:lang w:eastAsia="ar-SA" w:bidi="sa-IN"/>
              </w:rPr>
              <w:t>Támogatott gazdaságok száma Natura 2000 területen</w:t>
            </w:r>
          </w:p>
          <w:p w:rsidR="00CF7C1C" w:rsidRPr="000A64E1" w:rsidRDefault="00CF7C1C" w:rsidP="005F4D5E">
            <w:pPr>
              <w:pStyle w:val="Normltblabal3pckkel"/>
              <w:rPr>
                <w:lang w:eastAsia="ar-SA"/>
              </w:rPr>
            </w:pPr>
            <w:r w:rsidRPr="000A64E1">
              <w:rPr>
                <w:lang w:eastAsia="ar-SA"/>
              </w:rPr>
              <w:t>Natura 2000 területek</w:t>
            </w:r>
          </w:p>
          <w:p w:rsidR="00CF7C1C" w:rsidRPr="000A64E1" w:rsidRDefault="00CF7C1C" w:rsidP="005F4D5E">
            <w:pPr>
              <w:pStyle w:val="Normltblabal3pckkel"/>
              <w:rPr>
                <w:lang w:eastAsia="ar-SA" w:bidi="sa-IN"/>
              </w:rPr>
            </w:pPr>
            <w:r w:rsidRPr="000A64E1">
              <w:rPr>
                <w:lang w:eastAsia="ar-SA"/>
              </w:rPr>
              <w:t>A 2000</w:t>
            </w:r>
            <w:r w:rsidRPr="000A64E1">
              <w:rPr>
                <w:lang w:eastAsia="ar-SA" w:bidi="sa-IN"/>
              </w:rPr>
              <w:t>/60/EK irányelv (VKI) alá tartozó területek</w:t>
            </w:r>
          </w:p>
        </w:tc>
        <w:tc>
          <w:tcPr>
            <w:tcW w:w="1661" w:type="dxa"/>
          </w:tcPr>
          <w:p w:rsidR="00CF7C1C" w:rsidRPr="000A64E1" w:rsidRDefault="00CF7C1C" w:rsidP="005F4D5E">
            <w:pPr>
              <w:pStyle w:val="Tbla-jobb"/>
            </w:pPr>
            <w:r w:rsidRPr="000A64E1">
              <w:t>10 000 db</w:t>
            </w:r>
          </w:p>
          <w:p w:rsidR="00CF7C1C" w:rsidRPr="000A64E1" w:rsidRDefault="00CF7C1C" w:rsidP="005F4D5E">
            <w:pPr>
              <w:pStyle w:val="Tbla-jobb"/>
            </w:pPr>
            <w:r w:rsidRPr="000A64E1">
              <w:t>10 000 db</w:t>
            </w:r>
          </w:p>
          <w:p w:rsidR="00CF7C1C" w:rsidRPr="000A64E1" w:rsidRDefault="00CF7C1C" w:rsidP="005F4D5E">
            <w:pPr>
              <w:pStyle w:val="Tbla-jobb"/>
            </w:pPr>
            <w:r w:rsidRPr="000A64E1">
              <w:t>Nem alkalmazható</w:t>
            </w:r>
          </w:p>
        </w:tc>
        <w:tc>
          <w:tcPr>
            <w:tcW w:w="1585" w:type="dxa"/>
            <w:tcBorders>
              <w:bottom w:val="single" w:sz="4" w:space="0" w:color="auto"/>
            </w:tcBorders>
            <w:shd w:val="clear" w:color="auto" w:fill="auto"/>
          </w:tcPr>
          <w:p w:rsidR="00CF7C1C" w:rsidRPr="000A64E1" w:rsidRDefault="00CF7C1C" w:rsidP="005F4D5E">
            <w:pPr>
              <w:pStyle w:val="Tbla-jobb"/>
            </w:pPr>
            <w:r w:rsidRPr="000A64E1">
              <w:t>9</w:t>
            </w:r>
            <w:r w:rsidR="00511227" w:rsidRPr="000A64E1">
              <w:t xml:space="preserve"> </w:t>
            </w:r>
            <w:r w:rsidRPr="000A64E1">
              <w:t>275</w:t>
            </w:r>
          </w:p>
          <w:p w:rsidR="00CF7C1C" w:rsidRPr="000A64E1" w:rsidRDefault="00CF7C1C" w:rsidP="005F4D5E">
            <w:pPr>
              <w:pStyle w:val="Tbla-jobb"/>
            </w:pPr>
            <w:r w:rsidRPr="000A64E1">
              <w:t>9</w:t>
            </w:r>
            <w:r w:rsidR="00511227" w:rsidRPr="000A64E1">
              <w:t xml:space="preserve"> </w:t>
            </w:r>
            <w:r w:rsidRPr="000A64E1">
              <w:t>275</w:t>
            </w:r>
          </w:p>
        </w:tc>
      </w:tr>
      <w:tr w:rsidR="00CF7C1C" w:rsidRPr="000A64E1" w:rsidTr="00CF7C1C">
        <w:trPr>
          <w:cantSplit/>
          <w:jc w:val="center"/>
        </w:trPr>
        <w:tc>
          <w:tcPr>
            <w:tcW w:w="570" w:type="dxa"/>
            <w:vMerge/>
          </w:tcPr>
          <w:p w:rsidR="00CF7C1C" w:rsidRPr="000A64E1" w:rsidRDefault="00CF7C1C" w:rsidP="002229D7">
            <w:pPr>
              <w:pStyle w:val="Normltblakzp"/>
              <w:rPr>
                <w:lang w:eastAsia="ar-SA" w:bidi="sa-IN"/>
              </w:rPr>
            </w:pPr>
          </w:p>
        </w:tc>
        <w:tc>
          <w:tcPr>
            <w:tcW w:w="5994" w:type="dxa"/>
          </w:tcPr>
          <w:p w:rsidR="00CF7C1C" w:rsidRPr="000A64E1" w:rsidRDefault="00CF7C1C" w:rsidP="007B5AEF">
            <w:pPr>
              <w:pStyle w:val="Tbla-bal"/>
              <w:rPr>
                <w:lang w:eastAsia="ar-SA" w:bidi="sa-IN"/>
              </w:rPr>
            </w:pPr>
            <w:r w:rsidRPr="000A64E1">
              <w:rPr>
                <w:lang w:eastAsia="ar-SA" w:bidi="sa-IN"/>
              </w:rPr>
              <w:t>Támogatott hasznosított mezőgazdasági terület (HMT) a Natura 2000 területen</w:t>
            </w:r>
          </w:p>
          <w:p w:rsidR="00CF7C1C" w:rsidRPr="000A64E1" w:rsidRDefault="00CF7C1C" w:rsidP="005F4D5E">
            <w:pPr>
              <w:pStyle w:val="Normltblabal3pckkel"/>
              <w:rPr>
                <w:lang w:eastAsia="ar-SA"/>
              </w:rPr>
            </w:pPr>
            <w:r w:rsidRPr="000A64E1">
              <w:rPr>
                <w:lang w:eastAsia="ar-SA"/>
              </w:rPr>
              <w:t>Natura 2000 területek</w:t>
            </w:r>
          </w:p>
          <w:p w:rsidR="00CF7C1C" w:rsidRPr="000A64E1" w:rsidRDefault="00CF7C1C" w:rsidP="005F4D5E">
            <w:pPr>
              <w:pStyle w:val="Normltblabal3pckkel"/>
              <w:rPr>
                <w:lang w:eastAsia="ar-SA" w:bidi="sa-IN"/>
              </w:rPr>
            </w:pPr>
            <w:r w:rsidRPr="000A64E1">
              <w:rPr>
                <w:lang w:eastAsia="ar-SA"/>
              </w:rPr>
              <w:t>A 200</w:t>
            </w:r>
            <w:r w:rsidRPr="000A64E1">
              <w:rPr>
                <w:lang w:eastAsia="ar-SA" w:bidi="sa-IN"/>
              </w:rPr>
              <w:t>0/60/EK irányelv (VKI) alá tartozó területek</w:t>
            </w:r>
          </w:p>
        </w:tc>
        <w:tc>
          <w:tcPr>
            <w:tcW w:w="1661" w:type="dxa"/>
          </w:tcPr>
          <w:p w:rsidR="00CF7C1C" w:rsidRPr="000A64E1" w:rsidRDefault="00CF7C1C" w:rsidP="005F4D5E">
            <w:pPr>
              <w:pStyle w:val="Tbla-jobb"/>
            </w:pPr>
          </w:p>
          <w:p w:rsidR="00CF7C1C" w:rsidRPr="000A64E1" w:rsidRDefault="00CF7C1C" w:rsidP="005F4D5E">
            <w:pPr>
              <w:pStyle w:val="Tbla-jobb"/>
            </w:pPr>
            <w:r w:rsidRPr="000A64E1">
              <w:t>250 000 ha</w:t>
            </w:r>
          </w:p>
          <w:p w:rsidR="00CF7C1C" w:rsidRPr="000A64E1" w:rsidRDefault="00CF7C1C" w:rsidP="005F4D5E">
            <w:pPr>
              <w:pStyle w:val="Tbla-jobb"/>
            </w:pPr>
            <w:r w:rsidRPr="000A64E1">
              <w:t>250 000 ha</w:t>
            </w:r>
          </w:p>
          <w:p w:rsidR="00CF7C1C" w:rsidRPr="000A64E1" w:rsidRDefault="00CF7C1C" w:rsidP="005F4D5E">
            <w:pPr>
              <w:pStyle w:val="Tbla-jobb"/>
            </w:pPr>
            <w:r w:rsidRPr="000A64E1">
              <w:t>Nem alkalmazható</w:t>
            </w:r>
          </w:p>
        </w:tc>
        <w:tc>
          <w:tcPr>
            <w:tcW w:w="1585" w:type="dxa"/>
            <w:shd w:val="clear" w:color="auto" w:fill="auto"/>
          </w:tcPr>
          <w:p w:rsidR="00CF7C1C" w:rsidRPr="000A64E1" w:rsidRDefault="00CF7C1C" w:rsidP="005F4D5E">
            <w:pPr>
              <w:pStyle w:val="Tbla-jobb"/>
            </w:pPr>
          </w:p>
          <w:p w:rsidR="00CF7C1C" w:rsidRPr="000A64E1" w:rsidRDefault="00CF7C1C" w:rsidP="005F4D5E">
            <w:pPr>
              <w:pStyle w:val="Tbla-jobb"/>
            </w:pPr>
            <w:r w:rsidRPr="000A64E1">
              <w:t>296</w:t>
            </w:r>
            <w:r w:rsidR="00511227" w:rsidRPr="000A64E1">
              <w:t xml:space="preserve"> </w:t>
            </w:r>
            <w:r w:rsidRPr="000A64E1">
              <w:t>484,40</w:t>
            </w:r>
          </w:p>
          <w:p w:rsidR="00CF7C1C" w:rsidRPr="000A64E1" w:rsidRDefault="00CF7C1C" w:rsidP="005F4D5E">
            <w:pPr>
              <w:pStyle w:val="Tbla-jobb"/>
            </w:pPr>
            <w:r w:rsidRPr="000A64E1">
              <w:t>296</w:t>
            </w:r>
            <w:r w:rsidR="00511227" w:rsidRPr="000A64E1">
              <w:t xml:space="preserve"> </w:t>
            </w:r>
            <w:r w:rsidRPr="000A64E1">
              <w:t>484,40</w:t>
            </w:r>
          </w:p>
          <w:p w:rsidR="00CF7C1C" w:rsidRPr="000A64E1" w:rsidRDefault="00CF7C1C" w:rsidP="005F4D5E">
            <w:pPr>
              <w:pStyle w:val="Tbla-jobb"/>
            </w:pPr>
            <w:r w:rsidRPr="000A64E1">
              <w:t>-</w:t>
            </w:r>
          </w:p>
        </w:tc>
      </w:tr>
      <w:tr w:rsidR="00CF7C1C" w:rsidRPr="000A64E1" w:rsidTr="00CF7C1C">
        <w:trPr>
          <w:trHeight w:val="510"/>
          <w:jc w:val="center"/>
        </w:trPr>
        <w:tc>
          <w:tcPr>
            <w:tcW w:w="570" w:type="dxa"/>
            <w:vMerge w:val="restart"/>
          </w:tcPr>
          <w:p w:rsidR="00CF7C1C" w:rsidRPr="000A64E1" w:rsidRDefault="00CF7C1C" w:rsidP="002229D7">
            <w:pPr>
              <w:pStyle w:val="Normltblakzp"/>
              <w:rPr>
                <w:lang w:eastAsia="ar-SA" w:bidi="sa-IN"/>
              </w:rPr>
            </w:pPr>
            <w:r w:rsidRPr="000A64E1">
              <w:rPr>
                <w:lang w:eastAsia="ar-SA" w:bidi="sa-IN"/>
              </w:rPr>
              <w:t>R</w:t>
            </w:r>
          </w:p>
        </w:tc>
        <w:tc>
          <w:tcPr>
            <w:tcW w:w="5994" w:type="dxa"/>
          </w:tcPr>
          <w:p w:rsidR="00CF7C1C" w:rsidRPr="000A64E1" w:rsidRDefault="00CF7C1C" w:rsidP="007B5AEF">
            <w:pPr>
              <w:pStyle w:val="Tbla-bal"/>
              <w:rPr>
                <w:lang w:eastAsia="ar-SA" w:bidi="sa-IN"/>
              </w:rPr>
            </w:pPr>
            <w:r w:rsidRPr="000A64E1">
              <w:rPr>
                <w:lang w:eastAsia="ar-SA" w:bidi="sa-IN"/>
              </w:rPr>
              <w:t>Effektív mezőgazdasági használat a Natura 2000 keretében (effektív földhasználat)</w:t>
            </w:r>
          </w:p>
        </w:tc>
        <w:tc>
          <w:tcPr>
            <w:tcW w:w="1661" w:type="dxa"/>
          </w:tcPr>
          <w:p w:rsidR="00CF7C1C" w:rsidRPr="000A64E1" w:rsidRDefault="00CF7C1C" w:rsidP="00CF7C1C">
            <w:pPr>
              <w:spacing w:after="0"/>
              <w:ind w:left="284" w:hanging="284"/>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250 000 ha</w:t>
            </w:r>
          </w:p>
          <w:p w:rsidR="00CF7C1C" w:rsidRPr="000A64E1" w:rsidRDefault="00CF7C1C" w:rsidP="00CF7C1C">
            <w:pPr>
              <w:spacing w:after="0"/>
              <w:ind w:left="284" w:hanging="284"/>
              <w:jc w:val="right"/>
              <w:rPr>
                <w:rFonts w:eastAsia="Times New Roman" w:cs="Times New Roman"/>
                <w:kern w:val="0"/>
                <w:sz w:val="20"/>
                <w:szCs w:val="20"/>
                <w:lang w:eastAsia="ar-SA" w:bidi="sa-IN"/>
              </w:rPr>
            </w:pPr>
          </w:p>
        </w:tc>
        <w:tc>
          <w:tcPr>
            <w:tcW w:w="1585" w:type="dxa"/>
            <w:tcBorders>
              <w:bottom w:val="single" w:sz="4" w:space="0" w:color="auto"/>
            </w:tcBorders>
            <w:shd w:val="clear" w:color="auto" w:fill="auto"/>
          </w:tcPr>
          <w:p w:rsidR="00CF7C1C" w:rsidRPr="000A64E1" w:rsidRDefault="000A64E1" w:rsidP="00CF7C1C">
            <w:pPr>
              <w:pStyle w:val="Normltblzatban"/>
              <w:spacing w:after="0"/>
              <w:jc w:val="right"/>
              <w:rPr>
                <w:sz w:val="20"/>
                <w:szCs w:val="20"/>
                <w:lang w:bidi="sa-IN"/>
              </w:rPr>
            </w:pPr>
            <w:r>
              <w:rPr>
                <w:sz w:val="20"/>
                <w:szCs w:val="20"/>
                <w:lang w:bidi="sa-IN"/>
              </w:rPr>
              <w:t>200 677,77</w:t>
            </w:r>
          </w:p>
          <w:p w:rsidR="00CF7C1C" w:rsidRPr="000A64E1" w:rsidRDefault="00CF7C1C" w:rsidP="00CF7C1C">
            <w:pPr>
              <w:spacing w:after="0"/>
              <w:ind w:left="284" w:hanging="284"/>
              <w:jc w:val="right"/>
              <w:rPr>
                <w:rFonts w:eastAsia="Times New Roman" w:cs="Times New Roman"/>
                <w:kern w:val="0"/>
                <w:sz w:val="20"/>
                <w:szCs w:val="20"/>
                <w:lang w:eastAsia="ar-SA" w:bidi="sa-IN"/>
              </w:rPr>
            </w:pPr>
          </w:p>
        </w:tc>
      </w:tr>
      <w:tr w:rsidR="00CF7C1C" w:rsidRPr="000A64E1" w:rsidTr="00CF7C1C">
        <w:trPr>
          <w:trHeight w:val="1680"/>
          <w:jc w:val="center"/>
        </w:trPr>
        <w:tc>
          <w:tcPr>
            <w:tcW w:w="570" w:type="dxa"/>
            <w:vMerge/>
          </w:tcPr>
          <w:p w:rsidR="00CF7C1C" w:rsidRPr="000A64E1" w:rsidRDefault="00CF7C1C" w:rsidP="002229D7">
            <w:pPr>
              <w:pStyle w:val="Normltblakzp"/>
              <w:rPr>
                <w:lang w:eastAsia="ar-SA" w:bidi="sa-IN"/>
              </w:rPr>
            </w:pPr>
          </w:p>
        </w:tc>
        <w:tc>
          <w:tcPr>
            <w:tcW w:w="5994" w:type="dxa"/>
          </w:tcPr>
          <w:p w:rsidR="00CF7C1C" w:rsidRPr="000A64E1" w:rsidRDefault="00CF7C1C" w:rsidP="007B5AEF">
            <w:pPr>
              <w:pStyle w:val="Tbla-bal"/>
              <w:rPr>
                <w:lang w:val="en-GB" w:eastAsia="ar-SA" w:bidi="sa-IN"/>
              </w:rPr>
            </w:pPr>
            <w:r w:rsidRPr="000A64E1">
              <w:rPr>
                <w:lang w:eastAsia="ar-SA" w:bidi="sa-IN"/>
              </w:rPr>
              <w:t>Intézkedés</w:t>
            </w:r>
          </w:p>
          <w:p w:rsidR="00CF7C1C" w:rsidRPr="000A64E1" w:rsidRDefault="00CF7C1C" w:rsidP="004869BB">
            <w:pPr>
              <w:pStyle w:val="Normltblabal2"/>
              <w:rPr>
                <w:lang w:val="en-GB" w:eastAsia="ar-SA" w:bidi="sa-IN"/>
              </w:rPr>
            </w:pPr>
            <w:r w:rsidRPr="000A64E1">
              <w:rPr>
                <w:lang w:eastAsia="ar-SA" w:bidi="sa-IN"/>
              </w:rPr>
              <w:t>A hozzájárulás típusa</w:t>
            </w:r>
            <w:r w:rsidRPr="000A64E1">
              <w:rPr>
                <w:lang w:val="en-GB" w:eastAsia="ar-SA" w:bidi="sa-IN"/>
              </w:rPr>
              <w:t xml:space="preserve"> </w:t>
            </w:r>
          </w:p>
          <w:p w:rsidR="00CF7C1C" w:rsidRPr="000A64E1" w:rsidRDefault="00CF7C1C" w:rsidP="0033390A">
            <w:pPr>
              <w:pStyle w:val="Normltblabal3pckkel"/>
              <w:numPr>
                <w:ilvl w:val="0"/>
                <w:numId w:val="80"/>
              </w:numPr>
              <w:rPr>
                <w:lang w:eastAsia="ar-SA"/>
              </w:rPr>
            </w:pPr>
            <w:r w:rsidRPr="000A64E1">
              <w:rPr>
                <w:lang w:eastAsia="ar-SA" w:bidi="sa-IN"/>
              </w:rPr>
              <w:t xml:space="preserve">A </w:t>
            </w:r>
            <w:r w:rsidRPr="000A64E1">
              <w:rPr>
                <w:lang w:eastAsia="ar-SA"/>
              </w:rPr>
              <w:t>biodiverzitás növelése</w:t>
            </w:r>
          </w:p>
          <w:p w:rsidR="00CF7C1C" w:rsidRPr="000A64E1" w:rsidRDefault="00CF7C1C" w:rsidP="0033390A">
            <w:pPr>
              <w:pStyle w:val="Normltblabal3pckkel"/>
              <w:numPr>
                <w:ilvl w:val="0"/>
                <w:numId w:val="80"/>
              </w:numPr>
              <w:rPr>
                <w:lang w:eastAsia="ar-SA"/>
              </w:rPr>
            </w:pPr>
            <w:r w:rsidRPr="000A64E1">
              <w:rPr>
                <w:lang w:eastAsia="ar-SA"/>
              </w:rPr>
              <w:t>A vízminőség javítása</w:t>
            </w:r>
          </w:p>
          <w:p w:rsidR="00CF7C1C" w:rsidRPr="000A64E1" w:rsidRDefault="00CF7C1C" w:rsidP="0033390A">
            <w:pPr>
              <w:pStyle w:val="Normltblabal3pckkel"/>
              <w:numPr>
                <w:ilvl w:val="0"/>
                <w:numId w:val="80"/>
              </w:numPr>
              <w:rPr>
                <w:lang w:eastAsia="ar-SA"/>
              </w:rPr>
            </w:pPr>
            <w:r w:rsidRPr="000A64E1">
              <w:rPr>
                <w:lang w:eastAsia="ar-SA"/>
              </w:rPr>
              <w:t>A klímaváltozás mérséklése</w:t>
            </w:r>
          </w:p>
          <w:p w:rsidR="00CF7C1C" w:rsidRPr="000A64E1" w:rsidRDefault="00CF7C1C" w:rsidP="0033390A">
            <w:pPr>
              <w:pStyle w:val="Normltblabal3pckkel"/>
              <w:numPr>
                <w:ilvl w:val="0"/>
                <w:numId w:val="80"/>
              </w:numPr>
              <w:rPr>
                <w:lang w:eastAsia="ar-SA"/>
              </w:rPr>
            </w:pPr>
            <w:r w:rsidRPr="000A64E1">
              <w:rPr>
                <w:lang w:eastAsia="ar-SA"/>
              </w:rPr>
              <w:t xml:space="preserve">A talajminőség javítása </w:t>
            </w:r>
          </w:p>
          <w:p w:rsidR="00CF7C1C" w:rsidRPr="000A64E1" w:rsidRDefault="00CF7C1C" w:rsidP="0033390A">
            <w:pPr>
              <w:pStyle w:val="Normltblabal3pckkel"/>
              <w:numPr>
                <w:ilvl w:val="0"/>
                <w:numId w:val="80"/>
              </w:numPr>
              <w:rPr>
                <w:lang w:eastAsia="ar-SA" w:bidi="sa-IN"/>
              </w:rPr>
            </w:pPr>
            <w:r w:rsidRPr="000A64E1">
              <w:rPr>
                <w:lang w:eastAsia="ar-SA"/>
              </w:rPr>
              <w:t>A marginalizálódás</w:t>
            </w:r>
            <w:r w:rsidRPr="000A64E1">
              <w:rPr>
                <w:lang w:eastAsia="ar-SA" w:bidi="sa-IN"/>
              </w:rPr>
              <w:t xml:space="preserve"> és a föld felhagyásának elkerülése</w:t>
            </w:r>
          </w:p>
        </w:tc>
        <w:tc>
          <w:tcPr>
            <w:tcW w:w="1661" w:type="dxa"/>
          </w:tcPr>
          <w:p w:rsidR="00CF7C1C" w:rsidRPr="000A64E1" w:rsidRDefault="00CF7C1C" w:rsidP="004869BB">
            <w:pPr>
              <w:pStyle w:val="Normltblajobb"/>
              <w:rPr>
                <w:lang w:eastAsia="ar-SA"/>
              </w:rPr>
            </w:pPr>
          </w:p>
          <w:p w:rsidR="00CF7C1C" w:rsidRPr="000A64E1" w:rsidRDefault="00CF7C1C" w:rsidP="004869BB">
            <w:pPr>
              <w:pStyle w:val="Normltblajobb"/>
              <w:rPr>
                <w:lang w:eastAsia="ar-SA"/>
              </w:rPr>
            </w:pPr>
          </w:p>
          <w:p w:rsidR="00CF7C1C" w:rsidRPr="000A64E1" w:rsidRDefault="00CF7C1C" w:rsidP="004869BB">
            <w:pPr>
              <w:pStyle w:val="Normltblajobb"/>
              <w:rPr>
                <w:lang w:eastAsia="ar-SA" w:bidi="sa-IN"/>
              </w:rPr>
            </w:pPr>
            <w:r w:rsidRPr="000A64E1">
              <w:rPr>
                <w:lang w:eastAsia="ar-SA" w:bidi="sa-IN"/>
              </w:rPr>
              <w:t>Kiemelkedő közvetett pozitív hatás</w:t>
            </w:r>
          </w:p>
          <w:p w:rsidR="00CF7C1C" w:rsidRPr="000A64E1" w:rsidRDefault="00CF7C1C" w:rsidP="004869BB">
            <w:pPr>
              <w:pStyle w:val="Normltblajobb"/>
              <w:rPr>
                <w:lang w:eastAsia="ar-SA" w:bidi="sa-IN"/>
              </w:rPr>
            </w:pPr>
            <w:r w:rsidRPr="000A64E1">
              <w:rPr>
                <w:lang w:eastAsia="ar-SA" w:bidi="sa-IN"/>
              </w:rPr>
              <w:t>Kismértékben</w:t>
            </w:r>
          </w:p>
          <w:p w:rsidR="00CF7C1C" w:rsidRPr="000A64E1" w:rsidRDefault="00CF7C1C" w:rsidP="004869BB">
            <w:pPr>
              <w:pStyle w:val="Normltblajobb"/>
              <w:rPr>
                <w:lang w:eastAsia="ar-SA" w:bidi="sa-IN"/>
              </w:rPr>
            </w:pPr>
            <w:r w:rsidRPr="000A64E1">
              <w:rPr>
                <w:lang w:eastAsia="ar-SA" w:bidi="sa-IN"/>
              </w:rPr>
              <w:t>Kismértékben</w:t>
            </w:r>
          </w:p>
          <w:p w:rsidR="00CF7C1C" w:rsidRPr="000A64E1" w:rsidRDefault="00CF7C1C" w:rsidP="004869BB">
            <w:pPr>
              <w:pStyle w:val="Normltblajobb"/>
              <w:rPr>
                <w:lang w:eastAsia="ar-SA" w:bidi="sa-IN"/>
              </w:rPr>
            </w:pPr>
            <w:r w:rsidRPr="000A64E1">
              <w:rPr>
                <w:lang w:eastAsia="ar-SA" w:bidi="sa-IN"/>
              </w:rPr>
              <w:t>Közvetett hatás</w:t>
            </w:r>
          </w:p>
        </w:tc>
        <w:tc>
          <w:tcPr>
            <w:tcW w:w="1585" w:type="dxa"/>
            <w:tcBorders>
              <w:bottom w:val="single" w:sz="4" w:space="0" w:color="auto"/>
            </w:tcBorders>
            <w:shd w:val="clear" w:color="auto" w:fill="auto"/>
          </w:tcPr>
          <w:p w:rsidR="00CF7C1C" w:rsidRPr="000A64E1" w:rsidRDefault="00CF7C1C" w:rsidP="004869BB">
            <w:pPr>
              <w:pStyle w:val="Normltblajobb"/>
              <w:rPr>
                <w:lang w:eastAsia="ar-SA" w:bidi="sa-IN"/>
              </w:rPr>
            </w:pPr>
          </w:p>
        </w:tc>
      </w:tr>
      <w:tr w:rsidR="00CF7C1C" w:rsidRPr="000A64E1" w:rsidTr="00CF7C1C">
        <w:trPr>
          <w:cantSplit/>
          <w:jc w:val="center"/>
        </w:trPr>
        <w:tc>
          <w:tcPr>
            <w:tcW w:w="570" w:type="dxa"/>
            <w:vMerge w:val="restart"/>
          </w:tcPr>
          <w:p w:rsidR="00CF7C1C" w:rsidRPr="000A64E1" w:rsidRDefault="00CF7C1C" w:rsidP="002229D7">
            <w:pPr>
              <w:pStyle w:val="Normltblakzp"/>
              <w:rPr>
                <w:lang w:eastAsia="ar-SA" w:bidi="sa-IN"/>
              </w:rPr>
            </w:pPr>
            <w:r w:rsidRPr="000A64E1">
              <w:rPr>
                <w:lang w:eastAsia="ar-SA" w:bidi="sa-IN"/>
              </w:rPr>
              <w:t>I</w:t>
            </w:r>
          </w:p>
        </w:tc>
        <w:tc>
          <w:tcPr>
            <w:tcW w:w="5994" w:type="dxa"/>
          </w:tcPr>
          <w:p w:rsidR="00CF7C1C" w:rsidRPr="000A64E1" w:rsidRDefault="00CF7C1C" w:rsidP="007B5AEF">
            <w:pPr>
              <w:pStyle w:val="Tbla-bal"/>
              <w:rPr>
                <w:lang w:eastAsia="ar-SA" w:bidi="sa-IN"/>
              </w:rPr>
            </w:pPr>
            <w:r w:rsidRPr="000A64E1">
              <w:rPr>
                <w:lang w:eastAsia="ar-SA" w:bidi="sa-IN"/>
              </w:rPr>
              <w:t>A biodiverzitás csökkenésének visszafordítása (mezőgazdasági területen fészkelő vadon élő madarak állományindexe: 2000=100%)</w:t>
            </w:r>
          </w:p>
        </w:tc>
        <w:tc>
          <w:tcPr>
            <w:tcW w:w="1661" w:type="dxa"/>
          </w:tcPr>
          <w:p w:rsidR="00CF7C1C" w:rsidRPr="000A64E1" w:rsidRDefault="00CF7C1C" w:rsidP="00CF7C1C">
            <w:pPr>
              <w:spacing w:after="0"/>
              <w:ind w:left="284" w:hanging="284"/>
              <w:jc w:val="right"/>
              <w:rPr>
                <w:rFonts w:eastAsia="Times New Roman" w:cs="Times New Roman"/>
                <w:kern w:val="0"/>
                <w:sz w:val="20"/>
                <w:szCs w:val="20"/>
                <w:lang w:val="en-GB" w:eastAsia="ar-SA"/>
              </w:rPr>
            </w:pPr>
            <w:r w:rsidRPr="000A64E1">
              <w:rPr>
                <w:rFonts w:eastAsia="Times New Roman" w:cs="Times New Roman"/>
                <w:kern w:val="0"/>
                <w:sz w:val="20"/>
                <w:szCs w:val="20"/>
                <w:lang w:val="en-GB" w:eastAsia="ar-SA"/>
              </w:rPr>
              <w:t>112%</w:t>
            </w:r>
          </w:p>
        </w:tc>
        <w:tc>
          <w:tcPr>
            <w:tcW w:w="1585" w:type="dxa"/>
            <w:shd w:val="clear" w:color="auto" w:fill="auto"/>
          </w:tcPr>
          <w:p w:rsidR="00CF7C1C" w:rsidRPr="000A64E1" w:rsidRDefault="000A64E1" w:rsidP="00CF7C1C">
            <w:pPr>
              <w:spacing w:after="0"/>
              <w:ind w:left="284" w:hanging="284"/>
              <w:jc w:val="right"/>
              <w:rPr>
                <w:rFonts w:eastAsia="Times New Roman" w:cs="Times New Roman"/>
                <w:kern w:val="0"/>
                <w:sz w:val="20"/>
                <w:szCs w:val="20"/>
                <w:lang w:val="en-GB" w:eastAsia="ar-SA"/>
              </w:rPr>
            </w:pPr>
            <w:r>
              <w:rPr>
                <w:rFonts w:eastAsia="Times New Roman" w:cs="Times New Roman"/>
                <w:kern w:val="0"/>
                <w:sz w:val="20"/>
                <w:szCs w:val="20"/>
                <w:lang w:val="en-GB" w:eastAsia="ar-SA"/>
              </w:rPr>
              <w:t>-</w:t>
            </w:r>
          </w:p>
        </w:tc>
      </w:tr>
      <w:tr w:rsidR="00CF7C1C" w:rsidRPr="000A64E1" w:rsidTr="00CF7C1C">
        <w:trPr>
          <w:cantSplit/>
          <w:jc w:val="center"/>
        </w:trPr>
        <w:tc>
          <w:tcPr>
            <w:tcW w:w="570" w:type="dxa"/>
            <w:vMerge/>
          </w:tcPr>
          <w:p w:rsidR="00CF7C1C" w:rsidRPr="000A64E1" w:rsidRDefault="00CF7C1C" w:rsidP="00CF7C1C">
            <w:pPr>
              <w:spacing w:after="0"/>
              <w:ind w:left="284" w:hanging="284"/>
              <w:jc w:val="left"/>
              <w:rPr>
                <w:rFonts w:eastAsia="Times New Roman" w:cs="Times New Roman"/>
                <w:kern w:val="0"/>
                <w:sz w:val="20"/>
                <w:szCs w:val="20"/>
                <w:lang w:eastAsia="ar-SA" w:bidi="sa-IN"/>
              </w:rPr>
            </w:pPr>
          </w:p>
        </w:tc>
        <w:tc>
          <w:tcPr>
            <w:tcW w:w="5994" w:type="dxa"/>
          </w:tcPr>
          <w:p w:rsidR="00CF7C1C" w:rsidRPr="000A64E1" w:rsidRDefault="00CF7C1C" w:rsidP="007B5AEF">
            <w:pPr>
              <w:pStyle w:val="Tbla-bal"/>
              <w:rPr>
                <w:lang w:eastAsia="ar-SA" w:bidi="sa-IN"/>
              </w:rPr>
            </w:pPr>
            <w:r w:rsidRPr="000A64E1">
              <w:rPr>
                <w:lang w:eastAsia="ar-SA" w:bidi="sa-IN"/>
              </w:rPr>
              <w:t>Magas természeti értékű területek megőrzése</w:t>
            </w:r>
          </w:p>
        </w:tc>
        <w:tc>
          <w:tcPr>
            <w:tcW w:w="1661" w:type="dxa"/>
          </w:tcPr>
          <w:p w:rsidR="00CF7C1C" w:rsidRPr="000A64E1" w:rsidRDefault="00CF7C1C" w:rsidP="00CF7C1C">
            <w:pPr>
              <w:spacing w:after="0"/>
              <w:ind w:left="284" w:hanging="284"/>
              <w:jc w:val="right"/>
              <w:rPr>
                <w:rFonts w:eastAsia="Times New Roman" w:cs="Times New Roman"/>
                <w:kern w:val="0"/>
                <w:sz w:val="20"/>
                <w:szCs w:val="20"/>
                <w:lang w:val="en-GB" w:eastAsia="ar-SA"/>
              </w:rPr>
            </w:pPr>
            <w:r w:rsidRPr="000A64E1">
              <w:rPr>
                <w:rFonts w:eastAsia="Times New Roman" w:cs="Times New Roman"/>
                <w:kern w:val="0"/>
                <w:sz w:val="20"/>
                <w:szCs w:val="20"/>
                <w:lang w:val="en-GB" w:eastAsia="ar-SA"/>
              </w:rPr>
              <w:t>250 000 ha</w:t>
            </w:r>
          </w:p>
        </w:tc>
        <w:tc>
          <w:tcPr>
            <w:tcW w:w="1585" w:type="dxa"/>
            <w:tcBorders>
              <w:bottom w:val="single" w:sz="4" w:space="0" w:color="auto"/>
            </w:tcBorders>
            <w:shd w:val="clear" w:color="auto" w:fill="auto"/>
          </w:tcPr>
          <w:p w:rsidR="00CF7C1C" w:rsidRPr="000A64E1" w:rsidRDefault="00CF7C1C" w:rsidP="00CF7C1C">
            <w:pPr>
              <w:spacing w:after="0"/>
              <w:ind w:left="284" w:hanging="284"/>
              <w:jc w:val="right"/>
              <w:rPr>
                <w:rFonts w:eastAsia="Times New Roman" w:cs="Times New Roman"/>
                <w:kern w:val="0"/>
                <w:sz w:val="20"/>
                <w:szCs w:val="20"/>
                <w:lang w:val="en-GB" w:eastAsia="ar-SA"/>
              </w:rPr>
            </w:pPr>
            <w:r w:rsidRPr="000A64E1">
              <w:rPr>
                <w:rFonts w:eastAsia="Times New Roman" w:cs="Times New Roman"/>
                <w:kern w:val="0"/>
                <w:sz w:val="20"/>
                <w:szCs w:val="20"/>
                <w:lang w:val="en-GB" w:eastAsia="ar-SA"/>
              </w:rPr>
              <w:t>-</w:t>
            </w:r>
          </w:p>
        </w:tc>
      </w:tr>
      <w:tr w:rsidR="00CF7C1C" w:rsidRPr="000A64E1" w:rsidTr="00CF7C1C">
        <w:trPr>
          <w:cantSplit/>
          <w:jc w:val="center"/>
        </w:trPr>
        <w:tc>
          <w:tcPr>
            <w:tcW w:w="570" w:type="dxa"/>
            <w:vMerge/>
          </w:tcPr>
          <w:p w:rsidR="00CF7C1C" w:rsidRPr="000A64E1" w:rsidRDefault="00CF7C1C" w:rsidP="00CF7C1C">
            <w:pPr>
              <w:spacing w:after="0"/>
              <w:ind w:left="284" w:hanging="284"/>
              <w:jc w:val="left"/>
              <w:rPr>
                <w:rFonts w:eastAsia="Times New Roman" w:cs="Times New Roman"/>
                <w:kern w:val="0"/>
                <w:sz w:val="20"/>
                <w:szCs w:val="20"/>
                <w:lang w:eastAsia="ar-SA" w:bidi="sa-IN"/>
              </w:rPr>
            </w:pPr>
          </w:p>
        </w:tc>
        <w:tc>
          <w:tcPr>
            <w:tcW w:w="5994" w:type="dxa"/>
          </w:tcPr>
          <w:p w:rsidR="00CF7C1C" w:rsidRPr="000A64E1" w:rsidRDefault="00CF7C1C" w:rsidP="007B5AEF">
            <w:pPr>
              <w:pStyle w:val="Tbla-bal"/>
              <w:rPr>
                <w:lang w:eastAsia="ar-SA" w:bidi="sa-IN"/>
              </w:rPr>
            </w:pPr>
            <w:r w:rsidRPr="000A64E1">
              <w:rPr>
                <w:lang w:eastAsia="ar-SA" w:bidi="sa-IN"/>
              </w:rPr>
              <w:t>Bruttó tápanyagmérleg (nitrogén többlet) változása</w:t>
            </w:r>
          </w:p>
        </w:tc>
        <w:tc>
          <w:tcPr>
            <w:tcW w:w="1661" w:type="dxa"/>
          </w:tcPr>
          <w:p w:rsidR="00CF7C1C" w:rsidRPr="000A64E1" w:rsidRDefault="00CF7C1C" w:rsidP="00CF7C1C">
            <w:pPr>
              <w:spacing w:after="0"/>
              <w:ind w:left="284" w:hanging="284"/>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-1,25 kT</w:t>
            </w:r>
          </w:p>
        </w:tc>
        <w:tc>
          <w:tcPr>
            <w:tcW w:w="1585" w:type="dxa"/>
            <w:shd w:val="clear" w:color="auto" w:fill="auto"/>
          </w:tcPr>
          <w:p w:rsidR="00CF7C1C" w:rsidRPr="000A64E1" w:rsidRDefault="00CF7C1C" w:rsidP="00CF7C1C">
            <w:pPr>
              <w:spacing w:after="0"/>
              <w:ind w:left="284" w:hanging="284"/>
              <w:jc w:val="right"/>
              <w:rPr>
                <w:rFonts w:eastAsia="Times New Roman" w:cs="Times New Roman"/>
                <w:kern w:val="0"/>
                <w:sz w:val="20"/>
                <w:szCs w:val="20"/>
                <w:lang w:eastAsia="ar-SA" w:bidi="sa-IN"/>
              </w:rPr>
            </w:pPr>
            <w:r w:rsidRPr="000A64E1">
              <w:rPr>
                <w:rFonts w:eastAsia="Times New Roman" w:cs="Times New Roman"/>
                <w:kern w:val="0"/>
                <w:sz w:val="20"/>
                <w:szCs w:val="20"/>
                <w:lang w:eastAsia="ar-SA" w:bidi="sa-IN"/>
              </w:rPr>
              <w:t>-</w:t>
            </w:r>
          </w:p>
        </w:tc>
      </w:tr>
    </w:tbl>
    <w:p w:rsidR="00CF7C1C" w:rsidRDefault="00CF7C1C" w:rsidP="00CF7C1C">
      <w:pPr>
        <w:pStyle w:val="Normlforrs"/>
      </w:pPr>
      <w:r w:rsidRPr="000A64E1">
        <w:t>Forrás: MVH</w:t>
      </w:r>
    </w:p>
    <w:p w:rsidR="00CF7C1C" w:rsidRDefault="005223D2" w:rsidP="004869BB">
      <w:r>
        <w:t>Az intézkedés a programban meghatározott tervadatokat megfelelően teljesítette</w:t>
      </w:r>
      <w:r w:rsidR="000A64E1">
        <w:t>,</w:t>
      </w:r>
      <w:r>
        <w:t xml:space="preserve"> a programozási időszak hátralevő részében további előrehaladás várható.</w:t>
      </w:r>
    </w:p>
    <w:p w:rsidR="00CF7C1C" w:rsidRPr="00F35797" w:rsidRDefault="00CF7C1C" w:rsidP="00715E86">
      <w:pPr>
        <w:pStyle w:val="Cmsor4"/>
      </w:pPr>
      <w:r w:rsidRPr="00F35797">
        <w:rPr>
          <w:lang w:bidi="sa-IN"/>
        </w:rPr>
        <w:t xml:space="preserve">Natura 2000 gyepterületeken történő gazdálkodáshoz nyújtandó kompenzációs támogatás </w:t>
      </w:r>
      <w:bookmarkEnd w:id="274"/>
      <w:r w:rsidRPr="00F35797">
        <w:t>támogatási jogcím rövid bemutatása</w:t>
      </w:r>
    </w:p>
    <w:p w:rsidR="00CF7C1C" w:rsidRPr="002B4681" w:rsidRDefault="00CF7C1C" w:rsidP="00CF7C1C">
      <w:r w:rsidRPr="006B17B8">
        <w:rPr>
          <w:szCs w:val="22"/>
        </w:rPr>
        <w:t xml:space="preserve">A Natura 2000 gyepterületeken történő gazdálkodáshoz nyújtandó kompenzációs támogatás részletes </w:t>
      </w:r>
      <w:r w:rsidRPr="002B4681">
        <w:rPr>
          <w:szCs w:val="22"/>
        </w:rPr>
        <w:t xml:space="preserve">szabályairól szóló 128/2007. (X.31.) FVM rendelet 2012-ben nem módosult. </w:t>
      </w:r>
      <w:r w:rsidRPr="002B4681">
        <w:t>Az intézkedésre 2008 óta minden évben – az egységes kérelem részeként – lehet támogatási kérelmet benyújtani, amely a jogcím esetében egyben kifizetési kérelemnek tekintendő. 2011. évben benyújtott kérelmekből korábbi évben ki nem fizetett kérelmek lezárása megtörtént, illetve a 2012. évben benyújtott kérelmek kifizetése is elindult 2012 decemberétől.</w:t>
      </w:r>
      <w:r w:rsidRPr="002B4681">
        <w:rPr>
          <w:bCs/>
          <w:szCs w:val="22"/>
        </w:rPr>
        <w:t xml:space="preserve"> </w:t>
      </w:r>
    </w:p>
    <w:p w:rsidR="00721CF2" w:rsidRDefault="00CF7C1C" w:rsidP="00721CF2">
      <w:r w:rsidRPr="00935E35">
        <w:rPr>
          <w:bCs/>
          <w:szCs w:val="22"/>
        </w:rPr>
        <w:t>A benyújtásra nyitva álló időszak</w:t>
      </w:r>
      <w:r w:rsidR="00331628">
        <w:rPr>
          <w:bCs/>
          <w:szCs w:val="22"/>
        </w:rPr>
        <w:t>:</w:t>
      </w:r>
      <w:r w:rsidRPr="00935E35">
        <w:rPr>
          <w:bCs/>
          <w:szCs w:val="22"/>
        </w:rPr>
        <w:t xml:space="preserve"> minden évben május 15-ig.</w:t>
      </w:r>
      <w:r w:rsidR="00721CF2" w:rsidRPr="00721CF2">
        <w:t xml:space="preserve"> </w:t>
      </w:r>
    </w:p>
    <w:p w:rsidR="00CF7C1C" w:rsidRPr="00935E35" w:rsidRDefault="00721CF2" w:rsidP="00CF7C1C">
      <w:pPr>
        <w:rPr>
          <w:bCs/>
          <w:szCs w:val="22"/>
        </w:rPr>
      </w:pPr>
      <w:r w:rsidRPr="00313ED5">
        <w:t>A Natura 2000 területek támogatásához kapcsolódó helyszíni ellenőrzéseket az MVH-val együtt delegálási szerződések alapján a Nemzeti Park Igazgatóságok látják el.</w:t>
      </w:r>
    </w:p>
    <w:p w:rsidR="00CF7C1C" w:rsidRPr="00F92037" w:rsidRDefault="007E5FDF" w:rsidP="00F92037">
      <w:pPr>
        <w:pStyle w:val="bra-cmetbla"/>
      </w:pPr>
      <w:fldSimple w:instr=" SEQ táblázat \* ARABIC ">
        <w:r w:rsidR="00E5031F">
          <w:rPr>
            <w:noProof/>
          </w:rPr>
          <w:t>57</w:t>
        </w:r>
      </w:fldSimple>
      <w:r w:rsidR="00673DDE">
        <w:t xml:space="preserve">. táblázat: </w:t>
      </w:r>
      <w:r w:rsidR="00CF7C1C" w:rsidRPr="00F92037">
        <w:t>Natura 2000 gyepterületeken történő gazdálkodáshoz nyújtandó kompenzációs támogatási jogcím 2012. évi eredményei</w:t>
      </w:r>
    </w:p>
    <w:p w:rsidR="00CF7C1C" w:rsidRPr="00F92037" w:rsidRDefault="00B452BF" w:rsidP="00F92037">
      <w:pPr>
        <w:pStyle w:val="bra-cmetbla"/>
      </w:pPr>
      <w:r w:rsidRPr="00F92037">
        <w:rPr>
          <w:noProof/>
        </w:rPr>
        <w:drawing>
          <wp:inline distT="0" distB="0" distL="0" distR="0" wp14:anchorId="211E50BD" wp14:editId="230C37C8">
            <wp:extent cx="5156835" cy="1882140"/>
            <wp:effectExtent l="0" t="0" r="5715" b="381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CF7C1C" w:rsidRPr="00313ED5" w:rsidRDefault="00CF7C1C" w:rsidP="00CF7C1C">
      <w:bookmarkStart w:id="276" w:name="_Toc297033303"/>
      <w:bookmarkStart w:id="277" w:name="_Toc297033917"/>
      <w:bookmarkStart w:id="278" w:name="_Toc297548955"/>
      <w:bookmarkStart w:id="279" w:name="_Toc297549746"/>
      <w:bookmarkEnd w:id="276"/>
      <w:bookmarkEnd w:id="277"/>
      <w:bookmarkEnd w:id="278"/>
      <w:bookmarkEnd w:id="279"/>
      <w:r w:rsidRPr="00313ED5">
        <w:t xml:space="preserve">A </w:t>
      </w:r>
      <w:r w:rsidR="008B2B7C" w:rsidRPr="006B17B8">
        <w:rPr>
          <w:szCs w:val="22"/>
        </w:rPr>
        <w:t xml:space="preserve">Natura 2000 gyepterületeken történő gazdálkodáshoz nyújtandó kompenzációs támogatás </w:t>
      </w:r>
      <w:r w:rsidRPr="00313ED5">
        <w:t>jogcímre 2012-ben összesen 7</w:t>
      </w:r>
      <w:r w:rsidR="00721CF2">
        <w:t> </w:t>
      </w:r>
      <w:r w:rsidRPr="00313ED5">
        <w:t xml:space="preserve">545 db. támogatási kérelem érkezett. Kifizetés 7,85 M euró (2,3 Mrd Ft) értékben történt 2012-ben. </w:t>
      </w:r>
    </w:p>
    <w:p w:rsidR="00CF7C1C" w:rsidRPr="00313ED5" w:rsidRDefault="00CF7C1C" w:rsidP="00CF7C1C">
      <w:r w:rsidRPr="00313ED5">
        <w:t xml:space="preserve">A beérkezett támogatási kérelmek regionális megoszlását tekintve Hajdú-Bihar (19,9%) megyében volt messze a legnagyobb érdeklődés a jogcím iránt és általában is inkább az alföldi megyékből érkezett nagyszámú kérelem, míg a dunántúli megyékben kisebb volt az érdeklődés. </w:t>
      </w:r>
    </w:p>
    <w:p w:rsidR="00CF7C1C" w:rsidRPr="00896E03" w:rsidRDefault="00CF7C1C" w:rsidP="00DB48A3">
      <w:pPr>
        <w:pStyle w:val="Cmsor3"/>
      </w:pPr>
      <w:bookmarkStart w:id="280" w:name="_Toc328638716"/>
      <w:bookmarkStart w:id="281" w:name="_Toc360176806"/>
      <w:r w:rsidRPr="00896E03">
        <w:t>Az agrár-környezetgazdálkodási kifizetések intézkedés (214) rövid bemutatása</w:t>
      </w:r>
      <w:bookmarkEnd w:id="280"/>
      <w:bookmarkEnd w:id="281"/>
    </w:p>
    <w:p w:rsidR="00CF7C1C" w:rsidRPr="002B4681" w:rsidRDefault="00CF7C1C" w:rsidP="00CF7C1C">
      <w:pPr>
        <w:suppressAutoHyphens w:val="0"/>
        <w:rPr>
          <w:rFonts w:eastAsia="Times New Roman"/>
          <w:szCs w:val="22"/>
        </w:rPr>
      </w:pPr>
      <w:r w:rsidRPr="002B4681">
        <w:rPr>
          <w:rFonts w:eastAsia="Times New Roman"/>
          <w:szCs w:val="22"/>
        </w:rPr>
        <w:t xml:space="preserve">Az intézkedés 3 alintézkedést tartalmaz: </w:t>
      </w:r>
    </w:p>
    <w:p w:rsidR="00CF7C1C" w:rsidRPr="002B4681" w:rsidRDefault="00721CF2" w:rsidP="00495C8B">
      <w:pPr>
        <w:pStyle w:val="Listaszerbekezds"/>
        <w:numPr>
          <w:ilvl w:val="0"/>
          <w:numId w:val="55"/>
        </w:numPr>
        <w:spacing w:before="120"/>
        <w:rPr>
          <w:rFonts w:eastAsia="Times New Roman"/>
          <w:bCs/>
          <w:szCs w:val="22"/>
        </w:rPr>
      </w:pPr>
      <w:r>
        <w:rPr>
          <w:rFonts w:eastAsia="Times New Roman"/>
          <w:bCs/>
          <w:szCs w:val="22"/>
        </w:rPr>
        <w:t>A</w:t>
      </w:r>
      <w:r w:rsidR="00CF7C1C" w:rsidRPr="002B4681">
        <w:rPr>
          <w:rFonts w:eastAsia="Times New Roman"/>
          <w:bCs/>
          <w:szCs w:val="22"/>
        </w:rPr>
        <w:t>grár-környezetgazdálkodási (AKG) támogatás (214.A.)</w:t>
      </w:r>
    </w:p>
    <w:p w:rsidR="00CF7C1C" w:rsidRPr="002B4681" w:rsidRDefault="00CF7C1C" w:rsidP="00495C8B">
      <w:pPr>
        <w:pStyle w:val="Listaszerbekezds"/>
        <w:numPr>
          <w:ilvl w:val="0"/>
          <w:numId w:val="55"/>
        </w:numPr>
        <w:spacing w:before="120"/>
        <w:rPr>
          <w:rFonts w:eastAsia="Times New Roman"/>
          <w:bCs/>
          <w:szCs w:val="22"/>
        </w:rPr>
      </w:pPr>
      <w:r w:rsidRPr="002B4681">
        <w:rPr>
          <w:rFonts w:eastAsia="Times New Roman"/>
          <w:bCs/>
          <w:szCs w:val="22"/>
        </w:rPr>
        <w:t>Őshonos és veszélyeztetett mezőgazdasági állatfajták genetikai állományának tenyésztésben történő megőrzése (214.B.)</w:t>
      </w:r>
    </w:p>
    <w:p w:rsidR="00CF7C1C" w:rsidRPr="002B4681" w:rsidRDefault="00CF7C1C" w:rsidP="00495C8B">
      <w:pPr>
        <w:pStyle w:val="Listaszerbekezds"/>
        <w:numPr>
          <w:ilvl w:val="0"/>
          <w:numId w:val="55"/>
        </w:numPr>
        <w:spacing w:before="120"/>
        <w:rPr>
          <w:rFonts w:eastAsia="Times New Roman"/>
          <w:bCs/>
          <w:szCs w:val="22"/>
        </w:rPr>
      </w:pPr>
      <w:r w:rsidRPr="002B4681">
        <w:rPr>
          <w:rFonts w:eastAsia="Times New Roman"/>
          <w:bCs/>
          <w:szCs w:val="22"/>
        </w:rPr>
        <w:t>Genetikai erőforrások megőrzése (214.C.)</w:t>
      </w:r>
    </w:p>
    <w:p w:rsidR="00CF7C1C" w:rsidRPr="00C01615" w:rsidRDefault="00CF7C1C" w:rsidP="00495C8B">
      <w:pPr>
        <w:pStyle w:val="Listaszerbekezds"/>
        <w:numPr>
          <w:ilvl w:val="1"/>
          <w:numId w:val="55"/>
        </w:numPr>
        <w:spacing w:before="120"/>
        <w:rPr>
          <w:rFonts w:eastAsia="Times New Roman"/>
          <w:bCs/>
          <w:szCs w:val="22"/>
        </w:rPr>
      </w:pPr>
      <w:r w:rsidRPr="002B4681">
        <w:rPr>
          <w:rFonts w:eastAsia="Times New Roman"/>
          <w:bCs/>
          <w:szCs w:val="22"/>
        </w:rPr>
        <w:t xml:space="preserve"> </w:t>
      </w:r>
      <w:r w:rsidRPr="00C01615">
        <w:rPr>
          <w:rFonts w:eastAsia="Times New Roman"/>
          <w:bCs/>
          <w:szCs w:val="22"/>
        </w:rPr>
        <w:t xml:space="preserve">a növényi genetikai erőforrások és mikroorganizmusok ex situ megőrzéséhez nyújtandó támogatása, </w:t>
      </w:r>
    </w:p>
    <w:p w:rsidR="00CF7C1C" w:rsidRPr="00C01615" w:rsidRDefault="00CF7C1C" w:rsidP="00495C8B">
      <w:pPr>
        <w:pStyle w:val="Listaszerbekezds"/>
        <w:numPr>
          <w:ilvl w:val="1"/>
          <w:numId w:val="55"/>
        </w:numPr>
        <w:spacing w:before="120"/>
        <w:rPr>
          <w:rFonts w:eastAsia="Times New Roman"/>
          <w:bCs/>
          <w:szCs w:val="22"/>
        </w:rPr>
      </w:pPr>
      <w:r w:rsidRPr="00C01615">
        <w:rPr>
          <w:rFonts w:eastAsia="Times New Roman"/>
          <w:bCs/>
          <w:szCs w:val="22"/>
        </w:rPr>
        <w:t xml:space="preserve"> a védett őshonos és veszélyeztetett mezőgazdasági állatfajták megőrzéséhez.</w:t>
      </w:r>
    </w:p>
    <w:p w:rsidR="00CF7C1C" w:rsidRPr="002B4681" w:rsidRDefault="00CF7C1C" w:rsidP="00CF7C1C">
      <w:pPr>
        <w:suppressAutoHyphens w:val="0"/>
        <w:rPr>
          <w:rFonts w:eastAsia="Times New Roman"/>
          <w:szCs w:val="22"/>
        </w:rPr>
      </w:pPr>
      <w:r w:rsidRPr="002B4681">
        <w:rPr>
          <w:rFonts w:eastAsia="Times New Roman"/>
          <w:bCs/>
          <w:szCs w:val="22"/>
        </w:rPr>
        <w:t>Ezek közül</w:t>
      </w:r>
      <w:r w:rsidRPr="002B4681">
        <w:rPr>
          <w:rFonts w:eastAsia="Times New Roman"/>
          <w:szCs w:val="22"/>
        </w:rPr>
        <w:t xml:space="preserve"> 2012-ben a </w:t>
      </w:r>
      <w:r w:rsidRPr="002B4681">
        <w:rPr>
          <w:rFonts w:eastAsia="Times New Roman"/>
          <w:bCs/>
          <w:szCs w:val="22"/>
        </w:rPr>
        <w:t xml:space="preserve">Genetikai erőforrások megőrzése intézkedés keretében a védett őshonos és veszélyeztetett mezőgazdasági állatfajták megőrzéséhez nyújtandó támogatás </w:t>
      </w:r>
      <w:r w:rsidRPr="002B4681">
        <w:rPr>
          <w:rFonts w:eastAsia="Times New Roman"/>
          <w:szCs w:val="22"/>
        </w:rPr>
        <w:t xml:space="preserve">jogcím meghirdetése történt meg (214.C.). Újbóli </w:t>
      </w:r>
      <w:r w:rsidRPr="002B4681">
        <w:rPr>
          <w:rFonts w:eastAsia="Times New Roman"/>
          <w:bCs/>
          <w:szCs w:val="22"/>
        </w:rPr>
        <w:t>megnyitása volt</w:t>
      </w:r>
      <w:r w:rsidRPr="002B4681">
        <w:rPr>
          <w:rFonts w:eastAsia="Times New Roman"/>
          <w:szCs w:val="22"/>
        </w:rPr>
        <w:t xml:space="preserve"> az Őshonos és veszélyeztetett mezőgazdasági állatfajták genetikai állományának tenyésztésben történő megőrzése jogcímnek (214.B.), valamint negyedik gazdálkodási évébe lépett a 2009-ben megnyitott területalapú támogatási rendszerben működő agrár-környezetgazdálkodási (AKG) támogatás (214.A.).</w:t>
      </w:r>
    </w:p>
    <w:p w:rsidR="00CF7C1C" w:rsidRPr="00F92037" w:rsidRDefault="00CF7C1C" w:rsidP="00F92037">
      <w:pPr>
        <w:pStyle w:val="bra-cmetbla"/>
      </w:pPr>
      <w:r w:rsidRPr="00F92037">
        <w:t>Az agrár-környezetgazdálkodási kifizetések intézkedés (214) indikátorainak megvalósulása</w:t>
      </w:r>
    </w:p>
    <w:p w:rsidR="00CF7C1C" w:rsidRPr="00F92037" w:rsidRDefault="007E5FDF" w:rsidP="00F92037">
      <w:pPr>
        <w:pStyle w:val="bra-cmetbla"/>
      </w:pPr>
      <w:fldSimple w:instr=" SEQ táblázat \* ARABIC ">
        <w:r w:rsidR="00E5031F">
          <w:rPr>
            <w:noProof/>
          </w:rPr>
          <w:t>58</w:t>
        </w:r>
      </w:fldSimple>
      <w:r w:rsidR="00673DDE">
        <w:t xml:space="preserve">. táblázat: </w:t>
      </w:r>
      <w:r w:rsidR="00CF7C1C" w:rsidRPr="00F92037">
        <w:t>214A</w:t>
      </w:r>
    </w:p>
    <w:tbl>
      <w:tblPr>
        <w:tblW w:w="9831" w:type="dxa"/>
        <w:jc w:val="center"/>
        <w:tblLayout w:type="fixed"/>
        <w:tblLook w:val="0000" w:firstRow="0" w:lastRow="0" w:firstColumn="0" w:lastColumn="0" w:noHBand="0" w:noVBand="0"/>
      </w:tblPr>
      <w:tblGrid>
        <w:gridCol w:w="648"/>
        <w:gridCol w:w="6001"/>
        <w:gridCol w:w="1619"/>
        <w:gridCol w:w="1563"/>
      </w:tblGrid>
      <w:tr w:rsidR="00CF7C1C" w:rsidRPr="00E1404B" w:rsidTr="00CF7C1C">
        <w:trPr>
          <w:trHeight w:val="2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B3B3B3"/>
          </w:tcPr>
          <w:p w:rsidR="00CF7C1C" w:rsidRPr="00E1404B" w:rsidRDefault="00CF7C1C" w:rsidP="00CF7C1C">
            <w:pPr>
              <w:pStyle w:val="Normltblzatban"/>
              <w:spacing w:after="0"/>
              <w:ind w:left="0" w:firstLine="0"/>
              <w:jc w:val="center"/>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shd w:val="clear" w:color="auto" w:fill="B3B3B3"/>
            <w:vAlign w:val="center"/>
          </w:tcPr>
          <w:p w:rsidR="00CF7C1C" w:rsidRPr="00E1404B" w:rsidRDefault="00CF7C1C" w:rsidP="00CF7C1C">
            <w:pPr>
              <w:pStyle w:val="Normltblzatban"/>
              <w:spacing w:after="0"/>
              <w:ind w:left="0" w:firstLine="0"/>
              <w:jc w:val="center"/>
              <w:rPr>
                <w:sz w:val="20"/>
                <w:szCs w:val="20"/>
              </w:rPr>
            </w:pPr>
            <w:r w:rsidRPr="00E1404B">
              <w:rPr>
                <w:b/>
                <w:bCs/>
                <w:sz w:val="20"/>
                <w:szCs w:val="20"/>
                <w:lang w:bidi="sa-IN"/>
              </w:rPr>
              <w:t>Indikátor leírása</w:t>
            </w:r>
          </w:p>
        </w:tc>
        <w:tc>
          <w:tcPr>
            <w:tcW w:w="1619" w:type="dxa"/>
            <w:tcBorders>
              <w:top w:val="single" w:sz="4" w:space="0" w:color="auto"/>
              <w:left w:val="nil"/>
              <w:bottom w:val="single" w:sz="4" w:space="0" w:color="auto"/>
              <w:right w:val="single" w:sz="4" w:space="0" w:color="auto"/>
            </w:tcBorders>
            <w:shd w:val="clear" w:color="auto" w:fill="B3B3B3"/>
            <w:noWrap/>
          </w:tcPr>
          <w:p w:rsidR="00CF7C1C" w:rsidRPr="00BD037E" w:rsidRDefault="00CF7C1C" w:rsidP="00BD037E">
            <w:pPr>
              <w:spacing w:after="0"/>
              <w:jc w:val="center"/>
            </w:pPr>
            <w:r w:rsidRPr="00BD037E">
              <w:t>Program szerinti tervadat</w:t>
            </w:r>
          </w:p>
        </w:tc>
        <w:tc>
          <w:tcPr>
            <w:tcW w:w="1563" w:type="dxa"/>
            <w:tcBorders>
              <w:top w:val="single" w:sz="4" w:space="0" w:color="auto"/>
              <w:left w:val="nil"/>
              <w:bottom w:val="single" w:sz="4" w:space="0" w:color="auto"/>
              <w:right w:val="single" w:sz="4" w:space="0" w:color="auto"/>
            </w:tcBorders>
            <w:shd w:val="clear" w:color="auto" w:fill="B3B3B3"/>
          </w:tcPr>
          <w:p w:rsidR="00CF7C1C" w:rsidRPr="00E1404B" w:rsidRDefault="00CF7C1C" w:rsidP="00CF7C1C">
            <w:pPr>
              <w:pStyle w:val="Normltblzatban"/>
              <w:spacing w:after="0"/>
              <w:ind w:left="0" w:firstLine="0"/>
              <w:jc w:val="center"/>
              <w:rPr>
                <w:b/>
                <w:bCs/>
                <w:sz w:val="20"/>
                <w:szCs w:val="20"/>
                <w:lang w:bidi="sa-IN"/>
              </w:rPr>
            </w:pPr>
            <w:r w:rsidRPr="00E1404B">
              <w:rPr>
                <w:b/>
                <w:sz w:val="20"/>
                <w:szCs w:val="20"/>
              </w:rPr>
              <w:t>Indikátorok kumulált értéke</w:t>
            </w:r>
          </w:p>
        </w:tc>
      </w:tr>
      <w:tr w:rsidR="00CF7C1C" w:rsidRPr="00E1404B" w:rsidTr="00CF7C1C">
        <w:trPr>
          <w:trHeight w:val="20"/>
          <w:jc w:val="center"/>
        </w:trPr>
        <w:tc>
          <w:tcPr>
            <w:tcW w:w="648" w:type="dxa"/>
            <w:vMerge w:val="restart"/>
            <w:tcBorders>
              <w:top w:val="single" w:sz="4" w:space="0" w:color="auto"/>
              <w:left w:val="single" w:sz="4" w:space="0" w:color="auto"/>
              <w:right w:val="single" w:sz="4" w:space="0" w:color="auto"/>
            </w:tcBorders>
          </w:tcPr>
          <w:p w:rsidR="00CF7C1C" w:rsidRPr="00E1404B" w:rsidRDefault="00CF7C1C" w:rsidP="00CF7C1C">
            <w:pPr>
              <w:pStyle w:val="Normltblzatban"/>
              <w:spacing w:after="0"/>
              <w:ind w:left="0" w:firstLine="0"/>
              <w:rPr>
                <w:b/>
                <w:bCs/>
                <w:sz w:val="20"/>
                <w:szCs w:val="20"/>
                <w:lang w:bidi="sa-IN"/>
              </w:rPr>
            </w:pPr>
            <w:r w:rsidRPr="00E1404B">
              <w:rPr>
                <w:b/>
                <w:bCs/>
                <w:sz w:val="20"/>
                <w:szCs w:val="20"/>
                <w:lang w:bidi="sa-IN"/>
              </w:rPr>
              <w:t>O</w:t>
            </w: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ind w:left="0" w:firstLine="0"/>
              <w:rPr>
                <w:b/>
                <w:sz w:val="20"/>
                <w:szCs w:val="20"/>
              </w:rPr>
            </w:pPr>
            <w:r w:rsidRPr="00E1404B">
              <w:rPr>
                <w:b/>
                <w:bCs/>
                <w:sz w:val="20"/>
                <w:szCs w:val="20"/>
                <w:lang w:bidi="sa-IN"/>
              </w:rPr>
              <w:t>Támogatásban részesülő gazdálkodók és földhasználók száma</w:t>
            </w:r>
          </w:p>
        </w:tc>
        <w:tc>
          <w:tcPr>
            <w:tcW w:w="1619" w:type="dxa"/>
            <w:tcBorders>
              <w:top w:val="nil"/>
              <w:left w:val="nil"/>
              <w:bottom w:val="single" w:sz="4" w:space="0" w:color="auto"/>
              <w:right w:val="single" w:sz="4" w:space="0" w:color="auto"/>
            </w:tcBorders>
          </w:tcPr>
          <w:p w:rsidR="00CF7C1C" w:rsidRPr="00E1404B" w:rsidRDefault="00CF7C1C" w:rsidP="00CF7C1C">
            <w:pPr>
              <w:pStyle w:val="Normltblzatban"/>
              <w:spacing w:after="0"/>
              <w:ind w:left="0" w:firstLine="0"/>
              <w:jc w:val="right"/>
              <w:rPr>
                <w:sz w:val="20"/>
                <w:szCs w:val="20"/>
              </w:rPr>
            </w:pPr>
            <w:r w:rsidRPr="00E1404B">
              <w:rPr>
                <w:sz w:val="20"/>
                <w:szCs w:val="20"/>
              </w:rPr>
              <w:t>25 000</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ind w:left="0" w:firstLine="0"/>
              <w:jc w:val="right"/>
              <w:rPr>
                <w:sz w:val="20"/>
                <w:szCs w:val="20"/>
              </w:rPr>
            </w:pPr>
            <w:r w:rsidRPr="002B4681">
              <w:rPr>
                <w:sz w:val="20"/>
                <w:szCs w:val="20"/>
              </w:rPr>
              <w:t>14 093</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1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r w:rsidRPr="00E1404B">
              <w:rPr>
                <w:sz w:val="20"/>
                <w:szCs w:val="20"/>
              </w:rPr>
              <w:t>10 000</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NA</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pStyle w:val="Normltblzatban"/>
              <w:spacing w:after="0"/>
              <w:ind w:left="0" w:firstLine="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ind w:left="0" w:firstLine="0"/>
              <w:rPr>
                <w:sz w:val="20"/>
                <w:szCs w:val="20"/>
              </w:rPr>
            </w:pPr>
            <w:r w:rsidRPr="00E1404B">
              <w:rPr>
                <w:sz w:val="20"/>
                <w:szCs w:val="20"/>
                <w:lang w:bidi="sa-IN"/>
              </w:rPr>
              <w:t>Támogatásban részesülők megoszlása</w:t>
            </w:r>
          </w:p>
        </w:tc>
        <w:tc>
          <w:tcPr>
            <w:tcW w:w="161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rPr>
              <w:t>Gazdálkodók</w:t>
            </w:r>
          </w:p>
        </w:tc>
        <w:tc>
          <w:tcPr>
            <w:tcW w:w="161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r w:rsidRPr="00E1404B">
              <w:rPr>
                <w:sz w:val="20"/>
                <w:szCs w:val="20"/>
              </w:rPr>
              <w:t>24 500</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highlight w:val="green"/>
              </w:rPr>
            </w:pPr>
            <w:r w:rsidRPr="002B4681">
              <w:rPr>
                <w:sz w:val="20"/>
                <w:szCs w:val="20"/>
              </w:rPr>
              <w:t>13 027</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rPr>
              <w:t>Egyéb földhasználók</w:t>
            </w:r>
          </w:p>
        </w:tc>
        <w:tc>
          <w:tcPr>
            <w:tcW w:w="161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r w:rsidRPr="00E1404B">
              <w:rPr>
                <w:sz w:val="20"/>
                <w:szCs w:val="20"/>
              </w:rPr>
              <w:t>500</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highlight w:val="green"/>
              </w:rPr>
            </w:pPr>
            <w:r w:rsidRPr="002B4681">
              <w:rPr>
                <w:sz w:val="20"/>
                <w:szCs w:val="20"/>
              </w:rPr>
              <w:t>1 066</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pStyle w:val="Normltblzatban"/>
              <w:spacing w:after="0"/>
              <w:ind w:left="0" w:firstLine="0"/>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rPr>
                <w:bCs/>
                <w:sz w:val="20"/>
                <w:szCs w:val="20"/>
              </w:rPr>
            </w:pPr>
            <w:r w:rsidRPr="00E1404B">
              <w:rPr>
                <w:b/>
                <w:bCs/>
                <w:sz w:val="20"/>
                <w:szCs w:val="20"/>
                <w:lang w:bidi="sa-IN"/>
              </w:rPr>
              <w:t>AKG támogatással érintett összes terület</w:t>
            </w:r>
          </w:p>
        </w:tc>
        <w:tc>
          <w:tcPr>
            <w:tcW w:w="1619" w:type="dxa"/>
            <w:tcBorders>
              <w:top w:val="nil"/>
              <w:left w:val="nil"/>
              <w:bottom w:val="single" w:sz="4" w:space="0" w:color="auto"/>
              <w:right w:val="single" w:sz="4" w:space="0" w:color="auto"/>
            </w:tcBorders>
            <w:noWrap/>
          </w:tcPr>
          <w:p w:rsidR="00CF7C1C" w:rsidRPr="00E1404B" w:rsidRDefault="00CF7C1C" w:rsidP="00721CF2">
            <w:pPr>
              <w:pStyle w:val="Normltblzatban"/>
              <w:spacing w:after="0"/>
              <w:jc w:val="right"/>
              <w:rPr>
                <w:sz w:val="20"/>
                <w:szCs w:val="20"/>
              </w:rPr>
            </w:pPr>
            <w:r w:rsidRPr="00E1404B">
              <w:rPr>
                <w:sz w:val="20"/>
                <w:szCs w:val="20"/>
              </w:rPr>
              <w:t>1</w:t>
            </w:r>
            <w:r w:rsidR="00721CF2">
              <w:rPr>
                <w:sz w:val="20"/>
                <w:szCs w:val="20"/>
              </w:rPr>
              <w:t>,</w:t>
            </w:r>
            <w:r w:rsidRPr="00E1404B">
              <w:rPr>
                <w:sz w:val="20"/>
                <w:szCs w:val="20"/>
              </w:rPr>
              <w:t>2 millió ha</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1,15 millió ha</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19" w:type="dxa"/>
            <w:tcBorders>
              <w:top w:val="nil"/>
              <w:left w:val="nil"/>
              <w:bottom w:val="single" w:sz="4" w:space="0" w:color="auto"/>
              <w:right w:val="single" w:sz="4" w:space="0" w:color="auto"/>
            </w:tcBorders>
            <w:noWrap/>
          </w:tcPr>
          <w:p w:rsidR="00CF7C1C" w:rsidRPr="00E1404B" w:rsidRDefault="00CF7C1C" w:rsidP="00721CF2">
            <w:pPr>
              <w:pStyle w:val="Normltblzatban"/>
              <w:spacing w:after="0"/>
              <w:jc w:val="right"/>
              <w:rPr>
                <w:sz w:val="20"/>
                <w:szCs w:val="20"/>
              </w:rPr>
            </w:pPr>
            <w:r w:rsidRPr="00E1404B">
              <w:rPr>
                <w:sz w:val="20"/>
                <w:szCs w:val="20"/>
              </w:rPr>
              <w:t>0</w:t>
            </w:r>
            <w:r w:rsidR="00721CF2">
              <w:rPr>
                <w:sz w:val="20"/>
                <w:szCs w:val="20"/>
              </w:rPr>
              <w:t>,</w:t>
            </w:r>
            <w:r w:rsidRPr="00E1404B">
              <w:rPr>
                <w:sz w:val="20"/>
                <w:szCs w:val="20"/>
              </w:rPr>
              <w:t>5 millió ha</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NA</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pStyle w:val="Normltblzatban"/>
              <w:spacing w:after="0"/>
              <w:ind w:left="0" w:firstLine="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ind w:left="0" w:firstLine="0"/>
              <w:rPr>
                <w:sz w:val="20"/>
                <w:szCs w:val="20"/>
              </w:rPr>
            </w:pPr>
            <w:r w:rsidRPr="00E1404B">
              <w:rPr>
                <w:sz w:val="20"/>
                <w:szCs w:val="20"/>
                <w:lang w:bidi="sa-IN"/>
              </w:rPr>
              <w:t>A kötelezettség vállalás „kora” szerinti megoszlás</w:t>
            </w:r>
          </w:p>
        </w:tc>
        <w:tc>
          <w:tcPr>
            <w:tcW w:w="1619" w:type="dxa"/>
            <w:tcBorders>
              <w:top w:val="nil"/>
              <w:left w:val="nil"/>
              <w:bottom w:val="single" w:sz="4" w:space="0" w:color="auto"/>
              <w:right w:val="single" w:sz="4" w:space="0" w:color="auto"/>
            </w:tcBorders>
            <w:noWrap/>
          </w:tcPr>
          <w:p w:rsidR="00CF7C1C" w:rsidRPr="00E1404B" w:rsidRDefault="00CF7C1C" w:rsidP="00CF7C1C">
            <w:pPr>
              <w:pStyle w:val="Normltblzatban"/>
              <w:spacing w:after="0"/>
              <w:jc w:val="right"/>
              <w:rPr>
                <w:sz w:val="20"/>
                <w:szCs w:val="20"/>
              </w:rPr>
            </w:pP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rPr>
              <w:t>Jelenlegi kötelezettségvállalással érintett terület a következő rendeletek szerint</w:t>
            </w:r>
          </w:p>
        </w:tc>
        <w:tc>
          <w:tcPr>
            <w:tcW w:w="1619" w:type="dxa"/>
            <w:tcBorders>
              <w:top w:val="nil"/>
              <w:left w:val="nil"/>
              <w:bottom w:val="single" w:sz="4" w:space="0" w:color="auto"/>
              <w:right w:val="single" w:sz="4" w:space="0" w:color="auto"/>
            </w:tcBorders>
            <w:noWrap/>
          </w:tcPr>
          <w:p w:rsidR="00CF7C1C" w:rsidRPr="00E1404B" w:rsidRDefault="00CF7C1C" w:rsidP="00CF7C1C">
            <w:pPr>
              <w:pStyle w:val="Normltblzatban"/>
              <w:spacing w:after="0"/>
              <w:jc w:val="right"/>
              <w:rPr>
                <w:sz w:val="20"/>
                <w:szCs w:val="20"/>
              </w:rPr>
            </w:pPr>
            <w:r w:rsidRPr="00E1404B">
              <w:rPr>
                <w:sz w:val="20"/>
                <w:szCs w:val="20"/>
              </w:rPr>
              <w:t>1</w:t>
            </w:r>
            <w:r w:rsidR="00721CF2">
              <w:rPr>
                <w:sz w:val="20"/>
                <w:szCs w:val="20"/>
              </w:rPr>
              <w:t>,</w:t>
            </w:r>
            <w:r w:rsidRPr="00E1404B">
              <w:rPr>
                <w:sz w:val="20"/>
                <w:szCs w:val="20"/>
              </w:rPr>
              <w:t>4 millió ha</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1,15 millió ha</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rPr>
              <w:t>Új kötelezettségvállalással érintett terület</w:t>
            </w:r>
          </w:p>
        </w:tc>
        <w:tc>
          <w:tcPr>
            <w:tcW w:w="1619" w:type="dxa"/>
            <w:tcBorders>
              <w:top w:val="nil"/>
              <w:left w:val="nil"/>
              <w:bottom w:val="single" w:sz="4" w:space="0" w:color="auto"/>
              <w:right w:val="single" w:sz="4" w:space="0" w:color="auto"/>
            </w:tcBorders>
            <w:noWrap/>
          </w:tcPr>
          <w:p w:rsidR="00CF7C1C" w:rsidRPr="00E1404B" w:rsidRDefault="00CF7C1C" w:rsidP="00721CF2">
            <w:pPr>
              <w:pStyle w:val="Normltblzatban"/>
              <w:spacing w:after="0"/>
              <w:jc w:val="right"/>
              <w:rPr>
                <w:sz w:val="20"/>
                <w:szCs w:val="20"/>
              </w:rPr>
            </w:pPr>
            <w:r w:rsidRPr="00E1404B">
              <w:rPr>
                <w:sz w:val="20"/>
                <w:szCs w:val="20"/>
              </w:rPr>
              <w:t>1</w:t>
            </w:r>
            <w:r w:rsidR="00721CF2">
              <w:rPr>
                <w:sz w:val="20"/>
                <w:szCs w:val="20"/>
              </w:rPr>
              <w:t>,</w:t>
            </w:r>
            <w:r w:rsidRPr="00E1404B">
              <w:rPr>
                <w:sz w:val="20"/>
                <w:szCs w:val="20"/>
              </w:rPr>
              <w:t>2 millió ha</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1,15 millió ha</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pStyle w:val="Normltblzatban"/>
              <w:spacing w:after="0"/>
              <w:ind w:left="0" w:firstLine="0"/>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rPr>
                <w:b/>
                <w:sz w:val="20"/>
                <w:szCs w:val="20"/>
              </w:rPr>
            </w:pPr>
            <w:r w:rsidRPr="00E1404B">
              <w:rPr>
                <w:b/>
                <w:bCs/>
                <w:sz w:val="20"/>
                <w:szCs w:val="20"/>
                <w:lang w:bidi="sa-IN"/>
              </w:rPr>
              <w:t>AKG támogatásban részesülő fizikai terület</w:t>
            </w:r>
          </w:p>
        </w:tc>
        <w:tc>
          <w:tcPr>
            <w:tcW w:w="1619" w:type="dxa"/>
            <w:tcBorders>
              <w:top w:val="nil"/>
              <w:left w:val="nil"/>
              <w:bottom w:val="single" w:sz="4" w:space="0" w:color="auto"/>
              <w:right w:val="single" w:sz="4" w:space="0" w:color="auto"/>
            </w:tcBorders>
            <w:noWrap/>
          </w:tcPr>
          <w:p w:rsidR="00CF7C1C" w:rsidRPr="00E1404B" w:rsidRDefault="00CF7C1C" w:rsidP="00CF7C1C">
            <w:pPr>
              <w:pStyle w:val="Normltblzatban"/>
              <w:spacing w:after="0"/>
              <w:jc w:val="right"/>
              <w:rPr>
                <w:sz w:val="20"/>
                <w:szCs w:val="20"/>
              </w:rPr>
            </w:pPr>
            <w:r w:rsidRPr="00E1404B">
              <w:rPr>
                <w:sz w:val="20"/>
                <w:szCs w:val="20"/>
              </w:rPr>
              <w:t>1</w:t>
            </w:r>
            <w:r w:rsidR="00721CF2">
              <w:rPr>
                <w:sz w:val="20"/>
                <w:szCs w:val="20"/>
              </w:rPr>
              <w:t>,</w:t>
            </w:r>
            <w:r w:rsidRPr="00E1404B">
              <w:rPr>
                <w:sz w:val="20"/>
                <w:szCs w:val="20"/>
              </w:rPr>
              <w:t>2 millió ha</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1,15 millió ha</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Ebből Natura 2000 területen</w:t>
            </w:r>
          </w:p>
        </w:tc>
        <w:tc>
          <w:tcPr>
            <w:tcW w:w="1619" w:type="dxa"/>
            <w:tcBorders>
              <w:top w:val="nil"/>
              <w:left w:val="nil"/>
              <w:bottom w:val="single" w:sz="4" w:space="0" w:color="auto"/>
              <w:right w:val="single" w:sz="4" w:space="0" w:color="auto"/>
            </w:tcBorders>
            <w:noWrap/>
          </w:tcPr>
          <w:p w:rsidR="00CF7C1C" w:rsidRPr="00E1404B" w:rsidRDefault="00CF7C1C" w:rsidP="00721CF2">
            <w:pPr>
              <w:pStyle w:val="Normltblzatban"/>
              <w:spacing w:after="0"/>
              <w:jc w:val="right"/>
              <w:rPr>
                <w:sz w:val="20"/>
                <w:szCs w:val="20"/>
              </w:rPr>
            </w:pPr>
            <w:r w:rsidRPr="00E1404B">
              <w:rPr>
                <w:sz w:val="20"/>
                <w:szCs w:val="20"/>
              </w:rPr>
              <w:t>0</w:t>
            </w:r>
            <w:r w:rsidR="00721CF2">
              <w:rPr>
                <w:sz w:val="20"/>
                <w:szCs w:val="20"/>
              </w:rPr>
              <w:t>,</w:t>
            </w:r>
            <w:r w:rsidRPr="00E1404B">
              <w:rPr>
                <w:sz w:val="20"/>
                <w:szCs w:val="20"/>
              </w:rPr>
              <w:t>5 millió ha</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 xml:space="preserve">0,42 millió ha </w:t>
            </w:r>
          </w:p>
        </w:tc>
      </w:tr>
      <w:tr w:rsidR="00CF7C1C" w:rsidRPr="00E1404B" w:rsidTr="00CF7C1C">
        <w:trPr>
          <w:trHeight w:val="20"/>
          <w:jc w:val="center"/>
        </w:trPr>
        <w:tc>
          <w:tcPr>
            <w:tcW w:w="648" w:type="dxa"/>
            <w:vMerge/>
            <w:tcBorders>
              <w:left w:val="single" w:sz="4" w:space="0" w:color="auto"/>
              <w:right w:val="single" w:sz="4" w:space="0" w:color="auto"/>
            </w:tcBorders>
          </w:tcPr>
          <w:p w:rsidR="00CF7C1C" w:rsidRPr="00E1404B" w:rsidRDefault="00CF7C1C" w:rsidP="00CF7C1C">
            <w:pPr>
              <w:pStyle w:val="Normltblzatban"/>
              <w:spacing w:after="0"/>
              <w:ind w:left="0" w:firstLine="0"/>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rPr>
                <w:b/>
                <w:sz w:val="20"/>
                <w:szCs w:val="20"/>
              </w:rPr>
            </w:pPr>
            <w:r w:rsidRPr="00E1404B">
              <w:rPr>
                <w:b/>
                <w:bCs/>
                <w:sz w:val="20"/>
                <w:szCs w:val="20"/>
                <w:lang w:bidi="sa-IN"/>
              </w:rPr>
              <w:t>Szerződések összes száma</w:t>
            </w:r>
          </w:p>
        </w:tc>
        <w:tc>
          <w:tcPr>
            <w:tcW w:w="1619" w:type="dxa"/>
            <w:tcBorders>
              <w:top w:val="nil"/>
              <w:left w:val="nil"/>
              <w:bottom w:val="single" w:sz="4" w:space="0" w:color="auto"/>
              <w:right w:val="single" w:sz="4" w:space="0" w:color="auto"/>
            </w:tcBorders>
            <w:noWrap/>
          </w:tcPr>
          <w:p w:rsidR="00CF7C1C" w:rsidRPr="00E1404B" w:rsidRDefault="00CF7C1C" w:rsidP="00CF7C1C">
            <w:pPr>
              <w:pStyle w:val="Normltblzatban"/>
              <w:spacing w:after="0"/>
              <w:jc w:val="right"/>
              <w:rPr>
                <w:sz w:val="20"/>
                <w:szCs w:val="20"/>
              </w:rPr>
            </w:pPr>
            <w:r w:rsidRPr="00E1404B">
              <w:rPr>
                <w:sz w:val="20"/>
                <w:szCs w:val="20"/>
              </w:rPr>
              <w:t>25 000</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NA</w:t>
            </w:r>
          </w:p>
        </w:tc>
      </w:tr>
      <w:tr w:rsidR="00CF7C1C" w:rsidRPr="00E1404B" w:rsidTr="00CF7C1C">
        <w:trPr>
          <w:trHeight w:val="20"/>
          <w:jc w:val="center"/>
        </w:trPr>
        <w:tc>
          <w:tcPr>
            <w:tcW w:w="648" w:type="dxa"/>
            <w:vMerge/>
            <w:tcBorders>
              <w:left w:val="single" w:sz="4" w:space="0" w:color="auto"/>
              <w:bottom w:val="single" w:sz="4" w:space="0" w:color="auto"/>
              <w:right w:val="single" w:sz="4" w:space="0" w:color="auto"/>
            </w:tcBorders>
          </w:tcPr>
          <w:p w:rsidR="00CF7C1C" w:rsidRPr="00E1404B"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19" w:type="dxa"/>
            <w:tcBorders>
              <w:top w:val="nil"/>
              <w:left w:val="nil"/>
              <w:bottom w:val="single" w:sz="4" w:space="0" w:color="auto"/>
              <w:right w:val="single" w:sz="4" w:space="0" w:color="auto"/>
            </w:tcBorders>
            <w:noWrap/>
          </w:tcPr>
          <w:p w:rsidR="00CF7C1C" w:rsidRPr="00E1404B" w:rsidRDefault="00CF7C1C" w:rsidP="00CF7C1C">
            <w:pPr>
              <w:pStyle w:val="Normltblzatban"/>
              <w:spacing w:after="0"/>
              <w:jc w:val="right"/>
              <w:rPr>
                <w:sz w:val="20"/>
                <w:szCs w:val="20"/>
              </w:rPr>
            </w:pPr>
            <w:r w:rsidRPr="00E1404B">
              <w:rPr>
                <w:sz w:val="20"/>
                <w:szCs w:val="20"/>
              </w:rPr>
              <w:t>10 000</w:t>
            </w:r>
          </w:p>
        </w:tc>
        <w:tc>
          <w:tcPr>
            <w:tcW w:w="1563"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NA</w:t>
            </w:r>
          </w:p>
        </w:tc>
      </w:tr>
      <w:tr w:rsidR="00CF7C1C" w:rsidRPr="00331628" w:rsidTr="00CF7C1C">
        <w:trPr>
          <w:trHeight w:val="20"/>
          <w:jc w:val="center"/>
        </w:trPr>
        <w:tc>
          <w:tcPr>
            <w:tcW w:w="648" w:type="dxa"/>
            <w:vMerge w:val="restart"/>
            <w:tcBorders>
              <w:top w:val="single" w:sz="4" w:space="0" w:color="auto"/>
              <w:left w:val="single" w:sz="4" w:space="0" w:color="auto"/>
              <w:right w:val="single" w:sz="4" w:space="0" w:color="auto"/>
            </w:tcBorders>
          </w:tcPr>
          <w:p w:rsidR="00CF7C1C" w:rsidRPr="00331628" w:rsidRDefault="00CF7C1C" w:rsidP="00CF7C1C">
            <w:pPr>
              <w:pStyle w:val="Normltblzatban"/>
              <w:spacing w:after="0"/>
              <w:ind w:left="0" w:firstLine="0"/>
              <w:rPr>
                <w:b/>
                <w:bCs/>
                <w:sz w:val="20"/>
                <w:szCs w:val="20"/>
                <w:lang w:bidi="sa-IN"/>
              </w:rPr>
            </w:pPr>
            <w:r w:rsidRPr="00331628">
              <w:rPr>
                <w:b/>
                <w:bCs/>
                <w:sz w:val="20"/>
                <w:szCs w:val="20"/>
                <w:lang w:bidi="sa-IN"/>
              </w:rPr>
              <w:t>R</w:t>
            </w: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pStyle w:val="Normltblzatban"/>
              <w:spacing w:after="0"/>
              <w:rPr>
                <w:sz w:val="20"/>
                <w:szCs w:val="20"/>
                <w:lang w:bidi="sa-IN"/>
              </w:rPr>
            </w:pPr>
            <w:r w:rsidRPr="00331628">
              <w:rPr>
                <w:b/>
                <w:bCs/>
                <w:sz w:val="20"/>
                <w:szCs w:val="20"/>
                <w:lang w:bidi="sa-IN"/>
              </w:rPr>
              <w:t>Sikeres AKG beavatkozással érintett terület</w:t>
            </w:r>
          </w:p>
        </w:tc>
        <w:tc>
          <w:tcPr>
            <w:tcW w:w="1619" w:type="dxa"/>
            <w:tcBorders>
              <w:top w:val="nil"/>
              <w:left w:val="nil"/>
              <w:bottom w:val="single" w:sz="4" w:space="0" w:color="auto"/>
              <w:right w:val="single" w:sz="4" w:space="0" w:color="auto"/>
            </w:tcBorders>
            <w:noWrap/>
            <w:tcMar>
              <w:left w:w="0" w:type="dxa"/>
            </w:tcMar>
          </w:tcPr>
          <w:p w:rsidR="00CF7C1C" w:rsidRPr="00331628" w:rsidRDefault="00CF7C1C" w:rsidP="00CF7C1C">
            <w:pPr>
              <w:pStyle w:val="Normltblzatban"/>
              <w:spacing w:after="0"/>
              <w:jc w:val="right"/>
              <w:rPr>
                <w:sz w:val="20"/>
                <w:szCs w:val="20"/>
              </w:rPr>
            </w:pPr>
            <w:r w:rsidRPr="00331628">
              <w:rPr>
                <w:sz w:val="20"/>
                <w:szCs w:val="20"/>
              </w:rPr>
              <w:t>1</w:t>
            </w:r>
            <w:r w:rsidR="00721CF2" w:rsidRPr="00331628">
              <w:rPr>
                <w:sz w:val="20"/>
                <w:szCs w:val="20"/>
              </w:rPr>
              <w:t>,</w:t>
            </w:r>
            <w:r w:rsidRPr="00331628">
              <w:rPr>
                <w:sz w:val="20"/>
                <w:szCs w:val="20"/>
              </w:rPr>
              <w:t>2 millió ha</w:t>
            </w:r>
          </w:p>
        </w:tc>
        <w:tc>
          <w:tcPr>
            <w:tcW w:w="1563" w:type="dxa"/>
            <w:tcBorders>
              <w:top w:val="nil"/>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331628" w:rsidTr="00CF7C1C">
        <w:trPr>
          <w:trHeight w:val="20"/>
          <w:jc w:val="center"/>
        </w:trPr>
        <w:tc>
          <w:tcPr>
            <w:tcW w:w="648" w:type="dxa"/>
            <w:vMerge/>
            <w:tcBorders>
              <w:left w:val="single" w:sz="4" w:space="0" w:color="auto"/>
              <w:right w:val="single" w:sz="4" w:space="0" w:color="auto"/>
            </w:tcBorders>
          </w:tcPr>
          <w:p w:rsidR="00CF7C1C" w:rsidRPr="00331628" w:rsidRDefault="00CF7C1C" w:rsidP="00CF7C1C">
            <w:pPr>
              <w:pStyle w:val="Normltblzatban"/>
              <w:widowControl w:val="0"/>
              <w:suppressAutoHyphens w:val="0"/>
              <w:spacing w:after="0"/>
              <w:ind w:left="0" w:firstLine="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pStyle w:val="Normltblzatban"/>
              <w:widowControl w:val="0"/>
              <w:suppressAutoHyphens w:val="0"/>
              <w:spacing w:after="0"/>
              <w:rPr>
                <w:sz w:val="20"/>
                <w:szCs w:val="20"/>
                <w:lang w:val="en-GB" w:bidi="sa-IN"/>
              </w:rPr>
            </w:pPr>
            <w:r w:rsidRPr="00331628">
              <w:rPr>
                <w:sz w:val="20"/>
                <w:szCs w:val="20"/>
                <w:lang w:bidi="sa-IN"/>
              </w:rPr>
              <w:t>A hozzájárulás típusa</w:t>
            </w:r>
            <w:r w:rsidRPr="00331628">
              <w:rPr>
                <w:sz w:val="20"/>
                <w:szCs w:val="20"/>
                <w:lang w:val="en-GB" w:bidi="sa-IN"/>
              </w:rPr>
              <w:t xml:space="preserve"> </w:t>
            </w:r>
          </w:p>
          <w:p w:rsidR="00CF7C1C" w:rsidRPr="00331628" w:rsidRDefault="00CF7C1C" w:rsidP="00495C8B">
            <w:pPr>
              <w:widowControl w:val="0"/>
              <w:numPr>
                <w:ilvl w:val="1"/>
                <w:numId w:val="52"/>
              </w:numPr>
              <w:tabs>
                <w:tab w:val="clear" w:pos="2160"/>
                <w:tab w:val="num" w:pos="1080"/>
              </w:tabs>
              <w:spacing w:after="0"/>
              <w:ind w:left="1080"/>
              <w:jc w:val="left"/>
              <w:rPr>
                <w:b/>
                <w:bCs/>
                <w:sz w:val="20"/>
                <w:szCs w:val="20"/>
                <w:lang w:bidi="sa-IN"/>
              </w:rPr>
            </w:pPr>
            <w:r w:rsidRPr="00331628">
              <w:rPr>
                <w:sz w:val="20"/>
                <w:szCs w:val="20"/>
              </w:rPr>
              <w:t>A biodiv</w:t>
            </w:r>
            <w:r w:rsidRPr="00331628">
              <w:rPr>
                <w:sz w:val="20"/>
                <w:szCs w:val="20"/>
                <w:lang w:bidi="sa-IN"/>
              </w:rPr>
              <w:t>e</w:t>
            </w:r>
            <w:r w:rsidRPr="00331628">
              <w:rPr>
                <w:sz w:val="20"/>
                <w:szCs w:val="20"/>
              </w:rPr>
              <w:t>rzi</w:t>
            </w:r>
            <w:r w:rsidRPr="00331628">
              <w:rPr>
                <w:sz w:val="20"/>
                <w:szCs w:val="20"/>
                <w:lang w:bidi="sa-IN"/>
              </w:rPr>
              <w:t>tás növelése</w:t>
            </w:r>
          </w:p>
        </w:tc>
        <w:tc>
          <w:tcPr>
            <w:tcW w:w="1619" w:type="dxa"/>
            <w:tcBorders>
              <w:top w:val="single" w:sz="4" w:space="0" w:color="auto"/>
              <w:left w:val="nil"/>
              <w:bottom w:val="single" w:sz="4" w:space="0" w:color="auto"/>
              <w:right w:val="single" w:sz="4" w:space="0" w:color="auto"/>
            </w:tcBorders>
            <w:noWrap/>
            <w:tcMar>
              <w:left w:w="0" w:type="dxa"/>
            </w:tcMar>
          </w:tcPr>
          <w:p w:rsidR="00CF7C1C" w:rsidRPr="00331628" w:rsidRDefault="00CF7C1C" w:rsidP="00CF7C1C">
            <w:pPr>
              <w:pStyle w:val="Normltblzatban"/>
              <w:spacing w:after="0"/>
              <w:jc w:val="right"/>
              <w:rPr>
                <w:sz w:val="20"/>
                <w:szCs w:val="20"/>
              </w:rPr>
            </w:pPr>
          </w:p>
          <w:p w:rsidR="00CF7C1C" w:rsidRPr="00331628" w:rsidRDefault="00CF7C1C" w:rsidP="00CF7C1C">
            <w:pPr>
              <w:pStyle w:val="Normltblzatban"/>
              <w:spacing w:after="0"/>
              <w:jc w:val="right"/>
              <w:rPr>
                <w:sz w:val="20"/>
                <w:szCs w:val="20"/>
              </w:rPr>
            </w:pPr>
            <w:r w:rsidRPr="00331628">
              <w:rPr>
                <w:sz w:val="20"/>
                <w:szCs w:val="20"/>
              </w:rPr>
              <w:t xml:space="preserve">Közvetlen pozitív </w:t>
            </w:r>
          </w:p>
        </w:tc>
        <w:tc>
          <w:tcPr>
            <w:tcW w:w="1563" w:type="dxa"/>
            <w:tcBorders>
              <w:top w:val="single" w:sz="4" w:space="0" w:color="auto"/>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331628" w:rsidTr="00CF7C1C">
        <w:trPr>
          <w:trHeight w:val="20"/>
          <w:jc w:val="center"/>
        </w:trPr>
        <w:tc>
          <w:tcPr>
            <w:tcW w:w="648" w:type="dxa"/>
            <w:vMerge/>
            <w:tcBorders>
              <w:left w:val="single" w:sz="4" w:space="0" w:color="auto"/>
              <w:right w:val="single" w:sz="4" w:space="0" w:color="auto"/>
            </w:tcBorders>
          </w:tcPr>
          <w:p w:rsidR="00CF7C1C" w:rsidRPr="00331628"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33390A">
            <w:pPr>
              <w:numPr>
                <w:ilvl w:val="0"/>
                <w:numId w:val="80"/>
              </w:numPr>
              <w:spacing w:after="0"/>
              <w:rPr>
                <w:sz w:val="20"/>
                <w:szCs w:val="20"/>
                <w:lang w:bidi="sa-IN"/>
              </w:rPr>
            </w:pPr>
            <w:r w:rsidRPr="00331628">
              <w:rPr>
                <w:sz w:val="20"/>
                <w:szCs w:val="20"/>
                <w:lang w:bidi="sa-IN"/>
              </w:rPr>
              <w:t xml:space="preserve">A </w:t>
            </w:r>
            <w:r w:rsidRPr="00331628">
              <w:rPr>
                <w:sz w:val="20"/>
                <w:szCs w:val="20"/>
              </w:rPr>
              <w:t>vízminőség</w:t>
            </w:r>
            <w:r w:rsidRPr="00331628">
              <w:rPr>
                <w:sz w:val="20"/>
                <w:szCs w:val="20"/>
                <w:lang w:bidi="sa-IN"/>
              </w:rPr>
              <w:t xml:space="preserve"> javítása</w:t>
            </w:r>
          </w:p>
        </w:tc>
        <w:tc>
          <w:tcPr>
            <w:tcW w:w="1619" w:type="dxa"/>
            <w:tcBorders>
              <w:top w:val="single" w:sz="4" w:space="0" w:color="auto"/>
              <w:left w:val="nil"/>
              <w:bottom w:val="single" w:sz="4" w:space="0" w:color="auto"/>
              <w:right w:val="single" w:sz="4" w:space="0" w:color="auto"/>
            </w:tcBorders>
            <w:noWrap/>
            <w:tcMar>
              <w:left w:w="0" w:type="dxa"/>
            </w:tcMar>
          </w:tcPr>
          <w:p w:rsidR="00CF7C1C" w:rsidRPr="00331628" w:rsidRDefault="00CF7C1C" w:rsidP="00CF7C1C">
            <w:pPr>
              <w:pStyle w:val="Normltblzatban"/>
              <w:spacing w:after="0"/>
              <w:jc w:val="right"/>
              <w:rPr>
                <w:sz w:val="20"/>
                <w:szCs w:val="20"/>
              </w:rPr>
            </w:pPr>
            <w:r w:rsidRPr="00331628">
              <w:rPr>
                <w:sz w:val="20"/>
                <w:szCs w:val="20"/>
              </w:rPr>
              <w:t xml:space="preserve">Közvetlen pozitív </w:t>
            </w:r>
          </w:p>
        </w:tc>
        <w:tc>
          <w:tcPr>
            <w:tcW w:w="1563" w:type="dxa"/>
            <w:tcBorders>
              <w:top w:val="single" w:sz="4" w:space="0" w:color="auto"/>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331628" w:rsidTr="00CF7C1C">
        <w:trPr>
          <w:trHeight w:val="20"/>
          <w:jc w:val="center"/>
        </w:trPr>
        <w:tc>
          <w:tcPr>
            <w:tcW w:w="648" w:type="dxa"/>
            <w:vMerge/>
            <w:tcBorders>
              <w:left w:val="single" w:sz="4" w:space="0" w:color="auto"/>
              <w:right w:val="single" w:sz="4" w:space="0" w:color="auto"/>
            </w:tcBorders>
          </w:tcPr>
          <w:p w:rsidR="00CF7C1C" w:rsidRPr="00331628"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33390A">
            <w:pPr>
              <w:numPr>
                <w:ilvl w:val="0"/>
                <w:numId w:val="80"/>
              </w:numPr>
              <w:spacing w:after="0"/>
              <w:rPr>
                <w:sz w:val="20"/>
                <w:szCs w:val="20"/>
                <w:lang w:bidi="sa-IN"/>
              </w:rPr>
            </w:pPr>
            <w:r w:rsidRPr="00331628">
              <w:rPr>
                <w:sz w:val="20"/>
                <w:szCs w:val="20"/>
                <w:lang w:bidi="sa-IN"/>
              </w:rPr>
              <w:t xml:space="preserve">A </w:t>
            </w:r>
            <w:r w:rsidRPr="00331628">
              <w:rPr>
                <w:sz w:val="20"/>
                <w:szCs w:val="20"/>
              </w:rPr>
              <w:t>klímaváltozás</w:t>
            </w:r>
            <w:r w:rsidRPr="00331628">
              <w:rPr>
                <w:sz w:val="20"/>
                <w:szCs w:val="20"/>
                <w:lang w:bidi="sa-IN"/>
              </w:rPr>
              <w:t xml:space="preserve"> mérséklése</w:t>
            </w:r>
          </w:p>
        </w:tc>
        <w:tc>
          <w:tcPr>
            <w:tcW w:w="1619" w:type="dxa"/>
            <w:tcBorders>
              <w:top w:val="single" w:sz="4" w:space="0" w:color="auto"/>
              <w:left w:val="nil"/>
              <w:bottom w:val="single" w:sz="4" w:space="0" w:color="auto"/>
              <w:right w:val="single" w:sz="4" w:space="0" w:color="auto"/>
            </w:tcBorders>
            <w:noWrap/>
            <w:tcMar>
              <w:left w:w="0" w:type="dxa"/>
            </w:tcMar>
          </w:tcPr>
          <w:p w:rsidR="00CF7C1C" w:rsidRPr="00331628" w:rsidRDefault="00CF7C1C" w:rsidP="00CF7C1C">
            <w:pPr>
              <w:pStyle w:val="Normltblzatban"/>
              <w:spacing w:after="0"/>
              <w:jc w:val="right"/>
              <w:rPr>
                <w:sz w:val="20"/>
                <w:szCs w:val="20"/>
              </w:rPr>
            </w:pPr>
            <w:r w:rsidRPr="00331628">
              <w:rPr>
                <w:sz w:val="20"/>
                <w:szCs w:val="20"/>
              </w:rPr>
              <w:t xml:space="preserve">Közvetett pozitív </w:t>
            </w:r>
          </w:p>
        </w:tc>
        <w:tc>
          <w:tcPr>
            <w:tcW w:w="1563" w:type="dxa"/>
            <w:tcBorders>
              <w:top w:val="single" w:sz="4" w:space="0" w:color="auto"/>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331628" w:rsidTr="00CF7C1C">
        <w:trPr>
          <w:trHeight w:val="20"/>
          <w:jc w:val="center"/>
        </w:trPr>
        <w:tc>
          <w:tcPr>
            <w:tcW w:w="648" w:type="dxa"/>
            <w:vMerge/>
            <w:tcBorders>
              <w:left w:val="single" w:sz="4" w:space="0" w:color="auto"/>
              <w:right w:val="single" w:sz="4" w:space="0" w:color="auto"/>
            </w:tcBorders>
          </w:tcPr>
          <w:p w:rsidR="00CF7C1C" w:rsidRPr="00331628"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33390A">
            <w:pPr>
              <w:numPr>
                <w:ilvl w:val="0"/>
                <w:numId w:val="80"/>
              </w:numPr>
              <w:spacing w:after="0"/>
              <w:rPr>
                <w:sz w:val="20"/>
                <w:szCs w:val="20"/>
                <w:lang w:bidi="sa-IN"/>
              </w:rPr>
            </w:pPr>
            <w:r w:rsidRPr="00331628">
              <w:rPr>
                <w:sz w:val="20"/>
                <w:szCs w:val="20"/>
                <w:lang w:bidi="sa-IN"/>
              </w:rPr>
              <w:t xml:space="preserve">A </w:t>
            </w:r>
            <w:r w:rsidRPr="00331628">
              <w:rPr>
                <w:sz w:val="20"/>
                <w:szCs w:val="20"/>
              </w:rPr>
              <w:t>talajminőség</w:t>
            </w:r>
            <w:r w:rsidRPr="00331628">
              <w:rPr>
                <w:sz w:val="20"/>
                <w:szCs w:val="20"/>
                <w:lang w:bidi="sa-IN"/>
              </w:rPr>
              <w:t xml:space="preserve"> javítása </w:t>
            </w:r>
          </w:p>
        </w:tc>
        <w:tc>
          <w:tcPr>
            <w:tcW w:w="1619" w:type="dxa"/>
            <w:tcBorders>
              <w:top w:val="single" w:sz="4" w:space="0" w:color="auto"/>
              <w:left w:val="nil"/>
              <w:bottom w:val="single" w:sz="4" w:space="0" w:color="auto"/>
              <w:right w:val="single" w:sz="4" w:space="0" w:color="auto"/>
            </w:tcBorders>
            <w:noWrap/>
            <w:tcMar>
              <w:left w:w="0" w:type="dxa"/>
            </w:tcMar>
          </w:tcPr>
          <w:p w:rsidR="00CF7C1C" w:rsidRPr="00331628" w:rsidRDefault="00CF7C1C" w:rsidP="00CF7C1C">
            <w:pPr>
              <w:pStyle w:val="Normltblzatban"/>
              <w:spacing w:after="0"/>
              <w:jc w:val="right"/>
              <w:rPr>
                <w:sz w:val="20"/>
                <w:szCs w:val="20"/>
              </w:rPr>
            </w:pPr>
            <w:r w:rsidRPr="00331628">
              <w:rPr>
                <w:sz w:val="20"/>
                <w:szCs w:val="20"/>
              </w:rPr>
              <w:t xml:space="preserve">Közvetlen pozitív </w:t>
            </w:r>
          </w:p>
        </w:tc>
        <w:tc>
          <w:tcPr>
            <w:tcW w:w="1563" w:type="dxa"/>
            <w:tcBorders>
              <w:top w:val="single" w:sz="4" w:space="0" w:color="auto"/>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331628" w:rsidTr="00CF7C1C">
        <w:trPr>
          <w:trHeight w:val="20"/>
          <w:jc w:val="center"/>
        </w:trPr>
        <w:tc>
          <w:tcPr>
            <w:tcW w:w="648" w:type="dxa"/>
            <w:vMerge/>
            <w:tcBorders>
              <w:left w:val="single" w:sz="4" w:space="0" w:color="auto"/>
              <w:bottom w:val="single" w:sz="4" w:space="0" w:color="auto"/>
              <w:right w:val="single" w:sz="4" w:space="0" w:color="auto"/>
            </w:tcBorders>
          </w:tcPr>
          <w:p w:rsidR="00CF7C1C" w:rsidRPr="00331628" w:rsidRDefault="00CF7C1C" w:rsidP="00CF7C1C">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33390A">
            <w:pPr>
              <w:numPr>
                <w:ilvl w:val="0"/>
                <w:numId w:val="80"/>
              </w:numPr>
              <w:spacing w:after="0"/>
              <w:rPr>
                <w:sz w:val="20"/>
                <w:szCs w:val="20"/>
                <w:lang w:bidi="sa-IN"/>
              </w:rPr>
            </w:pPr>
            <w:r w:rsidRPr="00331628">
              <w:rPr>
                <w:sz w:val="20"/>
                <w:szCs w:val="20"/>
                <w:lang w:bidi="sa-IN"/>
              </w:rPr>
              <w:t xml:space="preserve">A </w:t>
            </w:r>
            <w:r w:rsidRPr="00331628">
              <w:rPr>
                <w:sz w:val="20"/>
                <w:szCs w:val="20"/>
              </w:rPr>
              <w:t>marginalizálódás</w:t>
            </w:r>
            <w:r w:rsidRPr="00331628">
              <w:rPr>
                <w:sz w:val="20"/>
                <w:szCs w:val="20"/>
                <w:lang w:bidi="sa-IN"/>
              </w:rPr>
              <w:t xml:space="preserve"> és a föld felhagyásának elkerülése</w:t>
            </w:r>
          </w:p>
        </w:tc>
        <w:tc>
          <w:tcPr>
            <w:tcW w:w="1619" w:type="dxa"/>
            <w:tcBorders>
              <w:top w:val="single" w:sz="4" w:space="0" w:color="auto"/>
              <w:left w:val="nil"/>
              <w:bottom w:val="single" w:sz="4" w:space="0" w:color="auto"/>
              <w:right w:val="single" w:sz="4" w:space="0" w:color="auto"/>
            </w:tcBorders>
            <w:noWrap/>
            <w:tcMar>
              <w:left w:w="0" w:type="dxa"/>
            </w:tcMar>
          </w:tcPr>
          <w:p w:rsidR="00CF7C1C" w:rsidRPr="00331628" w:rsidRDefault="00CF7C1C" w:rsidP="00CF7C1C">
            <w:pPr>
              <w:pStyle w:val="Normltblzatban"/>
              <w:spacing w:after="0"/>
              <w:jc w:val="right"/>
              <w:rPr>
                <w:sz w:val="20"/>
                <w:szCs w:val="20"/>
              </w:rPr>
            </w:pPr>
            <w:r w:rsidRPr="00331628">
              <w:rPr>
                <w:sz w:val="20"/>
                <w:szCs w:val="20"/>
              </w:rPr>
              <w:t xml:space="preserve">Közvetett pozitív </w:t>
            </w:r>
          </w:p>
        </w:tc>
        <w:tc>
          <w:tcPr>
            <w:tcW w:w="1563" w:type="dxa"/>
            <w:tcBorders>
              <w:top w:val="single" w:sz="4" w:space="0" w:color="auto"/>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331628" w:rsidTr="00CF7C1C">
        <w:trPr>
          <w:trHeight w:val="20"/>
          <w:jc w:val="center"/>
        </w:trPr>
        <w:tc>
          <w:tcPr>
            <w:tcW w:w="648" w:type="dxa"/>
            <w:vMerge w:val="restart"/>
            <w:tcBorders>
              <w:top w:val="single" w:sz="4" w:space="0" w:color="auto"/>
              <w:left w:val="single" w:sz="4" w:space="0" w:color="auto"/>
              <w:right w:val="single" w:sz="4" w:space="0" w:color="auto"/>
            </w:tcBorders>
          </w:tcPr>
          <w:p w:rsidR="00CF7C1C" w:rsidRPr="00331628" w:rsidRDefault="00CF7C1C" w:rsidP="00CF7C1C">
            <w:pPr>
              <w:keepNext/>
              <w:spacing w:after="0"/>
              <w:jc w:val="left"/>
              <w:rPr>
                <w:b/>
                <w:bCs/>
                <w:sz w:val="20"/>
                <w:szCs w:val="20"/>
                <w:lang w:bidi="sa-IN"/>
              </w:rPr>
            </w:pPr>
            <w:r w:rsidRPr="00331628">
              <w:rPr>
                <w:b/>
                <w:bCs/>
                <w:sz w:val="20"/>
                <w:szCs w:val="20"/>
                <w:lang w:bidi="sa-IN"/>
              </w:rPr>
              <w:t>I</w:t>
            </w: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keepNext/>
              <w:spacing w:after="0"/>
              <w:ind w:left="244"/>
              <w:jc w:val="left"/>
              <w:rPr>
                <w:b/>
                <w:bCs/>
                <w:sz w:val="20"/>
                <w:szCs w:val="20"/>
              </w:rPr>
            </w:pPr>
            <w:r w:rsidRPr="00331628">
              <w:rPr>
                <w:b/>
                <w:bCs/>
                <w:sz w:val="20"/>
                <w:szCs w:val="20"/>
                <w:lang w:bidi="sa-IN"/>
              </w:rPr>
              <w:t>A biodiverzitás-csökkenés visszafordítása (mezőgazdasági területen fészkelő vadon élő madarak állományindexe; index: 2000=100%)</w:t>
            </w:r>
          </w:p>
        </w:tc>
        <w:tc>
          <w:tcPr>
            <w:tcW w:w="1619" w:type="dxa"/>
            <w:tcBorders>
              <w:top w:val="single" w:sz="4" w:space="0" w:color="auto"/>
              <w:left w:val="single" w:sz="4" w:space="0" w:color="auto"/>
              <w:bottom w:val="single" w:sz="4" w:space="0" w:color="auto"/>
              <w:right w:val="single" w:sz="4" w:space="0" w:color="auto"/>
            </w:tcBorders>
            <w:noWrap/>
          </w:tcPr>
          <w:p w:rsidR="00CF7C1C" w:rsidRPr="00331628" w:rsidRDefault="00CF7C1C" w:rsidP="00CF7C1C">
            <w:pPr>
              <w:pStyle w:val="Normltblzatban"/>
              <w:keepNext/>
              <w:spacing w:after="0"/>
              <w:jc w:val="right"/>
              <w:rPr>
                <w:sz w:val="20"/>
                <w:szCs w:val="20"/>
              </w:rPr>
            </w:pPr>
            <w:r w:rsidRPr="00331628">
              <w:rPr>
                <w:sz w:val="20"/>
                <w:szCs w:val="20"/>
              </w:rPr>
              <w:t>116%</w:t>
            </w:r>
          </w:p>
        </w:tc>
        <w:tc>
          <w:tcPr>
            <w:tcW w:w="1563"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pStyle w:val="Normltblzatban"/>
              <w:keepNext/>
              <w:spacing w:after="0"/>
              <w:jc w:val="right"/>
              <w:rPr>
                <w:sz w:val="20"/>
                <w:szCs w:val="20"/>
              </w:rPr>
            </w:pPr>
            <w:r w:rsidRPr="00331628">
              <w:rPr>
                <w:sz w:val="20"/>
                <w:szCs w:val="20"/>
              </w:rPr>
              <w:t>NA</w:t>
            </w:r>
          </w:p>
        </w:tc>
      </w:tr>
      <w:tr w:rsidR="00CF7C1C" w:rsidRPr="00331628" w:rsidTr="00CF7C1C">
        <w:trPr>
          <w:trHeight w:val="20"/>
          <w:jc w:val="center"/>
        </w:trPr>
        <w:tc>
          <w:tcPr>
            <w:tcW w:w="648" w:type="dxa"/>
            <w:vMerge/>
            <w:tcBorders>
              <w:left w:val="single" w:sz="4" w:space="0" w:color="auto"/>
              <w:right w:val="single" w:sz="4" w:space="0" w:color="auto"/>
            </w:tcBorders>
          </w:tcPr>
          <w:p w:rsidR="00CF7C1C" w:rsidRPr="00331628" w:rsidRDefault="00CF7C1C" w:rsidP="00CF7C1C">
            <w:pPr>
              <w:spacing w:after="0"/>
              <w:jc w:val="left"/>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spacing w:after="0"/>
              <w:ind w:left="244"/>
              <w:jc w:val="left"/>
              <w:rPr>
                <w:b/>
                <w:bCs/>
                <w:sz w:val="20"/>
                <w:szCs w:val="20"/>
              </w:rPr>
            </w:pPr>
            <w:r w:rsidRPr="00331628">
              <w:rPr>
                <w:b/>
                <w:bCs/>
                <w:sz w:val="20"/>
                <w:szCs w:val="20"/>
                <w:lang w:bidi="sa-IN"/>
              </w:rPr>
              <w:t>Magas természeti értékű területek megőrzése</w:t>
            </w:r>
          </w:p>
        </w:tc>
        <w:tc>
          <w:tcPr>
            <w:tcW w:w="1619" w:type="dxa"/>
            <w:tcBorders>
              <w:top w:val="single" w:sz="4" w:space="0" w:color="auto"/>
              <w:left w:val="single" w:sz="4" w:space="0" w:color="auto"/>
              <w:bottom w:val="single" w:sz="4" w:space="0" w:color="auto"/>
              <w:right w:val="single" w:sz="4" w:space="0" w:color="auto"/>
            </w:tcBorders>
            <w:noWrap/>
          </w:tcPr>
          <w:p w:rsidR="00CF7C1C" w:rsidRPr="00331628" w:rsidRDefault="00CF7C1C" w:rsidP="00721CF2">
            <w:pPr>
              <w:pStyle w:val="Normltblzatban"/>
              <w:spacing w:after="0"/>
              <w:jc w:val="right"/>
              <w:rPr>
                <w:sz w:val="20"/>
                <w:szCs w:val="20"/>
              </w:rPr>
            </w:pPr>
            <w:r w:rsidRPr="00331628">
              <w:rPr>
                <w:sz w:val="20"/>
                <w:szCs w:val="20"/>
              </w:rPr>
              <w:t>0</w:t>
            </w:r>
            <w:r w:rsidR="00721CF2" w:rsidRPr="00331628">
              <w:rPr>
                <w:sz w:val="20"/>
                <w:szCs w:val="20"/>
              </w:rPr>
              <w:t>,</w:t>
            </w:r>
            <w:r w:rsidRPr="00331628">
              <w:rPr>
                <w:sz w:val="20"/>
                <w:szCs w:val="20"/>
              </w:rPr>
              <w:t>5 millió ha</w:t>
            </w:r>
          </w:p>
        </w:tc>
        <w:tc>
          <w:tcPr>
            <w:tcW w:w="1563"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E1404B" w:rsidTr="00CF7C1C">
        <w:trPr>
          <w:trHeight w:val="20"/>
          <w:jc w:val="center"/>
        </w:trPr>
        <w:tc>
          <w:tcPr>
            <w:tcW w:w="648" w:type="dxa"/>
            <w:vMerge/>
            <w:tcBorders>
              <w:left w:val="single" w:sz="4" w:space="0" w:color="auto"/>
              <w:bottom w:val="single" w:sz="4" w:space="0" w:color="auto"/>
              <w:right w:val="single" w:sz="4" w:space="0" w:color="auto"/>
            </w:tcBorders>
          </w:tcPr>
          <w:p w:rsidR="00CF7C1C" w:rsidRPr="00331628" w:rsidRDefault="00CF7C1C" w:rsidP="00CF7C1C">
            <w:pPr>
              <w:spacing w:after="0"/>
              <w:jc w:val="left"/>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spacing w:after="0"/>
              <w:ind w:left="244"/>
              <w:jc w:val="left"/>
              <w:rPr>
                <w:b/>
                <w:bCs/>
                <w:sz w:val="20"/>
                <w:szCs w:val="20"/>
              </w:rPr>
            </w:pPr>
            <w:r w:rsidRPr="00331628">
              <w:rPr>
                <w:b/>
                <w:bCs/>
                <w:sz w:val="20"/>
                <w:szCs w:val="20"/>
                <w:lang w:bidi="sa-IN"/>
              </w:rPr>
              <w:t>Bruttó tápanyagmérleg (nitrogén többlet) változása</w:t>
            </w:r>
          </w:p>
        </w:tc>
        <w:tc>
          <w:tcPr>
            <w:tcW w:w="1619" w:type="dxa"/>
            <w:tcBorders>
              <w:top w:val="single" w:sz="4" w:space="0" w:color="auto"/>
              <w:left w:val="single" w:sz="4" w:space="0" w:color="auto"/>
              <w:bottom w:val="single" w:sz="4" w:space="0" w:color="auto"/>
              <w:right w:val="single" w:sz="4" w:space="0" w:color="auto"/>
            </w:tcBorders>
            <w:noWrap/>
          </w:tcPr>
          <w:p w:rsidR="00CF7C1C" w:rsidRPr="00331628" w:rsidRDefault="00CF7C1C" w:rsidP="00CF7C1C">
            <w:pPr>
              <w:pStyle w:val="Normltblzatban"/>
              <w:spacing w:after="0"/>
              <w:jc w:val="right"/>
              <w:rPr>
                <w:sz w:val="20"/>
                <w:szCs w:val="20"/>
              </w:rPr>
            </w:pPr>
            <w:r w:rsidRPr="00331628">
              <w:rPr>
                <w:sz w:val="20"/>
                <w:szCs w:val="20"/>
              </w:rPr>
              <w:t>- 21 kT</w:t>
            </w:r>
          </w:p>
        </w:tc>
        <w:tc>
          <w:tcPr>
            <w:tcW w:w="1563" w:type="dxa"/>
            <w:tcBorders>
              <w:top w:val="single" w:sz="4" w:space="0" w:color="auto"/>
              <w:left w:val="single" w:sz="4" w:space="0" w:color="auto"/>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bl>
    <w:p w:rsidR="00CF7C1C" w:rsidRDefault="00CF7C1C" w:rsidP="00CF7C1C">
      <w:pPr>
        <w:pStyle w:val="Normlforrs"/>
      </w:pPr>
      <w:r w:rsidRPr="00F35797">
        <w:t>Forrás: MVH</w:t>
      </w:r>
    </w:p>
    <w:p w:rsidR="005223D2" w:rsidRPr="00E32A01" w:rsidRDefault="005223D2" w:rsidP="00E32A01">
      <w:pPr>
        <w:pStyle w:val="Normlforrs"/>
        <w:jc w:val="both"/>
        <w:rPr>
          <w:i w:val="0"/>
        </w:rPr>
      </w:pPr>
      <w:r w:rsidRPr="00E32A01">
        <w:rPr>
          <w:i w:val="0"/>
        </w:rPr>
        <w:t>A támogatásban részesülő gazdálkodók és földhasználók száma sajnálatos módon a 2011. évhez képest csökkent, ez a lemorzsolódásnak köszönhető (jogosulatlanság, kizárás). A földterületek használata az elmúlt években koncentrálódott, ezért a tervadat teljesítése nem várható a programozási időszakban. Ugyanakkor szükséges megjegyezni, hogy beavatkozás tervezett területnagyságát a végrehajtás során lefedte az intézkedés.</w:t>
      </w:r>
    </w:p>
    <w:p w:rsidR="00CF7C1C" w:rsidRPr="00F92037" w:rsidRDefault="007E5FDF" w:rsidP="00F92037">
      <w:pPr>
        <w:pStyle w:val="bra-cmetbla"/>
      </w:pPr>
      <w:fldSimple w:instr=" SEQ táblázat \* ARABIC ">
        <w:r w:rsidR="00E5031F">
          <w:rPr>
            <w:noProof/>
          </w:rPr>
          <w:t>59</w:t>
        </w:r>
      </w:fldSimple>
      <w:r w:rsidR="00673DDE">
        <w:t xml:space="preserve">. táblázat: </w:t>
      </w:r>
      <w:r w:rsidR="00CF7C1C" w:rsidRPr="00F92037">
        <w:t>214B</w:t>
      </w:r>
    </w:p>
    <w:tbl>
      <w:tblPr>
        <w:tblW w:w="9736" w:type="dxa"/>
        <w:jc w:val="center"/>
        <w:tblLayout w:type="fixed"/>
        <w:tblLook w:val="0000" w:firstRow="0" w:lastRow="0" w:firstColumn="0" w:lastColumn="0" w:noHBand="0" w:noVBand="0"/>
      </w:tblPr>
      <w:tblGrid>
        <w:gridCol w:w="638"/>
        <w:gridCol w:w="5838"/>
        <w:gridCol w:w="1842"/>
        <w:gridCol w:w="1418"/>
      </w:tblGrid>
      <w:tr w:rsidR="00CF7C1C" w:rsidRPr="00E1404B" w:rsidTr="004869BB">
        <w:trPr>
          <w:cantSplit/>
          <w:tblHeader/>
          <w:jc w:val="center"/>
        </w:trPr>
        <w:tc>
          <w:tcPr>
            <w:tcW w:w="638" w:type="dxa"/>
            <w:tcBorders>
              <w:top w:val="single" w:sz="4" w:space="0" w:color="auto"/>
              <w:left w:val="single" w:sz="4" w:space="0" w:color="auto"/>
              <w:bottom w:val="single" w:sz="4" w:space="0" w:color="auto"/>
              <w:right w:val="single" w:sz="4" w:space="0" w:color="auto"/>
            </w:tcBorders>
            <w:shd w:val="clear" w:color="auto" w:fill="B3B3B3"/>
          </w:tcPr>
          <w:p w:rsidR="00CF7C1C" w:rsidRPr="00E1404B" w:rsidRDefault="00CF7C1C" w:rsidP="00CF7C1C">
            <w:pPr>
              <w:pStyle w:val="Normltblzatban"/>
              <w:spacing w:after="0"/>
              <w:ind w:left="-10" w:right="-108" w:firstLine="0"/>
              <w:rPr>
                <w:b/>
                <w:bCs/>
                <w:sz w:val="20"/>
                <w:szCs w:val="20"/>
                <w:lang w:bidi="sa-IN"/>
              </w:rPr>
            </w:pPr>
          </w:p>
        </w:tc>
        <w:tc>
          <w:tcPr>
            <w:tcW w:w="5838" w:type="dxa"/>
            <w:tcBorders>
              <w:top w:val="single" w:sz="4" w:space="0" w:color="auto"/>
              <w:left w:val="single" w:sz="4" w:space="0" w:color="auto"/>
              <w:bottom w:val="single" w:sz="4" w:space="0" w:color="auto"/>
              <w:right w:val="single" w:sz="4" w:space="0" w:color="auto"/>
            </w:tcBorders>
            <w:shd w:val="clear" w:color="auto" w:fill="B3B3B3"/>
            <w:vAlign w:val="center"/>
          </w:tcPr>
          <w:p w:rsidR="00CF7C1C" w:rsidRPr="00E1404B" w:rsidRDefault="00CF7C1C" w:rsidP="00CF7C1C">
            <w:pPr>
              <w:pStyle w:val="Normltblzatban"/>
              <w:spacing w:after="0"/>
              <w:ind w:left="0" w:firstLine="0"/>
              <w:jc w:val="center"/>
              <w:rPr>
                <w:sz w:val="20"/>
                <w:szCs w:val="20"/>
              </w:rPr>
            </w:pPr>
            <w:r w:rsidRPr="00E1404B">
              <w:rPr>
                <w:b/>
                <w:bCs/>
                <w:sz w:val="20"/>
                <w:szCs w:val="20"/>
                <w:lang w:bidi="sa-IN"/>
              </w:rPr>
              <w:t>Indikátor leírása</w:t>
            </w:r>
          </w:p>
        </w:tc>
        <w:tc>
          <w:tcPr>
            <w:tcW w:w="1842" w:type="dxa"/>
            <w:tcBorders>
              <w:top w:val="single" w:sz="4" w:space="0" w:color="auto"/>
              <w:left w:val="nil"/>
              <w:bottom w:val="single" w:sz="4" w:space="0" w:color="auto"/>
              <w:right w:val="single" w:sz="4" w:space="0" w:color="auto"/>
            </w:tcBorders>
            <w:shd w:val="clear" w:color="auto" w:fill="B3B3B3"/>
            <w:noWrap/>
          </w:tcPr>
          <w:p w:rsidR="00CF7C1C" w:rsidRPr="00BD037E" w:rsidRDefault="00CF7C1C" w:rsidP="00BD037E">
            <w:pPr>
              <w:spacing w:after="0"/>
              <w:jc w:val="center"/>
            </w:pPr>
            <w:r w:rsidRPr="00BD037E">
              <w:t>Program szerinti tervadat</w:t>
            </w:r>
          </w:p>
        </w:tc>
        <w:tc>
          <w:tcPr>
            <w:tcW w:w="1418" w:type="dxa"/>
            <w:tcBorders>
              <w:top w:val="single" w:sz="4" w:space="0" w:color="auto"/>
              <w:left w:val="nil"/>
              <w:bottom w:val="single" w:sz="4" w:space="0" w:color="auto"/>
              <w:right w:val="single" w:sz="4" w:space="0" w:color="auto"/>
            </w:tcBorders>
            <w:shd w:val="clear" w:color="auto" w:fill="B3B3B3"/>
          </w:tcPr>
          <w:p w:rsidR="00CF7C1C" w:rsidRPr="00E1404B" w:rsidRDefault="00CF7C1C" w:rsidP="00CF7C1C">
            <w:pPr>
              <w:pStyle w:val="Normltblzatban"/>
              <w:spacing w:after="0"/>
              <w:ind w:left="0" w:firstLine="0"/>
              <w:jc w:val="center"/>
              <w:rPr>
                <w:b/>
                <w:bCs/>
                <w:sz w:val="20"/>
                <w:szCs w:val="20"/>
                <w:lang w:bidi="sa-IN"/>
              </w:rPr>
            </w:pPr>
            <w:r w:rsidRPr="00E1404B">
              <w:rPr>
                <w:b/>
                <w:sz w:val="20"/>
                <w:szCs w:val="20"/>
              </w:rPr>
              <w:t>Indikátorok kumulált értéke</w:t>
            </w:r>
          </w:p>
        </w:tc>
      </w:tr>
      <w:tr w:rsidR="00CF7C1C" w:rsidRPr="00E1404B" w:rsidTr="004869BB">
        <w:trPr>
          <w:cantSplit/>
          <w:jc w:val="center"/>
        </w:trPr>
        <w:tc>
          <w:tcPr>
            <w:tcW w:w="638" w:type="dxa"/>
            <w:vMerge w:val="restart"/>
            <w:tcBorders>
              <w:top w:val="single" w:sz="4" w:space="0" w:color="auto"/>
              <w:left w:val="single" w:sz="4" w:space="0" w:color="auto"/>
              <w:right w:val="single" w:sz="4" w:space="0" w:color="auto"/>
            </w:tcBorders>
          </w:tcPr>
          <w:p w:rsidR="00CF7C1C" w:rsidRPr="00E1404B" w:rsidRDefault="00CF7C1C" w:rsidP="00CF7C1C">
            <w:pPr>
              <w:pStyle w:val="Normltblzatban"/>
              <w:spacing w:after="0"/>
              <w:ind w:left="-10" w:right="-108" w:firstLine="0"/>
              <w:rPr>
                <w:b/>
                <w:bCs/>
                <w:sz w:val="20"/>
                <w:szCs w:val="20"/>
                <w:lang w:bidi="sa-IN"/>
              </w:rPr>
            </w:pPr>
            <w:r w:rsidRPr="00E1404B">
              <w:rPr>
                <w:b/>
                <w:bCs/>
                <w:sz w:val="20"/>
                <w:szCs w:val="20"/>
                <w:lang w:bidi="sa-IN"/>
              </w:rPr>
              <w:t>O</w:t>
            </w: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ind w:left="0" w:firstLine="0"/>
              <w:rPr>
                <w:b/>
                <w:sz w:val="20"/>
                <w:szCs w:val="20"/>
              </w:rPr>
            </w:pPr>
            <w:r w:rsidRPr="00E1404B">
              <w:rPr>
                <w:b/>
                <w:bCs/>
                <w:sz w:val="20"/>
                <w:szCs w:val="20"/>
                <w:lang w:bidi="sa-IN"/>
              </w:rPr>
              <w:t>Támogatásban részesülő gazdálkodók és földhasználók száma</w:t>
            </w:r>
          </w:p>
        </w:tc>
        <w:tc>
          <w:tcPr>
            <w:tcW w:w="1842" w:type="dxa"/>
            <w:tcBorders>
              <w:top w:val="nil"/>
              <w:left w:val="nil"/>
              <w:bottom w:val="single" w:sz="4" w:space="0" w:color="auto"/>
              <w:right w:val="single" w:sz="4" w:space="0" w:color="auto"/>
            </w:tcBorders>
          </w:tcPr>
          <w:p w:rsidR="00CF7C1C" w:rsidRPr="00E1404B" w:rsidRDefault="00CF7C1C" w:rsidP="004869BB">
            <w:pPr>
              <w:pStyle w:val="Normltblajobb"/>
            </w:pPr>
            <w:r w:rsidRPr="00E1404B">
              <w:t>850</w:t>
            </w:r>
          </w:p>
        </w:tc>
        <w:tc>
          <w:tcPr>
            <w:tcW w:w="1418" w:type="dxa"/>
            <w:tcBorders>
              <w:top w:val="nil"/>
              <w:left w:val="nil"/>
              <w:bottom w:val="single" w:sz="4" w:space="0" w:color="auto"/>
              <w:right w:val="single" w:sz="4" w:space="0" w:color="auto"/>
            </w:tcBorders>
          </w:tcPr>
          <w:p w:rsidR="00CF7C1C" w:rsidRPr="002B4681" w:rsidRDefault="00CF7C1C" w:rsidP="00CF7C1C">
            <w:pPr>
              <w:pStyle w:val="Normltblzatban"/>
              <w:tabs>
                <w:tab w:val="left" w:pos="300"/>
              </w:tabs>
              <w:spacing w:after="0"/>
              <w:jc w:val="right"/>
              <w:rPr>
                <w:sz w:val="20"/>
                <w:szCs w:val="20"/>
                <w:highlight w:val="yellow"/>
              </w:rPr>
            </w:pPr>
            <w:r w:rsidRPr="002B4681">
              <w:rPr>
                <w:sz w:val="20"/>
                <w:szCs w:val="20"/>
              </w:rPr>
              <w:t>620</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Ebből Natura 2000 területen</w:t>
            </w:r>
          </w:p>
        </w:tc>
        <w:tc>
          <w:tcPr>
            <w:tcW w:w="1842" w:type="dxa"/>
            <w:tcBorders>
              <w:top w:val="nil"/>
              <w:left w:val="nil"/>
              <w:bottom w:val="single" w:sz="4" w:space="0" w:color="auto"/>
              <w:right w:val="single" w:sz="4" w:space="0" w:color="auto"/>
            </w:tcBorders>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2B4681" w:rsidRDefault="00CF7C1C" w:rsidP="00CF7C1C">
            <w:pPr>
              <w:pStyle w:val="Normltblzatban"/>
              <w:spacing w:after="0"/>
              <w:jc w:val="center"/>
              <w:rPr>
                <w:sz w:val="20"/>
                <w:szCs w:val="20"/>
                <w:highlight w:val="yellow"/>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pStyle w:val="Normltblzatban"/>
              <w:spacing w:after="0"/>
              <w:ind w:left="-10" w:right="-108" w:firstLine="0"/>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ind w:left="0" w:firstLine="0"/>
              <w:rPr>
                <w:sz w:val="20"/>
                <w:szCs w:val="20"/>
              </w:rPr>
            </w:pPr>
            <w:r w:rsidRPr="00E1404B">
              <w:rPr>
                <w:sz w:val="20"/>
                <w:szCs w:val="20"/>
                <w:lang w:bidi="sa-IN"/>
              </w:rPr>
              <w:t>Támogatásban részesülők megoszlása</w:t>
            </w:r>
          </w:p>
        </w:tc>
        <w:tc>
          <w:tcPr>
            <w:tcW w:w="1842" w:type="dxa"/>
            <w:tcBorders>
              <w:top w:val="nil"/>
              <w:left w:val="nil"/>
              <w:bottom w:val="single" w:sz="4" w:space="0" w:color="auto"/>
              <w:right w:val="single" w:sz="4" w:space="0" w:color="auto"/>
            </w:tcBorders>
          </w:tcPr>
          <w:p w:rsidR="00CF7C1C" w:rsidRPr="00E1404B" w:rsidRDefault="00CF7C1C" w:rsidP="004869BB">
            <w:pPr>
              <w:pStyle w:val="Normltblajobb"/>
            </w:pPr>
          </w:p>
        </w:tc>
        <w:tc>
          <w:tcPr>
            <w:tcW w:w="1418" w:type="dxa"/>
            <w:tcBorders>
              <w:top w:val="nil"/>
              <w:left w:val="nil"/>
              <w:bottom w:val="single" w:sz="4" w:space="0" w:color="auto"/>
              <w:right w:val="single" w:sz="4" w:space="0" w:color="auto"/>
            </w:tcBorders>
          </w:tcPr>
          <w:p w:rsidR="00CF7C1C" w:rsidRPr="002B4681" w:rsidRDefault="00CF7C1C" w:rsidP="00CF7C1C">
            <w:pPr>
              <w:pStyle w:val="Normltblzatban"/>
              <w:spacing w:after="0"/>
              <w:jc w:val="center"/>
              <w:rPr>
                <w:sz w:val="20"/>
                <w:szCs w:val="20"/>
                <w:highlight w:val="yellow"/>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rPr>
              <w:t>Gazdálkodók</w:t>
            </w:r>
          </w:p>
        </w:tc>
        <w:tc>
          <w:tcPr>
            <w:tcW w:w="1842" w:type="dxa"/>
            <w:tcBorders>
              <w:top w:val="nil"/>
              <w:left w:val="nil"/>
              <w:bottom w:val="single" w:sz="4" w:space="0" w:color="auto"/>
              <w:right w:val="single" w:sz="4" w:space="0" w:color="auto"/>
            </w:tcBorders>
          </w:tcPr>
          <w:p w:rsidR="00CF7C1C" w:rsidRPr="00E1404B" w:rsidRDefault="00CF7C1C" w:rsidP="004869BB">
            <w:pPr>
              <w:pStyle w:val="Normltblajobb"/>
            </w:pPr>
            <w:r w:rsidRPr="00E1404B">
              <w:t>750</w:t>
            </w:r>
          </w:p>
        </w:tc>
        <w:tc>
          <w:tcPr>
            <w:tcW w:w="1418"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80</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rPr>
              <w:t>Egyéb földhasználók</w:t>
            </w:r>
          </w:p>
        </w:tc>
        <w:tc>
          <w:tcPr>
            <w:tcW w:w="1842" w:type="dxa"/>
            <w:tcBorders>
              <w:top w:val="nil"/>
              <w:left w:val="nil"/>
              <w:bottom w:val="single" w:sz="4" w:space="0" w:color="auto"/>
              <w:right w:val="single" w:sz="4" w:space="0" w:color="auto"/>
            </w:tcBorders>
          </w:tcPr>
          <w:p w:rsidR="00CF7C1C" w:rsidRPr="00E1404B" w:rsidRDefault="00CF7C1C" w:rsidP="004869BB">
            <w:pPr>
              <w:pStyle w:val="Normltblajobb"/>
            </w:pPr>
            <w:r w:rsidRPr="00E1404B">
              <w:t>100</w:t>
            </w:r>
          </w:p>
        </w:tc>
        <w:tc>
          <w:tcPr>
            <w:tcW w:w="1418"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540</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pStyle w:val="Normltblzatban"/>
              <w:spacing w:after="0"/>
              <w:ind w:left="-10" w:right="-108" w:firstLine="0"/>
              <w:rPr>
                <w:b/>
                <w:bCs/>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rPr>
                <w:bCs/>
                <w:sz w:val="20"/>
                <w:szCs w:val="20"/>
              </w:rPr>
            </w:pPr>
            <w:r w:rsidRPr="00E1404B">
              <w:rPr>
                <w:b/>
                <w:bCs/>
                <w:sz w:val="20"/>
                <w:szCs w:val="20"/>
                <w:lang w:bidi="sa-IN"/>
              </w:rPr>
              <w:t>AKG támogatással érintett összes terület</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C01615" w:rsidRDefault="00C66BA0" w:rsidP="00C66BA0">
            <w:pPr>
              <w:pStyle w:val="Normltblzatban"/>
              <w:spacing w:after="0"/>
              <w:jc w:val="right"/>
              <w:rPr>
                <w:sz w:val="20"/>
                <w:szCs w:val="20"/>
              </w:rPr>
            </w:pPr>
            <w:r w:rsidRPr="00C01615">
              <w:rPr>
                <w:sz w:val="20"/>
                <w:szCs w:val="20"/>
              </w:rPr>
              <w:t>140 108,76</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C01615" w:rsidRDefault="00C66BA0" w:rsidP="00C66BA0">
            <w:pPr>
              <w:pStyle w:val="Normltblzatban"/>
              <w:spacing w:after="0"/>
              <w:jc w:val="right"/>
              <w:rPr>
                <w:sz w:val="20"/>
                <w:szCs w:val="20"/>
              </w:rPr>
            </w:pPr>
            <w:r w:rsidRPr="00C01615">
              <w:rPr>
                <w:sz w:val="20"/>
                <w:szCs w:val="20"/>
              </w:rPr>
              <w:t>41 561,04</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pStyle w:val="Normltblzatban"/>
              <w:spacing w:after="0"/>
              <w:ind w:left="-10" w:right="-108" w:firstLine="0"/>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ind w:left="0" w:firstLine="0"/>
              <w:rPr>
                <w:sz w:val="20"/>
                <w:szCs w:val="20"/>
              </w:rPr>
            </w:pPr>
            <w:r w:rsidRPr="00E1404B">
              <w:rPr>
                <w:sz w:val="20"/>
                <w:szCs w:val="20"/>
                <w:lang w:bidi="sa-IN"/>
              </w:rPr>
              <w:t>A kötelezettség vállalás „kora” szerinti megoszlás</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p>
        </w:tc>
        <w:tc>
          <w:tcPr>
            <w:tcW w:w="1418" w:type="dxa"/>
            <w:tcBorders>
              <w:top w:val="nil"/>
              <w:left w:val="nil"/>
              <w:bottom w:val="single" w:sz="4" w:space="0" w:color="auto"/>
              <w:right w:val="single" w:sz="4" w:space="0" w:color="auto"/>
            </w:tcBorders>
          </w:tcPr>
          <w:p w:rsidR="00CF7C1C" w:rsidRPr="00C01615" w:rsidRDefault="00CF7C1C" w:rsidP="00CF7C1C">
            <w:pPr>
              <w:pStyle w:val="Normltblzatban"/>
              <w:spacing w:after="0"/>
              <w:jc w:val="center"/>
              <w:rPr>
                <w:sz w:val="20"/>
                <w:szCs w:val="20"/>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rPr>
              <w:t>Jelenlegi</w:t>
            </w:r>
            <w:r w:rsidRPr="00E1404B">
              <w:rPr>
                <w:sz w:val="20"/>
                <w:szCs w:val="20"/>
                <w:lang w:bidi="sa-IN"/>
              </w:rPr>
              <w:t xml:space="preserve"> kötelezettségvállalással érintett terület a következő rendeletek szerint</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C01615" w:rsidRDefault="00CF7C1C" w:rsidP="00CF7C1C">
            <w:pPr>
              <w:pStyle w:val="Normltblzatban"/>
              <w:spacing w:after="0"/>
              <w:jc w:val="center"/>
              <w:rPr>
                <w:sz w:val="20"/>
                <w:szCs w:val="20"/>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 xml:space="preserve">Új </w:t>
            </w:r>
            <w:r w:rsidRPr="00E1404B">
              <w:rPr>
                <w:sz w:val="20"/>
                <w:szCs w:val="20"/>
              </w:rPr>
              <w:t>kötelezettségvállalással</w:t>
            </w:r>
            <w:r w:rsidRPr="00E1404B">
              <w:rPr>
                <w:sz w:val="20"/>
                <w:szCs w:val="20"/>
                <w:lang w:bidi="sa-IN"/>
              </w:rPr>
              <w:t xml:space="preserve"> érintett terület</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C01615" w:rsidRDefault="00C66BA0" w:rsidP="00C66BA0">
            <w:pPr>
              <w:pStyle w:val="Normltblzatban"/>
              <w:spacing w:after="0"/>
              <w:jc w:val="right"/>
              <w:rPr>
                <w:sz w:val="20"/>
                <w:szCs w:val="20"/>
              </w:rPr>
            </w:pPr>
            <w:r w:rsidRPr="00C01615">
              <w:rPr>
                <w:sz w:val="20"/>
                <w:szCs w:val="20"/>
              </w:rPr>
              <w:t>140 108,76</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pStyle w:val="Normltblzatban"/>
              <w:spacing w:after="0"/>
              <w:ind w:left="-10" w:right="-108" w:firstLine="0"/>
              <w:rPr>
                <w:b/>
                <w:bCs/>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rPr>
                <w:b/>
                <w:sz w:val="20"/>
                <w:szCs w:val="20"/>
              </w:rPr>
            </w:pPr>
            <w:r w:rsidRPr="00E1404B">
              <w:rPr>
                <w:b/>
                <w:bCs/>
                <w:sz w:val="20"/>
                <w:szCs w:val="20"/>
                <w:lang w:bidi="sa-IN"/>
              </w:rPr>
              <w:t>AKG támogatásban részesülő fizikai terület</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C01615" w:rsidRDefault="00C66BA0" w:rsidP="00C66BA0">
            <w:pPr>
              <w:pStyle w:val="Normltblzatban"/>
              <w:spacing w:after="0"/>
              <w:jc w:val="right"/>
              <w:rPr>
                <w:sz w:val="20"/>
                <w:szCs w:val="20"/>
              </w:rPr>
            </w:pPr>
            <w:r w:rsidRPr="00C01615">
              <w:rPr>
                <w:sz w:val="20"/>
                <w:szCs w:val="20"/>
              </w:rPr>
              <w:t>116 998,77</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Ebből Natura 2000 területen</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C01615" w:rsidRDefault="00C66BA0" w:rsidP="00C66BA0">
            <w:pPr>
              <w:pStyle w:val="Normltblzatban"/>
              <w:spacing w:after="0"/>
              <w:jc w:val="right"/>
              <w:rPr>
                <w:sz w:val="20"/>
                <w:szCs w:val="20"/>
              </w:rPr>
            </w:pPr>
            <w:r w:rsidRPr="00C01615">
              <w:rPr>
                <w:sz w:val="20"/>
                <w:szCs w:val="20"/>
              </w:rPr>
              <w:t>41 083,45</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pStyle w:val="Normltblzatban"/>
              <w:spacing w:after="0"/>
              <w:ind w:left="-10" w:right="-108" w:firstLine="0"/>
              <w:rPr>
                <w:b/>
                <w:bCs/>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CF7C1C">
            <w:pPr>
              <w:pStyle w:val="Normltblzatban"/>
              <w:spacing w:after="0"/>
              <w:rPr>
                <w:b/>
                <w:sz w:val="20"/>
                <w:szCs w:val="20"/>
              </w:rPr>
            </w:pPr>
            <w:r w:rsidRPr="00E1404B">
              <w:rPr>
                <w:b/>
                <w:bCs/>
                <w:sz w:val="20"/>
                <w:szCs w:val="20"/>
                <w:lang w:bidi="sa-IN"/>
              </w:rPr>
              <w:t>Szerződések összes száma</w:t>
            </w:r>
          </w:p>
        </w:tc>
        <w:tc>
          <w:tcPr>
            <w:tcW w:w="1842" w:type="dxa"/>
            <w:tcBorders>
              <w:top w:val="nil"/>
              <w:left w:val="nil"/>
              <w:bottom w:val="single" w:sz="4" w:space="0" w:color="auto"/>
              <w:right w:val="single" w:sz="4" w:space="0" w:color="auto"/>
            </w:tcBorders>
            <w:noWrap/>
            <w:vAlign w:val="center"/>
          </w:tcPr>
          <w:p w:rsidR="00CF7C1C" w:rsidRPr="00E1404B" w:rsidRDefault="00CF7C1C" w:rsidP="004869BB">
            <w:pPr>
              <w:pStyle w:val="Normltblajobb"/>
            </w:pPr>
            <w:r w:rsidRPr="00E1404B">
              <w:t>850</w:t>
            </w:r>
          </w:p>
        </w:tc>
        <w:tc>
          <w:tcPr>
            <w:tcW w:w="1418" w:type="dxa"/>
            <w:tcBorders>
              <w:top w:val="nil"/>
              <w:left w:val="nil"/>
              <w:bottom w:val="single" w:sz="4" w:space="0" w:color="auto"/>
              <w:right w:val="single" w:sz="4" w:space="0" w:color="auto"/>
            </w:tcBorders>
          </w:tcPr>
          <w:p w:rsidR="00CF7C1C" w:rsidRPr="00C01615" w:rsidRDefault="00C66BA0" w:rsidP="00C66BA0">
            <w:pPr>
              <w:pStyle w:val="Normltblzatban"/>
              <w:spacing w:after="0"/>
              <w:jc w:val="right"/>
              <w:rPr>
                <w:sz w:val="20"/>
                <w:szCs w:val="20"/>
              </w:rPr>
            </w:pPr>
            <w:r w:rsidRPr="00C01615">
              <w:rPr>
                <w:sz w:val="20"/>
                <w:szCs w:val="20"/>
              </w:rPr>
              <w:t>620</w:t>
            </w: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E1404B" w:rsidRDefault="00CF7C1C" w:rsidP="00CF7C1C">
            <w:pPr>
              <w:pStyle w:val="Normltblzatban"/>
              <w:spacing w:after="0"/>
              <w:jc w:val="center"/>
              <w:rPr>
                <w:sz w:val="20"/>
                <w:szCs w:val="20"/>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pStyle w:val="Normltblzatban"/>
              <w:spacing w:after="0"/>
              <w:ind w:left="-10" w:right="-108" w:firstLine="0"/>
              <w:rPr>
                <w:b/>
                <w:bCs/>
                <w:sz w:val="20"/>
                <w:szCs w:val="20"/>
                <w:lang w:bidi="sa-IN"/>
              </w:rPr>
            </w:pPr>
          </w:p>
        </w:tc>
        <w:tc>
          <w:tcPr>
            <w:tcW w:w="5838" w:type="dxa"/>
            <w:vMerge w:val="restart"/>
            <w:tcBorders>
              <w:top w:val="single" w:sz="4" w:space="0" w:color="auto"/>
              <w:left w:val="single" w:sz="4" w:space="0" w:color="auto"/>
              <w:right w:val="single" w:sz="4" w:space="0" w:color="auto"/>
            </w:tcBorders>
          </w:tcPr>
          <w:p w:rsidR="00CF7C1C" w:rsidRPr="00E1404B" w:rsidRDefault="00CF7C1C" w:rsidP="00CF7C1C">
            <w:pPr>
              <w:pStyle w:val="Normltblzatban"/>
              <w:spacing w:after="0"/>
              <w:rPr>
                <w:b/>
                <w:bCs/>
                <w:sz w:val="20"/>
                <w:szCs w:val="20"/>
                <w:lang w:bidi="sa-IN"/>
              </w:rPr>
            </w:pPr>
            <w:r w:rsidRPr="00E1404B">
              <w:rPr>
                <w:b/>
                <w:bCs/>
                <w:sz w:val="20"/>
                <w:szCs w:val="20"/>
                <w:lang w:bidi="sa-IN"/>
              </w:rPr>
              <w:t>Genetikai forrásokra vonatkozó intézkedések száma</w:t>
            </w:r>
          </w:p>
          <w:p w:rsidR="00CF7C1C" w:rsidRPr="00E1404B" w:rsidRDefault="00CF7C1C" w:rsidP="00CF7C1C">
            <w:pPr>
              <w:spacing w:after="0"/>
              <w:rPr>
                <w:sz w:val="20"/>
                <w:szCs w:val="20"/>
              </w:rPr>
            </w:pPr>
            <w:r w:rsidRPr="00E1404B">
              <w:rPr>
                <w:sz w:val="20"/>
                <w:szCs w:val="20"/>
              </w:rPr>
              <w:t>Az intézkedés típusa</w:t>
            </w:r>
          </w:p>
          <w:p w:rsidR="00CF7C1C" w:rsidRPr="00E1404B" w:rsidRDefault="00CF7C1C" w:rsidP="00495C8B">
            <w:pPr>
              <w:pStyle w:val="Normltblzatban"/>
              <w:numPr>
                <w:ilvl w:val="0"/>
                <w:numId w:val="53"/>
              </w:numPr>
              <w:spacing w:after="0"/>
              <w:jc w:val="left"/>
              <w:rPr>
                <w:sz w:val="20"/>
                <w:szCs w:val="20"/>
                <w:lang w:bidi="sa-IN"/>
              </w:rPr>
            </w:pPr>
            <w:r w:rsidRPr="00E1404B">
              <w:rPr>
                <w:sz w:val="20"/>
                <w:szCs w:val="20"/>
              </w:rPr>
              <w:t>Célzott intézkedések</w:t>
            </w:r>
          </w:p>
        </w:tc>
        <w:tc>
          <w:tcPr>
            <w:tcW w:w="1842" w:type="dxa"/>
            <w:vMerge w:val="restart"/>
            <w:tcBorders>
              <w:top w:val="nil"/>
              <w:left w:val="nil"/>
              <w:right w:val="single" w:sz="4" w:space="0" w:color="auto"/>
            </w:tcBorders>
            <w:noWrap/>
          </w:tcPr>
          <w:p w:rsidR="00CF7C1C" w:rsidRPr="00E1404B" w:rsidRDefault="00CF7C1C" w:rsidP="004869BB">
            <w:pPr>
              <w:pStyle w:val="Normltblajobb"/>
            </w:pPr>
          </w:p>
        </w:tc>
        <w:tc>
          <w:tcPr>
            <w:tcW w:w="1418" w:type="dxa"/>
            <w:tcBorders>
              <w:top w:val="nil"/>
              <w:left w:val="nil"/>
              <w:right w:val="single" w:sz="4" w:space="0" w:color="auto"/>
            </w:tcBorders>
          </w:tcPr>
          <w:p w:rsidR="00CF7C1C" w:rsidRPr="00E1404B" w:rsidRDefault="00CF7C1C" w:rsidP="00CF7C1C">
            <w:pPr>
              <w:pStyle w:val="Normltblzatban"/>
              <w:spacing w:after="0"/>
              <w:ind w:left="0" w:firstLine="0"/>
              <w:jc w:val="center"/>
              <w:rPr>
                <w:sz w:val="20"/>
                <w:szCs w:val="20"/>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pStyle w:val="Normltblzatban"/>
              <w:spacing w:after="0"/>
              <w:ind w:left="-10" w:right="-108" w:firstLine="0"/>
              <w:rPr>
                <w:sz w:val="20"/>
                <w:szCs w:val="20"/>
              </w:rPr>
            </w:pPr>
          </w:p>
        </w:tc>
        <w:tc>
          <w:tcPr>
            <w:tcW w:w="5838" w:type="dxa"/>
            <w:vMerge/>
            <w:tcBorders>
              <w:left w:val="single" w:sz="4" w:space="0" w:color="auto"/>
              <w:bottom w:val="single" w:sz="4" w:space="0" w:color="auto"/>
              <w:right w:val="single" w:sz="4" w:space="0" w:color="auto"/>
            </w:tcBorders>
            <w:vAlign w:val="center"/>
          </w:tcPr>
          <w:p w:rsidR="00CF7C1C" w:rsidRPr="00E1404B" w:rsidRDefault="00CF7C1C" w:rsidP="00495C8B">
            <w:pPr>
              <w:pStyle w:val="Normltblzatban"/>
              <w:numPr>
                <w:ilvl w:val="0"/>
                <w:numId w:val="53"/>
              </w:numPr>
              <w:spacing w:after="0"/>
              <w:jc w:val="left"/>
              <w:rPr>
                <w:sz w:val="20"/>
                <w:szCs w:val="20"/>
              </w:rPr>
            </w:pPr>
          </w:p>
        </w:tc>
        <w:tc>
          <w:tcPr>
            <w:tcW w:w="1842" w:type="dxa"/>
            <w:vMerge/>
            <w:tcBorders>
              <w:left w:val="nil"/>
              <w:bottom w:val="single" w:sz="4" w:space="0" w:color="auto"/>
              <w:right w:val="single" w:sz="4" w:space="0" w:color="auto"/>
            </w:tcBorders>
            <w:noWrap/>
          </w:tcPr>
          <w:p w:rsidR="00CF7C1C" w:rsidRPr="00E1404B" w:rsidRDefault="00CF7C1C" w:rsidP="004869BB">
            <w:pPr>
              <w:pStyle w:val="Normltblajobb"/>
            </w:pPr>
          </w:p>
        </w:tc>
        <w:tc>
          <w:tcPr>
            <w:tcW w:w="1418" w:type="dxa"/>
            <w:tcBorders>
              <w:left w:val="nil"/>
              <w:bottom w:val="single" w:sz="4" w:space="0" w:color="auto"/>
              <w:right w:val="single" w:sz="4" w:space="0" w:color="auto"/>
            </w:tcBorders>
          </w:tcPr>
          <w:p w:rsidR="00CF7C1C" w:rsidRPr="00E1404B" w:rsidRDefault="00CF7C1C" w:rsidP="00CF7C1C">
            <w:pPr>
              <w:pStyle w:val="Normltblzatban"/>
              <w:spacing w:after="0"/>
              <w:jc w:val="center"/>
              <w:rPr>
                <w:sz w:val="20"/>
                <w:szCs w:val="20"/>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lang w:bidi="sa-IN"/>
              </w:rPr>
            </w:pPr>
            <w:r w:rsidRPr="00E1404B">
              <w:rPr>
                <w:sz w:val="20"/>
                <w:szCs w:val="20"/>
                <w:lang w:bidi="sa-IN"/>
              </w:rPr>
              <w:t xml:space="preserve">Termények </w:t>
            </w:r>
            <w:r w:rsidRPr="00E1404B">
              <w:rPr>
                <w:sz w:val="20"/>
                <w:szCs w:val="20"/>
              </w:rPr>
              <w:t>genetikai</w:t>
            </w:r>
            <w:r w:rsidRPr="00E1404B">
              <w:rPr>
                <w:sz w:val="20"/>
                <w:szCs w:val="20"/>
                <w:lang w:bidi="sa-IN"/>
              </w:rPr>
              <w:t xml:space="preserve"> forrásai</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E1404B" w:rsidRDefault="00CF7C1C" w:rsidP="00CF7C1C">
            <w:pPr>
              <w:pStyle w:val="Normltblzatban"/>
              <w:spacing w:after="0"/>
              <w:ind w:left="0" w:firstLine="0"/>
              <w:jc w:val="center"/>
              <w:rPr>
                <w:sz w:val="20"/>
                <w:szCs w:val="20"/>
              </w:rPr>
            </w:pPr>
          </w:p>
        </w:tc>
      </w:tr>
      <w:tr w:rsidR="00CF7C1C" w:rsidRPr="00E1404B" w:rsidTr="004869BB">
        <w:trPr>
          <w:cantSplit/>
          <w:jc w:val="center"/>
        </w:trPr>
        <w:tc>
          <w:tcPr>
            <w:tcW w:w="638" w:type="dxa"/>
            <w:vMerge/>
            <w:tcBorders>
              <w:left w:val="single" w:sz="4" w:space="0" w:color="auto"/>
              <w:right w:val="single" w:sz="4" w:space="0" w:color="auto"/>
            </w:tcBorders>
          </w:tcPr>
          <w:p w:rsidR="00CF7C1C" w:rsidRPr="00E1404B" w:rsidRDefault="00CF7C1C" w:rsidP="00CF7C1C">
            <w:pPr>
              <w:spacing w:after="0"/>
              <w:ind w:left="-10" w:right="-108"/>
              <w:jc w:val="left"/>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tcPr>
          <w:p w:rsidR="00CF7C1C" w:rsidRPr="00E1404B" w:rsidRDefault="00CF7C1C" w:rsidP="0033390A">
            <w:pPr>
              <w:numPr>
                <w:ilvl w:val="0"/>
                <w:numId w:val="80"/>
              </w:numPr>
              <w:spacing w:after="0"/>
              <w:rPr>
                <w:sz w:val="20"/>
                <w:szCs w:val="20"/>
                <w:lang w:bidi="sa-IN"/>
              </w:rPr>
            </w:pPr>
            <w:r w:rsidRPr="00E1404B">
              <w:rPr>
                <w:sz w:val="20"/>
                <w:szCs w:val="20"/>
                <w:lang w:bidi="sa-IN"/>
              </w:rPr>
              <w:t xml:space="preserve">Állatok </w:t>
            </w:r>
            <w:r w:rsidRPr="00E1404B">
              <w:rPr>
                <w:sz w:val="20"/>
                <w:szCs w:val="20"/>
              </w:rPr>
              <w:t>genetikai</w:t>
            </w:r>
            <w:r w:rsidRPr="00E1404B">
              <w:rPr>
                <w:sz w:val="20"/>
                <w:szCs w:val="20"/>
                <w:lang w:bidi="sa-IN"/>
              </w:rPr>
              <w:t xml:space="preserve"> forrásai</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14 000</w:t>
            </w:r>
          </w:p>
        </w:tc>
        <w:tc>
          <w:tcPr>
            <w:tcW w:w="1418" w:type="dxa"/>
            <w:tcBorders>
              <w:top w:val="nil"/>
              <w:left w:val="nil"/>
              <w:bottom w:val="single" w:sz="4" w:space="0" w:color="auto"/>
              <w:right w:val="single" w:sz="4" w:space="0" w:color="auto"/>
            </w:tcBorders>
          </w:tcPr>
          <w:p w:rsidR="00CF7C1C" w:rsidRPr="00E1404B" w:rsidRDefault="00C66BA0" w:rsidP="007B66C7">
            <w:pPr>
              <w:pStyle w:val="Normltblzatban"/>
              <w:spacing w:after="0"/>
              <w:ind w:left="0" w:firstLine="0"/>
              <w:jc w:val="right"/>
              <w:rPr>
                <w:sz w:val="20"/>
                <w:szCs w:val="20"/>
              </w:rPr>
            </w:pPr>
            <w:r>
              <w:rPr>
                <w:sz w:val="20"/>
                <w:szCs w:val="20"/>
              </w:rPr>
              <w:t>25 608,69</w:t>
            </w:r>
          </w:p>
        </w:tc>
      </w:tr>
      <w:tr w:rsidR="00CF7C1C" w:rsidRPr="00E1404B" w:rsidTr="004869BB">
        <w:trPr>
          <w:cantSplit/>
          <w:jc w:val="center"/>
        </w:trPr>
        <w:tc>
          <w:tcPr>
            <w:tcW w:w="638" w:type="dxa"/>
            <w:vMerge/>
            <w:tcBorders>
              <w:left w:val="single" w:sz="4" w:space="0" w:color="auto"/>
              <w:bottom w:val="single" w:sz="4" w:space="0" w:color="auto"/>
              <w:right w:val="single" w:sz="4" w:space="0" w:color="auto"/>
            </w:tcBorders>
          </w:tcPr>
          <w:p w:rsidR="00CF7C1C" w:rsidRPr="00E1404B" w:rsidRDefault="00CF7C1C" w:rsidP="00CF7C1C">
            <w:pPr>
              <w:pStyle w:val="Normltblzatban"/>
              <w:spacing w:after="0"/>
              <w:ind w:left="-10" w:right="-108" w:firstLine="0"/>
              <w:rPr>
                <w:sz w:val="20"/>
                <w:szCs w:val="20"/>
              </w:rPr>
            </w:pPr>
          </w:p>
        </w:tc>
        <w:tc>
          <w:tcPr>
            <w:tcW w:w="5838" w:type="dxa"/>
            <w:tcBorders>
              <w:top w:val="single" w:sz="4" w:space="0" w:color="auto"/>
              <w:left w:val="single" w:sz="4" w:space="0" w:color="auto"/>
              <w:bottom w:val="single" w:sz="4" w:space="0" w:color="auto"/>
              <w:right w:val="single" w:sz="4" w:space="0" w:color="auto"/>
            </w:tcBorders>
            <w:vAlign w:val="center"/>
          </w:tcPr>
          <w:p w:rsidR="00CF7C1C" w:rsidRPr="00E1404B" w:rsidRDefault="00CF7C1C" w:rsidP="00495C8B">
            <w:pPr>
              <w:pStyle w:val="Normltblzatban"/>
              <w:numPr>
                <w:ilvl w:val="0"/>
                <w:numId w:val="53"/>
              </w:numPr>
              <w:spacing w:after="0"/>
              <w:jc w:val="left"/>
              <w:rPr>
                <w:b/>
                <w:sz w:val="20"/>
                <w:szCs w:val="20"/>
              </w:rPr>
            </w:pPr>
            <w:r w:rsidRPr="00E1404B">
              <w:rPr>
                <w:sz w:val="20"/>
                <w:szCs w:val="20"/>
              </w:rPr>
              <w:t>Közös lépések (információcsere támogatása))</w:t>
            </w:r>
          </w:p>
        </w:tc>
        <w:tc>
          <w:tcPr>
            <w:tcW w:w="1842" w:type="dxa"/>
            <w:tcBorders>
              <w:top w:val="nil"/>
              <w:left w:val="nil"/>
              <w:bottom w:val="single" w:sz="4" w:space="0" w:color="auto"/>
              <w:right w:val="single" w:sz="4" w:space="0" w:color="auto"/>
            </w:tcBorders>
            <w:noWrap/>
          </w:tcPr>
          <w:p w:rsidR="00CF7C1C" w:rsidRPr="00E1404B" w:rsidRDefault="00CF7C1C" w:rsidP="004869BB">
            <w:pPr>
              <w:pStyle w:val="Normltblajobb"/>
            </w:pPr>
            <w:r w:rsidRPr="00E1404B">
              <w:t>Nem alkalmazható</w:t>
            </w:r>
          </w:p>
        </w:tc>
        <w:tc>
          <w:tcPr>
            <w:tcW w:w="1418" w:type="dxa"/>
            <w:tcBorders>
              <w:top w:val="nil"/>
              <w:left w:val="nil"/>
              <w:bottom w:val="single" w:sz="4" w:space="0" w:color="auto"/>
              <w:right w:val="single" w:sz="4" w:space="0" w:color="auto"/>
            </w:tcBorders>
          </w:tcPr>
          <w:p w:rsidR="00CF7C1C" w:rsidRPr="00E1404B" w:rsidRDefault="00CF7C1C" w:rsidP="00CF7C1C">
            <w:pPr>
              <w:pStyle w:val="Normltblzatban"/>
              <w:spacing w:after="0"/>
              <w:ind w:left="0" w:firstLine="0"/>
              <w:jc w:val="center"/>
              <w:rPr>
                <w:sz w:val="20"/>
                <w:szCs w:val="20"/>
              </w:rPr>
            </w:pPr>
          </w:p>
        </w:tc>
      </w:tr>
      <w:tr w:rsidR="00CF7C1C" w:rsidRPr="00331628" w:rsidTr="00331628">
        <w:trPr>
          <w:cantSplit/>
          <w:jc w:val="center"/>
        </w:trPr>
        <w:tc>
          <w:tcPr>
            <w:tcW w:w="638" w:type="dxa"/>
            <w:vMerge w:val="restart"/>
            <w:tcBorders>
              <w:top w:val="single" w:sz="4" w:space="0" w:color="auto"/>
              <w:left w:val="single" w:sz="4" w:space="0" w:color="auto"/>
              <w:right w:val="single" w:sz="4" w:space="0" w:color="auto"/>
            </w:tcBorders>
            <w:shd w:val="clear" w:color="auto" w:fill="auto"/>
          </w:tcPr>
          <w:p w:rsidR="00CF7C1C" w:rsidRPr="00331628" w:rsidRDefault="00CF7C1C" w:rsidP="00CF7C1C">
            <w:pPr>
              <w:pStyle w:val="Normltblzatban"/>
              <w:spacing w:after="0"/>
              <w:ind w:left="-10" w:right="-108" w:firstLine="0"/>
              <w:rPr>
                <w:b/>
                <w:sz w:val="20"/>
                <w:szCs w:val="20"/>
              </w:rPr>
            </w:pPr>
            <w:r w:rsidRPr="00331628">
              <w:rPr>
                <w:b/>
                <w:sz w:val="20"/>
                <w:szCs w:val="20"/>
              </w:rPr>
              <w:t>R</w:t>
            </w:r>
          </w:p>
        </w:tc>
        <w:tc>
          <w:tcPr>
            <w:tcW w:w="5838" w:type="dxa"/>
            <w:tcBorders>
              <w:top w:val="single" w:sz="4" w:space="0" w:color="auto"/>
              <w:left w:val="single" w:sz="4" w:space="0" w:color="auto"/>
              <w:bottom w:val="single" w:sz="4" w:space="0" w:color="auto"/>
              <w:right w:val="single" w:sz="4" w:space="0" w:color="auto"/>
            </w:tcBorders>
            <w:shd w:val="clear" w:color="auto" w:fill="auto"/>
            <w:vAlign w:val="center"/>
          </w:tcPr>
          <w:p w:rsidR="00CF7C1C" w:rsidRPr="00331628" w:rsidRDefault="00CF7C1C" w:rsidP="00CF7C1C">
            <w:pPr>
              <w:pStyle w:val="Normltblzatban"/>
              <w:spacing w:after="0"/>
              <w:rPr>
                <w:b/>
                <w:sz w:val="20"/>
                <w:szCs w:val="20"/>
              </w:rPr>
            </w:pPr>
            <w:r w:rsidRPr="00331628">
              <w:rPr>
                <w:b/>
                <w:sz w:val="20"/>
                <w:szCs w:val="20"/>
              </w:rPr>
              <w:t>Sikeresen megőrzött genetika források</w:t>
            </w:r>
          </w:p>
        </w:tc>
        <w:tc>
          <w:tcPr>
            <w:tcW w:w="1842" w:type="dxa"/>
            <w:tcBorders>
              <w:top w:val="nil"/>
              <w:left w:val="nil"/>
              <w:bottom w:val="single" w:sz="4" w:space="0" w:color="auto"/>
              <w:right w:val="single" w:sz="4" w:space="0" w:color="auto"/>
            </w:tcBorders>
            <w:shd w:val="clear" w:color="auto" w:fill="auto"/>
            <w:noWrap/>
            <w:tcMar>
              <w:left w:w="0" w:type="dxa"/>
            </w:tcMar>
          </w:tcPr>
          <w:p w:rsidR="00CF7C1C" w:rsidRPr="00331628" w:rsidRDefault="00CF7C1C" w:rsidP="004869BB">
            <w:pPr>
              <w:pStyle w:val="Normltblajobb"/>
              <w:ind w:left="244"/>
            </w:pPr>
            <w:r w:rsidRPr="00331628">
              <w:t>+20%</w:t>
            </w:r>
          </w:p>
        </w:tc>
        <w:tc>
          <w:tcPr>
            <w:tcW w:w="1418" w:type="dxa"/>
            <w:tcBorders>
              <w:top w:val="nil"/>
              <w:left w:val="nil"/>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r w:rsidRPr="00331628">
              <w:rPr>
                <w:sz w:val="20"/>
                <w:szCs w:val="20"/>
              </w:rPr>
              <w:t>NA</w:t>
            </w:r>
          </w:p>
        </w:tc>
      </w:tr>
      <w:tr w:rsidR="00CF7C1C" w:rsidRPr="00331628" w:rsidTr="00331628">
        <w:trPr>
          <w:cantSplit/>
          <w:jc w:val="center"/>
        </w:trPr>
        <w:tc>
          <w:tcPr>
            <w:tcW w:w="638" w:type="dxa"/>
            <w:vMerge/>
            <w:tcBorders>
              <w:left w:val="single" w:sz="4" w:space="0" w:color="auto"/>
              <w:right w:val="single" w:sz="4" w:space="0" w:color="auto"/>
            </w:tcBorders>
            <w:shd w:val="clear" w:color="auto" w:fill="auto"/>
          </w:tcPr>
          <w:p w:rsidR="00CF7C1C" w:rsidRPr="00331628" w:rsidRDefault="00CF7C1C" w:rsidP="00CF7C1C">
            <w:pPr>
              <w:pStyle w:val="Normltblzatban"/>
              <w:widowControl w:val="0"/>
              <w:spacing w:after="0"/>
              <w:ind w:left="-10" w:right="-108" w:firstLine="0"/>
              <w:rPr>
                <w:sz w:val="20"/>
                <w:szCs w:val="20"/>
                <w:lang w:bidi="sa-IN"/>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CF7C1C">
            <w:pPr>
              <w:pStyle w:val="Normltblzatban"/>
              <w:widowControl w:val="0"/>
              <w:spacing w:after="0"/>
              <w:rPr>
                <w:sz w:val="20"/>
                <w:szCs w:val="20"/>
                <w:lang w:val="en-GB" w:bidi="sa-IN"/>
              </w:rPr>
            </w:pPr>
            <w:r w:rsidRPr="00331628">
              <w:rPr>
                <w:sz w:val="20"/>
                <w:szCs w:val="20"/>
                <w:lang w:bidi="sa-IN"/>
              </w:rPr>
              <w:t>A hozzájárulás típusa</w:t>
            </w:r>
            <w:r w:rsidRPr="00331628">
              <w:rPr>
                <w:sz w:val="20"/>
                <w:szCs w:val="20"/>
                <w:lang w:val="en-GB" w:bidi="sa-IN"/>
              </w:rPr>
              <w:t xml:space="preserve"> </w:t>
            </w:r>
          </w:p>
        </w:tc>
        <w:tc>
          <w:tcPr>
            <w:tcW w:w="1842" w:type="dxa"/>
            <w:tcBorders>
              <w:top w:val="single" w:sz="4" w:space="0" w:color="auto"/>
              <w:left w:val="nil"/>
              <w:bottom w:val="single" w:sz="4" w:space="0" w:color="auto"/>
              <w:right w:val="single" w:sz="4" w:space="0" w:color="auto"/>
            </w:tcBorders>
            <w:shd w:val="clear" w:color="auto" w:fill="auto"/>
            <w:noWrap/>
            <w:tcMar>
              <w:left w:w="0" w:type="dxa"/>
            </w:tcMar>
          </w:tcPr>
          <w:p w:rsidR="00CF7C1C" w:rsidRPr="00331628" w:rsidRDefault="00CF7C1C" w:rsidP="004869BB">
            <w:pPr>
              <w:pStyle w:val="Normltblajobb"/>
            </w:pPr>
          </w:p>
        </w:tc>
        <w:tc>
          <w:tcPr>
            <w:tcW w:w="1418" w:type="dxa"/>
            <w:tcBorders>
              <w:top w:val="single" w:sz="4" w:space="0" w:color="auto"/>
              <w:left w:val="nil"/>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p>
        </w:tc>
      </w:tr>
      <w:tr w:rsidR="00CF7C1C" w:rsidRPr="00331628" w:rsidTr="00331628">
        <w:trPr>
          <w:cantSplit/>
          <w:jc w:val="center"/>
        </w:trPr>
        <w:tc>
          <w:tcPr>
            <w:tcW w:w="638" w:type="dxa"/>
            <w:vMerge/>
            <w:tcBorders>
              <w:left w:val="single" w:sz="4" w:space="0" w:color="auto"/>
              <w:right w:val="single" w:sz="4" w:space="0" w:color="auto"/>
            </w:tcBorders>
            <w:shd w:val="clear" w:color="auto" w:fill="auto"/>
          </w:tcPr>
          <w:p w:rsidR="00CF7C1C" w:rsidRPr="00331628"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33390A">
            <w:pPr>
              <w:numPr>
                <w:ilvl w:val="0"/>
                <w:numId w:val="80"/>
              </w:numPr>
              <w:spacing w:after="0"/>
              <w:rPr>
                <w:sz w:val="20"/>
                <w:szCs w:val="20"/>
              </w:rPr>
            </w:pPr>
            <w:r w:rsidRPr="00331628">
              <w:rPr>
                <w:sz w:val="20"/>
                <w:szCs w:val="20"/>
              </w:rPr>
              <w:t>A biodiverzitás növelése</w:t>
            </w:r>
          </w:p>
        </w:tc>
        <w:tc>
          <w:tcPr>
            <w:tcW w:w="1842" w:type="dxa"/>
            <w:tcBorders>
              <w:top w:val="nil"/>
              <w:left w:val="nil"/>
              <w:bottom w:val="single" w:sz="4" w:space="0" w:color="auto"/>
              <w:right w:val="single" w:sz="4" w:space="0" w:color="auto"/>
            </w:tcBorders>
            <w:shd w:val="clear" w:color="auto" w:fill="auto"/>
            <w:noWrap/>
            <w:tcMar>
              <w:left w:w="0" w:type="dxa"/>
            </w:tcMar>
          </w:tcPr>
          <w:p w:rsidR="00CF7C1C" w:rsidRPr="00331628" w:rsidRDefault="00CF7C1C" w:rsidP="004869BB">
            <w:pPr>
              <w:pStyle w:val="Normltblajobb"/>
              <w:ind w:left="244"/>
            </w:pPr>
            <w:r w:rsidRPr="00331628">
              <w:t xml:space="preserve">Közvetlen pozitív </w:t>
            </w:r>
          </w:p>
        </w:tc>
        <w:tc>
          <w:tcPr>
            <w:tcW w:w="1418" w:type="dxa"/>
            <w:tcBorders>
              <w:top w:val="nil"/>
              <w:left w:val="nil"/>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r w:rsidRPr="00331628">
              <w:rPr>
                <w:sz w:val="20"/>
                <w:szCs w:val="20"/>
              </w:rPr>
              <w:t>NA</w:t>
            </w:r>
          </w:p>
        </w:tc>
      </w:tr>
      <w:tr w:rsidR="00CF7C1C" w:rsidRPr="00331628" w:rsidTr="00331628">
        <w:trPr>
          <w:cantSplit/>
          <w:jc w:val="center"/>
        </w:trPr>
        <w:tc>
          <w:tcPr>
            <w:tcW w:w="638" w:type="dxa"/>
            <w:vMerge/>
            <w:tcBorders>
              <w:left w:val="single" w:sz="4" w:space="0" w:color="auto"/>
              <w:right w:val="single" w:sz="4" w:space="0" w:color="auto"/>
            </w:tcBorders>
            <w:shd w:val="clear" w:color="auto" w:fill="auto"/>
          </w:tcPr>
          <w:p w:rsidR="00CF7C1C" w:rsidRPr="00331628"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33390A">
            <w:pPr>
              <w:numPr>
                <w:ilvl w:val="0"/>
                <w:numId w:val="80"/>
              </w:numPr>
              <w:spacing w:after="0"/>
              <w:rPr>
                <w:sz w:val="20"/>
                <w:szCs w:val="20"/>
              </w:rPr>
            </w:pPr>
            <w:r w:rsidRPr="00331628">
              <w:rPr>
                <w:sz w:val="20"/>
                <w:szCs w:val="20"/>
              </w:rPr>
              <w:t>A vízminőség javítása</w:t>
            </w:r>
          </w:p>
        </w:tc>
        <w:tc>
          <w:tcPr>
            <w:tcW w:w="1842" w:type="dxa"/>
            <w:tcBorders>
              <w:top w:val="nil"/>
              <w:left w:val="nil"/>
              <w:bottom w:val="single" w:sz="4" w:space="0" w:color="auto"/>
              <w:right w:val="single" w:sz="4" w:space="0" w:color="auto"/>
            </w:tcBorders>
            <w:shd w:val="clear" w:color="auto" w:fill="auto"/>
            <w:noWrap/>
            <w:tcMar>
              <w:left w:w="0" w:type="dxa"/>
            </w:tcMar>
          </w:tcPr>
          <w:p w:rsidR="00CF7C1C" w:rsidRPr="00331628" w:rsidRDefault="00CF7C1C" w:rsidP="004869BB">
            <w:pPr>
              <w:pStyle w:val="Normltblajobb"/>
              <w:ind w:left="244"/>
            </w:pPr>
            <w:r w:rsidRPr="00331628">
              <w:t>Nem alkalmazható</w:t>
            </w:r>
          </w:p>
        </w:tc>
        <w:tc>
          <w:tcPr>
            <w:tcW w:w="1418" w:type="dxa"/>
            <w:tcBorders>
              <w:top w:val="nil"/>
              <w:left w:val="nil"/>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p>
        </w:tc>
      </w:tr>
      <w:tr w:rsidR="00CF7C1C" w:rsidRPr="00331628" w:rsidTr="00331628">
        <w:trPr>
          <w:cantSplit/>
          <w:jc w:val="center"/>
        </w:trPr>
        <w:tc>
          <w:tcPr>
            <w:tcW w:w="638" w:type="dxa"/>
            <w:vMerge/>
            <w:tcBorders>
              <w:left w:val="single" w:sz="4" w:space="0" w:color="auto"/>
              <w:right w:val="single" w:sz="4" w:space="0" w:color="auto"/>
            </w:tcBorders>
            <w:shd w:val="clear" w:color="auto" w:fill="auto"/>
          </w:tcPr>
          <w:p w:rsidR="00CF7C1C" w:rsidRPr="00331628"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33390A">
            <w:pPr>
              <w:numPr>
                <w:ilvl w:val="0"/>
                <w:numId w:val="80"/>
              </w:numPr>
              <w:spacing w:after="0"/>
              <w:rPr>
                <w:sz w:val="20"/>
                <w:szCs w:val="20"/>
              </w:rPr>
            </w:pPr>
            <w:r w:rsidRPr="00331628">
              <w:rPr>
                <w:sz w:val="20"/>
                <w:szCs w:val="20"/>
              </w:rPr>
              <w:t>A klímaváltozás mérséklése</w:t>
            </w:r>
          </w:p>
        </w:tc>
        <w:tc>
          <w:tcPr>
            <w:tcW w:w="1842" w:type="dxa"/>
            <w:tcBorders>
              <w:top w:val="nil"/>
              <w:left w:val="nil"/>
              <w:bottom w:val="single" w:sz="4" w:space="0" w:color="auto"/>
              <w:right w:val="single" w:sz="4" w:space="0" w:color="auto"/>
            </w:tcBorders>
            <w:shd w:val="clear" w:color="auto" w:fill="auto"/>
            <w:noWrap/>
            <w:tcMar>
              <w:left w:w="0" w:type="dxa"/>
            </w:tcMar>
          </w:tcPr>
          <w:p w:rsidR="00CF7C1C" w:rsidRPr="00331628" w:rsidRDefault="00CF7C1C" w:rsidP="004869BB">
            <w:pPr>
              <w:pStyle w:val="Normltblajobb"/>
              <w:ind w:left="244"/>
            </w:pPr>
            <w:r w:rsidRPr="00331628">
              <w:t>Nem alkalmazható</w:t>
            </w:r>
          </w:p>
        </w:tc>
        <w:tc>
          <w:tcPr>
            <w:tcW w:w="1418" w:type="dxa"/>
            <w:tcBorders>
              <w:top w:val="nil"/>
              <w:left w:val="nil"/>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p>
        </w:tc>
      </w:tr>
      <w:tr w:rsidR="00CF7C1C" w:rsidRPr="00331628" w:rsidTr="00331628">
        <w:trPr>
          <w:cantSplit/>
          <w:jc w:val="center"/>
        </w:trPr>
        <w:tc>
          <w:tcPr>
            <w:tcW w:w="638" w:type="dxa"/>
            <w:vMerge/>
            <w:tcBorders>
              <w:left w:val="single" w:sz="4" w:space="0" w:color="auto"/>
              <w:right w:val="single" w:sz="4" w:space="0" w:color="auto"/>
            </w:tcBorders>
            <w:shd w:val="clear" w:color="auto" w:fill="auto"/>
          </w:tcPr>
          <w:p w:rsidR="00CF7C1C" w:rsidRPr="00331628"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33390A">
            <w:pPr>
              <w:numPr>
                <w:ilvl w:val="0"/>
                <w:numId w:val="80"/>
              </w:numPr>
              <w:spacing w:after="0"/>
              <w:rPr>
                <w:sz w:val="20"/>
                <w:szCs w:val="20"/>
              </w:rPr>
            </w:pPr>
            <w:r w:rsidRPr="00331628">
              <w:rPr>
                <w:sz w:val="20"/>
                <w:szCs w:val="20"/>
              </w:rPr>
              <w:t xml:space="preserve">A talajminőség javítása </w:t>
            </w:r>
          </w:p>
        </w:tc>
        <w:tc>
          <w:tcPr>
            <w:tcW w:w="1842" w:type="dxa"/>
            <w:tcBorders>
              <w:top w:val="nil"/>
              <w:left w:val="nil"/>
              <w:bottom w:val="single" w:sz="4" w:space="0" w:color="auto"/>
              <w:right w:val="single" w:sz="4" w:space="0" w:color="auto"/>
            </w:tcBorders>
            <w:shd w:val="clear" w:color="auto" w:fill="auto"/>
            <w:noWrap/>
            <w:tcMar>
              <w:left w:w="0" w:type="dxa"/>
            </w:tcMar>
          </w:tcPr>
          <w:p w:rsidR="00CF7C1C" w:rsidRPr="00331628" w:rsidRDefault="00CF7C1C" w:rsidP="004869BB">
            <w:pPr>
              <w:pStyle w:val="Normltblajobb"/>
              <w:ind w:left="244"/>
            </w:pPr>
            <w:r w:rsidRPr="00331628">
              <w:t>Nem alkalmazható</w:t>
            </w:r>
          </w:p>
        </w:tc>
        <w:tc>
          <w:tcPr>
            <w:tcW w:w="1418" w:type="dxa"/>
            <w:tcBorders>
              <w:top w:val="nil"/>
              <w:left w:val="nil"/>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p>
        </w:tc>
      </w:tr>
      <w:tr w:rsidR="00CF7C1C" w:rsidRPr="00331628" w:rsidTr="00331628">
        <w:trPr>
          <w:cantSplit/>
          <w:jc w:val="center"/>
        </w:trPr>
        <w:tc>
          <w:tcPr>
            <w:tcW w:w="638" w:type="dxa"/>
            <w:vMerge/>
            <w:tcBorders>
              <w:left w:val="single" w:sz="4" w:space="0" w:color="auto"/>
              <w:bottom w:val="single" w:sz="4" w:space="0" w:color="auto"/>
              <w:right w:val="single" w:sz="4" w:space="0" w:color="auto"/>
            </w:tcBorders>
            <w:shd w:val="clear" w:color="auto" w:fill="auto"/>
          </w:tcPr>
          <w:p w:rsidR="00CF7C1C" w:rsidRPr="00331628" w:rsidRDefault="00CF7C1C" w:rsidP="00CF7C1C">
            <w:pPr>
              <w:spacing w:after="0"/>
              <w:ind w:left="-10" w:right="-108"/>
              <w:jc w:val="left"/>
              <w:rPr>
                <w:sz w:val="20"/>
                <w:szCs w:val="20"/>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33390A">
            <w:pPr>
              <w:numPr>
                <w:ilvl w:val="0"/>
                <w:numId w:val="80"/>
              </w:numPr>
              <w:spacing w:after="0"/>
              <w:rPr>
                <w:sz w:val="20"/>
                <w:szCs w:val="20"/>
              </w:rPr>
            </w:pPr>
            <w:r w:rsidRPr="00331628">
              <w:rPr>
                <w:sz w:val="20"/>
                <w:szCs w:val="20"/>
              </w:rPr>
              <w:t>A marginalizálódás és a föld felhagyásának elkerülése</w:t>
            </w:r>
          </w:p>
        </w:tc>
        <w:tc>
          <w:tcPr>
            <w:tcW w:w="1842" w:type="dxa"/>
            <w:tcBorders>
              <w:top w:val="nil"/>
              <w:left w:val="nil"/>
              <w:bottom w:val="single" w:sz="4" w:space="0" w:color="auto"/>
              <w:right w:val="single" w:sz="4" w:space="0" w:color="auto"/>
            </w:tcBorders>
            <w:shd w:val="clear" w:color="auto" w:fill="auto"/>
            <w:noWrap/>
            <w:tcMar>
              <w:left w:w="0" w:type="dxa"/>
            </w:tcMar>
          </w:tcPr>
          <w:p w:rsidR="00CF7C1C" w:rsidRPr="00331628" w:rsidRDefault="00CF7C1C" w:rsidP="004869BB">
            <w:pPr>
              <w:pStyle w:val="Normltblajobb"/>
              <w:ind w:left="244"/>
            </w:pPr>
            <w:r w:rsidRPr="00331628">
              <w:t xml:space="preserve">Közvetett pozitív </w:t>
            </w:r>
          </w:p>
        </w:tc>
        <w:tc>
          <w:tcPr>
            <w:tcW w:w="1418" w:type="dxa"/>
            <w:tcBorders>
              <w:top w:val="nil"/>
              <w:left w:val="nil"/>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r w:rsidRPr="00331628">
              <w:rPr>
                <w:sz w:val="20"/>
                <w:szCs w:val="20"/>
              </w:rPr>
              <w:t>NA</w:t>
            </w:r>
          </w:p>
        </w:tc>
      </w:tr>
      <w:tr w:rsidR="00CF7C1C" w:rsidRPr="00E1404B" w:rsidTr="00331628">
        <w:trPr>
          <w:cantSplit/>
          <w:jc w:val="center"/>
        </w:trPr>
        <w:tc>
          <w:tcPr>
            <w:tcW w:w="63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CF7C1C">
            <w:pPr>
              <w:pStyle w:val="Normltblzatban"/>
              <w:spacing w:after="0"/>
              <w:ind w:left="-10" w:right="-108" w:firstLine="0"/>
              <w:rPr>
                <w:b/>
                <w:sz w:val="20"/>
                <w:szCs w:val="20"/>
              </w:rPr>
            </w:pPr>
            <w:r w:rsidRPr="00331628">
              <w:rPr>
                <w:b/>
                <w:sz w:val="20"/>
                <w:szCs w:val="20"/>
              </w:rPr>
              <w:t>I</w:t>
            </w:r>
          </w:p>
        </w:tc>
        <w:tc>
          <w:tcPr>
            <w:tcW w:w="5838" w:type="dxa"/>
            <w:tcBorders>
              <w:top w:val="single" w:sz="4" w:space="0" w:color="auto"/>
              <w:left w:val="single" w:sz="4" w:space="0" w:color="auto"/>
              <w:bottom w:val="single" w:sz="4" w:space="0" w:color="auto"/>
              <w:right w:val="single" w:sz="4" w:space="0" w:color="auto"/>
            </w:tcBorders>
            <w:shd w:val="clear" w:color="auto" w:fill="auto"/>
            <w:vAlign w:val="center"/>
          </w:tcPr>
          <w:p w:rsidR="00CF7C1C" w:rsidRPr="00331628" w:rsidRDefault="00CF7C1C" w:rsidP="00CF7C1C">
            <w:pPr>
              <w:pStyle w:val="Normltblzatban"/>
              <w:spacing w:after="0"/>
              <w:ind w:left="0" w:firstLine="0"/>
              <w:rPr>
                <w:b/>
                <w:sz w:val="20"/>
                <w:szCs w:val="20"/>
              </w:rPr>
            </w:pPr>
            <w:r w:rsidRPr="00331628">
              <w:rPr>
                <w:b/>
                <w:sz w:val="20"/>
                <w:szCs w:val="20"/>
              </w:rPr>
              <w:t xml:space="preserve">Az agrár-könyezetgazdálkodásban résztvevő helyi állatfajták arányának növekedése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C1C" w:rsidRPr="00331628" w:rsidRDefault="00CF7C1C" w:rsidP="004869BB">
            <w:pPr>
              <w:pStyle w:val="Normltblajobb"/>
              <w:ind w:left="244"/>
            </w:pPr>
            <w:r w:rsidRPr="00331628">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F7C1C" w:rsidRPr="00331628" w:rsidRDefault="00CF7C1C" w:rsidP="00CF7C1C">
            <w:pPr>
              <w:pStyle w:val="Normltblzatban"/>
              <w:spacing w:after="0"/>
              <w:jc w:val="center"/>
              <w:rPr>
                <w:sz w:val="20"/>
                <w:szCs w:val="20"/>
              </w:rPr>
            </w:pPr>
            <w:r w:rsidRPr="00331628">
              <w:rPr>
                <w:sz w:val="20"/>
                <w:szCs w:val="20"/>
              </w:rPr>
              <w:t>NA</w:t>
            </w:r>
          </w:p>
        </w:tc>
      </w:tr>
    </w:tbl>
    <w:p w:rsidR="00CF7C1C" w:rsidRDefault="00CF7C1C" w:rsidP="00CF7C1C">
      <w:pPr>
        <w:pStyle w:val="Normlforrs"/>
      </w:pPr>
      <w:r w:rsidRPr="00F35797">
        <w:t>Forrás: MVH</w:t>
      </w:r>
    </w:p>
    <w:p w:rsidR="005223D2" w:rsidRPr="00F413AA" w:rsidRDefault="005223D2" w:rsidP="00F413AA">
      <w:r w:rsidRPr="00F413AA">
        <w:t>Az intézkedés a tervezett célérték mintegy 75%-át elérte, a 2012-ben benyújtott támogatási kérelmek feldolgozása 2012. december 31-én még nem zárult le, ezért az érték kis mértékű növekedése várható.</w:t>
      </w:r>
    </w:p>
    <w:p w:rsidR="00CF7C1C" w:rsidRPr="00F92037" w:rsidRDefault="007E5FDF" w:rsidP="00F92037">
      <w:pPr>
        <w:pStyle w:val="bra-cmetbla"/>
      </w:pPr>
      <w:fldSimple w:instr=" SEQ táblázat \* ARABIC ">
        <w:r w:rsidR="00E5031F">
          <w:rPr>
            <w:noProof/>
          </w:rPr>
          <w:t>60</w:t>
        </w:r>
      </w:fldSimple>
      <w:r w:rsidR="00673DDE">
        <w:t xml:space="preserve">. táblázat: </w:t>
      </w:r>
      <w:r w:rsidR="00CF7C1C" w:rsidRPr="00F92037">
        <w:t>214C</w:t>
      </w:r>
    </w:p>
    <w:tbl>
      <w:tblPr>
        <w:tblW w:w="9892" w:type="dxa"/>
        <w:jc w:val="center"/>
        <w:tblLayout w:type="fixed"/>
        <w:tblLook w:val="0000" w:firstRow="0" w:lastRow="0" w:firstColumn="0" w:lastColumn="0" w:noHBand="0" w:noVBand="0"/>
      </w:tblPr>
      <w:tblGrid>
        <w:gridCol w:w="652"/>
        <w:gridCol w:w="6005"/>
        <w:gridCol w:w="1869"/>
        <w:gridCol w:w="1366"/>
      </w:tblGrid>
      <w:tr w:rsidR="00CF7C1C" w:rsidRPr="00E1404B" w:rsidTr="00BB58EE">
        <w:trPr>
          <w:cantSplit/>
          <w:trHeight w:val="20"/>
          <w:tblHeader/>
          <w:jc w:val="center"/>
        </w:trPr>
        <w:tc>
          <w:tcPr>
            <w:tcW w:w="652" w:type="dxa"/>
            <w:tcBorders>
              <w:top w:val="single" w:sz="4" w:space="0" w:color="auto"/>
              <w:left w:val="single" w:sz="4" w:space="0" w:color="auto"/>
              <w:bottom w:val="single" w:sz="4" w:space="0" w:color="auto"/>
              <w:right w:val="single" w:sz="4" w:space="0" w:color="auto"/>
            </w:tcBorders>
            <w:shd w:val="clear" w:color="auto" w:fill="B3B3B3"/>
          </w:tcPr>
          <w:p w:rsidR="00CF7C1C" w:rsidRPr="00E1404B" w:rsidRDefault="00CF7C1C" w:rsidP="007C60C4">
            <w:pPr>
              <w:pStyle w:val="Tbla-cm"/>
              <w:rPr>
                <w:lang w:bidi="sa-IN"/>
              </w:rPr>
            </w:pPr>
          </w:p>
        </w:tc>
        <w:tc>
          <w:tcPr>
            <w:tcW w:w="6005" w:type="dxa"/>
            <w:tcBorders>
              <w:top w:val="single" w:sz="4" w:space="0" w:color="auto"/>
              <w:left w:val="single" w:sz="4" w:space="0" w:color="auto"/>
              <w:bottom w:val="single" w:sz="4" w:space="0" w:color="auto"/>
              <w:right w:val="single" w:sz="4" w:space="0" w:color="auto"/>
            </w:tcBorders>
            <w:shd w:val="clear" w:color="auto" w:fill="B3B3B3"/>
            <w:vAlign w:val="center"/>
          </w:tcPr>
          <w:p w:rsidR="00CF7C1C" w:rsidRPr="00E1404B" w:rsidRDefault="00CF7C1C" w:rsidP="00116305">
            <w:pPr>
              <w:pStyle w:val="Tbla-cm"/>
            </w:pPr>
            <w:r w:rsidRPr="00E1404B">
              <w:rPr>
                <w:lang w:bidi="sa-IN"/>
              </w:rPr>
              <w:t>Indikátor leírása</w:t>
            </w:r>
          </w:p>
        </w:tc>
        <w:tc>
          <w:tcPr>
            <w:tcW w:w="1869" w:type="dxa"/>
            <w:tcBorders>
              <w:top w:val="single" w:sz="4" w:space="0" w:color="auto"/>
              <w:left w:val="nil"/>
              <w:bottom w:val="single" w:sz="4" w:space="0" w:color="auto"/>
              <w:right w:val="single" w:sz="4" w:space="0" w:color="auto"/>
            </w:tcBorders>
            <w:shd w:val="clear" w:color="auto" w:fill="B3B3B3"/>
            <w:noWrap/>
          </w:tcPr>
          <w:p w:rsidR="00CF7C1C" w:rsidRPr="00BD037E" w:rsidRDefault="00CF7C1C" w:rsidP="007C60C4">
            <w:pPr>
              <w:pStyle w:val="Tbla-cm"/>
            </w:pPr>
            <w:r w:rsidRPr="00BD037E">
              <w:t>Program szerinti tervadat</w:t>
            </w:r>
          </w:p>
        </w:tc>
        <w:tc>
          <w:tcPr>
            <w:tcW w:w="1366" w:type="dxa"/>
            <w:tcBorders>
              <w:top w:val="single" w:sz="4" w:space="0" w:color="auto"/>
              <w:left w:val="nil"/>
              <w:bottom w:val="single" w:sz="4" w:space="0" w:color="auto"/>
              <w:right w:val="single" w:sz="4" w:space="0" w:color="auto"/>
            </w:tcBorders>
            <w:shd w:val="clear" w:color="auto" w:fill="B3B3B3"/>
          </w:tcPr>
          <w:p w:rsidR="00CF7C1C" w:rsidRPr="00E1404B" w:rsidRDefault="00CF7C1C" w:rsidP="007C60C4">
            <w:pPr>
              <w:pStyle w:val="Tbla-cm"/>
              <w:rPr>
                <w:lang w:bidi="sa-IN"/>
              </w:rPr>
            </w:pPr>
            <w:r w:rsidRPr="00E1404B">
              <w:t>Indikátorok kumulált értéke</w:t>
            </w:r>
          </w:p>
        </w:tc>
      </w:tr>
      <w:tr w:rsidR="00CF7C1C" w:rsidRPr="00E1404B" w:rsidTr="00BB58EE">
        <w:trPr>
          <w:cantSplit/>
          <w:trHeight w:val="20"/>
          <w:jc w:val="center"/>
        </w:trPr>
        <w:tc>
          <w:tcPr>
            <w:tcW w:w="652" w:type="dxa"/>
            <w:vMerge w:val="restart"/>
            <w:tcBorders>
              <w:top w:val="single" w:sz="4" w:space="0" w:color="auto"/>
              <w:left w:val="single" w:sz="4" w:space="0" w:color="auto"/>
              <w:right w:val="single" w:sz="4" w:space="0" w:color="auto"/>
            </w:tcBorders>
          </w:tcPr>
          <w:p w:rsidR="00CF7C1C" w:rsidRPr="00E1404B" w:rsidRDefault="00CF7C1C" w:rsidP="00CF7C1C">
            <w:pPr>
              <w:pStyle w:val="Normltblzatban"/>
              <w:spacing w:after="0"/>
              <w:ind w:left="4" w:firstLine="0"/>
              <w:rPr>
                <w:b/>
                <w:bCs/>
                <w:sz w:val="20"/>
                <w:szCs w:val="20"/>
                <w:lang w:bidi="sa-IN"/>
              </w:rPr>
            </w:pPr>
            <w:r w:rsidRPr="00E1404B">
              <w:rPr>
                <w:b/>
                <w:bCs/>
                <w:sz w:val="20"/>
                <w:szCs w:val="20"/>
                <w:lang w:bidi="sa-IN"/>
              </w:rPr>
              <w:t>O</w:t>
            </w: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pStyle w:val="Normltblzatban"/>
              <w:spacing w:after="0"/>
              <w:ind w:left="0" w:firstLine="0"/>
              <w:rPr>
                <w:b/>
                <w:sz w:val="20"/>
                <w:szCs w:val="20"/>
              </w:rPr>
            </w:pPr>
            <w:r w:rsidRPr="00E1404B">
              <w:rPr>
                <w:b/>
                <w:bCs/>
                <w:sz w:val="20"/>
                <w:szCs w:val="20"/>
                <w:lang w:bidi="sa-IN"/>
              </w:rPr>
              <w:t>Támogatásban részesülő gazdálkodók és földhasználók száma</w:t>
            </w:r>
          </w:p>
        </w:tc>
        <w:tc>
          <w:tcPr>
            <w:tcW w:w="186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r w:rsidRPr="00E1404B">
              <w:rPr>
                <w:sz w:val="20"/>
                <w:szCs w:val="20"/>
              </w:rPr>
              <w:t>100</w:t>
            </w:r>
          </w:p>
        </w:tc>
        <w:tc>
          <w:tcPr>
            <w:tcW w:w="1366"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32</w:t>
            </w: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numPr>
                <w:ilvl w:val="0"/>
                <w:numId w:val="80"/>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86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r w:rsidRPr="00E1404B">
              <w:rPr>
                <w:sz w:val="20"/>
                <w:szCs w:val="20"/>
              </w:rPr>
              <w:t xml:space="preserve">Nem alkalmazható </w:t>
            </w:r>
          </w:p>
        </w:tc>
        <w:tc>
          <w:tcPr>
            <w:tcW w:w="1366"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pStyle w:val="Normltblzatban"/>
              <w:spacing w:after="0"/>
              <w:ind w:left="4" w:firstLine="0"/>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pStyle w:val="Normltblzatban"/>
              <w:spacing w:after="0"/>
              <w:ind w:left="0" w:firstLine="0"/>
              <w:rPr>
                <w:sz w:val="20"/>
                <w:szCs w:val="20"/>
              </w:rPr>
            </w:pPr>
            <w:r w:rsidRPr="00E1404B">
              <w:rPr>
                <w:sz w:val="20"/>
                <w:szCs w:val="20"/>
                <w:lang w:bidi="sa-IN"/>
              </w:rPr>
              <w:t>Támogatásban részesülők megoszlása</w:t>
            </w:r>
          </w:p>
        </w:tc>
        <w:tc>
          <w:tcPr>
            <w:tcW w:w="186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p>
        </w:tc>
        <w:tc>
          <w:tcPr>
            <w:tcW w:w="1366"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numPr>
                <w:ilvl w:val="0"/>
                <w:numId w:val="80"/>
              </w:numPr>
              <w:spacing w:after="0"/>
              <w:rPr>
                <w:sz w:val="20"/>
                <w:szCs w:val="20"/>
              </w:rPr>
            </w:pPr>
            <w:r w:rsidRPr="00E1404B">
              <w:rPr>
                <w:sz w:val="20"/>
                <w:szCs w:val="20"/>
              </w:rPr>
              <w:t>Gazdálkodók</w:t>
            </w:r>
          </w:p>
        </w:tc>
        <w:tc>
          <w:tcPr>
            <w:tcW w:w="1869"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r w:rsidRPr="00E1404B">
              <w:rPr>
                <w:sz w:val="20"/>
                <w:szCs w:val="20"/>
              </w:rPr>
              <w:t>25</w:t>
            </w:r>
          </w:p>
        </w:tc>
        <w:tc>
          <w:tcPr>
            <w:tcW w:w="1366"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 xml:space="preserve">6 </w:t>
            </w: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numPr>
                <w:ilvl w:val="0"/>
                <w:numId w:val="80"/>
              </w:numPr>
              <w:spacing w:after="0"/>
              <w:rPr>
                <w:sz w:val="20"/>
                <w:szCs w:val="20"/>
              </w:rPr>
            </w:pPr>
            <w:r w:rsidRPr="00E1404B">
              <w:rPr>
                <w:sz w:val="20"/>
                <w:szCs w:val="20"/>
              </w:rPr>
              <w:t>Egyéb földhasználók</w:t>
            </w:r>
          </w:p>
        </w:tc>
        <w:tc>
          <w:tcPr>
            <w:tcW w:w="1869" w:type="dxa"/>
            <w:tcBorders>
              <w:top w:val="nil"/>
              <w:left w:val="nil"/>
              <w:bottom w:val="single" w:sz="4" w:space="0" w:color="auto"/>
              <w:right w:val="single" w:sz="4" w:space="0" w:color="auto"/>
            </w:tcBorders>
          </w:tcPr>
          <w:p w:rsidR="00CF7C1C" w:rsidRPr="00E1404B" w:rsidRDefault="00CF7C1C" w:rsidP="00BB58EE">
            <w:pPr>
              <w:pStyle w:val="Normltblajobb"/>
            </w:pPr>
            <w:r w:rsidRPr="00E1404B">
              <w:t>75</w:t>
            </w:r>
          </w:p>
        </w:tc>
        <w:tc>
          <w:tcPr>
            <w:tcW w:w="1366" w:type="dxa"/>
            <w:tcBorders>
              <w:top w:val="nil"/>
              <w:left w:val="nil"/>
              <w:bottom w:val="single" w:sz="4" w:space="0" w:color="auto"/>
              <w:right w:val="single" w:sz="4" w:space="0" w:color="auto"/>
            </w:tcBorders>
          </w:tcPr>
          <w:p w:rsidR="00CF7C1C" w:rsidRPr="002B4681" w:rsidRDefault="00CF7C1C" w:rsidP="00CF7C1C">
            <w:pPr>
              <w:pStyle w:val="Normltblzatban"/>
              <w:spacing w:after="0"/>
              <w:jc w:val="right"/>
              <w:rPr>
                <w:sz w:val="20"/>
                <w:szCs w:val="20"/>
              </w:rPr>
            </w:pPr>
            <w:r w:rsidRPr="002B4681">
              <w:rPr>
                <w:sz w:val="20"/>
                <w:szCs w:val="20"/>
              </w:rPr>
              <w:t xml:space="preserve">26 </w:t>
            </w: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pStyle w:val="Normltblzatban"/>
              <w:spacing w:after="0"/>
              <w:ind w:left="4" w:firstLine="0"/>
              <w:rPr>
                <w:b/>
                <w:bCs/>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pStyle w:val="Normltblzatban"/>
              <w:spacing w:after="0"/>
              <w:rPr>
                <w:bCs/>
                <w:sz w:val="20"/>
                <w:szCs w:val="20"/>
              </w:rPr>
            </w:pPr>
            <w:r w:rsidRPr="00E1404B">
              <w:rPr>
                <w:b/>
                <w:bCs/>
                <w:sz w:val="20"/>
                <w:szCs w:val="20"/>
                <w:lang w:bidi="sa-IN"/>
              </w:rPr>
              <w:t>AKG támogatással érintett összes terület</w:t>
            </w:r>
          </w:p>
        </w:tc>
        <w:tc>
          <w:tcPr>
            <w:tcW w:w="1869" w:type="dxa"/>
            <w:tcBorders>
              <w:top w:val="nil"/>
              <w:left w:val="nil"/>
              <w:bottom w:val="single" w:sz="4" w:space="0" w:color="auto"/>
              <w:right w:val="single" w:sz="4" w:space="0" w:color="auto"/>
            </w:tcBorders>
            <w:noWrap/>
          </w:tcPr>
          <w:p w:rsidR="00CF7C1C" w:rsidRPr="00E1404B" w:rsidRDefault="00CF7C1C" w:rsidP="00BB58EE">
            <w:pPr>
              <w:pStyle w:val="Normltblajobb"/>
            </w:pPr>
            <w:r w:rsidRPr="00E1404B">
              <w:t xml:space="preserve">Nem alkalmazható </w:t>
            </w:r>
          </w:p>
        </w:tc>
        <w:tc>
          <w:tcPr>
            <w:tcW w:w="1366" w:type="dxa"/>
            <w:tcBorders>
              <w:top w:val="nil"/>
              <w:left w:val="nil"/>
              <w:bottom w:val="single" w:sz="4" w:space="0" w:color="auto"/>
              <w:right w:val="single" w:sz="4" w:space="0" w:color="auto"/>
            </w:tcBorders>
          </w:tcPr>
          <w:p w:rsidR="00CF7C1C" w:rsidRPr="002B4681" w:rsidRDefault="00C66BA0" w:rsidP="00CF7C1C">
            <w:pPr>
              <w:pStyle w:val="Normltblzatban"/>
              <w:spacing w:after="0"/>
              <w:jc w:val="right"/>
              <w:rPr>
                <w:sz w:val="20"/>
                <w:szCs w:val="20"/>
              </w:rPr>
            </w:pPr>
            <w:r>
              <w:rPr>
                <w:sz w:val="20"/>
                <w:szCs w:val="20"/>
              </w:rPr>
              <w:t>1 243</w:t>
            </w: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numPr>
                <w:ilvl w:val="0"/>
                <w:numId w:val="80"/>
              </w:numPr>
              <w:spacing w:after="0"/>
              <w:rPr>
                <w:sz w:val="20"/>
                <w:szCs w:val="20"/>
              </w:rPr>
            </w:pPr>
            <w:r w:rsidRPr="00E1404B">
              <w:rPr>
                <w:sz w:val="20"/>
                <w:szCs w:val="20"/>
                <w:lang w:bidi="sa-IN"/>
              </w:rPr>
              <w:t>Ebből Natura 2000 területen</w:t>
            </w:r>
          </w:p>
        </w:tc>
        <w:tc>
          <w:tcPr>
            <w:tcW w:w="1869" w:type="dxa"/>
            <w:tcBorders>
              <w:top w:val="nil"/>
              <w:left w:val="nil"/>
              <w:bottom w:val="single" w:sz="4" w:space="0" w:color="auto"/>
              <w:right w:val="single" w:sz="4" w:space="0" w:color="auto"/>
            </w:tcBorders>
            <w:noWrap/>
          </w:tcPr>
          <w:p w:rsidR="00CF7C1C" w:rsidRPr="00E1404B" w:rsidRDefault="00CF7C1C" w:rsidP="00BB58EE">
            <w:pPr>
              <w:pStyle w:val="Normltblajobb"/>
            </w:pPr>
            <w:r w:rsidRPr="00E1404B">
              <w:t xml:space="preserve">Nem alkalmazható </w:t>
            </w:r>
          </w:p>
        </w:tc>
        <w:tc>
          <w:tcPr>
            <w:tcW w:w="1366"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pStyle w:val="Normltblzatban"/>
              <w:spacing w:after="0"/>
              <w:ind w:left="4" w:firstLine="0"/>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pStyle w:val="Normltblzatban"/>
              <w:spacing w:after="0"/>
              <w:ind w:left="0" w:firstLine="0"/>
              <w:rPr>
                <w:sz w:val="20"/>
                <w:szCs w:val="20"/>
              </w:rPr>
            </w:pPr>
            <w:r w:rsidRPr="00E1404B">
              <w:rPr>
                <w:sz w:val="20"/>
                <w:szCs w:val="20"/>
                <w:lang w:bidi="sa-IN"/>
              </w:rPr>
              <w:t>A kötelezettség vállalás „kora” szerinti megoszlás</w:t>
            </w:r>
          </w:p>
        </w:tc>
        <w:tc>
          <w:tcPr>
            <w:tcW w:w="1869" w:type="dxa"/>
            <w:tcBorders>
              <w:top w:val="nil"/>
              <w:left w:val="nil"/>
              <w:bottom w:val="single" w:sz="4" w:space="0" w:color="auto"/>
              <w:right w:val="single" w:sz="4" w:space="0" w:color="auto"/>
            </w:tcBorders>
            <w:noWrap/>
          </w:tcPr>
          <w:p w:rsidR="00CF7C1C" w:rsidRPr="00E1404B" w:rsidRDefault="00CF7C1C" w:rsidP="00BB58EE">
            <w:pPr>
              <w:pStyle w:val="Normltblajobb"/>
            </w:pPr>
          </w:p>
        </w:tc>
        <w:tc>
          <w:tcPr>
            <w:tcW w:w="1366"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numPr>
                <w:ilvl w:val="0"/>
                <w:numId w:val="80"/>
              </w:numPr>
              <w:spacing w:after="0"/>
              <w:rPr>
                <w:sz w:val="20"/>
                <w:szCs w:val="20"/>
              </w:rPr>
            </w:pPr>
            <w:r w:rsidRPr="00E1404B">
              <w:rPr>
                <w:sz w:val="20"/>
                <w:szCs w:val="20"/>
              </w:rPr>
              <w:t>Jelenlegi</w:t>
            </w:r>
            <w:r w:rsidRPr="00E1404B">
              <w:rPr>
                <w:sz w:val="20"/>
                <w:szCs w:val="20"/>
                <w:lang w:bidi="sa-IN"/>
              </w:rPr>
              <w:t xml:space="preserve"> kötelezettségvállalással érintett terület a következő rendeletek szerint</w:t>
            </w:r>
          </w:p>
        </w:tc>
        <w:tc>
          <w:tcPr>
            <w:tcW w:w="1869" w:type="dxa"/>
            <w:tcBorders>
              <w:top w:val="nil"/>
              <w:left w:val="nil"/>
              <w:bottom w:val="single" w:sz="4" w:space="0" w:color="auto"/>
              <w:right w:val="single" w:sz="4" w:space="0" w:color="auto"/>
            </w:tcBorders>
            <w:noWrap/>
          </w:tcPr>
          <w:p w:rsidR="00CF7C1C" w:rsidRPr="00E1404B" w:rsidRDefault="00CF7C1C" w:rsidP="00BB58EE">
            <w:pPr>
              <w:pStyle w:val="Normltblajobb"/>
            </w:pPr>
            <w:r w:rsidRPr="00E1404B">
              <w:t xml:space="preserve">Nem alkalmazható </w:t>
            </w:r>
          </w:p>
        </w:tc>
        <w:tc>
          <w:tcPr>
            <w:tcW w:w="1366" w:type="dxa"/>
            <w:tcBorders>
              <w:top w:val="nil"/>
              <w:left w:val="nil"/>
              <w:bottom w:val="single" w:sz="4" w:space="0" w:color="auto"/>
              <w:right w:val="single" w:sz="4" w:space="0" w:color="auto"/>
            </w:tcBorders>
          </w:tcPr>
          <w:p w:rsidR="00CF7C1C" w:rsidRPr="00E1404B" w:rsidRDefault="00CF7C1C" w:rsidP="00CF7C1C">
            <w:pPr>
              <w:pStyle w:val="Normltblzatban"/>
              <w:spacing w:after="0"/>
              <w:jc w:val="right"/>
              <w:rPr>
                <w:sz w:val="20"/>
                <w:szCs w:val="20"/>
              </w:rPr>
            </w:pP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numPr>
                <w:ilvl w:val="0"/>
                <w:numId w:val="80"/>
              </w:numPr>
              <w:spacing w:after="0"/>
              <w:rPr>
                <w:sz w:val="20"/>
                <w:szCs w:val="20"/>
              </w:rPr>
            </w:pPr>
            <w:r w:rsidRPr="00E1404B">
              <w:rPr>
                <w:sz w:val="20"/>
                <w:szCs w:val="20"/>
                <w:lang w:bidi="sa-IN"/>
              </w:rPr>
              <w:t xml:space="preserve">Új </w:t>
            </w:r>
            <w:r w:rsidRPr="00E1404B">
              <w:rPr>
                <w:sz w:val="20"/>
                <w:szCs w:val="20"/>
              </w:rPr>
              <w:t>kötelezettségvállalással</w:t>
            </w:r>
            <w:r w:rsidRPr="00E1404B">
              <w:rPr>
                <w:sz w:val="20"/>
                <w:szCs w:val="20"/>
                <w:lang w:bidi="sa-IN"/>
              </w:rPr>
              <w:t xml:space="preserve"> érintett terület</w:t>
            </w:r>
          </w:p>
        </w:tc>
        <w:tc>
          <w:tcPr>
            <w:tcW w:w="1869" w:type="dxa"/>
            <w:tcBorders>
              <w:top w:val="nil"/>
              <w:left w:val="nil"/>
              <w:bottom w:val="single" w:sz="4" w:space="0" w:color="auto"/>
              <w:right w:val="single" w:sz="4" w:space="0" w:color="auto"/>
            </w:tcBorders>
            <w:noWrap/>
          </w:tcPr>
          <w:p w:rsidR="00CF7C1C" w:rsidRPr="00E1404B" w:rsidRDefault="00CF7C1C" w:rsidP="00BB58EE">
            <w:pPr>
              <w:pStyle w:val="Normltblajobb"/>
            </w:pPr>
            <w:r w:rsidRPr="00E1404B">
              <w:t xml:space="preserve">Nem alkalmazható </w:t>
            </w:r>
          </w:p>
        </w:tc>
        <w:tc>
          <w:tcPr>
            <w:tcW w:w="1366" w:type="dxa"/>
            <w:tcBorders>
              <w:top w:val="nil"/>
              <w:left w:val="nil"/>
              <w:bottom w:val="single" w:sz="4" w:space="0" w:color="auto"/>
              <w:right w:val="single" w:sz="4" w:space="0" w:color="auto"/>
            </w:tcBorders>
          </w:tcPr>
          <w:p w:rsidR="00CF7C1C" w:rsidRPr="00E1404B" w:rsidRDefault="00C66BA0" w:rsidP="00CF7C1C">
            <w:pPr>
              <w:pStyle w:val="Normltblzatban"/>
              <w:spacing w:after="0"/>
              <w:jc w:val="right"/>
              <w:rPr>
                <w:sz w:val="20"/>
                <w:szCs w:val="20"/>
              </w:rPr>
            </w:pPr>
            <w:r>
              <w:rPr>
                <w:sz w:val="20"/>
                <w:szCs w:val="20"/>
              </w:rPr>
              <w:t>1 243</w:t>
            </w:r>
          </w:p>
        </w:tc>
      </w:tr>
      <w:tr w:rsidR="00CF7C1C" w:rsidRPr="00E1404B"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pStyle w:val="Normltblzatban"/>
              <w:spacing w:after="0"/>
              <w:ind w:left="4" w:firstLine="0"/>
              <w:rPr>
                <w:b/>
                <w:bCs/>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E1404B" w:rsidRDefault="00CF7C1C" w:rsidP="00116305">
            <w:pPr>
              <w:pStyle w:val="Normltblzatban"/>
              <w:spacing w:after="0"/>
              <w:rPr>
                <w:b/>
                <w:sz w:val="20"/>
                <w:szCs w:val="20"/>
              </w:rPr>
            </w:pPr>
            <w:r w:rsidRPr="00E1404B">
              <w:rPr>
                <w:b/>
                <w:bCs/>
                <w:sz w:val="20"/>
                <w:szCs w:val="20"/>
                <w:lang w:bidi="sa-IN"/>
              </w:rPr>
              <w:t>AKG támogatásban részesülő fizikai terület</w:t>
            </w:r>
          </w:p>
        </w:tc>
        <w:tc>
          <w:tcPr>
            <w:tcW w:w="1869" w:type="dxa"/>
            <w:tcBorders>
              <w:top w:val="nil"/>
              <w:left w:val="nil"/>
              <w:bottom w:val="single" w:sz="4" w:space="0" w:color="auto"/>
              <w:right w:val="single" w:sz="4" w:space="0" w:color="auto"/>
            </w:tcBorders>
            <w:noWrap/>
          </w:tcPr>
          <w:p w:rsidR="00CF7C1C" w:rsidRPr="00E1404B" w:rsidRDefault="00CF7C1C" w:rsidP="00BB58EE">
            <w:pPr>
              <w:pStyle w:val="Normltblajobb"/>
            </w:pPr>
            <w:r w:rsidRPr="00E1404B">
              <w:t xml:space="preserve">Nem alkalmazható </w:t>
            </w:r>
          </w:p>
        </w:tc>
        <w:tc>
          <w:tcPr>
            <w:tcW w:w="1366" w:type="dxa"/>
            <w:tcBorders>
              <w:top w:val="nil"/>
              <w:left w:val="nil"/>
              <w:bottom w:val="single" w:sz="4" w:space="0" w:color="auto"/>
              <w:right w:val="single" w:sz="4" w:space="0" w:color="auto"/>
            </w:tcBorders>
          </w:tcPr>
          <w:p w:rsidR="00CF7C1C" w:rsidRPr="00E1404B" w:rsidRDefault="00C66BA0" w:rsidP="00CF7C1C">
            <w:pPr>
              <w:pStyle w:val="Normltblzatban"/>
              <w:spacing w:after="0"/>
              <w:jc w:val="right"/>
              <w:rPr>
                <w:sz w:val="20"/>
                <w:szCs w:val="20"/>
              </w:rPr>
            </w:pPr>
            <w:r>
              <w:rPr>
                <w:sz w:val="20"/>
                <w:szCs w:val="20"/>
              </w:rPr>
              <w:t>1 243</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numPr>
                <w:ilvl w:val="0"/>
                <w:numId w:val="80"/>
              </w:numPr>
              <w:spacing w:after="0"/>
              <w:rPr>
                <w:sz w:val="20"/>
                <w:szCs w:val="20"/>
              </w:rPr>
            </w:pPr>
            <w:r w:rsidRPr="00331628">
              <w:rPr>
                <w:sz w:val="20"/>
                <w:szCs w:val="20"/>
              </w:rPr>
              <w:t>Ebből</w:t>
            </w:r>
            <w:r w:rsidRPr="00331628">
              <w:rPr>
                <w:sz w:val="20"/>
                <w:szCs w:val="20"/>
                <w:lang w:bidi="sa-IN"/>
              </w:rPr>
              <w:t xml:space="preserve"> Natura 2000 területen</w:t>
            </w:r>
          </w:p>
        </w:tc>
        <w:tc>
          <w:tcPr>
            <w:tcW w:w="1869" w:type="dxa"/>
            <w:tcBorders>
              <w:top w:val="nil"/>
              <w:left w:val="nil"/>
              <w:bottom w:val="single" w:sz="4" w:space="0" w:color="auto"/>
              <w:right w:val="single" w:sz="4" w:space="0" w:color="auto"/>
            </w:tcBorders>
            <w:noWrap/>
          </w:tcPr>
          <w:p w:rsidR="00CF7C1C" w:rsidRPr="00331628" w:rsidRDefault="00CF7C1C" w:rsidP="00BB58EE">
            <w:pPr>
              <w:pStyle w:val="Normltblajobb"/>
            </w:pPr>
            <w:r w:rsidRPr="00331628">
              <w:t xml:space="preserve">Nem alkalmazható </w:t>
            </w:r>
          </w:p>
        </w:tc>
        <w:tc>
          <w:tcPr>
            <w:tcW w:w="1366" w:type="dxa"/>
            <w:tcBorders>
              <w:top w:val="nil"/>
              <w:left w:val="nil"/>
              <w:bottom w:val="single" w:sz="4" w:space="0" w:color="auto"/>
              <w:right w:val="single" w:sz="4" w:space="0" w:color="auto"/>
            </w:tcBorders>
          </w:tcPr>
          <w:p w:rsidR="00CF7C1C" w:rsidRPr="00331628" w:rsidRDefault="00C66BA0" w:rsidP="00CF7C1C">
            <w:pPr>
              <w:pStyle w:val="Normltblzatban"/>
              <w:spacing w:after="0"/>
              <w:jc w:val="right"/>
              <w:rPr>
                <w:sz w:val="20"/>
                <w:szCs w:val="20"/>
              </w:rPr>
            </w:pPr>
            <w:r w:rsidRPr="00331628">
              <w:rPr>
                <w:sz w:val="20"/>
                <w:szCs w:val="20"/>
              </w:rPr>
              <w:t>0</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pStyle w:val="Normltblzatban"/>
              <w:spacing w:after="0"/>
              <w:ind w:left="4" w:firstLine="0"/>
              <w:rPr>
                <w:b/>
                <w:bCs/>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pStyle w:val="Normltblzatban"/>
              <w:spacing w:after="0"/>
              <w:rPr>
                <w:b/>
                <w:sz w:val="20"/>
                <w:szCs w:val="20"/>
              </w:rPr>
            </w:pPr>
            <w:r w:rsidRPr="00331628">
              <w:rPr>
                <w:b/>
                <w:bCs/>
                <w:sz w:val="20"/>
                <w:szCs w:val="20"/>
                <w:lang w:bidi="sa-IN"/>
              </w:rPr>
              <w:t>Szerződések összes száma</w:t>
            </w:r>
          </w:p>
        </w:tc>
        <w:tc>
          <w:tcPr>
            <w:tcW w:w="1869" w:type="dxa"/>
            <w:tcBorders>
              <w:top w:val="nil"/>
              <w:left w:val="nil"/>
              <w:bottom w:val="single" w:sz="4" w:space="0" w:color="auto"/>
              <w:right w:val="single" w:sz="4" w:space="0" w:color="auto"/>
            </w:tcBorders>
            <w:noWrap/>
          </w:tcPr>
          <w:p w:rsidR="00CF7C1C" w:rsidRPr="00331628" w:rsidRDefault="00CF7C1C" w:rsidP="00BB58EE">
            <w:pPr>
              <w:pStyle w:val="Normltblajobb"/>
            </w:pPr>
            <w:r w:rsidRPr="00331628">
              <w:t>100</w:t>
            </w:r>
          </w:p>
        </w:tc>
        <w:tc>
          <w:tcPr>
            <w:tcW w:w="1366" w:type="dxa"/>
            <w:tcBorders>
              <w:top w:val="nil"/>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r w:rsidRPr="00331628">
              <w:rPr>
                <w:sz w:val="20"/>
                <w:szCs w:val="20"/>
              </w:rPr>
              <w:t>NA</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numPr>
                <w:ilvl w:val="0"/>
                <w:numId w:val="80"/>
              </w:numPr>
              <w:spacing w:after="0"/>
              <w:rPr>
                <w:sz w:val="20"/>
                <w:szCs w:val="20"/>
              </w:rPr>
            </w:pPr>
            <w:r w:rsidRPr="00331628">
              <w:rPr>
                <w:sz w:val="20"/>
                <w:szCs w:val="20"/>
              </w:rPr>
              <w:t>Ebből</w:t>
            </w:r>
            <w:r w:rsidRPr="00331628">
              <w:rPr>
                <w:sz w:val="20"/>
                <w:szCs w:val="20"/>
                <w:lang w:bidi="sa-IN"/>
              </w:rPr>
              <w:t xml:space="preserve"> Natura 2000 területen</w:t>
            </w:r>
          </w:p>
        </w:tc>
        <w:tc>
          <w:tcPr>
            <w:tcW w:w="1869" w:type="dxa"/>
            <w:tcBorders>
              <w:top w:val="nil"/>
              <w:left w:val="nil"/>
              <w:bottom w:val="single" w:sz="4" w:space="0" w:color="auto"/>
              <w:right w:val="single" w:sz="4" w:space="0" w:color="auto"/>
            </w:tcBorders>
            <w:noWrap/>
          </w:tcPr>
          <w:p w:rsidR="00CF7C1C" w:rsidRPr="00331628" w:rsidRDefault="00CF7C1C" w:rsidP="00BB58EE">
            <w:pPr>
              <w:pStyle w:val="Normltblajobb"/>
            </w:pPr>
            <w:r w:rsidRPr="00331628">
              <w:t xml:space="preserve">Nem alkalmazható </w:t>
            </w:r>
          </w:p>
        </w:tc>
        <w:tc>
          <w:tcPr>
            <w:tcW w:w="1366" w:type="dxa"/>
            <w:tcBorders>
              <w:top w:val="nil"/>
              <w:left w:val="nil"/>
              <w:bottom w:val="single" w:sz="4" w:space="0" w:color="auto"/>
              <w:right w:val="single" w:sz="4" w:space="0" w:color="auto"/>
            </w:tcBorders>
          </w:tcPr>
          <w:p w:rsidR="00CF7C1C" w:rsidRPr="00331628" w:rsidRDefault="00CF7C1C" w:rsidP="00CF7C1C">
            <w:pPr>
              <w:pStyle w:val="Normltblzatban"/>
              <w:spacing w:after="0"/>
              <w:jc w:val="right"/>
              <w:rPr>
                <w:sz w:val="20"/>
                <w:szCs w:val="20"/>
              </w:rPr>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spacing w:after="0"/>
              <w:ind w:left="4"/>
              <w:jc w:val="left"/>
              <w:rPr>
                <w:b/>
                <w:bCs/>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jc w:val="left"/>
              <w:rPr>
                <w:b/>
                <w:sz w:val="20"/>
                <w:szCs w:val="20"/>
              </w:rPr>
            </w:pPr>
            <w:r w:rsidRPr="00331628">
              <w:rPr>
                <w:b/>
                <w:bCs/>
                <w:sz w:val="20"/>
                <w:szCs w:val="20"/>
              </w:rPr>
              <w:t>Genetikai erőforrásokkal kapcsolatos tevékenységek száma</w:t>
            </w:r>
          </w:p>
        </w:tc>
        <w:tc>
          <w:tcPr>
            <w:tcW w:w="1869" w:type="dxa"/>
            <w:tcBorders>
              <w:top w:val="nil"/>
              <w:left w:val="nil"/>
              <w:bottom w:val="single" w:sz="4" w:space="0" w:color="auto"/>
              <w:right w:val="single" w:sz="4" w:space="0" w:color="auto"/>
            </w:tcBorders>
            <w:noWrap/>
          </w:tcPr>
          <w:p w:rsidR="00CF7C1C" w:rsidRPr="00331628" w:rsidRDefault="00CF7C1C" w:rsidP="00BB58EE">
            <w:pPr>
              <w:pStyle w:val="Normltblajobb"/>
            </w:pPr>
          </w:p>
        </w:tc>
        <w:tc>
          <w:tcPr>
            <w:tcW w:w="1366" w:type="dxa"/>
            <w:tcBorders>
              <w:top w:val="nil"/>
              <w:left w:val="nil"/>
              <w:bottom w:val="single" w:sz="4" w:space="0" w:color="auto"/>
              <w:right w:val="single" w:sz="4" w:space="0" w:color="auto"/>
            </w:tcBorders>
          </w:tcPr>
          <w:p w:rsidR="00CF7C1C" w:rsidRPr="00331628" w:rsidRDefault="00CF7C1C" w:rsidP="00CF7C1C">
            <w:pPr>
              <w:pStyle w:val="Normltblzatban"/>
              <w:spacing w:after="0"/>
              <w:ind w:left="0" w:firstLine="0"/>
              <w:jc w:val="right"/>
              <w:rPr>
                <w:sz w:val="20"/>
                <w:szCs w:val="20"/>
              </w:rPr>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pStyle w:val="Normltblzatban"/>
              <w:rPr>
                <w:b/>
                <w:sz w:val="20"/>
                <w:szCs w:val="20"/>
              </w:rPr>
            </w:pPr>
          </w:p>
        </w:tc>
        <w:tc>
          <w:tcPr>
            <w:tcW w:w="6005" w:type="dxa"/>
            <w:vMerge w:val="restart"/>
            <w:tcBorders>
              <w:top w:val="single" w:sz="4" w:space="0" w:color="auto"/>
              <w:left w:val="single" w:sz="4" w:space="0" w:color="auto"/>
              <w:right w:val="single" w:sz="4" w:space="0" w:color="auto"/>
            </w:tcBorders>
          </w:tcPr>
          <w:p w:rsidR="00CF7C1C" w:rsidRPr="00331628" w:rsidRDefault="00CF7C1C" w:rsidP="00116305">
            <w:pPr>
              <w:pStyle w:val="Normltblzatban"/>
              <w:spacing w:after="0"/>
              <w:rPr>
                <w:b/>
                <w:sz w:val="20"/>
                <w:szCs w:val="20"/>
              </w:rPr>
            </w:pPr>
            <w:r w:rsidRPr="00331628">
              <w:rPr>
                <w:b/>
                <w:sz w:val="20"/>
                <w:szCs w:val="20"/>
              </w:rPr>
              <w:t>Tevékenységek típusa szerinti megoszlás</w:t>
            </w:r>
          </w:p>
          <w:p w:rsidR="00CF7C1C" w:rsidRPr="00331628" w:rsidRDefault="00CF7C1C" w:rsidP="00116305">
            <w:pPr>
              <w:pStyle w:val="Normltblzatban"/>
              <w:spacing w:after="0"/>
              <w:rPr>
                <w:b/>
                <w:sz w:val="20"/>
                <w:szCs w:val="20"/>
              </w:rPr>
            </w:pPr>
            <w:r w:rsidRPr="00331628">
              <w:rPr>
                <w:sz w:val="20"/>
                <w:szCs w:val="20"/>
              </w:rPr>
              <w:t>Célzott tevékenységek</w:t>
            </w:r>
          </w:p>
        </w:tc>
        <w:tc>
          <w:tcPr>
            <w:tcW w:w="1869" w:type="dxa"/>
            <w:vMerge w:val="restart"/>
            <w:tcBorders>
              <w:top w:val="nil"/>
              <w:left w:val="nil"/>
              <w:right w:val="single" w:sz="4" w:space="0" w:color="auto"/>
            </w:tcBorders>
            <w:noWrap/>
          </w:tcPr>
          <w:p w:rsidR="00CF7C1C" w:rsidRPr="00331628" w:rsidRDefault="00CF7C1C" w:rsidP="00116305">
            <w:pPr>
              <w:pStyle w:val="Tbla-jobb"/>
            </w:pPr>
          </w:p>
        </w:tc>
        <w:tc>
          <w:tcPr>
            <w:tcW w:w="1366" w:type="dxa"/>
            <w:tcBorders>
              <w:top w:val="nil"/>
              <w:left w:val="nil"/>
              <w:right w:val="single" w:sz="4" w:space="0" w:color="auto"/>
            </w:tcBorders>
          </w:tcPr>
          <w:p w:rsidR="00CF7C1C" w:rsidRPr="00331628" w:rsidRDefault="00CF7C1C" w:rsidP="00116305">
            <w:pPr>
              <w:pStyle w:val="Tbla-jobb"/>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pStyle w:val="Normltblzatban"/>
              <w:rPr>
                <w:b/>
                <w:sz w:val="20"/>
                <w:szCs w:val="20"/>
              </w:rPr>
            </w:pPr>
          </w:p>
        </w:tc>
        <w:tc>
          <w:tcPr>
            <w:tcW w:w="6005" w:type="dxa"/>
            <w:vMerge/>
            <w:tcBorders>
              <w:left w:val="single" w:sz="4" w:space="0" w:color="auto"/>
              <w:bottom w:val="single" w:sz="4" w:space="0" w:color="auto"/>
              <w:right w:val="single" w:sz="4" w:space="0" w:color="auto"/>
            </w:tcBorders>
          </w:tcPr>
          <w:p w:rsidR="00CF7C1C" w:rsidRPr="00331628" w:rsidRDefault="00CF7C1C" w:rsidP="00116305">
            <w:pPr>
              <w:pStyle w:val="Normltblzatban"/>
              <w:spacing w:after="0"/>
              <w:rPr>
                <w:b/>
                <w:sz w:val="20"/>
                <w:szCs w:val="20"/>
              </w:rPr>
            </w:pPr>
          </w:p>
        </w:tc>
        <w:tc>
          <w:tcPr>
            <w:tcW w:w="1869" w:type="dxa"/>
            <w:vMerge/>
            <w:tcBorders>
              <w:left w:val="nil"/>
              <w:bottom w:val="single" w:sz="4" w:space="0" w:color="auto"/>
              <w:right w:val="single" w:sz="4" w:space="0" w:color="auto"/>
            </w:tcBorders>
            <w:noWrap/>
          </w:tcPr>
          <w:p w:rsidR="00CF7C1C" w:rsidRPr="00331628" w:rsidRDefault="00CF7C1C" w:rsidP="00116305">
            <w:pPr>
              <w:pStyle w:val="Tbla-jobb"/>
            </w:pPr>
          </w:p>
        </w:tc>
        <w:tc>
          <w:tcPr>
            <w:tcW w:w="1366" w:type="dxa"/>
            <w:tcBorders>
              <w:left w:val="nil"/>
              <w:bottom w:val="single" w:sz="4" w:space="0" w:color="auto"/>
              <w:right w:val="single" w:sz="4" w:space="0" w:color="auto"/>
            </w:tcBorders>
          </w:tcPr>
          <w:p w:rsidR="00CF7C1C" w:rsidRPr="00331628" w:rsidRDefault="00CF7C1C" w:rsidP="00116305">
            <w:pPr>
              <w:pStyle w:val="Tbla-jobb"/>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sz w:val="20"/>
                <w:szCs w:val="20"/>
              </w:rPr>
            </w:pPr>
            <w:r w:rsidRPr="00331628">
              <w:rPr>
                <w:sz w:val="20"/>
                <w:szCs w:val="20"/>
              </w:rPr>
              <w:t>Növényi genetikai erőforrások</w:t>
            </w:r>
          </w:p>
        </w:tc>
        <w:tc>
          <w:tcPr>
            <w:tcW w:w="1869" w:type="dxa"/>
            <w:tcBorders>
              <w:top w:val="nil"/>
              <w:left w:val="nil"/>
              <w:bottom w:val="single" w:sz="4" w:space="0" w:color="auto"/>
              <w:right w:val="single" w:sz="4" w:space="0" w:color="auto"/>
            </w:tcBorders>
            <w:noWrap/>
          </w:tcPr>
          <w:p w:rsidR="00CF7C1C" w:rsidRPr="00331628" w:rsidRDefault="00CF7C1C" w:rsidP="00116305">
            <w:pPr>
              <w:pStyle w:val="Tbla-jobb"/>
            </w:pPr>
            <w:r w:rsidRPr="00331628">
              <w:t>30</w:t>
            </w:r>
          </w:p>
        </w:tc>
        <w:tc>
          <w:tcPr>
            <w:tcW w:w="1366" w:type="dxa"/>
            <w:tcBorders>
              <w:top w:val="nil"/>
              <w:left w:val="nil"/>
              <w:bottom w:val="single" w:sz="4" w:space="0" w:color="auto"/>
              <w:right w:val="single" w:sz="4" w:space="0" w:color="auto"/>
            </w:tcBorders>
          </w:tcPr>
          <w:p w:rsidR="00CF7C1C" w:rsidRPr="00331628" w:rsidRDefault="00C66BA0" w:rsidP="00116305">
            <w:pPr>
              <w:pStyle w:val="Tbla-jobb"/>
            </w:pPr>
            <w:r w:rsidRPr="00331628">
              <w:t>32</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sz w:val="20"/>
                <w:szCs w:val="20"/>
              </w:rPr>
            </w:pPr>
            <w:r w:rsidRPr="00331628">
              <w:rPr>
                <w:sz w:val="20"/>
                <w:szCs w:val="20"/>
              </w:rPr>
              <w:t>Állati genetikai erőforrások</w:t>
            </w:r>
          </w:p>
        </w:tc>
        <w:tc>
          <w:tcPr>
            <w:tcW w:w="1869" w:type="dxa"/>
            <w:tcBorders>
              <w:top w:val="nil"/>
              <w:left w:val="nil"/>
              <w:bottom w:val="single" w:sz="4" w:space="0" w:color="auto"/>
              <w:right w:val="single" w:sz="4" w:space="0" w:color="auto"/>
            </w:tcBorders>
            <w:noWrap/>
          </w:tcPr>
          <w:p w:rsidR="00CF7C1C" w:rsidRPr="00331628" w:rsidRDefault="00CF7C1C" w:rsidP="00116305">
            <w:pPr>
              <w:pStyle w:val="Tbla-jobb"/>
            </w:pPr>
            <w:r w:rsidRPr="00331628">
              <w:t>40</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pStyle w:val="Normltblzatban"/>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pStyle w:val="Normltblzatban"/>
              <w:spacing w:after="0"/>
              <w:rPr>
                <w:b/>
                <w:sz w:val="20"/>
                <w:szCs w:val="20"/>
              </w:rPr>
            </w:pPr>
            <w:r w:rsidRPr="00331628">
              <w:rPr>
                <w:sz w:val="20"/>
                <w:szCs w:val="20"/>
              </w:rPr>
              <w:t>Együttes tevékenységek (információ átadás ösztönzése)</w:t>
            </w:r>
          </w:p>
        </w:tc>
        <w:tc>
          <w:tcPr>
            <w:tcW w:w="1869" w:type="dxa"/>
            <w:tcBorders>
              <w:top w:val="nil"/>
              <w:left w:val="nil"/>
              <w:bottom w:val="single" w:sz="4" w:space="0" w:color="auto"/>
              <w:right w:val="single" w:sz="4" w:space="0" w:color="auto"/>
            </w:tcBorders>
            <w:noWrap/>
          </w:tcPr>
          <w:p w:rsidR="00CF7C1C" w:rsidRPr="00331628" w:rsidRDefault="00CF7C1C" w:rsidP="00116305">
            <w:pPr>
              <w:pStyle w:val="Tbla-jobb"/>
            </w:pPr>
            <w:r w:rsidRPr="00331628">
              <w:t>30</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b/>
                <w:sz w:val="20"/>
                <w:szCs w:val="20"/>
              </w:rPr>
            </w:pPr>
            <w:r w:rsidRPr="00331628">
              <w:rPr>
                <w:b/>
                <w:sz w:val="20"/>
                <w:szCs w:val="20"/>
              </w:rPr>
              <w:t>Támogatott ex situ/in situ megőrzések száma</w:t>
            </w:r>
          </w:p>
        </w:tc>
        <w:tc>
          <w:tcPr>
            <w:tcW w:w="1869" w:type="dxa"/>
            <w:tcBorders>
              <w:top w:val="nil"/>
              <w:left w:val="nil"/>
              <w:bottom w:val="single" w:sz="4" w:space="0" w:color="auto"/>
              <w:right w:val="single" w:sz="4" w:space="0" w:color="auto"/>
            </w:tcBorders>
            <w:noWrap/>
          </w:tcPr>
          <w:p w:rsidR="00CF7C1C" w:rsidRPr="00331628" w:rsidRDefault="00CF7C1C" w:rsidP="00116305">
            <w:pPr>
              <w:pStyle w:val="Tbla-jobb"/>
            </w:pPr>
            <w:r w:rsidRPr="00331628">
              <w:t>100 000 tétel/egyed</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vMerge/>
            <w:tcBorders>
              <w:left w:val="single" w:sz="4" w:space="0" w:color="auto"/>
              <w:bottom w:val="single" w:sz="4" w:space="0" w:color="auto"/>
              <w:right w:val="single" w:sz="4" w:space="0" w:color="auto"/>
            </w:tcBorders>
          </w:tcPr>
          <w:p w:rsidR="00CF7C1C" w:rsidRPr="00E1404B" w:rsidRDefault="00CF7C1C" w:rsidP="00116305">
            <w:pPr>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b/>
                <w:sz w:val="20"/>
                <w:szCs w:val="20"/>
              </w:rPr>
            </w:pPr>
            <w:r w:rsidRPr="00331628">
              <w:rPr>
                <w:b/>
                <w:sz w:val="20"/>
                <w:szCs w:val="20"/>
              </w:rPr>
              <w:t>Támogatott információcserék és tájékoztatások száma</w:t>
            </w:r>
          </w:p>
        </w:tc>
        <w:tc>
          <w:tcPr>
            <w:tcW w:w="1869" w:type="dxa"/>
            <w:tcBorders>
              <w:top w:val="nil"/>
              <w:left w:val="nil"/>
              <w:bottom w:val="single" w:sz="4" w:space="0" w:color="auto"/>
              <w:right w:val="single" w:sz="4" w:space="0" w:color="auto"/>
            </w:tcBorders>
            <w:noWrap/>
          </w:tcPr>
          <w:p w:rsidR="00CF7C1C" w:rsidRPr="00331628" w:rsidRDefault="00CF7C1C" w:rsidP="00116305">
            <w:pPr>
              <w:pStyle w:val="Tbla-jobb"/>
            </w:pPr>
            <w:r w:rsidRPr="00331628">
              <w:t>1</w:t>
            </w:r>
            <w:r w:rsidR="00E60347" w:rsidRPr="00331628">
              <w:t xml:space="preserve"> </w:t>
            </w:r>
            <w:r w:rsidRPr="00331628">
              <w:t>000</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tcBorders>
              <w:top w:val="single" w:sz="4" w:space="0" w:color="auto"/>
              <w:left w:val="single" w:sz="4" w:space="0" w:color="auto"/>
              <w:right w:val="single" w:sz="4" w:space="0" w:color="auto"/>
            </w:tcBorders>
          </w:tcPr>
          <w:p w:rsidR="00CF7C1C" w:rsidRPr="00E1404B" w:rsidRDefault="00CF7C1C" w:rsidP="00116305">
            <w:pPr>
              <w:rPr>
                <w:b/>
                <w:sz w:val="20"/>
                <w:szCs w:val="20"/>
              </w:rPr>
            </w:pPr>
          </w:p>
        </w:tc>
        <w:tc>
          <w:tcPr>
            <w:tcW w:w="6005" w:type="dxa"/>
            <w:vMerge w:val="restart"/>
            <w:tcBorders>
              <w:top w:val="single" w:sz="4" w:space="0" w:color="auto"/>
              <w:left w:val="single" w:sz="4" w:space="0" w:color="auto"/>
              <w:right w:val="single" w:sz="4" w:space="0" w:color="auto"/>
            </w:tcBorders>
          </w:tcPr>
          <w:p w:rsidR="00CF7C1C" w:rsidRPr="00331628" w:rsidRDefault="00CF7C1C" w:rsidP="00116305">
            <w:pPr>
              <w:pStyle w:val="Tbla-cm"/>
            </w:pPr>
            <w:r w:rsidRPr="00331628">
              <w:t>A támogatott fajták törzskönyvezett létszáma nő – minőségi állat előállítás</w:t>
            </w:r>
          </w:p>
          <w:p w:rsidR="00CF7C1C" w:rsidRPr="00331628" w:rsidRDefault="00CF7C1C" w:rsidP="00116305">
            <w:pPr>
              <w:pStyle w:val="Tbla-cm"/>
            </w:pPr>
            <w:r w:rsidRPr="00331628">
              <w:t>A hozzájárulás típusa:</w:t>
            </w:r>
          </w:p>
        </w:tc>
        <w:tc>
          <w:tcPr>
            <w:tcW w:w="1869" w:type="dxa"/>
            <w:tcBorders>
              <w:top w:val="nil"/>
              <w:left w:val="nil"/>
              <w:right w:val="single" w:sz="4" w:space="0" w:color="auto"/>
            </w:tcBorders>
            <w:noWrap/>
            <w:tcMar>
              <w:left w:w="0" w:type="dxa"/>
            </w:tcMar>
          </w:tcPr>
          <w:p w:rsidR="00CF7C1C" w:rsidRPr="00331628" w:rsidRDefault="00CF7C1C" w:rsidP="00116305">
            <w:pPr>
              <w:pStyle w:val="Tbla-jobb"/>
            </w:pPr>
            <w:r w:rsidRPr="00331628">
              <w:t>+4%</w:t>
            </w:r>
          </w:p>
        </w:tc>
        <w:tc>
          <w:tcPr>
            <w:tcW w:w="1366" w:type="dxa"/>
            <w:tcBorders>
              <w:top w:val="nil"/>
              <w:left w:val="nil"/>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vMerge w:val="restart"/>
            <w:tcBorders>
              <w:left w:val="single" w:sz="4" w:space="0" w:color="auto"/>
              <w:right w:val="single" w:sz="4" w:space="0" w:color="auto"/>
            </w:tcBorders>
          </w:tcPr>
          <w:p w:rsidR="00CF7C1C" w:rsidRPr="00E1404B" w:rsidRDefault="00CF7C1C" w:rsidP="00116305">
            <w:pPr>
              <w:pStyle w:val="Normltblzatban"/>
              <w:rPr>
                <w:sz w:val="20"/>
                <w:szCs w:val="20"/>
              </w:rPr>
            </w:pPr>
            <w:r w:rsidRPr="00E1404B">
              <w:rPr>
                <w:sz w:val="20"/>
                <w:szCs w:val="20"/>
              </w:rPr>
              <w:t>R</w:t>
            </w:r>
          </w:p>
        </w:tc>
        <w:tc>
          <w:tcPr>
            <w:tcW w:w="6005" w:type="dxa"/>
            <w:vMerge/>
            <w:tcBorders>
              <w:left w:val="single" w:sz="4" w:space="0" w:color="auto"/>
              <w:bottom w:val="single" w:sz="4" w:space="0" w:color="auto"/>
              <w:right w:val="single" w:sz="4" w:space="0" w:color="auto"/>
            </w:tcBorders>
          </w:tcPr>
          <w:p w:rsidR="00CF7C1C" w:rsidRPr="00331628" w:rsidRDefault="00CF7C1C" w:rsidP="00116305">
            <w:pPr>
              <w:pStyle w:val="Normltblzatban"/>
              <w:spacing w:after="0"/>
              <w:rPr>
                <w:sz w:val="20"/>
                <w:szCs w:val="20"/>
              </w:rPr>
            </w:pPr>
          </w:p>
        </w:tc>
        <w:tc>
          <w:tcPr>
            <w:tcW w:w="1869" w:type="dxa"/>
            <w:tcBorders>
              <w:left w:val="nil"/>
              <w:bottom w:val="single" w:sz="4" w:space="0" w:color="auto"/>
              <w:right w:val="single" w:sz="4" w:space="0" w:color="auto"/>
            </w:tcBorders>
            <w:noWrap/>
            <w:tcMar>
              <w:left w:w="0" w:type="dxa"/>
            </w:tcMar>
          </w:tcPr>
          <w:p w:rsidR="00CF7C1C" w:rsidRPr="00331628" w:rsidRDefault="00CF7C1C" w:rsidP="00116305">
            <w:pPr>
              <w:pStyle w:val="Tbla-jobb"/>
            </w:pPr>
          </w:p>
        </w:tc>
        <w:tc>
          <w:tcPr>
            <w:tcW w:w="1366" w:type="dxa"/>
            <w:tcBorders>
              <w:left w:val="nil"/>
              <w:bottom w:val="single" w:sz="4" w:space="0" w:color="auto"/>
              <w:right w:val="single" w:sz="4" w:space="0" w:color="auto"/>
            </w:tcBorders>
          </w:tcPr>
          <w:p w:rsidR="00CF7C1C" w:rsidRPr="00331628" w:rsidRDefault="00CF7C1C" w:rsidP="00116305">
            <w:pPr>
              <w:pStyle w:val="Tbla-jobb"/>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sz w:val="20"/>
                <w:szCs w:val="20"/>
              </w:rPr>
            </w:pPr>
            <w:r w:rsidRPr="00331628">
              <w:rPr>
                <w:sz w:val="20"/>
                <w:szCs w:val="20"/>
              </w:rPr>
              <w:t>A biodiverzitás növelése</w:t>
            </w:r>
          </w:p>
        </w:tc>
        <w:tc>
          <w:tcPr>
            <w:tcW w:w="1869" w:type="dxa"/>
            <w:tcBorders>
              <w:top w:val="nil"/>
              <w:left w:val="nil"/>
              <w:bottom w:val="single" w:sz="4" w:space="0" w:color="auto"/>
              <w:right w:val="single" w:sz="4" w:space="0" w:color="auto"/>
            </w:tcBorders>
            <w:noWrap/>
            <w:tcMar>
              <w:left w:w="0" w:type="dxa"/>
            </w:tcMar>
          </w:tcPr>
          <w:p w:rsidR="00CF7C1C" w:rsidRPr="00331628" w:rsidRDefault="00CF7C1C" w:rsidP="00116305">
            <w:pPr>
              <w:pStyle w:val="Tbla-jobb"/>
            </w:pPr>
            <w:r w:rsidRPr="00331628">
              <w:t>Közvetlen pozitív hatás</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sz w:val="20"/>
                <w:szCs w:val="20"/>
              </w:rPr>
            </w:pPr>
            <w:r w:rsidRPr="00331628">
              <w:rPr>
                <w:sz w:val="20"/>
                <w:szCs w:val="20"/>
              </w:rPr>
              <w:t>A vízminőség javítása</w:t>
            </w:r>
          </w:p>
        </w:tc>
        <w:tc>
          <w:tcPr>
            <w:tcW w:w="1869" w:type="dxa"/>
            <w:tcBorders>
              <w:top w:val="nil"/>
              <w:left w:val="nil"/>
              <w:bottom w:val="single" w:sz="4" w:space="0" w:color="auto"/>
              <w:right w:val="single" w:sz="4" w:space="0" w:color="auto"/>
            </w:tcBorders>
            <w:noWrap/>
            <w:tcMar>
              <w:left w:w="0" w:type="dxa"/>
            </w:tcMar>
          </w:tcPr>
          <w:p w:rsidR="00CF7C1C" w:rsidRPr="00331628" w:rsidRDefault="00CF7C1C" w:rsidP="00116305">
            <w:pPr>
              <w:pStyle w:val="Tbla-jobb"/>
            </w:pPr>
            <w:r w:rsidRPr="00331628">
              <w:t>Nem alkalmazható</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sz w:val="20"/>
                <w:szCs w:val="20"/>
              </w:rPr>
            </w:pPr>
            <w:r w:rsidRPr="00331628">
              <w:rPr>
                <w:sz w:val="20"/>
                <w:szCs w:val="20"/>
              </w:rPr>
              <w:t>A klímaváltozás mérséklése</w:t>
            </w:r>
          </w:p>
        </w:tc>
        <w:tc>
          <w:tcPr>
            <w:tcW w:w="1869" w:type="dxa"/>
            <w:tcBorders>
              <w:top w:val="nil"/>
              <w:left w:val="nil"/>
              <w:bottom w:val="single" w:sz="4" w:space="0" w:color="auto"/>
              <w:right w:val="single" w:sz="4" w:space="0" w:color="auto"/>
            </w:tcBorders>
            <w:noWrap/>
            <w:tcMar>
              <w:left w:w="0" w:type="dxa"/>
            </w:tcMar>
          </w:tcPr>
          <w:p w:rsidR="00CF7C1C" w:rsidRPr="00331628" w:rsidRDefault="00CF7C1C" w:rsidP="00116305">
            <w:pPr>
              <w:pStyle w:val="Tbla-jobb"/>
            </w:pPr>
            <w:r w:rsidRPr="00331628">
              <w:t>Nem alkalmazható</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116305">
            <w:pPr>
              <w:spacing w:after="0"/>
              <w:rPr>
                <w:sz w:val="20"/>
                <w:szCs w:val="20"/>
              </w:rPr>
            </w:pPr>
            <w:r w:rsidRPr="00331628">
              <w:rPr>
                <w:sz w:val="20"/>
                <w:szCs w:val="20"/>
              </w:rPr>
              <w:t xml:space="preserve">A talajminőség javítása </w:t>
            </w:r>
          </w:p>
        </w:tc>
        <w:tc>
          <w:tcPr>
            <w:tcW w:w="1869" w:type="dxa"/>
            <w:tcBorders>
              <w:top w:val="nil"/>
              <w:left w:val="nil"/>
              <w:bottom w:val="single" w:sz="4" w:space="0" w:color="auto"/>
              <w:right w:val="single" w:sz="4" w:space="0" w:color="auto"/>
            </w:tcBorders>
            <w:noWrap/>
            <w:tcMar>
              <w:left w:w="0" w:type="dxa"/>
            </w:tcMar>
          </w:tcPr>
          <w:p w:rsidR="00CF7C1C" w:rsidRPr="00331628" w:rsidRDefault="00CF7C1C" w:rsidP="00116305">
            <w:pPr>
              <w:pStyle w:val="Tbla-jobb"/>
            </w:pPr>
            <w:r w:rsidRPr="00331628">
              <w:t>Nem alkalmazható</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331628">
            <w:pPr>
              <w:spacing w:after="0"/>
              <w:jc w:val="left"/>
              <w:rPr>
                <w:sz w:val="20"/>
                <w:szCs w:val="20"/>
              </w:rPr>
            </w:pPr>
            <w:r w:rsidRPr="00331628">
              <w:rPr>
                <w:sz w:val="20"/>
                <w:szCs w:val="20"/>
              </w:rPr>
              <w:t>A marginalizálódás és a föld felhagyásának elkerülése</w:t>
            </w:r>
          </w:p>
        </w:tc>
        <w:tc>
          <w:tcPr>
            <w:tcW w:w="1869" w:type="dxa"/>
            <w:tcBorders>
              <w:top w:val="nil"/>
              <w:left w:val="nil"/>
              <w:bottom w:val="single" w:sz="4" w:space="0" w:color="auto"/>
              <w:right w:val="single" w:sz="4" w:space="0" w:color="auto"/>
            </w:tcBorders>
            <w:noWrap/>
            <w:tcMar>
              <w:left w:w="0" w:type="dxa"/>
            </w:tcMar>
          </w:tcPr>
          <w:p w:rsidR="00CF7C1C" w:rsidRPr="00331628" w:rsidRDefault="00CF7C1C" w:rsidP="00116305">
            <w:pPr>
              <w:pStyle w:val="Tbla-jobb"/>
            </w:pPr>
            <w:r w:rsidRPr="00331628">
              <w:t xml:space="preserve">Közvetett pozitív </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116305">
            <w:pPr>
              <w:pStyle w:val="Normltblzatban"/>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331628">
            <w:pPr>
              <w:pStyle w:val="Tbla-cm"/>
              <w:jc w:val="left"/>
            </w:pPr>
            <w:r w:rsidRPr="00331628">
              <w:t>Nemzetközi kapcsolatok száma</w:t>
            </w:r>
          </w:p>
        </w:tc>
        <w:tc>
          <w:tcPr>
            <w:tcW w:w="1869" w:type="dxa"/>
            <w:tcBorders>
              <w:top w:val="nil"/>
              <w:left w:val="nil"/>
              <w:bottom w:val="single" w:sz="4" w:space="0" w:color="auto"/>
              <w:right w:val="single" w:sz="4" w:space="0" w:color="auto"/>
            </w:tcBorders>
            <w:noWrap/>
            <w:tcMar>
              <w:left w:w="0" w:type="dxa"/>
            </w:tcMar>
          </w:tcPr>
          <w:p w:rsidR="00CF7C1C" w:rsidRPr="00331628" w:rsidRDefault="00CF7C1C" w:rsidP="00116305">
            <w:pPr>
              <w:pStyle w:val="Tbla-jobb"/>
            </w:pPr>
            <w:r w:rsidRPr="00331628">
              <w:t>8</w:t>
            </w:r>
          </w:p>
        </w:tc>
        <w:tc>
          <w:tcPr>
            <w:tcW w:w="1366" w:type="dxa"/>
            <w:tcBorders>
              <w:top w:val="nil"/>
              <w:left w:val="nil"/>
              <w:bottom w:val="single" w:sz="4" w:space="0" w:color="auto"/>
              <w:right w:val="single" w:sz="4" w:space="0" w:color="auto"/>
            </w:tcBorders>
          </w:tcPr>
          <w:p w:rsidR="00CF7C1C" w:rsidRPr="00331628" w:rsidRDefault="00CF7C1C" w:rsidP="00116305">
            <w:pPr>
              <w:pStyle w:val="Tbla-jobb"/>
            </w:pPr>
            <w:r w:rsidRPr="00331628">
              <w:t>NA</w:t>
            </w:r>
          </w:p>
        </w:tc>
      </w:tr>
      <w:tr w:rsidR="00CF7C1C" w:rsidRPr="00331628" w:rsidTr="00BB58EE">
        <w:trPr>
          <w:cantSplit/>
          <w:trHeight w:val="20"/>
          <w:jc w:val="center"/>
        </w:trPr>
        <w:tc>
          <w:tcPr>
            <w:tcW w:w="652" w:type="dxa"/>
            <w:vMerge/>
            <w:tcBorders>
              <w:left w:val="single" w:sz="4" w:space="0" w:color="auto"/>
              <w:bottom w:val="single" w:sz="4" w:space="0" w:color="auto"/>
              <w:right w:val="single" w:sz="4" w:space="0" w:color="auto"/>
            </w:tcBorders>
          </w:tcPr>
          <w:p w:rsidR="00CF7C1C" w:rsidRPr="00E1404B" w:rsidRDefault="00CF7C1C" w:rsidP="00CF7C1C">
            <w:pPr>
              <w:pStyle w:val="Normltblzatban"/>
              <w:spacing w:after="0"/>
              <w:ind w:left="4" w:firstLine="0"/>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331628">
            <w:pPr>
              <w:pStyle w:val="Tbla-cm"/>
              <w:jc w:val="left"/>
            </w:pPr>
            <w:r w:rsidRPr="00331628">
              <w:t>Az „on farm” megőrzésre átadott minták/tételek száma</w:t>
            </w:r>
          </w:p>
        </w:tc>
        <w:tc>
          <w:tcPr>
            <w:tcW w:w="1869" w:type="dxa"/>
            <w:tcBorders>
              <w:top w:val="nil"/>
              <w:left w:val="nil"/>
              <w:bottom w:val="single" w:sz="4" w:space="0" w:color="auto"/>
              <w:right w:val="single" w:sz="4" w:space="0" w:color="auto"/>
            </w:tcBorders>
            <w:noWrap/>
            <w:tcMar>
              <w:left w:w="0" w:type="dxa"/>
            </w:tcMar>
          </w:tcPr>
          <w:p w:rsidR="00CF7C1C" w:rsidRPr="00331628" w:rsidRDefault="00CF7C1C" w:rsidP="007C60C4">
            <w:pPr>
              <w:pStyle w:val="Tbla-jobb"/>
              <w:rPr>
                <w:b/>
              </w:rPr>
            </w:pPr>
            <w:r w:rsidRPr="00331628">
              <w:rPr>
                <w:b/>
              </w:rPr>
              <w:t>500</w:t>
            </w:r>
            <w:r w:rsidRPr="00331628">
              <w:rPr>
                <w:b/>
                <w:lang w:bidi="sa-IN"/>
              </w:rPr>
              <w:t xml:space="preserve"> </w:t>
            </w:r>
            <w:r w:rsidRPr="00331628">
              <w:rPr>
                <w:b/>
              </w:rPr>
              <w:t>minta/tétel</w:t>
            </w:r>
          </w:p>
        </w:tc>
        <w:tc>
          <w:tcPr>
            <w:tcW w:w="1366" w:type="dxa"/>
            <w:tcBorders>
              <w:top w:val="nil"/>
              <w:left w:val="nil"/>
              <w:bottom w:val="single" w:sz="4" w:space="0" w:color="auto"/>
              <w:right w:val="single" w:sz="4" w:space="0" w:color="auto"/>
            </w:tcBorders>
          </w:tcPr>
          <w:p w:rsidR="00CF7C1C" w:rsidRPr="00331628" w:rsidRDefault="00CF7C1C" w:rsidP="007C60C4">
            <w:pPr>
              <w:pStyle w:val="Tbla-jobb"/>
              <w:rPr>
                <w:b/>
              </w:rPr>
            </w:pPr>
            <w:r w:rsidRPr="00331628">
              <w:rPr>
                <w:b/>
              </w:rPr>
              <w:t>NA</w:t>
            </w:r>
          </w:p>
        </w:tc>
      </w:tr>
      <w:tr w:rsidR="00CF7C1C" w:rsidRPr="00331628" w:rsidTr="00BB58EE">
        <w:trPr>
          <w:cantSplit/>
          <w:trHeight w:val="20"/>
          <w:jc w:val="center"/>
        </w:trPr>
        <w:tc>
          <w:tcPr>
            <w:tcW w:w="652" w:type="dxa"/>
            <w:vMerge w:val="restart"/>
            <w:tcBorders>
              <w:top w:val="single" w:sz="4" w:space="0" w:color="auto"/>
              <w:left w:val="single" w:sz="4" w:space="0" w:color="auto"/>
              <w:right w:val="single" w:sz="4" w:space="0" w:color="auto"/>
            </w:tcBorders>
          </w:tcPr>
          <w:p w:rsidR="00CF7C1C" w:rsidRPr="00E1404B" w:rsidRDefault="00CF7C1C" w:rsidP="00CF7C1C">
            <w:pPr>
              <w:pStyle w:val="Normltblzatban"/>
              <w:keepNext/>
              <w:spacing w:after="0"/>
              <w:ind w:left="4" w:firstLine="0"/>
              <w:rPr>
                <w:b/>
                <w:sz w:val="20"/>
                <w:szCs w:val="20"/>
              </w:rPr>
            </w:pPr>
            <w:r w:rsidRPr="00E1404B">
              <w:rPr>
                <w:b/>
                <w:sz w:val="20"/>
                <w:szCs w:val="20"/>
              </w:rPr>
              <w:t>I</w:t>
            </w: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331628">
            <w:pPr>
              <w:pStyle w:val="Tbla-cm"/>
              <w:jc w:val="left"/>
            </w:pPr>
            <w:r w:rsidRPr="00331628">
              <w:t>A genetikai erőforrások használata a környezetkímélő gazdálkodásban</w:t>
            </w:r>
          </w:p>
        </w:tc>
        <w:tc>
          <w:tcPr>
            <w:tcW w:w="1869" w:type="dxa"/>
            <w:tcBorders>
              <w:top w:val="single" w:sz="4" w:space="0" w:color="auto"/>
              <w:left w:val="single" w:sz="4" w:space="0" w:color="auto"/>
              <w:bottom w:val="single" w:sz="4" w:space="0" w:color="auto"/>
              <w:right w:val="single" w:sz="4" w:space="0" w:color="auto"/>
            </w:tcBorders>
            <w:noWrap/>
          </w:tcPr>
          <w:p w:rsidR="00CF7C1C" w:rsidRPr="00331628" w:rsidRDefault="00CF7C1C" w:rsidP="007C60C4">
            <w:pPr>
              <w:pStyle w:val="Tbla-jobb"/>
              <w:rPr>
                <w:b/>
              </w:rPr>
            </w:pPr>
            <w:r w:rsidRPr="00331628">
              <w:rPr>
                <w:b/>
              </w:rPr>
              <w:t>20-30 tétel/év</w:t>
            </w:r>
          </w:p>
        </w:tc>
        <w:tc>
          <w:tcPr>
            <w:tcW w:w="1366" w:type="dxa"/>
            <w:tcBorders>
              <w:top w:val="single" w:sz="4" w:space="0" w:color="auto"/>
              <w:left w:val="single" w:sz="4" w:space="0" w:color="auto"/>
              <w:bottom w:val="single" w:sz="4" w:space="0" w:color="auto"/>
              <w:right w:val="single" w:sz="4" w:space="0" w:color="auto"/>
            </w:tcBorders>
          </w:tcPr>
          <w:p w:rsidR="00CF7C1C" w:rsidRPr="00331628" w:rsidRDefault="00CF7C1C" w:rsidP="007C60C4">
            <w:pPr>
              <w:pStyle w:val="Tbla-jobb"/>
              <w:rPr>
                <w:b/>
              </w:rPr>
            </w:pPr>
            <w:r w:rsidRPr="00331628">
              <w:rPr>
                <w:b/>
              </w:rPr>
              <w:t>NA</w:t>
            </w:r>
          </w:p>
        </w:tc>
      </w:tr>
      <w:tr w:rsidR="00CF7C1C" w:rsidRPr="00331628" w:rsidTr="00BB58EE">
        <w:trPr>
          <w:cantSplit/>
          <w:trHeight w:val="20"/>
          <w:jc w:val="center"/>
        </w:trPr>
        <w:tc>
          <w:tcPr>
            <w:tcW w:w="652" w:type="dxa"/>
            <w:vMerge/>
            <w:tcBorders>
              <w:left w:val="single" w:sz="4" w:space="0" w:color="auto"/>
              <w:right w:val="single" w:sz="4" w:space="0" w:color="auto"/>
            </w:tcBorders>
          </w:tcPr>
          <w:p w:rsidR="00CF7C1C" w:rsidRPr="00E1404B" w:rsidRDefault="00CF7C1C" w:rsidP="00CF7C1C">
            <w:pPr>
              <w:pStyle w:val="Normltblzatban"/>
              <w:spacing w:after="0"/>
              <w:ind w:left="4" w:firstLine="0"/>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331628">
            <w:pPr>
              <w:pStyle w:val="Tbla-cm"/>
              <w:jc w:val="left"/>
            </w:pPr>
            <w:r w:rsidRPr="00331628">
              <w:t>A támogatott fajták törzskönyvezett létszáma nő</w:t>
            </w:r>
          </w:p>
        </w:tc>
        <w:tc>
          <w:tcPr>
            <w:tcW w:w="1869" w:type="dxa"/>
            <w:tcBorders>
              <w:top w:val="single" w:sz="4" w:space="0" w:color="auto"/>
              <w:left w:val="single" w:sz="4" w:space="0" w:color="auto"/>
              <w:bottom w:val="single" w:sz="4" w:space="0" w:color="auto"/>
              <w:right w:val="single" w:sz="4" w:space="0" w:color="auto"/>
            </w:tcBorders>
            <w:noWrap/>
          </w:tcPr>
          <w:p w:rsidR="00CF7C1C" w:rsidRPr="00331628" w:rsidRDefault="00CF7C1C" w:rsidP="007C60C4">
            <w:pPr>
              <w:pStyle w:val="Tbla-jobb"/>
              <w:rPr>
                <w:b/>
              </w:rPr>
            </w:pPr>
            <w:r w:rsidRPr="00331628">
              <w:rPr>
                <w:b/>
              </w:rPr>
              <w:t>+20%</w:t>
            </w:r>
          </w:p>
        </w:tc>
        <w:tc>
          <w:tcPr>
            <w:tcW w:w="1366" w:type="dxa"/>
            <w:tcBorders>
              <w:top w:val="single" w:sz="4" w:space="0" w:color="auto"/>
              <w:left w:val="single" w:sz="4" w:space="0" w:color="auto"/>
              <w:bottom w:val="single" w:sz="4" w:space="0" w:color="auto"/>
              <w:right w:val="single" w:sz="4" w:space="0" w:color="auto"/>
            </w:tcBorders>
          </w:tcPr>
          <w:p w:rsidR="00CF7C1C" w:rsidRPr="00331628" w:rsidRDefault="00CF7C1C" w:rsidP="007C60C4">
            <w:pPr>
              <w:pStyle w:val="Tbla-jobb"/>
              <w:rPr>
                <w:b/>
              </w:rPr>
            </w:pPr>
            <w:r w:rsidRPr="00331628">
              <w:rPr>
                <w:b/>
              </w:rPr>
              <w:t>NA</w:t>
            </w:r>
          </w:p>
        </w:tc>
      </w:tr>
      <w:tr w:rsidR="00CF7C1C" w:rsidRPr="00331628" w:rsidTr="00BB58EE">
        <w:trPr>
          <w:cantSplit/>
          <w:trHeight w:val="20"/>
          <w:jc w:val="center"/>
        </w:trPr>
        <w:tc>
          <w:tcPr>
            <w:tcW w:w="652" w:type="dxa"/>
            <w:vMerge/>
            <w:tcBorders>
              <w:left w:val="single" w:sz="4" w:space="0" w:color="auto"/>
              <w:bottom w:val="single" w:sz="4" w:space="0" w:color="auto"/>
              <w:right w:val="single" w:sz="4" w:space="0" w:color="auto"/>
            </w:tcBorders>
          </w:tcPr>
          <w:p w:rsidR="00CF7C1C" w:rsidRPr="00E1404B" w:rsidRDefault="00CF7C1C" w:rsidP="00CF7C1C">
            <w:pPr>
              <w:pStyle w:val="Normltblzatban"/>
              <w:spacing w:after="0"/>
              <w:ind w:left="4" w:firstLine="0"/>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CF7C1C" w:rsidRPr="00331628" w:rsidRDefault="00CF7C1C" w:rsidP="00331628">
            <w:pPr>
              <w:pStyle w:val="Tbla-cm"/>
              <w:jc w:val="left"/>
            </w:pPr>
            <w:r w:rsidRPr="00331628">
              <w:t xml:space="preserve">Előállított végtermék minőség javítása </w:t>
            </w:r>
          </w:p>
        </w:tc>
        <w:tc>
          <w:tcPr>
            <w:tcW w:w="1869" w:type="dxa"/>
            <w:tcBorders>
              <w:top w:val="single" w:sz="4" w:space="0" w:color="auto"/>
              <w:left w:val="single" w:sz="4" w:space="0" w:color="auto"/>
              <w:bottom w:val="single" w:sz="4" w:space="0" w:color="auto"/>
              <w:right w:val="single" w:sz="4" w:space="0" w:color="auto"/>
            </w:tcBorders>
            <w:noWrap/>
          </w:tcPr>
          <w:p w:rsidR="00CF7C1C" w:rsidRPr="00331628" w:rsidRDefault="00CF7C1C" w:rsidP="007C60C4">
            <w:pPr>
              <w:pStyle w:val="Tbla-jobb"/>
              <w:rPr>
                <w:b/>
              </w:rPr>
            </w:pPr>
            <w:r w:rsidRPr="00331628">
              <w:rPr>
                <w:b/>
              </w:rPr>
              <w:t>+10%</w:t>
            </w:r>
          </w:p>
        </w:tc>
        <w:tc>
          <w:tcPr>
            <w:tcW w:w="1366" w:type="dxa"/>
            <w:tcBorders>
              <w:top w:val="single" w:sz="4" w:space="0" w:color="auto"/>
              <w:left w:val="single" w:sz="4" w:space="0" w:color="auto"/>
              <w:bottom w:val="single" w:sz="4" w:space="0" w:color="auto"/>
              <w:right w:val="single" w:sz="4" w:space="0" w:color="auto"/>
            </w:tcBorders>
          </w:tcPr>
          <w:p w:rsidR="00CF7C1C" w:rsidRPr="00331628" w:rsidRDefault="00CF7C1C" w:rsidP="007C60C4">
            <w:pPr>
              <w:pStyle w:val="Tbla-jobb"/>
              <w:rPr>
                <w:b/>
              </w:rPr>
            </w:pPr>
            <w:r w:rsidRPr="00331628">
              <w:rPr>
                <w:b/>
              </w:rPr>
              <w:t>NA</w:t>
            </w:r>
          </w:p>
        </w:tc>
      </w:tr>
    </w:tbl>
    <w:p w:rsidR="00CF7C1C" w:rsidRDefault="00CF7C1C" w:rsidP="00CF7C1C">
      <w:pPr>
        <w:pStyle w:val="Normlforrs"/>
      </w:pPr>
      <w:r w:rsidRPr="00F35797">
        <w:t>Forrás: MVH</w:t>
      </w:r>
    </w:p>
    <w:p w:rsidR="005223D2" w:rsidRPr="00331628" w:rsidRDefault="005223D2" w:rsidP="00331628">
      <w:pPr>
        <w:pStyle w:val="Normlforrs"/>
        <w:jc w:val="both"/>
        <w:rPr>
          <w:i w:val="0"/>
        </w:rPr>
      </w:pPr>
      <w:r w:rsidRPr="00331628">
        <w:rPr>
          <w:i w:val="0"/>
        </w:rPr>
        <w:t xml:space="preserve">A Genetikai erőforrások megőrzése alintézkedés támogatása esetében a </w:t>
      </w:r>
      <w:r w:rsidRPr="00331628">
        <w:rPr>
          <w:rFonts w:eastAsia="Times New Roman"/>
          <w:bCs/>
          <w:i w:val="0"/>
          <w:szCs w:val="22"/>
        </w:rPr>
        <w:t>védett őshonos és veszélyeztetett mezőgazdasági állatfajták megőrzése jogcím kérelemadatai 2012. december 31-ig nem kerültek teljes mértékben feldolgozásra, az output adatok emelkedése a 2013. évi éves jelentésben fog megjelenni.</w:t>
      </w:r>
    </w:p>
    <w:p w:rsidR="00CF7C1C" w:rsidRPr="00F35797" w:rsidRDefault="00CF7C1C" w:rsidP="00715E86">
      <w:pPr>
        <w:pStyle w:val="Cmsor4"/>
      </w:pPr>
      <w:bookmarkStart w:id="282" w:name="_Toc261596935"/>
      <w:r w:rsidRPr="00F35797">
        <w:t xml:space="preserve">Az Agrár-környezetgazdálkodási </w:t>
      </w:r>
      <w:r w:rsidR="00924F7B">
        <w:t>kifizetések</w:t>
      </w:r>
      <w:r>
        <w:t xml:space="preserve"> jogcím</w:t>
      </w:r>
      <w:r w:rsidR="00E60347">
        <w:t>/intézkedés</w:t>
      </w:r>
      <w:r w:rsidRPr="00F35797">
        <w:t xml:space="preserve"> (214.A.) rövid bemutatása</w:t>
      </w:r>
    </w:p>
    <w:p w:rsidR="00E60347" w:rsidRDefault="00CF7C1C" w:rsidP="00E20C32">
      <w:r w:rsidRPr="00F35797">
        <w:rPr>
          <w:szCs w:val="22"/>
        </w:rPr>
        <w:t xml:space="preserve">Az Európai Mezőgazdasági Vidékfejlesztési Alapból támogatott 2009-2014-ig terjedő (AKG) intézkedés az NVT keretében meghirdetett 2004-2009-ig tartó kötelezettségvállalási időszaktól (NVT AKG) eltérő kötelezettségekkel, a minőség irányában továbbfejlesztett célprogramokkal jellemezhető. Célja a termőhelyi adottságoknak megfelelő termelési szerkezet, a környezettudatos gazdálkodás és a fenntartható tájhasználat kialakítása, a környezet állapotának javítása, a gazdaságok életképességének és gazdasági hatékonyságának növelése, a fenntartható mezőgazdasági gyakorlat kialakítása, a minőségi élelmiszer előállítása, valamint a gazdaságok életképességének megtartása és gazdasági hatékonyságának növelése. A kifizetések az önkéntes kötelezettségvállalások alapján felmerülő </w:t>
      </w:r>
      <w:r w:rsidRPr="002B4681">
        <w:rPr>
          <w:szCs w:val="22"/>
        </w:rPr>
        <w:t xml:space="preserve">többletköltségek és kieső jövedelem ellentételezésének elve alapján valósulnak meg. A támogatás formája normatív, vissza nem térítendő területalapú támogatás. </w:t>
      </w:r>
      <w:r w:rsidRPr="002B4681">
        <w:t>Az intézkedést</w:t>
      </w:r>
      <w:r w:rsidR="00E60347">
        <w:t>/jogcímet</w:t>
      </w:r>
      <w:r w:rsidRPr="002B4681">
        <w:t xml:space="preserve"> 2009-ben hirdették meg és csak abban az évben lehetett támogatási kérelmet benyújtani rá. </w:t>
      </w:r>
      <w:r w:rsidR="00E60347" w:rsidRPr="002B4681">
        <w:t>Ezen jogcím keretében a 61/2009. (V.14.) FVM rendelet alapján, lehetőség van agrár-környezetgazdálkodási támogatások igénybevételére. Az intézkedés 5 év - környezetvédelmi célú gyeptelepítési célprogram esetében tíz év – időtartamú.</w:t>
      </w:r>
    </w:p>
    <w:p w:rsidR="00CF7C1C" w:rsidRPr="002B4681" w:rsidRDefault="00CF7C1C" w:rsidP="00CF7C1C">
      <w:pPr>
        <w:rPr>
          <w:szCs w:val="22"/>
        </w:rPr>
      </w:pPr>
    </w:p>
    <w:p w:rsidR="00CF7C1C" w:rsidRPr="002B4681" w:rsidRDefault="00CF7C1C" w:rsidP="00CF7C1C">
      <w:pPr>
        <w:rPr>
          <w:strike/>
          <w:szCs w:val="22"/>
        </w:rPr>
      </w:pPr>
      <w:r w:rsidRPr="002B4681">
        <w:rPr>
          <w:szCs w:val="22"/>
        </w:rPr>
        <w:t xml:space="preserve">Az AKG igénybevételének részletes feltételeit tartalmazó 61/2009. (V.14.) FVM rendelet módosítására 2012-ben kétszer került sor. </w:t>
      </w:r>
    </w:p>
    <w:p w:rsidR="00CF7C1C" w:rsidRPr="002B4681" w:rsidRDefault="00CF7C1C" w:rsidP="00CF7C1C">
      <w:pPr>
        <w:rPr>
          <w:szCs w:val="22"/>
        </w:rPr>
      </w:pPr>
      <w:r w:rsidRPr="002B4681">
        <w:rPr>
          <w:szCs w:val="22"/>
        </w:rPr>
        <w:t>A 44/2012. (V.3.) VM rendelet főbb tartalmi elemeként két pont emelhető ki:</w:t>
      </w:r>
    </w:p>
    <w:p w:rsidR="00CF7C1C" w:rsidRPr="002B4681" w:rsidRDefault="00CF7C1C" w:rsidP="00CF7C1C">
      <w:pPr>
        <w:rPr>
          <w:szCs w:val="22"/>
        </w:rPr>
      </w:pPr>
      <w:r w:rsidRPr="002B4681">
        <w:rPr>
          <w:szCs w:val="22"/>
        </w:rPr>
        <w:t>Az első, hogy a jogcímrendeletben szereplő határidők a Nemzeti Földalapkezelő Szervezet</w:t>
      </w:r>
      <w:r w:rsidR="00E60347">
        <w:rPr>
          <w:szCs w:val="22"/>
        </w:rPr>
        <w:t xml:space="preserve"> (NFA)</w:t>
      </w:r>
      <w:r w:rsidRPr="002B4681">
        <w:rPr>
          <w:szCs w:val="22"/>
        </w:rPr>
        <w:t xml:space="preserve"> által lefolytatott, az állami földek haszonbérleti helyzetének rendezésére irányuló pályáztatás üteméhez mérten kerültek kiigazításra. Kimondja továbbá, hogy az AKG támogatás szempontjából ugyancsak a vis maior szabályait kell alkalmazni akkor, ha a gazdálkodó nem felel meg az NFA által kiírt haszonbérleti pályázat feltételeinek.</w:t>
      </w:r>
    </w:p>
    <w:p w:rsidR="00CF7C1C" w:rsidRPr="002B4681" w:rsidRDefault="00CF7C1C" w:rsidP="00CF7C1C">
      <w:pPr>
        <w:rPr>
          <w:szCs w:val="22"/>
        </w:rPr>
      </w:pPr>
      <w:r w:rsidRPr="002B4681">
        <w:rPr>
          <w:szCs w:val="22"/>
        </w:rPr>
        <w:t>A másik módosítás az ökológiai gazdálkodókat érinti. A módosítás a Magyary Programmal összhangban „a közigazgatás eljárásának egységesítése és egyszerűsítése” szem előtt tartásával történt, hiszen a jogcímrendeletben szereplő, ökológiai ellenőrző szervezet által kiállított igazolások beszerzése adminisztratív terhet jelentett a gazdálkodók számára. A módosítással az igazolásokat a MVH a gazdálkodók helyett közvetlenül az ökológiai ellenőrző szervezetektől kapja meg.</w:t>
      </w:r>
    </w:p>
    <w:p w:rsidR="00CF7C1C" w:rsidRPr="00D53DF7" w:rsidRDefault="00CF7C1C" w:rsidP="00D53DF7">
      <w:r w:rsidRPr="00D53DF7">
        <w:t xml:space="preserve">A 139/2012. (XII.22.) VM rendeletben megfogalmazott módosítás világosabbá teszi azt az alapelvet, hogy olyan területre, amelyen a kifizetési kérelem benyújtási időszakban nem található ültetvény, az adott gazdálkodási évre vonatkozóan nem lehet célprogram kifizetést igényelni. Ezzel összefüggésben módosult, hogy a megvalósított ültetvény újratelepítés nélkül benyújtott kifizetési </w:t>
      </w:r>
      <w:r w:rsidRPr="00D53DF7">
        <w:lastRenderedPageBreak/>
        <w:t>kérelem esetén jogkövetkezményként nem a támogatásra jogosult gazdálkodó célprogramból való teljes kizárása, hanem csak az adott kötelezettségvállalással érintett egybefüggő terület célprogramból való kizárása érvényesül.</w:t>
      </w:r>
    </w:p>
    <w:p w:rsidR="00CF7C1C" w:rsidRPr="00D53DF7" w:rsidRDefault="00CF7C1C" w:rsidP="00D53DF7">
      <w:r w:rsidRPr="00D53DF7">
        <w:t>Fentieken túl jelentős mértékű szankciócsökkentés történt bizonyos előírások teljesítésének elmulasztása esetén. Ezek közé tartozik például a tápanyag-gazdálkodási tervvel kapcsolatos elektronikus adatszolgáltatás elmulasztásának, valamint gazdálkodási naplóval kapcsolatos ugyanilyen mulasztásnak a jogkövetkezménye (a támogatási összeg 30%-os csökkentéséről 15%-os csökkentésre mérséklődött.)</w:t>
      </w:r>
      <w:r w:rsidR="00E60347" w:rsidRPr="00D53DF7">
        <w:t>.</w:t>
      </w:r>
      <w:r w:rsidRPr="00D53DF7">
        <w:t xml:space="preserve"> Enyhébbek lettek továbbá a gyepgazdálkodási célprogramok legeltetéssel kapcsolatos előírásainak egyes jogkövetkezményei is.</w:t>
      </w:r>
    </w:p>
    <w:p w:rsidR="00E60347" w:rsidRPr="00D53DF7" w:rsidRDefault="00E60347" w:rsidP="00D53DF7">
      <w:r w:rsidRPr="00D53DF7">
        <w:t>Az AKG vonatkozásában támogatási kérelem benyújtására a jogcím esetében 2012-ben nem volt lehetőség. A kifizetési kérelmet az egységes területalapú támogatással együtt 2012. május 15-ig lehetett benyújtani.</w:t>
      </w:r>
    </w:p>
    <w:p w:rsidR="00E60347" w:rsidRPr="00D53DF7" w:rsidRDefault="00E60347" w:rsidP="00D53DF7">
      <w:r w:rsidRPr="00D53DF7">
        <w:t xml:space="preserve">A 2012. évi Egységes kérelemmel beérkező kifizetési kérelmek kifizetései lezárultak, a jogorvoslati eljárással érintett kérelmek közül van még folyamatban ügyintézés. </w:t>
      </w:r>
    </w:p>
    <w:p w:rsidR="00E60347" w:rsidRPr="00D53DF7" w:rsidRDefault="00E60347" w:rsidP="00E60347">
      <w:r w:rsidRPr="00D53DF7">
        <w:t>A 201</w:t>
      </w:r>
      <w:r w:rsidR="00E32A01">
        <w:t>1</w:t>
      </w:r>
      <w:r w:rsidRPr="00D53DF7">
        <w:t>. évben beérkezett kifizetési kérelmek kifizetései is elindultak 2012. év decemberében.</w:t>
      </w:r>
    </w:p>
    <w:p w:rsidR="00CF7C1C" w:rsidRPr="00D53DF7" w:rsidRDefault="00E60347" w:rsidP="00CF7C1C">
      <w:r w:rsidRPr="00D53DF7">
        <w:t>Az NVT AKG 5 éves támogatási időszaka alatt az évenként benyújtandó kifizetési kérelmek az NVT forráskeretének kimerülése után az EU Bizottság 1320/2006/EK rendeletének megfelelően 2012-ben is</w:t>
      </w:r>
      <w:r w:rsidR="00E54931" w:rsidRPr="00D53DF7">
        <w:t xml:space="preserve"> </w:t>
      </w:r>
      <w:r w:rsidRPr="00D53DF7">
        <w:t>a Program vonatkozó keretösszegét terhelték. 2012-ben az NVT AKG korábbi évi kifizetési kérelmeinek és a kizárások ügyintézése, valamint a jogorvoslattal érintett kérelmek lezárása folyt.</w:t>
      </w:r>
    </w:p>
    <w:p w:rsidR="00CF7C1C" w:rsidRPr="00F92037" w:rsidRDefault="007E5FDF" w:rsidP="00F92037">
      <w:pPr>
        <w:pStyle w:val="bra-cmetbla"/>
      </w:pPr>
      <w:fldSimple w:instr=" SEQ táblázat \* ARABIC ">
        <w:r w:rsidR="00E5031F">
          <w:rPr>
            <w:noProof/>
          </w:rPr>
          <w:t>61</w:t>
        </w:r>
      </w:fldSimple>
      <w:r w:rsidR="00673DDE">
        <w:t xml:space="preserve">. táblázat: </w:t>
      </w:r>
      <w:r w:rsidR="00CF7C1C" w:rsidRPr="00F92037">
        <w:t>Az Agrár-környezetgazdálkodási kifizetések támogatási jogcím</w:t>
      </w:r>
      <w:r w:rsidR="00E60347" w:rsidRPr="00F92037">
        <w:t>/intézkedés – 214.A. -</w:t>
      </w:r>
      <w:r w:rsidR="00CF7C1C" w:rsidRPr="00F92037">
        <w:t xml:space="preserve"> 2012. évi eredményei</w:t>
      </w:r>
    </w:p>
    <w:p w:rsidR="005223D2" w:rsidRPr="00F92037" w:rsidRDefault="005223D2" w:rsidP="00F92037">
      <w:pPr>
        <w:pStyle w:val="bra-cmetbla"/>
      </w:pPr>
      <w:r w:rsidRPr="00F92037">
        <w:rPr>
          <w:noProof/>
        </w:rPr>
        <w:drawing>
          <wp:inline distT="0" distB="0" distL="0" distR="0" wp14:anchorId="26C4B452" wp14:editId="63467E43">
            <wp:extent cx="5314950" cy="273367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4950" cy="2733675"/>
                    </a:xfrm>
                    <a:prstGeom prst="rect">
                      <a:avLst/>
                    </a:prstGeom>
                    <a:noFill/>
                    <a:ln>
                      <a:noFill/>
                    </a:ln>
                  </pic:spPr>
                </pic:pic>
              </a:graphicData>
            </a:graphic>
          </wp:inline>
        </w:drawing>
      </w:r>
    </w:p>
    <w:p w:rsidR="00CF7C1C" w:rsidRDefault="00CF7C1C" w:rsidP="00CF7C1C">
      <w:pPr>
        <w:pStyle w:val="Normlforrs"/>
      </w:pPr>
      <w:r w:rsidRPr="00F35797">
        <w:t>Forrás: MVH</w:t>
      </w:r>
    </w:p>
    <w:p w:rsidR="00CF7C1C" w:rsidRDefault="00CF7C1C" w:rsidP="004869BB">
      <w:r w:rsidRPr="002B4681">
        <w:t xml:space="preserve">A jogcímre 2012-ben </w:t>
      </w:r>
      <w:r w:rsidR="002A075F" w:rsidRPr="002B4681">
        <w:t>15</w:t>
      </w:r>
      <w:r w:rsidR="002A075F">
        <w:t> </w:t>
      </w:r>
      <w:r w:rsidRPr="002B4681">
        <w:t xml:space="preserve">504 kifizetési kérelem jóváhagyására került sor. Kifizetés 228,9 M euró (66,9 Mrd Ft) összegben történt, míg NVT AKG kötelezettségvállalás terhére 506 ezer euró (148 M Ft) összeget fizetett ki az MVH. </w:t>
      </w:r>
    </w:p>
    <w:p w:rsidR="00AC0FE1" w:rsidRDefault="00AC0FE1" w:rsidP="0033390A">
      <w:pPr>
        <w:suppressAutoHyphens w:val="0"/>
      </w:pPr>
      <w:r w:rsidRPr="00EA7C8A">
        <w:t xml:space="preserve">Az NVT </w:t>
      </w:r>
      <w:r>
        <w:t>AKG</w:t>
      </w:r>
      <w:r w:rsidRPr="00EA7C8A">
        <w:t xml:space="preserve"> intézkedés keretében vállalt kötelezettségek kifizetései lezárultak</w:t>
      </w:r>
      <w:r>
        <w:t>, azonban a korábbi évi kifizetési kérelm</w:t>
      </w:r>
      <w:r w:rsidRPr="002B4681">
        <w:t xml:space="preserve">ek és a kizárások ügyintézése, valamint a jogorvoslattal érintett kérelmek </w:t>
      </w:r>
      <w:r>
        <w:t>pénzügyi teljesítésére, korrekciókra még sor került, mely adatokat a fenti összesített táblában figyelembe vettünk a kifizetések vonatkozásában.</w:t>
      </w:r>
    </w:p>
    <w:p w:rsidR="00CF7C1C" w:rsidRPr="002B4681" w:rsidRDefault="00AC6D92" w:rsidP="004869BB">
      <w:r>
        <w:t xml:space="preserve">A 2012. évi jóváhagyott támogatási összeg </w:t>
      </w:r>
      <w:r w:rsidRPr="008C309B">
        <w:t>negatív összeg</w:t>
      </w:r>
      <w:r>
        <w:t>ét</w:t>
      </w:r>
      <w:r w:rsidRPr="008C309B">
        <w:t xml:space="preserve"> a következő</w:t>
      </w:r>
      <w:r>
        <w:t xml:space="preserve"> tényező</w:t>
      </w:r>
      <w:r w:rsidRPr="008C309B">
        <w:t>k</w:t>
      </w:r>
      <w:r>
        <w:t xml:space="preserve"> idézték elő:</w:t>
      </w:r>
      <w:r w:rsidRPr="008C309B">
        <w:t xml:space="preserve"> </w:t>
      </w:r>
      <w:r>
        <w:t xml:space="preserve">egyrészt a lekötés összege csak minimális volt, másrészt a korábbi években lekötött források </w:t>
      </w:r>
      <w:r>
        <w:lastRenderedPageBreak/>
        <w:t>tekintetében jelentős összegű forrás-felszabadulás volt tapasztalható a támogatásról történő lemondás, visszavonás, illetve utolsó kifizetési kérelem lezárását követően keletkezett maradványösszegek felszabadítása okán.</w:t>
      </w:r>
      <w:r w:rsidR="00C01615">
        <w:t xml:space="preserve"> </w:t>
      </w:r>
      <w:r w:rsidR="00CF7C1C" w:rsidRPr="002B4681">
        <w:t>A kifizetések legmagasabb aránya Bács-Kiskun és Borsod-Abaúj-Zemplé</w:t>
      </w:r>
      <w:r w:rsidR="00E32A01">
        <w:t>n</w:t>
      </w:r>
      <w:r w:rsidR="00CF7C1C" w:rsidRPr="002B4681">
        <w:t xml:space="preserve"> megyében volt, emellett jellemzően az Alföld keleti megyéiben volt még magas a kifizetések mértéke. </w:t>
      </w:r>
    </w:p>
    <w:p w:rsidR="00CF7C1C" w:rsidRPr="00F92037" w:rsidRDefault="007E5FDF" w:rsidP="00F92037">
      <w:pPr>
        <w:pStyle w:val="bra-cmetbla"/>
      </w:pPr>
      <w:fldSimple w:instr=" SEQ táblázat \* ARABIC ">
        <w:r w:rsidR="00E5031F">
          <w:rPr>
            <w:noProof/>
          </w:rPr>
          <w:t>62</w:t>
        </w:r>
      </w:fldSimple>
      <w:r w:rsidR="00673DDE">
        <w:t xml:space="preserve">. táblázat: </w:t>
      </w:r>
      <w:r w:rsidR="00924F7B" w:rsidRPr="00F35797">
        <w:t xml:space="preserve">Agrár-környezetgazdálkodási </w:t>
      </w:r>
      <w:r w:rsidR="00924F7B">
        <w:t>kifizetések jogcím</w:t>
      </w:r>
      <w:r w:rsidR="00924F7B" w:rsidRPr="00F92037">
        <w:t xml:space="preserve"> </w:t>
      </w:r>
      <w:r w:rsidR="00CF7C1C" w:rsidRPr="00F92037">
        <w:t>adatai célprogramonként</w:t>
      </w:r>
    </w:p>
    <w:tbl>
      <w:tblPr>
        <w:tblW w:w="9356" w:type="dxa"/>
        <w:tblInd w:w="-72" w:type="dxa"/>
        <w:tblCellMar>
          <w:left w:w="70" w:type="dxa"/>
          <w:right w:w="70" w:type="dxa"/>
        </w:tblCellMar>
        <w:tblLook w:val="04A0" w:firstRow="1" w:lastRow="0" w:firstColumn="1" w:lastColumn="0" w:noHBand="0" w:noVBand="1"/>
      </w:tblPr>
      <w:tblGrid>
        <w:gridCol w:w="661"/>
        <w:gridCol w:w="6285"/>
        <w:gridCol w:w="1276"/>
        <w:gridCol w:w="1134"/>
      </w:tblGrid>
      <w:tr w:rsidR="00CF7C1C" w:rsidRPr="002B4681" w:rsidTr="006C2767">
        <w:trPr>
          <w:cantSplit/>
        </w:trPr>
        <w:tc>
          <w:tcPr>
            <w:tcW w:w="6946" w:type="dxa"/>
            <w:gridSpan w:val="2"/>
            <w:tcBorders>
              <w:top w:val="single" w:sz="8" w:space="0" w:color="auto"/>
              <w:left w:val="single" w:sz="8" w:space="0" w:color="auto"/>
              <w:bottom w:val="single" w:sz="8" w:space="0" w:color="auto"/>
              <w:right w:val="nil"/>
            </w:tcBorders>
            <w:vAlign w:val="center"/>
          </w:tcPr>
          <w:p w:rsidR="00CF7C1C" w:rsidRPr="002B4681" w:rsidRDefault="00CF7C1C" w:rsidP="006C2767">
            <w:pPr>
              <w:spacing w:before="40" w:after="40"/>
              <w:ind w:firstLine="0"/>
              <w:jc w:val="center"/>
              <w:rPr>
                <w:b/>
                <w:bCs/>
                <w:sz w:val="20"/>
                <w:szCs w:val="20"/>
              </w:rPr>
            </w:pPr>
            <w:r w:rsidRPr="002B4681">
              <w:rPr>
                <w:b/>
                <w:bCs/>
                <w:sz w:val="20"/>
                <w:szCs w:val="20"/>
              </w:rPr>
              <w:t>AKG célterület</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C1C" w:rsidRPr="002B4681" w:rsidRDefault="00CF7C1C" w:rsidP="006C2767">
            <w:pPr>
              <w:spacing w:before="40" w:after="40"/>
              <w:ind w:firstLine="0"/>
              <w:jc w:val="center"/>
              <w:rPr>
                <w:b/>
                <w:bCs/>
                <w:sz w:val="20"/>
                <w:szCs w:val="20"/>
              </w:rPr>
            </w:pPr>
            <w:r w:rsidRPr="002B4681">
              <w:rPr>
                <w:b/>
                <w:bCs/>
                <w:sz w:val="20"/>
                <w:szCs w:val="20"/>
              </w:rPr>
              <w:t>Érintett kérelmek száma (db)*</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F7C1C" w:rsidRPr="002B4681" w:rsidRDefault="00CF7C1C" w:rsidP="006C2767">
            <w:pPr>
              <w:spacing w:before="40" w:after="40"/>
              <w:ind w:firstLine="0"/>
              <w:jc w:val="center"/>
              <w:rPr>
                <w:b/>
                <w:bCs/>
                <w:sz w:val="20"/>
                <w:szCs w:val="20"/>
              </w:rPr>
            </w:pPr>
            <w:r w:rsidRPr="002B4681">
              <w:rPr>
                <w:b/>
                <w:bCs/>
                <w:sz w:val="20"/>
                <w:szCs w:val="20"/>
              </w:rPr>
              <w:t>Terület</w:t>
            </w:r>
          </w:p>
          <w:p w:rsidR="00CF7C1C" w:rsidRPr="002B4681" w:rsidRDefault="00CF7C1C" w:rsidP="006C2767">
            <w:pPr>
              <w:spacing w:before="40" w:after="40"/>
              <w:ind w:firstLine="0"/>
              <w:jc w:val="center"/>
              <w:rPr>
                <w:b/>
                <w:bCs/>
                <w:sz w:val="20"/>
                <w:szCs w:val="20"/>
              </w:rPr>
            </w:pPr>
            <w:r w:rsidRPr="002B4681">
              <w:rPr>
                <w:b/>
                <w:bCs/>
                <w:sz w:val="20"/>
                <w:szCs w:val="20"/>
              </w:rPr>
              <w:t>(ha)</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AA)</w:t>
            </w:r>
          </w:p>
        </w:tc>
        <w:tc>
          <w:tcPr>
            <w:tcW w:w="6285" w:type="dxa"/>
            <w:tcBorders>
              <w:top w:val="nil"/>
              <w:left w:val="single" w:sz="8" w:space="0" w:color="auto"/>
              <w:bottom w:val="single" w:sz="4" w:space="0" w:color="auto"/>
              <w:right w:val="nil"/>
            </w:tcBorders>
            <w:shd w:val="clear" w:color="auto" w:fill="auto"/>
            <w:vAlign w:val="center"/>
            <w:hideMark/>
          </w:tcPr>
          <w:p w:rsidR="00CF7C1C" w:rsidRPr="002B4681" w:rsidRDefault="00CF7C1C" w:rsidP="006C2767">
            <w:pPr>
              <w:pStyle w:val="Tbla-bal"/>
            </w:pPr>
            <w:r w:rsidRPr="002B4681">
              <w:t>Integrált szántóföldi növénytermesztési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2 734</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586 752,35</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AB)</w:t>
            </w:r>
          </w:p>
        </w:tc>
        <w:tc>
          <w:tcPr>
            <w:tcW w:w="6285" w:type="dxa"/>
            <w:tcBorders>
              <w:top w:val="nil"/>
              <w:left w:val="single" w:sz="8" w:space="0" w:color="auto"/>
              <w:bottom w:val="single" w:sz="4" w:space="0" w:color="auto"/>
              <w:right w:val="nil"/>
            </w:tcBorders>
            <w:shd w:val="clear" w:color="auto" w:fill="auto"/>
            <w:vAlign w:val="center"/>
            <w:hideMark/>
          </w:tcPr>
          <w:p w:rsidR="00CF7C1C" w:rsidRPr="002B4681" w:rsidRDefault="00CF7C1C" w:rsidP="006C2767">
            <w:pPr>
              <w:pStyle w:val="Tbla-bal"/>
            </w:pPr>
            <w:r w:rsidRPr="002B4681">
              <w:t>Tanyás gazdálkodás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142</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1 611,30</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AC)</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Ökológiai szántóföldi növénytermesztési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538</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46 855,46</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AD1)</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Szántóföldi növénytermesztés túzok élőhely-fejlesztési előírásokkal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922</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61 672,06</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AD2)</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Szántóföldi növénytermesztés vadlúd- és daruvédelmi előírásokkal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7</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287,73</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AD3)</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Szántóföldi növénytermesztés madár- és apróvad élőhely-fejlesztési előírásokkal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792</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33 210,16</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AD4)</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Szántóföldi növénytermesztés kék vércse élőhelyfejlesztési előírásokkal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55</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2 199,04</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AE1)</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Vízerózió elleni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53</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2 582,54</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AE2)</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Szélerózió elleni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352</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6 488,41</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BA)</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Extenzív gyepgazdálkodási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3 154</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171 103,34</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BB)</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Ökológiai gyepgazdálkodási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237</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29 348,49</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BC1)</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Gyepgazdálkodás túzok élőhely-fejlesztési előírásokkal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731</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77 380,14</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BC2)</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Gyepgazdálkodás élőhely-fejlesztési előírásokkal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390</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27 354,03</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BD1</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Környezetvédelmi célú gyeptelepítés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110</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3 270,58</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BD2</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Természetvédelmi célú gyeptelepítés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118</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3 486,94</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CA)</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Integrált gyümölcs és szőlőtermesztés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6 315</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66 085,02</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CB)</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Ökológiai gyümölcs és szőlőtermesztés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422</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4 903,87</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CC)</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Hagyományos gyümölcstermesztés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111</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1 159,70</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DA)</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Nádgazdálkodás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102</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7 576,61</w:t>
            </w:r>
          </w:p>
        </w:tc>
      </w:tr>
      <w:tr w:rsidR="00CF7C1C" w:rsidRPr="002B4681" w:rsidTr="006C2767">
        <w:trPr>
          <w:cantSplit/>
        </w:trPr>
        <w:tc>
          <w:tcPr>
            <w:tcW w:w="661" w:type="dxa"/>
            <w:tcBorders>
              <w:top w:val="nil"/>
              <w:left w:val="single" w:sz="8" w:space="0" w:color="auto"/>
              <w:bottom w:val="single" w:sz="4" w:space="0" w:color="auto"/>
              <w:right w:val="nil"/>
            </w:tcBorders>
            <w:vAlign w:val="center"/>
          </w:tcPr>
          <w:p w:rsidR="00CF7C1C" w:rsidRPr="002B4681" w:rsidRDefault="00CF7C1C" w:rsidP="006C2767">
            <w:pPr>
              <w:pStyle w:val="Tbla-bal"/>
            </w:pPr>
            <w:r w:rsidRPr="002B4681">
              <w:t>DB)</w:t>
            </w:r>
          </w:p>
        </w:tc>
        <w:tc>
          <w:tcPr>
            <w:tcW w:w="6285" w:type="dxa"/>
            <w:tcBorders>
              <w:top w:val="nil"/>
              <w:left w:val="single" w:sz="8" w:space="0" w:color="auto"/>
              <w:bottom w:val="single" w:sz="4" w:space="0" w:color="auto"/>
              <w:right w:val="nil"/>
            </w:tcBorders>
            <w:shd w:val="clear" w:color="auto" w:fill="auto"/>
            <w:noWrap/>
            <w:vAlign w:val="center"/>
            <w:hideMark/>
          </w:tcPr>
          <w:p w:rsidR="00CF7C1C" w:rsidRPr="002B4681" w:rsidRDefault="00CF7C1C" w:rsidP="006C2767">
            <w:pPr>
              <w:pStyle w:val="Tbla-bal"/>
            </w:pPr>
            <w:r w:rsidRPr="002B4681">
              <w:t>Természetes vizes élőhelyek mocsarak, zsombékok, sásos területek gondozása célprogram</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w:t>
            </w:r>
          </w:p>
        </w:tc>
        <w:tc>
          <w:tcPr>
            <w:tcW w:w="1134" w:type="dxa"/>
            <w:tcBorders>
              <w:top w:val="nil"/>
              <w:left w:val="nil"/>
              <w:bottom w:val="single" w:sz="4"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24,00</w:t>
            </w:r>
          </w:p>
        </w:tc>
      </w:tr>
      <w:tr w:rsidR="00CF7C1C" w:rsidRPr="002B4681" w:rsidTr="006C2767">
        <w:trPr>
          <w:cantSplit/>
        </w:trPr>
        <w:tc>
          <w:tcPr>
            <w:tcW w:w="661" w:type="dxa"/>
            <w:tcBorders>
              <w:top w:val="nil"/>
              <w:left w:val="single" w:sz="8" w:space="0" w:color="auto"/>
              <w:bottom w:val="nil"/>
              <w:right w:val="nil"/>
            </w:tcBorders>
            <w:vAlign w:val="center"/>
          </w:tcPr>
          <w:p w:rsidR="00CF7C1C" w:rsidRPr="002B4681" w:rsidRDefault="00CF7C1C" w:rsidP="006C2767">
            <w:pPr>
              <w:pStyle w:val="Tbla-bal"/>
            </w:pPr>
            <w:r w:rsidRPr="002B4681">
              <w:t>DC)</w:t>
            </w:r>
          </w:p>
        </w:tc>
        <w:tc>
          <w:tcPr>
            <w:tcW w:w="6285" w:type="dxa"/>
            <w:tcBorders>
              <w:top w:val="nil"/>
              <w:left w:val="single" w:sz="8" w:space="0" w:color="auto"/>
              <w:bottom w:val="nil"/>
              <w:right w:val="nil"/>
            </w:tcBorders>
            <w:shd w:val="clear" w:color="auto" w:fill="auto"/>
            <w:noWrap/>
            <w:vAlign w:val="center"/>
            <w:hideMark/>
          </w:tcPr>
          <w:p w:rsidR="00CF7C1C" w:rsidRPr="002B4681" w:rsidRDefault="00CF7C1C" w:rsidP="006C2767">
            <w:pPr>
              <w:pStyle w:val="Tbla-bal"/>
            </w:pPr>
            <w:r w:rsidRPr="002B4681">
              <w:t>Vizes élőhelyek létrehozása és kezelése célprogram</w:t>
            </w:r>
          </w:p>
        </w:tc>
        <w:tc>
          <w:tcPr>
            <w:tcW w:w="1276" w:type="dxa"/>
            <w:tcBorders>
              <w:top w:val="nil"/>
              <w:left w:val="single" w:sz="8" w:space="0" w:color="auto"/>
              <w:bottom w:val="nil"/>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w:t>
            </w:r>
          </w:p>
        </w:tc>
        <w:tc>
          <w:tcPr>
            <w:tcW w:w="1134" w:type="dxa"/>
            <w:tcBorders>
              <w:top w:val="nil"/>
              <w:left w:val="nil"/>
              <w:bottom w:val="nil"/>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6,68</w:t>
            </w:r>
          </w:p>
        </w:tc>
      </w:tr>
      <w:tr w:rsidR="00CF7C1C" w:rsidRPr="002B4681" w:rsidTr="006C2767">
        <w:trPr>
          <w:cantSplit/>
        </w:trPr>
        <w:tc>
          <w:tcPr>
            <w:tcW w:w="661" w:type="dxa"/>
            <w:tcBorders>
              <w:top w:val="single" w:sz="8" w:space="0" w:color="auto"/>
              <w:left w:val="single" w:sz="8" w:space="0" w:color="auto"/>
              <w:bottom w:val="single" w:sz="8" w:space="0" w:color="auto"/>
              <w:right w:val="nil"/>
            </w:tcBorders>
            <w:vAlign w:val="center"/>
          </w:tcPr>
          <w:p w:rsidR="00CF7C1C" w:rsidRPr="002B4681" w:rsidRDefault="00CF7C1C" w:rsidP="006C2767">
            <w:pPr>
              <w:pStyle w:val="Tbla-bal"/>
              <w:rPr>
                <w:rFonts w:eastAsia="Times New Roman" w:cs="Times New Roman"/>
                <w:b/>
                <w:bCs/>
              </w:rPr>
            </w:pPr>
          </w:p>
        </w:tc>
        <w:tc>
          <w:tcPr>
            <w:tcW w:w="6285" w:type="dxa"/>
            <w:tcBorders>
              <w:top w:val="single" w:sz="8" w:space="0" w:color="auto"/>
              <w:left w:val="single" w:sz="8" w:space="0" w:color="auto"/>
              <w:bottom w:val="single" w:sz="8" w:space="0" w:color="auto"/>
              <w:right w:val="nil"/>
            </w:tcBorders>
            <w:shd w:val="clear" w:color="auto" w:fill="auto"/>
            <w:noWrap/>
            <w:vAlign w:val="center"/>
            <w:hideMark/>
          </w:tcPr>
          <w:p w:rsidR="00CF7C1C" w:rsidRPr="002B4681" w:rsidRDefault="00CF7C1C" w:rsidP="006C2767">
            <w:pPr>
              <w:spacing w:before="40" w:after="40"/>
              <w:ind w:firstLine="0"/>
              <w:rPr>
                <w:rFonts w:eastAsia="Times New Roman" w:cs="Times New Roman"/>
                <w:b/>
                <w:bCs/>
              </w:rPr>
            </w:pPr>
            <w:r w:rsidRPr="002B4681">
              <w:rPr>
                <w:rFonts w:eastAsia="Times New Roman" w:cs="Times New Roman"/>
                <w:b/>
                <w:bCs/>
              </w:rPr>
              <w:t>Összesen:</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17 288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F7C1C" w:rsidRPr="002B4681" w:rsidRDefault="00CF7C1C" w:rsidP="006C2767">
            <w:pPr>
              <w:spacing w:before="40" w:after="40"/>
              <w:ind w:firstLine="0"/>
              <w:jc w:val="center"/>
              <w:rPr>
                <w:sz w:val="20"/>
                <w:szCs w:val="20"/>
              </w:rPr>
            </w:pPr>
            <w:r w:rsidRPr="002B4681">
              <w:rPr>
                <w:sz w:val="20"/>
                <w:szCs w:val="20"/>
              </w:rPr>
              <w:t>1 133 358,45</w:t>
            </w:r>
          </w:p>
        </w:tc>
      </w:tr>
      <w:tr w:rsidR="00CF7C1C" w:rsidRPr="002B4681" w:rsidTr="006C2767">
        <w:trPr>
          <w:cantSplit/>
        </w:trPr>
        <w:tc>
          <w:tcPr>
            <w:tcW w:w="661" w:type="dxa"/>
            <w:tcBorders>
              <w:top w:val="nil"/>
              <w:left w:val="nil"/>
              <w:bottom w:val="nil"/>
              <w:right w:val="nil"/>
            </w:tcBorders>
            <w:vAlign w:val="center"/>
          </w:tcPr>
          <w:p w:rsidR="00CF7C1C" w:rsidRPr="002B4681" w:rsidRDefault="00CF7C1C" w:rsidP="006C2767">
            <w:pPr>
              <w:pStyle w:val="Tbla-bal"/>
              <w:rPr>
                <w:rFonts w:eastAsia="Times New Roman" w:cs="Times New Roman"/>
                <w:b/>
                <w:bCs/>
                <w:sz w:val="16"/>
                <w:szCs w:val="16"/>
              </w:rPr>
            </w:pPr>
          </w:p>
        </w:tc>
        <w:tc>
          <w:tcPr>
            <w:tcW w:w="8695" w:type="dxa"/>
            <w:gridSpan w:val="3"/>
            <w:tcBorders>
              <w:top w:val="nil"/>
              <w:left w:val="nil"/>
              <w:bottom w:val="nil"/>
              <w:right w:val="nil"/>
            </w:tcBorders>
            <w:shd w:val="clear" w:color="auto" w:fill="auto"/>
            <w:noWrap/>
            <w:vAlign w:val="center"/>
            <w:hideMark/>
          </w:tcPr>
          <w:p w:rsidR="00CF7C1C" w:rsidRPr="002B4681" w:rsidRDefault="00CF7C1C" w:rsidP="006C2767">
            <w:pPr>
              <w:spacing w:after="0"/>
              <w:ind w:firstLine="0"/>
              <w:rPr>
                <w:rFonts w:eastAsia="Times New Roman" w:cs="Times New Roman"/>
                <w:b/>
                <w:bCs/>
                <w:sz w:val="16"/>
                <w:szCs w:val="16"/>
              </w:rPr>
            </w:pPr>
            <w:r w:rsidRPr="002B4681">
              <w:rPr>
                <w:rFonts w:eastAsia="Times New Roman" w:cs="Times New Roman"/>
                <w:b/>
                <w:bCs/>
                <w:sz w:val="16"/>
                <w:szCs w:val="16"/>
              </w:rPr>
              <w:t>*Az érintett kérelmek száma nem egyezik meg a támogatott kérelmek számával, mivel egy kérelemben több célterület is szerepelhet</w:t>
            </w:r>
          </w:p>
        </w:tc>
      </w:tr>
    </w:tbl>
    <w:p w:rsidR="00CF7C1C" w:rsidRPr="00F35797" w:rsidRDefault="00CF7C1C" w:rsidP="00CF7C1C">
      <w:pPr>
        <w:pStyle w:val="Normlforrs"/>
      </w:pPr>
      <w:r>
        <w:t>Forrás: MVH</w:t>
      </w:r>
    </w:p>
    <w:p w:rsidR="00CF7C1C" w:rsidRPr="00F35797" w:rsidRDefault="00CF7C1C" w:rsidP="00715E86">
      <w:pPr>
        <w:pStyle w:val="Cmsor4"/>
      </w:pPr>
      <w:r w:rsidRPr="00F35797">
        <w:rPr>
          <w:lang w:bidi="sa-IN"/>
        </w:rPr>
        <w:t xml:space="preserve">Őshonos és veszélyeztetett mezőgazdasági állatfajták genetikai állományának tenyésztésben történő megőrzése </w:t>
      </w:r>
      <w:r w:rsidR="00A87B88">
        <w:rPr>
          <w:lang w:bidi="sa-IN"/>
        </w:rPr>
        <w:t>intézkedés/</w:t>
      </w:r>
      <w:r w:rsidRPr="00F35797">
        <w:rPr>
          <w:lang w:bidi="sa-IN"/>
        </w:rPr>
        <w:t>jogcím bemutatása (214. B.)</w:t>
      </w:r>
    </w:p>
    <w:p w:rsidR="00CF7C1C" w:rsidRPr="00F35797" w:rsidRDefault="00CF7C1C" w:rsidP="004869BB">
      <w:pPr>
        <w:rPr>
          <w:sz w:val="24"/>
          <w:lang w:bidi="sa-IN"/>
        </w:rPr>
      </w:pPr>
      <w:r w:rsidRPr="00F35797">
        <w:rPr>
          <w:lang w:bidi="sa-IN"/>
        </w:rPr>
        <w:t>Az intézkedés</w:t>
      </w:r>
      <w:r w:rsidR="00A87B88">
        <w:rPr>
          <w:lang w:bidi="sa-IN"/>
        </w:rPr>
        <w:t>/jogcím</w:t>
      </w:r>
      <w:r w:rsidRPr="00F35797">
        <w:rPr>
          <w:lang w:bidi="sa-IN"/>
        </w:rPr>
        <w:t xml:space="preserve"> fő célja az őshonos és a veszélyeztetett mezőgazdasági állatfajták genetikai állományának a fajta eredeti tartási és takarmányozási körülményeihez hasonló </w:t>
      </w:r>
      <w:r w:rsidRPr="00F35797">
        <w:rPr>
          <w:i/>
          <w:iCs/>
          <w:lang w:bidi="sa-IN"/>
        </w:rPr>
        <w:t>in situ</w:t>
      </w:r>
      <w:r w:rsidRPr="00F35797">
        <w:rPr>
          <w:lang w:bidi="sa-IN"/>
        </w:rPr>
        <w:t xml:space="preserve"> feltételek közötti megőrzése, illetve tenyésztésben történő megőrzése a genetikai állomány megőrzéséről és az adott állatfajták fennmaradását biztosító tenyésztési programokról szóló kötelező jogszabályok keretein belül. Az intézkedés keretében önkéntes agrár-környezetgazdálkodási kötelezettségeket vállaló mezőgazdasági termelők és egyéb állattenyésztők támogathatók. A támogatásban résztvevő </w:t>
      </w:r>
      <w:r w:rsidRPr="00F35797">
        <w:rPr>
          <w:lang w:bidi="sa-IN"/>
        </w:rPr>
        <w:lastRenderedPageBreak/>
        <w:t xml:space="preserve">„farm” tartóhelynek legalább 5 évig vállalnia kell a génmegőrzési programban meghatározott tartási körülmények biztosítását, valamint a tenyésztő szervezet által előírt tenyésztési program végrehajtását, biztosítania kell a feltételeket a saját és ivadék teljesítmény-vizsgálat elvégzésére, továbbá a vállalt állatlétszám biztosítását 5 éven keresztül. A védett őshonos mezőgazdasági állatfajták és a veszélyeztetett mezőgazdasági állatfajták listáját a 4/2007. (I.18.) FVM-KvVM együttes rendelet 1. és 2. melléklete tartalmazza. </w:t>
      </w:r>
    </w:p>
    <w:p w:rsidR="00A87B88" w:rsidRDefault="00CF7C1C" w:rsidP="00CF7C1C">
      <w:pPr>
        <w:autoSpaceDE w:val="0"/>
        <w:autoSpaceDN w:val="0"/>
      </w:pPr>
      <w:r w:rsidRPr="002B4681">
        <w:t>A támogatási jogcím 2010-ben került meghirdetésre</w:t>
      </w:r>
      <w:r w:rsidRPr="002B4681">
        <w:rPr>
          <w:rFonts w:cs="Times New Roman"/>
          <w:sz w:val="24"/>
        </w:rPr>
        <w:t xml:space="preserve"> </w:t>
      </w:r>
      <w:r w:rsidRPr="002B4681">
        <w:t xml:space="preserve">és minden évben lehetett rá támogatási kérelmet benyújtani. A 38/2010 (IV.15.) FVM rendelet alapján nyílt lehetőség 2012-es évben is támogatási kérelmek benyújtására 2012. április 1 és 30. között. </w:t>
      </w:r>
    </w:p>
    <w:p w:rsidR="00A87B88" w:rsidRDefault="00CF7C1C" w:rsidP="00CF7C1C">
      <w:pPr>
        <w:autoSpaceDE w:val="0"/>
        <w:autoSpaceDN w:val="0"/>
      </w:pPr>
      <w:r w:rsidRPr="002B4681">
        <w:t xml:space="preserve">Kifizetési kérelem benyújtására a 2012-es évre vonatkozóan 2012. február 1. és 28. között nyílt lehetőség. A kifizetések döntő hányada megtörtént a 2012-es év folyamán. </w:t>
      </w:r>
    </w:p>
    <w:p w:rsidR="00CF7C1C" w:rsidRPr="002B4681" w:rsidRDefault="00CF7C1C" w:rsidP="00CF7C1C">
      <w:pPr>
        <w:autoSpaceDE w:val="0"/>
        <w:autoSpaceDN w:val="0"/>
      </w:pPr>
      <w:r w:rsidRPr="002B4681">
        <w:t>A támogatás s</w:t>
      </w:r>
      <w:r w:rsidR="00C01615">
        <w:t>zabályait rendező 38/2010. (IV.</w:t>
      </w:r>
      <w:r w:rsidRPr="002B4681">
        <w:t>15.) FVM rendelet 2012-ben kétszer módosult.</w:t>
      </w:r>
    </w:p>
    <w:p w:rsidR="00CF7C1C" w:rsidRPr="002B4681" w:rsidRDefault="00CF7C1C" w:rsidP="004869BB">
      <w:r w:rsidRPr="002B4681">
        <w:t>A 78/2012. (VII.27.) VM rendelet jellemzően technikai jellegű módosításokat tartalmaz, amelyek közül a legjelentősebb, hogy kiesett állatok pótlása esetén az MVH a továbbiakban pótláskor nem ellenőrzi a pótló állatok minősítését, hanem arra csak a következő kifizetési kérelem bírálatakor kerül sor.</w:t>
      </w:r>
    </w:p>
    <w:p w:rsidR="00CF7C1C" w:rsidRPr="002B4681" w:rsidRDefault="00CF7C1C" w:rsidP="004869BB">
      <w:r w:rsidRPr="002B4681">
        <w:t xml:space="preserve">A 138/2012. (XII.22.) VM rendelet módosításának következtében a gazdálkodók 2013-ban már elektronikusan nyújthatják be kifizetési kérelmeiket az MVH-hoz. </w:t>
      </w:r>
      <w:r w:rsidRPr="002B4681">
        <w:rPr>
          <w:bCs/>
        </w:rPr>
        <w:t>A kérelembenyújtás így egyszerűbbé válik, és a gazdálkodóknak az elektronikus kérelem kitöltésekor lehetőségük lesz az önellenőrzésre.</w:t>
      </w:r>
    </w:p>
    <w:p w:rsidR="00CF7C1C" w:rsidRDefault="007E5FDF" w:rsidP="00673DDE">
      <w:pPr>
        <w:pStyle w:val="bra-cmetbla"/>
      </w:pPr>
      <w:fldSimple w:instr=" SEQ táblázat \* ARABIC ">
        <w:r w:rsidR="00E5031F">
          <w:rPr>
            <w:noProof/>
          </w:rPr>
          <w:t>63</w:t>
        </w:r>
      </w:fldSimple>
      <w:r w:rsidR="00673DDE">
        <w:t xml:space="preserve">. táblázat: </w:t>
      </w:r>
      <w:r w:rsidR="00CF7C1C" w:rsidRPr="00F35797">
        <w:t>Őshonos és veszélyeztetett mezőgazdasági állatfajták genetikai állományának tenyésztésben történő megőrzése jogcím</w:t>
      </w:r>
      <w:r w:rsidR="00A87B88">
        <w:t>/intézkedés – 214.B. -</w:t>
      </w:r>
      <w:r w:rsidR="00CF7C1C" w:rsidRPr="00F35797">
        <w:t xml:space="preserve"> </w:t>
      </w:r>
      <w:r w:rsidR="00CF7C1C">
        <w:t>2012</w:t>
      </w:r>
      <w:r w:rsidR="00CF7C1C" w:rsidRPr="00F35797">
        <w:t>. évi eredményei</w:t>
      </w:r>
    </w:p>
    <w:p w:rsidR="00CF7C1C" w:rsidRPr="00F35797" w:rsidRDefault="00B452BF" w:rsidP="00CF7C1C">
      <w:pPr>
        <w:keepNext/>
        <w:jc w:val="center"/>
        <w:rPr>
          <w:b/>
          <w:kern w:val="0"/>
        </w:rPr>
      </w:pPr>
      <w:r>
        <w:rPr>
          <w:noProof/>
        </w:rPr>
        <w:drawing>
          <wp:inline distT="0" distB="0" distL="0" distR="0" wp14:anchorId="2266AD54" wp14:editId="581432F3">
            <wp:extent cx="5156835" cy="1882140"/>
            <wp:effectExtent l="0" t="0" r="5715" b="381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Pr="00D53DF7" w:rsidRDefault="00CF7C1C" w:rsidP="00CF7C1C">
      <w:pPr>
        <w:pStyle w:val="Normlforrs"/>
      </w:pPr>
      <w:r w:rsidRPr="00D53DF7">
        <w:t>Forrás: MVH</w:t>
      </w:r>
    </w:p>
    <w:p w:rsidR="00CF7C1C" w:rsidRPr="00D53DF7" w:rsidRDefault="00CF7C1C" w:rsidP="00D53DF7">
      <w:r w:rsidRPr="00D53DF7">
        <w:t xml:space="preserve">A jogcímre 2012-ben 113 db támogatási kérelmet nyújtottak be az MVH-hoz. </w:t>
      </w:r>
    </w:p>
    <w:p w:rsidR="00CF7C1C" w:rsidRPr="00D53DF7" w:rsidRDefault="00CF7C1C" w:rsidP="00CF7C1C">
      <w:r w:rsidRPr="00D53DF7">
        <w:t>Kifizetés 3,1 M euró (911 M Ft) összegben volt.</w:t>
      </w:r>
    </w:p>
    <w:p w:rsidR="00AC6D92" w:rsidRDefault="00AC6D92" w:rsidP="00CF7C1C">
      <w:r>
        <w:t xml:space="preserve">A 2012. évi jóváhagyott támogatási összeg </w:t>
      </w:r>
      <w:r w:rsidRPr="008C309B">
        <w:t>negatív összeg</w:t>
      </w:r>
      <w:r>
        <w:t>ét</w:t>
      </w:r>
      <w:r w:rsidRPr="008C309B">
        <w:t xml:space="preserve"> a következő</w:t>
      </w:r>
      <w:r>
        <w:t xml:space="preserve"> tényező</w:t>
      </w:r>
      <w:r w:rsidRPr="008C309B">
        <w:t>k</w:t>
      </w:r>
      <w:r>
        <w:t xml:space="preserve"> idézték elő:</w:t>
      </w:r>
      <w:r w:rsidRPr="008C309B">
        <w:t xml:space="preserve"> </w:t>
      </w:r>
      <w:r>
        <w:t>egyrészt a lekötés összege csak minimális volt, másrészt a korábbi években lekötött források tekintetében jelentős összegű forrás-felszabadulás volt tapasztalható a támogatásról történő lemondás, visszavonás, illetve utolsó kifizetési kérelem lezárását követően keletkezett maradványösszegek felszabadítása okán.</w:t>
      </w:r>
    </w:p>
    <w:p w:rsidR="00CF7C1C" w:rsidRPr="002B4681" w:rsidRDefault="00CF7C1C" w:rsidP="00CF7C1C">
      <w:pPr>
        <w:suppressAutoHyphens w:val="0"/>
        <w:rPr>
          <w:strike/>
          <w:szCs w:val="22"/>
        </w:rPr>
      </w:pPr>
      <w:r w:rsidRPr="002B4681">
        <w:rPr>
          <w:szCs w:val="22"/>
        </w:rPr>
        <w:t>A beérkezett támogatási kérelmek regionális megoszlása országszerte viszonylag egyenletes volt, a legnagyobb érdeklődés Somogy megyében volt tapasztalható a jogcím iránt (9,7%), illetve hasonló mértékben (7,96%) Bác</w:t>
      </w:r>
      <w:r w:rsidR="00E32A01">
        <w:rPr>
          <w:szCs w:val="22"/>
        </w:rPr>
        <w:t>s-Kiskun megyéből, Borsod-Abaúj-</w:t>
      </w:r>
      <w:r w:rsidRPr="002B4681">
        <w:rPr>
          <w:szCs w:val="22"/>
        </w:rPr>
        <w:t>Zemplén megyéből, Hajdú-Bihar megyéből és J</w:t>
      </w:r>
      <w:r w:rsidR="00E32A01">
        <w:rPr>
          <w:szCs w:val="22"/>
        </w:rPr>
        <w:t>ász-Nagykun-</w:t>
      </w:r>
      <w:r w:rsidRPr="002B4681">
        <w:rPr>
          <w:szCs w:val="22"/>
        </w:rPr>
        <w:t>Szolnok megyéből nyújtották be kérelmeket, míg a legkevesebb kérelem – szintén azonos mértékben (1,8%) – Budapestről, Komárom-Esztergom megyéből és Nógrád megyéből érkezett be.</w:t>
      </w:r>
    </w:p>
    <w:p w:rsidR="00CF7C1C" w:rsidRPr="002B4681" w:rsidRDefault="00CF7C1C" w:rsidP="00715E86">
      <w:pPr>
        <w:pStyle w:val="Cmsor4"/>
        <w:rPr>
          <w:lang w:bidi="sa-IN"/>
        </w:rPr>
      </w:pPr>
      <w:r w:rsidRPr="002B4681">
        <w:rPr>
          <w:lang w:bidi="sa-IN"/>
        </w:rPr>
        <w:lastRenderedPageBreak/>
        <w:t>A növényi genetikai erőforrások és mikroorganizmusok ex situ megőrzéséhez nyújtandó támogatási jogcím bemutatása (214.C.</w:t>
      </w:r>
      <w:r w:rsidR="00CA3F38">
        <w:rPr>
          <w:lang w:bidi="sa-IN"/>
        </w:rPr>
        <w:t>/1.</w:t>
      </w:r>
      <w:r w:rsidRPr="002B4681">
        <w:rPr>
          <w:lang w:bidi="sa-IN"/>
        </w:rPr>
        <w:t>)</w:t>
      </w:r>
    </w:p>
    <w:p w:rsidR="00CF7C1C" w:rsidRPr="00D90F4C" w:rsidRDefault="00CF7C1C" w:rsidP="00D90F4C">
      <w:r w:rsidRPr="00D90F4C">
        <w:t>Az intézkedés célja a mezőgazdasági genetikai erőforrások ex situ és in situ megőrzésének, jellemzésének, begyűjtésének és hasznosításának megvalósítása, beleértve az in situ megőrzött genetikai források és ex situ gyűjtemények (génbankok) Internet alapú nyilvántartását, valamint adatbázisokat, továbbá a tájékoztatás, ismeretterjesztés és tanácsadói tevékenységek támogatását is. A mezőgazdasági genetikai erőforrások megőrzése, összhangban a göteborgi nyilatkozatban foglaltakkal kiemelten támogatott tevékenység, mivel fontos szerepe van</w:t>
      </w:r>
      <w:r w:rsidR="007B36CD">
        <w:t xml:space="preserve"> </w:t>
      </w:r>
      <w:r w:rsidRPr="00D90F4C">
        <w:t>a ritka, illetve veszélyeztetett</w:t>
      </w:r>
      <w:r w:rsidR="00D90F4C">
        <w:t xml:space="preserve"> </w:t>
      </w:r>
      <w:r w:rsidRPr="00D90F4C">
        <w:t xml:space="preserve">növényfajták megőrzésében. A termesztett növényfajok tájfajtái, termesztésből kiszorult fajtái, ökotípusai kivétel nélkül veszélyeztetett kategóriába sorolandók, mivel fenntartás és megőrzés nélkül szaporítóanyaguk pusztulásával a tájfajták, ökotípusok genetikai anyaga is visszavonhatatlanul elpusztul. </w:t>
      </w:r>
    </w:p>
    <w:p w:rsidR="00CF7C1C" w:rsidRPr="00D90F4C" w:rsidRDefault="00CF7C1C" w:rsidP="00D90F4C">
      <w:r w:rsidRPr="00D90F4C">
        <w:t xml:space="preserve">A génmegőrzési támogatás minden fajta esetében meghatározott magpopuláció mértékéig terjed, amely biztosítani tudja a fajta genetikai diverzitásának megfelelő színvonalát. </w:t>
      </w:r>
    </w:p>
    <w:p w:rsidR="00CF7C1C" w:rsidRPr="00D90F4C" w:rsidRDefault="00CF7C1C" w:rsidP="004869BB">
      <w:r w:rsidRPr="00D90F4C">
        <w:t xml:space="preserve">A növényi génmegőrzés intézkedést 2011-ben </w:t>
      </w:r>
      <w:r w:rsidR="007B36CD">
        <w:t>került</w:t>
      </w:r>
      <w:r w:rsidR="007B36CD" w:rsidRPr="00D90F4C">
        <w:t xml:space="preserve"> </w:t>
      </w:r>
      <w:r w:rsidRPr="00D90F4C">
        <w:t>meg</w:t>
      </w:r>
      <w:r w:rsidR="007B36CD">
        <w:t>hirdetésre</w:t>
      </w:r>
      <w:r w:rsidRPr="00D90F4C">
        <w:t xml:space="preserve"> és csak abban az évben lehetett támogatási kérelmet benyújtani rá, amely egyben magában foglalta az első éves kifizetési kérelmet is. A támogatott tevékenységet 5 évre kellett vállalni. </w:t>
      </w:r>
    </w:p>
    <w:p w:rsidR="00CF7C1C" w:rsidRPr="00D90F4C" w:rsidRDefault="00CF7C1C" w:rsidP="00D90F4C">
      <w:r w:rsidRPr="00D90F4C">
        <w:t>Az Európai Mezőgazdasági Vidékfejlesztési Alapból a genetikai erőforrások megőrzése intézkedés keretében a növényi genetikai erőforrások és mikroorganizmusok ex situ megőrzéséhez nyújtandó támogatások igénybevételének részletes feltételeiről szóló 53/2011. (VI.10.) VM rendelet alapján 2012. szeptember 1. és 30. között volt lehetőség kifizetési kérelmek benyújtására. A rendelet 2012-ben nem módos</w:t>
      </w:r>
      <w:r w:rsidR="007B36CD">
        <w:t>ult</w:t>
      </w:r>
      <w:r w:rsidRPr="00D90F4C">
        <w:t>.</w:t>
      </w:r>
    </w:p>
    <w:p w:rsidR="00CF7C1C" w:rsidRPr="00F92037" w:rsidRDefault="007E5FDF" w:rsidP="00F92037">
      <w:pPr>
        <w:pStyle w:val="bra-cmetbla"/>
      </w:pPr>
      <w:fldSimple w:instr=" SEQ táblázat \* ARABIC ">
        <w:r w:rsidR="00E5031F">
          <w:rPr>
            <w:noProof/>
          </w:rPr>
          <w:t>64</w:t>
        </w:r>
      </w:fldSimple>
      <w:r w:rsidR="00673DDE">
        <w:t xml:space="preserve">. táblázat: </w:t>
      </w:r>
      <w:r w:rsidR="00CF7C1C" w:rsidRPr="00F92037">
        <w:t xml:space="preserve">A növényi genetikai erőforrások és mikroorganizmusok ex situ megőrzéséhez nyújtandó támogatás jogcím </w:t>
      </w:r>
      <w:r w:rsidR="00CA3F38" w:rsidRPr="00F92037">
        <w:t>– 214.C./1. -</w:t>
      </w:r>
      <w:r w:rsidR="00CF7C1C" w:rsidRPr="00F92037">
        <w:t>2012. évi eredményei</w:t>
      </w:r>
    </w:p>
    <w:p w:rsidR="00CF7C1C" w:rsidRPr="00F92037" w:rsidRDefault="00B452BF" w:rsidP="00F92037">
      <w:pPr>
        <w:pStyle w:val="bra-cmetbla"/>
      </w:pPr>
      <w:r w:rsidRPr="00F92037">
        <w:rPr>
          <w:noProof/>
        </w:rPr>
        <w:drawing>
          <wp:inline distT="0" distB="0" distL="0" distR="0" wp14:anchorId="19F38067" wp14:editId="2D91A704">
            <wp:extent cx="5156835" cy="1882140"/>
            <wp:effectExtent l="0" t="0" r="5715" b="3810"/>
            <wp:docPr id="4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Default="00CF7C1C" w:rsidP="00CF7C1C">
      <w:pPr>
        <w:pStyle w:val="Normlforrs"/>
      </w:pPr>
      <w:r w:rsidRPr="00F35797">
        <w:t>Forrás: MVH</w:t>
      </w:r>
    </w:p>
    <w:p w:rsidR="00CF7C1C" w:rsidRPr="002B4681" w:rsidRDefault="00CF7C1C" w:rsidP="00CF7C1C">
      <w:r w:rsidRPr="002B4681">
        <w:t>A növényi génmegőrzésre 2012-ben 2,4 M euró (715 M Ft) összegben volt kifizetés.</w:t>
      </w:r>
    </w:p>
    <w:p w:rsidR="00CF7C1C" w:rsidRPr="002B4681" w:rsidRDefault="00CF7C1C" w:rsidP="004869BB">
      <w:pPr>
        <w:rPr>
          <w:strike/>
        </w:rPr>
      </w:pPr>
      <w:r w:rsidRPr="002B4681">
        <w:t>A kifizetések aránya Pest megyében volt messze a legmagasabb, emellett Budapesten, Csongrád, Szabolcs-Szatmár-Bereg, Baranya, Fejér és Győr-Moson-Sopron megyékben volt még viszonylag nagyobb arányú kifizetés.</w:t>
      </w:r>
      <w:r w:rsidRPr="002B4681">
        <w:rPr>
          <w:strike/>
        </w:rPr>
        <w:t xml:space="preserve">  </w:t>
      </w:r>
    </w:p>
    <w:p w:rsidR="00CF7C1C" w:rsidRPr="002B4681" w:rsidRDefault="00CF7C1C" w:rsidP="00715E86">
      <w:pPr>
        <w:pStyle w:val="Cmsor4"/>
        <w:rPr>
          <w:lang w:bidi="sa-IN"/>
        </w:rPr>
      </w:pPr>
      <w:r w:rsidRPr="002B4681">
        <w:rPr>
          <w:lang w:bidi="sa-IN"/>
        </w:rPr>
        <w:t>A védett őshonos és veszélyeztetett mezőgazdasági állatfajták genetikai erőforrásának megőrzéséhez nyújtandó támogatási jogcím bemutatása (214.C.</w:t>
      </w:r>
      <w:r w:rsidR="00CA3F38">
        <w:rPr>
          <w:lang w:bidi="sa-IN"/>
        </w:rPr>
        <w:t>/2.</w:t>
      </w:r>
      <w:r w:rsidRPr="002B4681">
        <w:rPr>
          <w:lang w:bidi="sa-IN"/>
        </w:rPr>
        <w:t>)</w:t>
      </w:r>
    </w:p>
    <w:p w:rsidR="00CF7C1C" w:rsidRPr="002B4681" w:rsidRDefault="00CF7C1C" w:rsidP="00CF7C1C">
      <w:pPr>
        <w:rPr>
          <w:bCs/>
          <w:iCs/>
          <w:szCs w:val="22"/>
        </w:rPr>
      </w:pPr>
      <w:r w:rsidRPr="002B4681">
        <w:rPr>
          <w:bCs/>
          <w:iCs/>
          <w:szCs w:val="22"/>
        </w:rPr>
        <w:t xml:space="preserve">Az intézkedés célja a védett őshonos és veszélyeztetett mezőgazdasági állatfajták genetikai erőforrásainak megőrzése. A támogatás alapján a genetikai erőforrások ex situ és in situ megőrzése, jellemzése, begyűjtése és hasznosításának megvalósítása – beleértve az in situ megőrzött genetikai </w:t>
      </w:r>
      <w:r w:rsidRPr="002B4681">
        <w:rPr>
          <w:bCs/>
          <w:iCs/>
          <w:szCs w:val="22"/>
        </w:rPr>
        <w:lastRenderedPageBreak/>
        <w:t xml:space="preserve">források és ex situ gyűjtemények (génbankok) Internet alapú nyilvántartását –, továbbá adatbázisok, illetve a tájékoztatás, az ismeretterjesztés és tanácsadói tevékenységek kerülnek támogatásra. </w:t>
      </w:r>
    </w:p>
    <w:p w:rsidR="00CF7C1C" w:rsidRPr="002B4681" w:rsidRDefault="00CF7C1C" w:rsidP="00CF7C1C">
      <w:pPr>
        <w:rPr>
          <w:szCs w:val="22"/>
        </w:rPr>
      </w:pPr>
      <w:r w:rsidRPr="002B4681">
        <w:rPr>
          <w:szCs w:val="22"/>
        </w:rPr>
        <w:t>A támogatás a mezőgazdasági biológiai sokféleség megóvását segíti. A génmegőrzéssel foglalkozó gazdálkodó szervezetek a forrást négy területen használhatják fel. Támogatás igényelhető az őshonos és veszélyeztetett mezőgazdasági állatfajták spermájának, embriójának vagy petesejtjének begyűjtése és mélyhűtéssel történő megőrzése, vagy az élő állatok természetes élőhelyen kívüli megőrzése esetén. Szintén támogatásban részesülhetnek azok a tenyésztőszervezetek, amelyek vállalják, hogy a fajták megőrzéséért felelős tenyésztésvezetőt és körzeti tenyésztőt alkalmaznak. A támogatás keretében lehetővé válik a génmegőrzés területén készített szakanyagok, tájékoztatók készítésének és rendezvények szervezésének támogatása is.</w:t>
      </w:r>
    </w:p>
    <w:p w:rsidR="00CF7C1C" w:rsidRPr="002B4681" w:rsidRDefault="00CF7C1C" w:rsidP="00CF7C1C">
      <w:pPr>
        <w:rPr>
          <w:b/>
          <w:bCs/>
          <w:i/>
          <w:iCs/>
          <w:szCs w:val="22"/>
        </w:rPr>
      </w:pPr>
      <w:r w:rsidRPr="002B4681">
        <w:rPr>
          <w:szCs w:val="22"/>
        </w:rPr>
        <w:t xml:space="preserve">2012. február 29-én megjelent </w:t>
      </w:r>
      <w:r w:rsidRPr="002B4681">
        <w:rPr>
          <w:bCs/>
          <w:iCs/>
          <w:szCs w:val="22"/>
        </w:rPr>
        <w:t>az Európai Mezőgazdasági Vidékfejlesztési Alapból a genetikai erőforrások megőrzése intézkedés keretében a védett őshonos és veszélyeztetett mezőgazdasági állatfajták megőrzéséhez nyújtandó támogatások igénybevételének részletes feltételeiről szóló 17/2012. (II.29.) VM rendelet.</w:t>
      </w:r>
      <w:r w:rsidRPr="002B4681">
        <w:rPr>
          <w:b/>
          <w:bCs/>
          <w:i/>
          <w:iCs/>
          <w:szCs w:val="22"/>
        </w:rPr>
        <w:t xml:space="preserve"> </w:t>
      </w:r>
    </w:p>
    <w:p w:rsidR="00CF7C1C" w:rsidRPr="002B4681" w:rsidRDefault="00CF7C1C" w:rsidP="00D90F4C">
      <w:pPr>
        <w:rPr>
          <w:bCs/>
          <w:iCs/>
          <w:szCs w:val="22"/>
        </w:rPr>
      </w:pPr>
      <w:r w:rsidRPr="002B4681">
        <w:rPr>
          <w:bCs/>
          <w:iCs/>
          <w:szCs w:val="22"/>
        </w:rPr>
        <w:t xml:space="preserve">A támogatási kérelem benyújtási időszak április 1. és április 30. között volt, amely időszakot év közben meghosszabbítottak </w:t>
      </w:r>
      <w:r w:rsidRPr="00D90F4C">
        <w:t>október</w:t>
      </w:r>
      <w:r w:rsidRPr="002B4681">
        <w:rPr>
          <w:bCs/>
          <w:iCs/>
          <w:szCs w:val="22"/>
        </w:rPr>
        <w:t xml:space="preserve"> 10-ig.</w:t>
      </w:r>
    </w:p>
    <w:p w:rsidR="00CF7C1C" w:rsidRPr="002B4681" w:rsidRDefault="00CF7C1C" w:rsidP="00D90F4C">
      <w:pPr>
        <w:rPr>
          <w:szCs w:val="20"/>
        </w:rPr>
      </w:pPr>
      <w:r w:rsidRPr="002B4681">
        <w:rPr>
          <w:szCs w:val="20"/>
        </w:rPr>
        <w:t xml:space="preserve">A 17/2012. (II.29.) VM rendeletet 2012-ben két alkalommal módosították. </w:t>
      </w:r>
    </w:p>
    <w:p w:rsidR="00CF7C1C" w:rsidRPr="002B4681" w:rsidRDefault="00CF7C1C" w:rsidP="004869BB">
      <w:pPr>
        <w:rPr>
          <w:rFonts w:cs="Times New Roman"/>
          <w:bCs/>
          <w:sz w:val="24"/>
        </w:rPr>
      </w:pPr>
      <w:r w:rsidRPr="002B4681">
        <w:t xml:space="preserve">A 101/2012. (IX.28) VM rendeletben eszközölt módosítás következtében a génmegőrzésben részt vevő szereplőknek 2012. október 10-ig </w:t>
      </w:r>
      <w:r w:rsidR="00E32A01">
        <w:t>volt</w:t>
      </w:r>
      <w:r w:rsidRPr="002B4681">
        <w:t xml:space="preserve"> lehetőségük támogatási kérelmet benyújtani az MVH-hoz. Emellett adminisztratív jellegű pontosítás történt a rendeletben.</w:t>
      </w:r>
      <w:r w:rsidRPr="002B4681">
        <w:rPr>
          <w:rFonts w:cs="Times New Roman"/>
          <w:bCs/>
          <w:sz w:val="24"/>
        </w:rPr>
        <w:t xml:space="preserve"> </w:t>
      </w:r>
    </w:p>
    <w:p w:rsidR="00B053D2" w:rsidRPr="00B053D2" w:rsidRDefault="00B053D2" w:rsidP="00B053D2">
      <w:pPr>
        <w:rPr>
          <w:szCs w:val="20"/>
        </w:rPr>
      </w:pPr>
      <w:r w:rsidRPr="002B4681">
        <w:rPr>
          <w:szCs w:val="20"/>
        </w:rPr>
        <w:t>A 13</w:t>
      </w:r>
      <w:r>
        <w:rPr>
          <w:szCs w:val="20"/>
        </w:rPr>
        <w:t>8/2012. (XII.22.) VM rendelet t</w:t>
      </w:r>
      <w:r w:rsidRPr="00B053D2">
        <w:rPr>
          <w:szCs w:val="20"/>
        </w:rPr>
        <w:t>öbb technikai jellegű módosítás mellett egyértelműsíti, hogy ex situ tartás célprogram esetén, az adott kötelezettség vállalásakor mikor kezdődik a kötelező tartási időszak az egyes állatfajok esetén. A jogszabály előírja, hogy a támogatás keretében megvalósuló rendezvényeken, és kiadványokon fel kell tüntetni az EU zászlójának, a Daranyi Ignác Tervnek, és az Új Magyarország Vidékfejlesztési Programnak a lógóit, valamint, hogy a rendezvények lezárását követően, azokról írásbeli emlékeztetőt kell készíteni, amit a kifizetési kérelem mellékleteként az MVH-nak meg kell küldeni.</w:t>
      </w:r>
    </w:p>
    <w:p w:rsidR="00B053D2" w:rsidRPr="00B053D2" w:rsidRDefault="00B053D2" w:rsidP="00B053D2">
      <w:pPr>
        <w:rPr>
          <w:szCs w:val="20"/>
        </w:rPr>
      </w:pPr>
      <w:r w:rsidRPr="00B053D2">
        <w:rPr>
          <w:szCs w:val="20"/>
        </w:rPr>
        <w:t>Szintén rögzítésre került, hogy in vitro megőrzés célprogram esetén a helyszíni ellenőrzést az MVH minden kifizetési kérelmet benyújtónál évente elvégzi.</w:t>
      </w:r>
    </w:p>
    <w:p w:rsidR="00B053D2" w:rsidRDefault="00B053D2" w:rsidP="00B053D2">
      <w:pPr>
        <w:rPr>
          <w:szCs w:val="20"/>
        </w:rPr>
      </w:pPr>
      <w:r w:rsidRPr="00B053D2">
        <w:rPr>
          <w:szCs w:val="20"/>
        </w:rPr>
        <w:t>A jogszabály rendelkezik, arról is, hogy ha a támogatásra jogosult tájékoztatás és ismeretterjesztés célprogram esetén a támogatási időszakra vonatkozóan 50%-nál kisebb összegre nyújt be kifizetési kérelmet, mint a támogatási kérelemnek helyt adó vagy részben helyt adó támogatási határozatban jóváhagyott támogatási összeg, akkor a célprogramra vonatkozó támogatás ötödik gazdálkodási évre vonatkozó részének 50%-a nem kerül kifizetésre.</w:t>
      </w:r>
    </w:p>
    <w:p w:rsidR="00CF7C1C" w:rsidRPr="00F92037" w:rsidRDefault="007E5FDF" w:rsidP="00F92037">
      <w:pPr>
        <w:pStyle w:val="bra-cmetbla"/>
      </w:pPr>
      <w:fldSimple w:instr=" SEQ táblázat \* ARABIC ">
        <w:r w:rsidR="00E5031F">
          <w:rPr>
            <w:noProof/>
          </w:rPr>
          <w:t>65</w:t>
        </w:r>
      </w:fldSimple>
      <w:r w:rsidR="00673DDE">
        <w:t xml:space="preserve">. táblázat: </w:t>
      </w:r>
      <w:r w:rsidR="00CF7C1C" w:rsidRPr="00F92037">
        <w:t xml:space="preserve">A védett őshonos és veszélyeztetett mezőgazdasági állatfajták genetikai erőforrásának megőrzéséhez nyújtandó támogatás jogcím </w:t>
      </w:r>
      <w:r w:rsidR="00CA3F38" w:rsidRPr="00F92037">
        <w:t>– 214.C./2. -</w:t>
      </w:r>
      <w:r w:rsidR="00CF7C1C" w:rsidRPr="00F92037">
        <w:t>2012. évi eredményei</w:t>
      </w:r>
    </w:p>
    <w:p w:rsidR="00CF7C1C" w:rsidRDefault="00B452BF" w:rsidP="004869BB">
      <w:pPr>
        <w:rPr>
          <w:color w:val="FF0000"/>
        </w:rPr>
      </w:pPr>
      <w:r>
        <w:rPr>
          <w:noProof/>
        </w:rPr>
        <w:drawing>
          <wp:inline distT="0" distB="0" distL="0" distR="0" wp14:anchorId="47C115C0" wp14:editId="556C43A9">
            <wp:extent cx="5156835" cy="1882140"/>
            <wp:effectExtent l="0" t="0" r="5715" b="381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Default="00CF7C1C" w:rsidP="00CF7C1C">
      <w:pPr>
        <w:pStyle w:val="Normlforrs"/>
      </w:pPr>
      <w:r w:rsidRPr="00F35797">
        <w:t>Forrás: MVH</w:t>
      </w:r>
    </w:p>
    <w:p w:rsidR="00CF7C1C" w:rsidRPr="002B4681" w:rsidRDefault="00CF7C1C" w:rsidP="00D90F4C">
      <w:pPr>
        <w:rPr>
          <w:rFonts w:cs="Times New Roman"/>
          <w:sz w:val="24"/>
        </w:rPr>
      </w:pPr>
      <w:r w:rsidRPr="002B4681">
        <w:lastRenderedPageBreak/>
        <w:t>A 2012-ben megnyitott állati génmegőrzés jogcímre 2012-ben 236 db támogatási kérelmet nyújtottak be az MVH-hoz.</w:t>
      </w:r>
      <w:r w:rsidRPr="002B4681">
        <w:rPr>
          <w:szCs w:val="20"/>
        </w:rPr>
        <w:t xml:space="preserve"> Ennek </w:t>
      </w:r>
      <w:r w:rsidRPr="00D90F4C">
        <w:t>legjelentősebb</w:t>
      </w:r>
      <w:r w:rsidRPr="002B4681">
        <w:rPr>
          <w:szCs w:val="20"/>
        </w:rPr>
        <w:t xml:space="preserve"> részét Hajdú-Bihar megyéből (10,1%) és Budapestről (8,5%) nyújtották be, míg a legkevesebb kérelem (1,7%) Vas megyéből érkezett be. </w:t>
      </w:r>
    </w:p>
    <w:p w:rsidR="00CF7C1C" w:rsidRPr="002B4681" w:rsidRDefault="00CF7C1C" w:rsidP="004869BB">
      <w:pPr>
        <w:rPr>
          <w:strike/>
          <w:szCs w:val="22"/>
        </w:rPr>
      </w:pPr>
      <w:r w:rsidRPr="002B4681">
        <w:t>2012-ben a kérelmek feldolgozása folyamatban volt, támogatási határozatokat nem adott ki az MVH. Ennek alapján az intézkedés keretében 2012-ben kifizetés nem történt.</w:t>
      </w:r>
    </w:p>
    <w:p w:rsidR="00CF7C1C" w:rsidRPr="00896E03" w:rsidRDefault="00CF7C1C" w:rsidP="00DB48A3">
      <w:pPr>
        <w:pStyle w:val="Cmsor3"/>
      </w:pPr>
      <w:bookmarkStart w:id="283" w:name="_Toc328638717"/>
      <w:bookmarkStart w:id="284" w:name="_Toc360176807"/>
      <w:r w:rsidRPr="00896E03">
        <w:t>Állatjóléti</w:t>
      </w:r>
      <w:r w:rsidR="00FD2E25" w:rsidRPr="00896E03">
        <w:t xml:space="preserve"> kifizetések</w:t>
      </w:r>
      <w:r w:rsidRPr="00896E03">
        <w:t xml:space="preserve"> intézkedés (215) rövid bemutatása</w:t>
      </w:r>
      <w:bookmarkEnd w:id="283"/>
      <w:bookmarkEnd w:id="284"/>
    </w:p>
    <w:p w:rsidR="00CF7C1C" w:rsidRPr="00681572" w:rsidRDefault="00CF7C1C" w:rsidP="004869BB">
      <w:r w:rsidRPr="00681572">
        <w:t xml:space="preserve">A Tanács 1698/2005/EK rendeletének módosításáról szóló 74/2009/EK és 473/2009/EK tanácsi rendeletek lehetőséget adnak arra, hogy az Európai Gazdaságélénkítő Csomag és a kötelező moduláció összegei a tejágazat szerkezetátalakítását kísérő intézkedésekre, mint új kihívásokra kerüljenek felhasználásra. Az előírtnál magasabb követelmények vállalása miatti állatjóléti kifizetésekben azok a tejtermelők részesülhetnek ezen intézkedés keretéből, akik önkéntes alapon 5 éven keresztül az előírtakhoz képest magasabb állatjóléti kötelezettségeket vállalnak. Ezek a kifizetések a 73/2009/EK rendelet 5. cikke, valamint II. melléklete értelmében megállapított kötelező érvényű előírásokon és a nemzeti jogszabályok által létrehozott és a </w:t>
      </w:r>
      <w:r w:rsidR="00FD2E25">
        <w:t>P</w:t>
      </w:r>
      <w:r w:rsidRPr="00681572">
        <w:t>rogramban meghatározott egyéb vonatkozó kötelező követelményeken túlmutató kötelezettségvállalásokra terjednek ki.</w:t>
      </w:r>
    </w:p>
    <w:p w:rsidR="00CF7C1C" w:rsidRPr="00681572" w:rsidRDefault="00CF7C1C" w:rsidP="004869BB">
      <w:r w:rsidRPr="00681572">
        <w:t>A támogatási konstrukcióra a Program eredetileg nem allokált forrást, az a 2009. évben az EU Bizottság részére benyújtott új kihívások bevezetésére irányuló programmódosítással, az EU Bizottság által biztosított kiegészítő forrás biztosítását követően vált a</w:t>
      </w:r>
      <w:r>
        <w:t xml:space="preserve"> Program</w:t>
      </w:r>
      <w:r w:rsidRPr="00681572">
        <w:t xml:space="preserve"> részévé. Az intézkedésre 54 248 000 euró (1</w:t>
      </w:r>
      <w:r w:rsidR="00FD2E25">
        <w:t>5,86</w:t>
      </w:r>
      <w:r w:rsidRPr="00681572">
        <w:t xml:space="preserve"> M Ft) forrást allokált az EU Bizottság döntését követően az IH a</w:t>
      </w:r>
      <w:r>
        <w:t xml:space="preserve"> </w:t>
      </w:r>
      <w:r w:rsidRPr="00681572">
        <w:t>P</w:t>
      </w:r>
      <w:r>
        <w:t>rogram</w:t>
      </w:r>
      <w:r w:rsidRPr="00681572">
        <w:t xml:space="preserve"> keret</w:t>
      </w:r>
      <w:r>
        <w:t>e</w:t>
      </w:r>
      <w:r w:rsidRPr="00681572">
        <w:t xml:space="preserve"> terhére, amelyből az Európai Gazdaságélénkítő Csomag keretét 48 348 000 euró (</w:t>
      </w:r>
      <w:r w:rsidR="00FD2E25">
        <w:t>14,13</w:t>
      </w:r>
      <w:r w:rsidRPr="00681572">
        <w:t xml:space="preserve"> M Ft)</w:t>
      </w:r>
      <w:r>
        <w:t>,</w:t>
      </w:r>
      <w:r w:rsidRPr="00681572">
        <w:t xml:space="preserve"> a kötelező moduláció keretét 5,9 M euró (</w:t>
      </w:r>
      <w:r w:rsidR="00FD2E25">
        <w:t>1,73</w:t>
      </w:r>
      <w:r w:rsidRPr="00681572">
        <w:t xml:space="preserve"> M Ft) összeg érinti. </w:t>
      </w:r>
    </w:p>
    <w:p w:rsidR="00CF7C1C" w:rsidRPr="002B4681" w:rsidRDefault="00CF7C1C" w:rsidP="004869BB">
      <w:r w:rsidRPr="002B4681">
        <w:t>Az intézkedés célja, hogy azok a szarvasmarhát tartó tejtermelők támogatásban részesüljenek, akik önkéntes alapon 5 éven keresztül az általánosan előírásokhoz képest magasabb állatjóléti kötelezettségeket vállalnak.</w:t>
      </w:r>
    </w:p>
    <w:p w:rsidR="00CF7C1C" w:rsidRDefault="00CF7C1C" w:rsidP="004869BB">
      <w:r w:rsidRPr="00681572">
        <w:t>Az intézkedés nem tartalmaz alintézkedéseket, a tejágazat szerkezetátalakítását kísérő állatjóléti támogatásról szóló jogcímrendelet az intézkedést teljes egészében lefedi.</w:t>
      </w:r>
    </w:p>
    <w:p w:rsidR="00CF7C1C" w:rsidRPr="00F92037" w:rsidRDefault="007E5FDF" w:rsidP="00F92037">
      <w:pPr>
        <w:pStyle w:val="bra-cmetbla"/>
      </w:pPr>
      <w:fldSimple w:instr=" SEQ táblázat \* ARABIC ">
        <w:r w:rsidR="00E5031F">
          <w:rPr>
            <w:noProof/>
          </w:rPr>
          <w:t>66</w:t>
        </w:r>
      </w:fldSimple>
      <w:r w:rsidR="00673DDE">
        <w:t xml:space="preserve">. táblázat: </w:t>
      </w:r>
      <w:r w:rsidR="00CF7C1C" w:rsidRPr="00F92037">
        <w:t>Az állatjóléti kifizetések intézkedés (215) indikátorainak megvalósulása</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
        <w:gridCol w:w="5530"/>
        <w:gridCol w:w="1632"/>
        <w:gridCol w:w="1570"/>
      </w:tblGrid>
      <w:tr w:rsidR="00CF7C1C" w:rsidRPr="00725587" w:rsidTr="00CF7C1C">
        <w:trPr>
          <w:jc w:val="center"/>
        </w:trPr>
        <w:tc>
          <w:tcPr>
            <w:tcW w:w="487" w:type="dxa"/>
            <w:shd w:val="clear" w:color="auto" w:fill="B3B3B3"/>
          </w:tcPr>
          <w:p w:rsidR="00CF7C1C" w:rsidRPr="00725587" w:rsidRDefault="00CF7C1C" w:rsidP="00CF7C1C">
            <w:pPr>
              <w:pStyle w:val="Normltblzatban"/>
              <w:spacing w:after="0"/>
              <w:ind w:left="0" w:firstLine="0"/>
              <w:jc w:val="center"/>
              <w:rPr>
                <w:b/>
                <w:bCs/>
                <w:sz w:val="20"/>
                <w:szCs w:val="20"/>
                <w:lang w:bidi="sa-IN"/>
              </w:rPr>
            </w:pPr>
          </w:p>
        </w:tc>
        <w:tc>
          <w:tcPr>
            <w:tcW w:w="5530" w:type="dxa"/>
            <w:shd w:val="clear" w:color="auto" w:fill="B3B3B3"/>
            <w:vAlign w:val="center"/>
          </w:tcPr>
          <w:p w:rsidR="00CF7C1C" w:rsidRPr="00725587" w:rsidRDefault="00CF7C1C" w:rsidP="00CF7C1C">
            <w:pPr>
              <w:pStyle w:val="Normltblzatban"/>
              <w:spacing w:after="0"/>
              <w:ind w:left="0" w:firstLine="0"/>
              <w:jc w:val="center"/>
              <w:rPr>
                <w:sz w:val="20"/>
                <w:szCs w:val="20"/>
              </w:rPr>
            </w:pPr>
            <w:r w:rsidRPr="00725587">
              <w:rPr>
                <w:b/>
                <w:bCs/>
                <w:sz w:val="20"/>
                <w:szCs w:val="20"/>
                <w:lang w:bidi="sa-IN"/>
              </w:rPr>
              <w:t>Indikátor leírása</w:t>
            </w:r>
          </w:p>
        </w:tc>
        <w:tc>
          <w:tcPr>
            <w:tcW w:w="1632" w:type="dxa"/>
            <w:shd w:val="clear" w:color="auto" w:fill="B3B3B3"/>
          </w:tcPr>
          <w:p w:rsidR="00CF7C1C" w:rsidRPr="00BD037E" w:rsidRDefault="00CF7C1C" w:rsidP="00BD037E">
            <w:pPr>
              <w:spacing w:after="0"/>
              <w:jc w:val="center"/>
            </w:pPr>
            <w:r w:rsidRPr="00BD037E">
              <w:t>Program szerinti tervadat</w:t>
            </w:r>
          </w:p>
        </w:tc>
        <w:tc>
          <w:tcPr>
            <w:tcW w:w="1570" w:type="dxa"/>
            <w:shd w:val="clear" w:color="auto" w:fill="B3B3B3"/>
          </w:tcPr>
          <w:p w:rsidR="00CF7C1C" w:rsidRPr="00725587" w:rsidRDefault="00CF7C1C" w:rsidP="00CF7C1C">
            <w:pPr>
              <w:pStyle w:val="Normltblzatban"/>
              <w:spacing w:after="0"/>
              <w:ind w:left="0" w:firstLine="0"/>
              <w:jc w:val="center"/>
              <w:rPr>
                <w:b/>
                <w:bCs/>
                <w:sz w:val="20"/>
                <w:szCs w:val="20"/>
                <w:lang w:bidi="sa-IN"/>
              </w:rPr>
            </w:pPr>
            <w:r w:rsidRPr="00725587">
              <w:rPr>
                <w:b/>
                <w:sz w:val="20"/>
                <w:szCs w:val="20"/>
              </w:rPr>
              <w:t>Indikátorok kumulált értéke</w:t>
            </w:r>
          </w:p>
        </w:tc>
      </w:tr>
      <w:tr w:rsidR="00CF7C1C" w:rsidRPr="00B053D2" w:rsidTr="00CF7C1C">
        <w:trPr>
          <w:jc w:val="center"/>
        </w:trPr>
        <w:tc>
          <w:tcPr>
            <w:tcW w:w="487" w:type="dxa"/>
            <w:vMerge w:val="restart"/>
          </w:tcPr>
          <w:p w:rsidR="00CF7C1C" w:rsidRPr="00E32A01" w:rsidRDefault="00CF7C1C" w:rsidP="00234D35">
            <w:pPr>
              <w:pStyle w:val="Tbla-kzp"/>
            </w:pPr>
            <w:r w:rsidRPr="00E32A01">
              <w:t>O</w:t>
            </w:r>
          </w:p>
        </w:tc>
        <w:tc>
          <w:tcPr>
            <w:tcW w:w="5530" w:type="dxa"/>
          </w:tcPr>
          <w:p w:rsidR="00CF7C1C" w:rsidRPr="00E32A01" w:rsidRDefault="00CF7C1C" w:rsidP="00234D35">
            <w:pPr>
              <w:pStyle w:val="Tbla-bal"/>
            </w:pPr>
            <w:r w:rsidRPr="00E32A01">
              <w:rPr>
                <w:lang w:bidi="sa-IN"/>
              </w:rPr>
              <w:t>Támogatott gazdaságok száma</w:t>
            </w:r>
          </w:p>
        </w:tc>
        <w:tc>
          <w:tcPr>
            <w:tcW w:w="1632" w:type="dxa"/>
          </w:tcPr>
          <w:p w:rsidR="00CF7C1C" w:rsidRPr="00E32A01" w:rsidRDefault="00CF7C1C" w:rsidP="00234D35">
            <w:pPr>
              <w:pStyle w:val="Tbla-jobb"/>
            </w:pPr>
            <w:r w:rsidRPr="00E32A01">
              <w:t>5 800 db</w:t>
            </w:r>
          </w:p>
        </w:tc>
        <w:tc>
          <w:tcPr>
            <w:tcW w:w="1570" w:type="dxa"/>
          </w:tcPr>
          <w:p w:rsidR="00CF7C1C" w:rsidRPr="00B053D2" w:rsidRDefault="00CF7C1C" w:rsidP="00234D35">
            <w:pPr>
              <w:pStyle w:val="Tbla-jobb"/>
            </w:pPr>
            <w:r w:rsidRPr="00B053D2">
              <w:t xml:space="preserve">594 </w:t>
            </w:r>
          </w:p>
        </w:tc>
      </w:tr>
      <w:tr w:rsidR="00CF7C1C" w:rsidRPr="00E32A01" w:rsidTr="00CF7C1C">
        <w:trPr>
          <w:jc w:val="center"/>
        </w:trPr>
        <w:tc>
          <w:tcPr>
            <w:tcW w:w="487" w:type="dxa"/>
            <w:vMerge/>
          </w:tcPr>
          <w:p w:rsidR="00CF7C1C" w:rsidRPr="00E32A01" w:rsidRDefault="00CF7C1C" w:rsidP="00234D35">
            <w:pPr>
              <w:pStyle w:val="Tbla-kzp"/>
            </w:pPr>
          </w:p>
        </w:tc>
        <w:tc>
          <w:tcPr>
            <w:tcW w:w="5530" w:type="dxa"/>
          </w:tcPr>
          <w:p w:rsidR="00CF7C1C" w:rsidRPr="00E32A01" w:rsidRDefault="00CF7C1C" w:rsidP="00234D35">
            <w:pPr>
              <w:pStyle w:val="Tbla-bal"/>
              <w:rPr>
                <w:lang w:bidi="sa-IN"/>
              </w:rPr>
            </w:pPr>
            <w:r w:rsidRPr="00E32A01">
              <w:rPr>
                <w:lang w:bidi="sa-IN"/>
              </w:rPr>
              <w:t xml:space="preserve">   amelyből </w:t>
            </w:r>
            <w:r w:rsidRPr="00E32A01">
              <w:t>magángazdaságok</w:t>
            </w:r>
            <w:r w:rsidRPr="00E32A01">
              <w:rPr>
                <w:lang w:bidi="sa-IN"/>
              </w:rPr>
              <w:t xml:space="preserve"> száma</w:t>
            </w:r>
          </w:p>
        </w:tc>
        <w:tc>
          <w:tcPr>
            <w:tcW w:w="1632" w:type="dxa"/>
          </w:tcPr>
          <w:p w:rsidR="00CF7C1C" w:rsidRPr="00E32A01" w:rsidRDefault="00CF7C1C" w:rsidP="00234D35">
            <w:pPr>
              <w:pStyle w:val="Tbla-jobb"/>
              <w:rPr>
                <w:lang w:val="en-GB"/>
              </w:rPr>
            </w:pPr>
            <w:r w:rsidRPr="00E32A01">
              <w:rPr>
                <w:lang w:val="en-GB"/>
              </w:rPr>
              <w:t>5 050 db</w:t>
            </w:r>
          </w:p>
        </w:tc>
        <w:tc>
          <w:tcPr>
            <w:tcW w:w="1570" w:type="dxa"/>
          </w:tcPr>
          <w:p w:rsidR="00CF7C1C" w:rsidRPr="00E32A01" w:rsidRDefault="00C66BA0" w:rsidP="00234D35">
            <w:pPr>
              <w:pStyle w:val="Tbla-jobb"/>
              <w:rPr>
                <w:lang w:val="en-GB"/>
              </w:rPr>
            </w:pPr>
            <w:r w:rsidRPr="00E32A01">
              <w:rPr>
                <w:lang w:val="en-GB"/>
              </w:rPr>
              <w:t>592</w:t>
            </w:r>
          </w:p>
        </w:tc>
      </w:tr>
      <w:tr w:rsidR="00CF7C1C" w:rsidRPr="00E32A01" w:rsidTr="00CF7C1C">
        <w:trPr>
          <w:jc w:val="center"/>
        </w:trPr>
        <w:tc>
          <w:tcPr>
            <w:tcW w:w="487" w:type="dxa"/>
            <w:vMerge w:val="restart"/>
          </w:tcPr>
          <w:p w:rsidR="00CF7C1C" w:rsidRPr="00E32A01" w:rsidRDefault="00CF7C1C" w:rsidP="00234D35">
            <w:pPr>
              <w:pStyle w:val="Tbla-kzp"/>
              <w:rPr>
                <w:lang w:val="en-GB"/>
              </w:rPr>
            </w:pPr>
            <w:r w:rsidRPr="00E32A01">
              <w:rPr>
                <w:lang w:val="en-GB"/>
              </w:rPr>
              <w:t>R</w:t>
            </w:r>
          </w:p>
        </w:tc>
        <w:tc>
          <w:tcPr>
            <w:tcW w:w="5530" w:type="dxa"/>
          </w:tcPr>
          <w:p w:rsidR="00CF7C1C" w:rsidRPr="00E32A01" w:rsidRDefault="00CF7C1C" w:rsidP="00234D35">
            <w:pPr>
              <w:pStyle w:val="Tbla-bal"/>
              <w:rPr>
                <w:lang w:val="en-GB"/>
              </w:rPr>
            </w:pPr>
            <w:r w:rsidRPr="00E32A01">
              <w:rPr>
                <w:lang w:val="en-GB"/>
              </w:rPr>
              <w:t>A kötelező előírásokon felüli állatjóléti iránymutatásnak megfelelő állatállomány</w:t>
            </w:r>
          </w:p>
        </w:tc>
        <w:tc>
          <w:tcPr>
            <w:tcW w:w="1632" w:type="dxa"/>
          </w:tcPr>
          <w:p w:rsidR="00CF7C1C" w:rsidRPr="00E32A01" w:rsidRDefault="00CF7C1C" w:rsidP="00234D35">
            <w:pPr>
              <w:pStyle w:val="Tbla-jobb"/>
              <w:rPr>
                <w:lang w:val="en-GB"/>
              </w:rPr>
            </w:pPr>
            <w:r w:rsidRPr="00E32A01">
              <w:rPr>
                <w:lang w:val="en-GB"/>
              </w:rPr>
              <w:t>248 000 ÁE</w:t>
            </w:r>
          </w:p>
        </w:tc>
        <w:tc>
          <w:tcPr>
            <w:tcW w:w="1570" w:type="dxa"/>
          </w:tcPr>
          <w:p w:rsidR="00CF7C1C" w:rsidRPr="00E32A01" w:rsidRDefault="00CF7C1C" w:rsidP="00234D35">
            <w:pPr>
              <w:pStyle w:val="Tbla-jobb"/>
              <w:rPr>
                <w:lang w:val="en-GB"/>
              </w:rPr>
            </w:pPr>
            <w:r w:rsidRPr="00E32A01">
              <w:rPr>
                <w:lang w:val="en-GB"/>
              </w:rPr>
              <w:t>NA</w:t>
            </w:r>
          </w:p>
        </w:tc>
      </w:tr>
      <w:tr w:rsidR="00CF7C1C" w:rsidRPr="00E32A01" w:rsidTr="00CF7C1C">
        <w:trPr>
          <w:jc w:val="center"/>
        </w:trPr>
        <w:tc>
          <w:tcPr>
            <w:tcW w:w="487" w:type="dxa"/>
            <w:vMerge/>
          </w:tcPr>
          <w:p w:rsidR="00CF7C1C" w:rsidRPr="00E32A01" w:rsidRDefault="00CF7C1C" w:rsidP="00CF7C1C">
            <w:pPr>
              <w:spacing w:after="0"/>
              <w:ind w:left="570"/>
              <w:rPr>
                <w:sz w:val="20"/>
                <w:szCs w:val="20"/>
                <w:lang w:bidi="sa-IN"/>
              </w:rPr>
            </w:pPr>
          </w:p>
        </w:tc>
        <w:tc>
          <w:tcPr>
            <w:tcW w:w="5530" w:type="dxa"/>
          </w:tcPr>
          <w:p w:rsidR="00CF7C1C" w:rsidRPr="00E32A01" w:rsidRDefault="00CF7C1C" w:rsidP="00234D35">
            <w:pPr>
              <w:pStyle w:val="Tbla-bal"/>
              <w:rPr>
                <w:lang w:bidi="sa-IN"/>
              </w:rPr>
            </w:pPr>
            <w:r w:rsidRPr="00E32A01">
              <w:rPr>
                <w:lang w:bidi="sa-IN"/>
              </w:rPr>
              <w:t>tejelő szarvasmarha</w:t>
            </w:r>
          </w:p>
        </w:tc>
        <w:tc>
          <w:tcPr>
            <w:tcW w:w="1632" w:type="dxa"/>
          </w:tcPr>
          <w:p w:rsidR="00CF7C1C" w:rsidRPr="00E32A01" w:rsidRDefault="00CF7C1C" w:rsidP="00234D35">
            <w:pPr>
              <w:pStyle w:val="Tbla-jobb"/>
              <w:rPr>
                <w:lang w:val="en-GB"/>
              </w:rPr>
            </w:pPr>
            <w:r w:rsidRPr="00E32A01">
              <w:rPr>
                <w:lang w:val="en-GB"/>
              </w:rPr>
              <w:t>200 000 ÁE</w:t>
            </w:r>
          </w:p>
        </w:tc>
        <w:tc>
          <w:tcPr>
            <w:tcW w:w="1570" w:type="dxa"/>
          </w:tcPr>
          <w:p w:rsidR="00CF7C1C" w:rsidRPr="00E32A01" w:rsidRDefault="00CF7C1C" w:rsidP="00234D35">
            <w:pPr>
              <w:pStyle w:val="Tbla-jobb"/>
              <w:rPr>
                <w:lang w:val="en-GB"/>
              </w:rPr>
            </w:pPr>
            <w:r w:rsidRPr="00E32A01">
              <w:rPr>
                <w:lang w:val="en-GB"/>
              </w:rPr>
              <w:t>NA</w:t>
            </w:r>
          </w:p>
        </w:tc>
      </w:tr>
      <w:tr w:rsidR="00CF7C1C" w:rsidRPr="00725587" w:rsidTr="00CF7C1C">
        <w:trPr>
          <w:jc w:val="center"/>
        </w:trPr>
        <w:tc>
          <w:tcPr>
            <w:tcW w:w="487" w:type="dxa"/>
            <w:vMerge/>
          </w:tcPr>
          <w:p w:rsidR="00CF7C1C" w:rsidRPr="00E32A01" w:rsidRDefault="00CF7C1C" w:rsidP="00CF7C1C">
            <w:pPr>
              <w:spacing w:after="0"/>
              <w:ind w:left="570"/>
              <w:rPr>
                <w:sz w:val="20"/>
                <w:szCs w:val="20"/>
              </w:rPr>
            </w:pPr>
          </w:p>
        </w:tc>
        <w:tc>
          <w:tcPr>
            <w:tcW w:w="5530" w:type="dxa"/>
          </w:tcPr>
          <w:p w:rsidR="00CF7C1C" w:rsidRPr="00E32A01" w:rsidRDefault="00CF7C1C" w:rsidP="00234D35">
            <w:pPr>
              <w:pStyle w:val="Tbla-bal"/>
              <w:rPr>
                <w:lang w:bidi="sa-IN"/>
              </w:rPr>
            </w:pPr>
            <w:r w:rsidRPr="00E32A01">
              <w:t>borjú</w:t>
            </w:r>
          </w:p>
        </w:tc>
        <w:tc>
          <w:tcPr>
            <w:tcW w:w="1632" w:type="dxa"/>
          </w:tcPr>
          <w:p w:rsidR="00CF7C1C" w:rsidRPr="00E32A01" w:rsidRDefault="00CF7C1C" w:rsidP="00234D35">
            <w:pPr>
              <w:pStyle w:val="Tbla-jobb"/>
              <w:rPr>
                <w:lang w:val="en-GB"/>
              </w:rPr>
            </w:pPr>
            <w:r w:rsidRPr="00E32A01">
              <w:rPr>
                <w:lang w:val="en-GB"/>
              </w:rPr>
              <w:t>48 000 ÁE</w:t>
            </w:r>
          </w:p>
        </w:tc>
        <w:tc>
          <w:tcPr>
            <w:tcW w:w="1570" w:type="dxa"/>
          </w:tcPr>
          <w:p w:rsidR="00CF7C1C" w:rsidRPr="00E32A01" w:rsidRDefault="00CF7C1C" w:rsidP="00234D35">
            <w:pPr>
              <w:pStyle w:val="Tbla-jobb"/>
              <w:rPr>
                <w:lang w:val="en-GB"/>
              </w:rPr>
            </w:pPr>
            <w:r w:rsidRPr="00E32A01">
              <w:rPr>
                <w:lang w:val="en-GB"/>
              </w:rPr>
              <w:t>NA</w:t>
            </w:r>
          </w:p>
        </w:tc>
      </w:tr>
    </w:tbl>
    <w:p w:rsidR="00CF7C1C" w:rsidRDefault="00CF7C1C" w:rsidP="00CF7C1C">
      <w:pPr>
        <w:pStyle w:val="Normlforrs"/>
      </w:pPr>
      <w:r w:rsidRPr="00F35797">
        <w:t>Forrás: MVH</w:t>
      </w:r>
    </w:p>
    <w:p w:rsidR="00CF7C1C" w:rsidRDefault="005223D2" w:rsidP="004869BB">
      <w:r w:rsidRPr="007B66C7">
        <w:t>A támogatott gazdaságok száma nem éri el a tervezett értéket, azonban az érintett állategységek száma előreláthatóan meg fogja haladni a tervezett értéket. Ennek oka az állattartó telepek méretének koncentrációja</w:t>
      </w:r>
      <w:r w:rsidRPr="005223D2">
        <w:rPr>
          <w:rFonts w:eastAsia="Times New Roman"/>
          <w:bCs/>
          <w:szCs w:val="22"/>
        </w:rPr>
        <w:t>.</w:t>
      </w:r>
    </w:p>
    <w:p w:rsidR="00CF7C1C" w:rsidRPr="00123CB9" w:rsidRDefault="00CF7C1C" w:rsidP="00715E86">
      <w:pPr>
        <w:pStyle w:val="Cmsor4"/>
        <w:rPr>
          <w:lang w:bidi="sa-IN"/>
        </w:rPr>
      </w:pPr>
      <w:r w:rsidRPr="00123CB9">
        <w:rPr>
          <w:lang w:bidi="sa-IN"/>
        </w:rPr>
        <w:t xml:space="preserve">Tejágazat szerkezetátalakítását kísérő állatjóléti támogatás </w:t>
      </w:r>
      <w:r w:rsidR="00263152">
        <w:rPr>
          <w:lang w:bidi="sa-IN"/>
        </w:rPr>
        <w:t xml:space="preserve">jogcím </w:t>
      </w:r>
    </w:p>
    <w:p w:rsidR="00C41399" w:rsidRPr="002B4681" w:rsidRDefault="00C41399" w:rsidP="00C41399">
      <w:r w:rsidRPr="002B4681">
        <w:t>A támogatás alaptámogatásból és kiegészítő támogatásokból áll:</w:t>
      </w:r>
    </w:p>
    <w:p w:rsidR="00C41399" w:rsidRPr="002B4681" w:rsidRDefault="00C41399" w:rsidP="00C41399">
      <w:pPr>
        <w:pStyle w:val="j-felsorols1"/>
      </w:pPr>
      <w:r w:rsidRPr="002B4681">
        <w:t xml:space="preserve">Az </w:t>
      </w:r>
      <w:r w:rsidRPr="002B4681">
        <w:rPr>
          <w:i/>
          <w:iCs/>
        </w:rPr>
        <w:t>alaptámogatás</w:t>
      </w:r>
      <w:r w:rsidRPr="002B4681">
        <w:t xml:space="preserve"> akkor igényelhető, ha az állattartó az állatsűrűségre, a gondozói felügyeletre, a kockázatkezelésre, valamint a fejési technológiára és a preventív beavatkozásokra állatjóléti többletkötelezettséget vállal.</w:t>
      </w:r>
    </w:p>
    <w:p w:rsidR="00C41399" w:rsidRPr="002B4681" w:rsidRDefault="00C41399" w:rsidP="00C41399">
      <w:pPr>
        <w:pStyle w:val="j-felsorols1"/>
      </w:pPr>
      <w:r w:rsidRPr="002B4681">
        <w:lastRenderedPageBreak/>
        <w:t xml:space="preserve">Egy vagy több </w:t>
      </w:r>
      <w:r w:rsidRPr="002B4681">
        <w:rPr>
          <w:i/>
          <w:iCs/>
        </w:rPr>
        <w:t>kiegészítő támogatás</w:t>
      </w:r>
      <w:r w:rsidRPr="002B4681">
        <w:t xml:space="preserve"> az alaptámogatással együtt igényelhető feltéve, hogy az állattartó a paraziták elleni védekezésre, a természetes körülmények biztosítására, illetve a takarmányozásra is állatjóléti többletkötelezettséget vállal. Kiegészítő támogatás illeti meg a gazdálkodót az ügyleti költségek megtérítésére is. Az alaptámogatáshoz bármelyik kiegészítő támogatás a többi kiegészítő támogatástól függetlenül igényelhető.</w:t>
      </w:r>
    </w:p>
    <w:p w:rsidR="00263152" w:rsidRDefault="00CF7C1C" w:rsidP="004869BB">
      <w:pPr>
        <w:rPr>
          <w:rFonts w:cs="Times New Roman"/>
          <w:sz w:val="24"/>
        </w:rPr>
      </w:pPr>
      <w:r w:rsidRPr="002B4681">
        <w:t xml:space="preserve">A </w:t>
      </w:r>
      <w:r w:rsidR="00263152">
        <w:t>jogcíme</w:t>
      </w:r>
      <w:r w:rsidRPr="002B4681">
        <w:t xml:space="preserve">t 2011-ben </w:t>
      </w:r>
      <w:r w:rsidR="00263152">
        <w:t>került meghirdetésre</w:t>
      </w:r>
      <w:r w:rsidRPr="002B4681">
        <w:t xml:space="preserve"> és csak abban az évben lehetett támogatási kérelmet benyújtani rá. A </w:t>
      </w:r>
      <w:r w:rsidR="00263152">
        <w:t>jogcímmel</w:t>
      </w:r>
      <w:r w:rsidRPr="002B4681">
        <w:t xml:space="preserve"> kapcsolatban az volt az első kifizetési kérelem is.</w:t>
      </w:r>
      <w:r w:rsidRPr="002B4681">
        <w:rPr>
          <w:rFonts w:cs="Times New Roman"/>
          <w:sz w:val="24"/>
        </w:rPr>
        <w:t xml:space="preserve"> </w:t>
      </w:r>
    </w:p>
    <w:p w:rsidR="00CF7C1C" w:rsidRPr="002B4681" w:rsidRDefault="00CF7C1C" w:rsidP="004869BB">
      <w:r w:rsidRPr="002B4681">
        <w:t>A jogcím kapcsán a tejágazat szerkezetátalakítását kísérő állatjóléti támogatás részletes feltételeiről szóló 18/2011. (III.9.) VM rendelet alapján a Tenyészet Információs Rendszerben nyilvántartott tenyészetéhez tartozó tartási helyeken tartott nőivarú, tejtermelő szarvasmarhák után gazdálkodási évente állategységenként meghatározott mértékű támogatást vehet igénybe az állattartó, amennyiben a rendeletben meghatározott kötelezettséget vállal és annak a teljes támogatási időszak (2011. május 1.-2016. április 30.) alatt eleget tesz.</w:t>
      </w:r>
    </w:p>
    <w:p w:rsidR="00CF7C1C" w:rsidRPr="002B4681" w:rsidRDefault="00CF7C1C" w:rsidP="004869BB">
      <w:r w:rsidRPr="002B4681">
        <w:t>A jogcím kapcsán támogatási kérelem benyújtására a 2012. évben nem volt lehetőség.</w:t>
      </w:r>
    </w:p>
    <w:p w:rsidR="00CF7C1C" w:rsidRPr="002B4681" w:rsidRDefault="00CF7C1C" w:rsidP="004869BB">
      <w:r w:rsidRPr="002B4681">
        <w:t xml:space="preserve">A 18/2011. (III.9.) VM rendeletet 2012-ben két alkalommal módosították. </w:t>
      </w:r>
    </w:p>
    <w:p w:rsidR="00CF7C1C" w:rsidRPr="002B4681" w:rsidRDefault="00CF7C1C" w:rsidP="004869BB">
      <w:r w:rsidRPr="002B4681">
        <w:t>A 79/2012. (VII.27.) VM rendelet a technikai jellegű módosításokon kívül tartalmazza a kifizetési kérelem benyújtási időszak módosítását is, aminek eredményeként a gazdálkodók legközelebb a második gazdálkodási évre vonatkozóan 2013. június 1. és 30. között nyújthatnak be kifizetési kérelmet az MVH-hoz.</w:t>
      </w:r>
      <w:r w:rsidRPr="002B4681">
        <w:cr/>
        <w:t>Az állattartók az adott gazdálkodási év április 30-áig nyújthatnak be erre vonatkozó kérelmet. E mellett módosult a kötelezettség átadására nyitva álló időszak is. A jövőben az állattartók az adott gazdálkodási év április 30-áig nyújthatnak be erre vonatkozó kérelmet az MVH-hoz.</w:t>
      </w:r>
    </w:p>
    <w:p w:rsidR="00CF7C1C" w:rsidRPr="002B4681" w:rsidRDefault="00CF7C1C" w:rsidP="004869BB">
      <w:r w:rsidRPr="00E32A01">
        <w:t>Az állatsűrűségre vonatkozó kötelezettségvállalás tekintetében változás, hogy ezt követően nem a TIR rendelet szerint nyilvántartott terület éves átlaga alapján számított értéket, hanem az érintett gazdálkodási év első napján nyilvántartott érték és a támogatási kérelemben megadott, a tartási helyen</w:t>
      </w:r>
      <w:r w:rsidRPr="002B4681">
        <w:t xml:space="preserve"> a támogatható állatok tartására szolgáló terület értéke közül a kisebbet kell figyelembe venni.</w:t>
      </w:r>
    </w:p>
    <w:p w:rsidR="00CF7C1C" w:rsidRPr="002B4681" w:rsidRDefault="00CF7C1C" w:rsidP="004869BB">
      <w:r w:rsidRPr="002B4681">
        <w:t>Szintén változás, hogy a továbbiakban a kötelezően vezetendő telepi munkanaplóban csak év-hónap-nap bontásban kell rögzíteni a csülökápolás megtörténtének időpontját, ami a telepi munkanapló módosítását is szükségessé tette. A módosított formátumú telepi munkanaplót 2012. július 27-től kell vezetni. A 2012. május 1. és július 26. közötti bejegyzéseket az új formátumú naplóba átvezetni nem kell, azonban a régi formátumnak megfelelő telepi munkanaplót az újonnan megkezdett naplóhoz kell csatolni.</w:t>
      </w:r>
    </w:p>
    <w:p w:rsidR="00CF7C1C" w:rsidRPr="002B4681" w:rsidRDefault="00CF7C1C" w:rsidP="004869BB">
      <w:r w:rsidRPr="002B4681">
        <w:t>A jogcímmel kapcsolatban az első támogatási év vonatkozásában megítélt és kifizetésre került támogatási összegek teljes körű felülvizsgálata kezdődött meg, ennek keretében a támogatási jogosultsággal rendelkező egyes ügyfelek kapcsán a támogatás jogalap nélkül igénybe vett része visszakövetelésre kerül, egyes kérelmezők esetében további támogatás kerül folyósításra.</w:t>
      </w:r>
    </w:p>
    <w:p w:rsidR="00CF7C1C" w:rsidRPr="002B4681" w:rsidRDefault="00CF7C1C" w:rsidP="004869BB">
      <w:r w:rsidRPr="002B4681">
        <w:t>A 138/2012. (XII.22.) VM rendeletben több technikai jellegű módosítás mellett pontosít</w:t>
      </w:r>
      <w:r w:rsidR="00B053D2">
        <w:t>ásra kerül</w:t>
      </w:r>
      <w:r w:rsidRPr="002B4681">
        <w:t xml:space="preserve">, hogy évente legalább egyszer oktatást kell tartani a takarmányozási receptúra tartalmáról az állatok gondozását ellátóknak. A takarmányozási receptúrához kapcsolódó elméleti és gyakorlati oktatásról jelenléti ívet kell vezetni. A módosítás következtében a legeltetés esetén figyelembe vehető legeltethető terület maximális nagyságát nem a kifizetési kérelem évében benyújtott egységes kérelem alapján, hanem a kifizetési kérelem benyújtását megelőző évben benyújtott egységes kérelem alapján kell megállapítani. </w:t>
      </w:r>
    </w:p>
    <w:p w:rsidR="00CF7C1C" w:rsidRPr="00F92037" w:rsidRDefault="007E5FDF" w:rsidP="00F92037">
      <w:pPr>
        <w:pStyle w:val="bra-cmetbla"/>
      </w:pPr>
      <w:fldSimple w:instr=" SEQ táblázat \* ARABIC ">
        <w:r w:rsidR="00E5031F">
          <w:rPr>
            <w:noProof/>
          </w:rPr>
          <w:t>67</w:t>
        </w:r>
      </w:fldSimple>
      <w:r w:rsidR="00673DDE">
        <w:t xml:space="preserve">. táblázat: </w:t>
      </w:r>
      <w:r w:rsidR="00CF7C1C" w:rsidRPr="00F92037">
        <w:t>Tejágazat szerkezetátalakítását kísérő állatjóléti támogatás jogcím 2012. évi eredményei</w:t>
      </w:r>
    </w:p>
    <w:p w:rsidR="00CF7C1C" w:rsidRPr="00F92037" w:rsidRDefault="00B452BF" w:rsidP="00F92037">
      <w:pPr>
        <w:pStyle w:val="bra-cmetbla"/>
      </w:pPr>
      <w:r w:rsidRPr="00F92037">
        <w:rPr>
          <w:noProof/>
        </w:rPr>
        <w:drawing>
          <wp:inline distT="0" distB="0" distL="0" distR="0" wp14:anchorId="356C8D3A" wp14:editId="2072B3F4">
            <wp:extent cx="5156835" cy="1882140"/>
            <wp:effectExtent l="0" t="0" r="5715" b="381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CF7C1C" w:rsidRPr="002B4681" w:rsidRDefault="00CF7C1C" w:rsidP="004869BB">
      <w:r w:rsidRPr="002B4681">
        <w:t>A jogcím kapcsán 2012-ben 642,6 ezer euró (187 M Ft) kifizetés történt.</w:t>
      </w:r>
    </w:p>
    <w:p w:rsidR="00CF7C1C" w:rsidRPr="002B4681" w:rsidRDefault="00CF7C1C" w:rsidP="004869BB">
      <w:r w:rsidRPr="002B4681">
        <w:t>A kifizetések aránya Szabolcs-Szatmár-Bereg, Pest és Békés megyében volt a legmagasabb, emellett Hajdú-Bihar és Jász-Nagykun-Szolnok megyékben volt még jelentős.</w:t>
      </w:r>
    </w:p>
    <w:p w:rsidR="00CF7C1C" w:rsidRPr="00896E03" w:rsidRDefault="00CF7C1C" w:rsidP="00DB48A3">
      <w:pPr>
        <w:pStyle w:val="Cmsor3"/>
      </w:pPr>
      <w:bookmarkStart w:id="285" w:name="_Toc328638718"/>
      <w:bookmarkStart w:id="286" w:name="_Toc360176808"/>
      <w:r w:rsidRPr="00896E03">
        <w:t>Nem termelő beruházásoknak nyújtott támogatás intézkedés (216) rövid bemutatása</w:t>
      </w:r>
      <w:bookmarkEnd w:id="282"/>
      <w:bookmarkEnd w:id="285"/>
      <w:bookmarkEnd w:id="286"/>
    </w:p>
    <w:p w:rsidR="00CF7C1C" w:rsidRPr="00F35797" w:rsidRDefault="00CF7C1C" w:rsidP="004869BB">
      <w:pPr>
        <w:rPr>
          <w:szCs w:val="26"/>
          <w:lang w:bidi="sa-IN"/>
        </w:rPr>
      </w:pPr>
      <w:r w:rsidRPr="00F35797">
        <w:t>Az intézkedés keretében az agrár-környezetgazdálkodási kifizetések alapján vállalt kötelezettségek teljesítéshez kapcsolódó</w:t>
      </w:r>
      <w:r w:rsidR="006B3C0B">
        <w:t>,</w:t>
      </w:r>
      <w:r w:rsidRPr="00F35797">
        <w:t xml:space="preserve"> illetve azt elősegítő beruházások, a gazdaságok területén megvalósított Natura 2000 program vagy egyéb, magas természeti értékű területek közjóléti értékét növelő beruházások támogathatók. </w:t>
      </w:r>
      <w:r w:rsidRPr="00F35797">
        <w:rPr>
          <w:szCs w:val="26"/>
          <w:lang w:bidi="sa-IN"/>
        </w:rPr>
        <w:t>Az intézkedés fő célja a vidéki táj megőrzése, az egyedi tájértékek fennmaradásának elősegítése, a növény- és állatvilág fajgazdagságának emelése, a környezeti állapot javítása.</w:t>
      </w:r>
    </w:p>
    <w:p w:rsidR="00CF7C1C" w:rsidRPr="00F35797" w:rsidRDefault="00CF7C1C" w:rsidP="004869BB">
      <w:r w:rsidRPr="00F35797">
        <w:t xml:space="preserve">Az intézkedés nem tartalmaz alintézkedéseket, a </w:t>
      </w:r>
      <w:r w:rsidRPr="00F35797">
        <w:rPr>
          <w:i/>
        </w:rPr>
        <w:t>Nem termelő beruházásokhoz nyújtandó támo</w:t>
      </w:r>
      <w:r w:rsidR="00EA6C22">
        <w:rPr>
          <w:i/>
        </w:rPr>
        <w:softHyphen/>
      </w:r>
      <w:r w:rsidRPr="00F35797">
        <w:rPr>
          <w:i/>
        </w:rPr>
        <w:t>gatások</w:t>
      </w:r>
      <w:r w:rsidRPr="00F35797">
        <w:t xml:space="preserve"> jogcímrendelet az intézkedést teljes egészében lefedi. </w:t>
      </w:r>
    </w:p>
    <w:p w:rsidR="00CF7C1C" w:rsidRPr="00F92037" w:rsidRDefault="007E5FDF" w:rsidP="00F92037">
      <w:pPr>
        <w:pStyle w:val="bra-cmetbla"/>
      </w:pPr>
      <w:fldSimple w:instr=" SEQ táblázat \* ARABIC ">
        <w:r w:rsidR="00E5031F">
          <w:rPr>
            <w:noProof/>
          </w:rPr>
          <w:t>68</w:t>
        </w:r>
      </w:fldSimple>
      <w:r w:rsidR="00673DDE">
        <w:t xml:space="preserve">. táblázat: </w:t>
      </w:r>
      <w:r w:rsidR="00CF7C1C" w:rsidRPr="00F92037">
        <w:t>A Nem termelő beruházásoknak nyújtott támogatás intézkedés (216) indikátorainak megvalósulása</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5823"/>
        <w:gridCol w:w="1657"/>
        <w:gridCol w:w="1385"/>
      </w:tblGrid>
      <w:tr w:rsidR="00CF7C1C" w:rsidRPr="00E1404B" w:rsidTr="00CF7C1C">
        <w:trPr>
          <w:cantSplit/>
          <w:tblHeader/>
          <w:jc w:val="center"/>
        </w:trPr>
        <w:tc>
          <w:tcPr>
            <w:tcW w:w="648" w:type="dxa"/>
            <w:shd w:val="clear" w:color="auto" w:fill="B3B3B3"/>
          </w:tcPr>
          <w:p w:rsidR="00CF7C1C" w:rsidRPr="00E1404B" w:rsidRDefault="00CF7C1C" w:rsidP="00CF7C1C">
            <w:pPr>
              <w:pStyle w:val="Normltblzatban"/>
              <w:spacing w:after="0"/>
              <w:ind w:left="0" w:firstLine="0"/>
              <w:jc w:val="center"/>
              <w:rPr>
                <w:b/>
                <w:bCs/>
                <w:sz w:val="20"/>
                <w:szCs w:val="20"/>
                <w:lang w:bidi="sa-IN"/>
              </w:rPr>
            </w:pPr>
          </w:p>
        </w:tc>
        <w:tc>
          <w:tcPr>
            <w:tcW w:w="5823" w:type="dxa"/>
            <w:shd w:val="clear" w:color="auto" w:fill="B3B3B3"/>
            <w:vAlign w:val="center"/>
          </w:tcPr>
          <w:p w:rsidR="00CF7C1C" w:rsidRPr="00E1404B" w:rsidRDefault="00CF7C1C" w:rsidP="00CF7C1C">
            <w:pPr>
              <w:pStyle w:val="Normltblzatban"/>
              <w:spacing w:after="0"/>
              <w:ind w:left="0" w:firstLine="0"/>
              <w:jc w:val="center"/>
              <w:rPr>
                <w:sz w:val="20"/>
                <w:szCs w:val="20"/>
                <w:lang w:bidi="sa-IN"/>
              </w:rPr>
            </w:pPr>
            <w:r w:rsidRPr="00E1404B">
              <w:rPr>
                <w:b/>
                <w:bCs/>
                <w:sz w:val="20"/>
                <w:szCs w:val="20"/>
                <w:lang w:bidi="sa-IN"/>
              </w:rPr>
              <w:t>Indikátor</w:t>
            </w:r>
          </w:p>
        </w:tc>
        <w:tc>
          <w:tcPr>
            <w:tcW w:w="1657" w:type="dxa"/>
            <w:shd w:val="clear" w:color="auto" w:fill="B3B3B3"/>
            <w:noWrap/>
            <w:vAlign w:val="bottom"/>
          </w:tcPr>
          <w:p w:rsidR="00CF7C1C" w:rsidRPr="00E1404B" w:rsidRDefault="00CF7C1C" w:rsidP="00CF7C1C">
            <w:pPr>
              <w:pStyle w:val="Normltblzatban"/>
              <w:spacing w:after="0"/>
              <w:ind w:left="0" w:firstLine="0"/>
              <w:jc w:val="center"/>
              <w:rPr>
                <w:sz w:val="20"/>
                <w:szCs w:val="20"/>
                <w:lang w:bidi="sa-IN"/>
              </w:rPr>
            </w:pPr>
            <w:r w:rsidRPr="00E1404B">
              <w:rPr>
                <w:b/>
                <w:sz w:val="20"/>
                <w:szCs w:val="20"/>
              </w:rPr>
              <w:t>Program szerinti tervadat</w:t>
            </w:r>
          </w:p>
        </w:tc>
        <w:tc>
          <w:tcPr>
            <w:tcW w:w="1385" w:type="dxa"/>
            <w:shd w:val="clear" w:color="auto" w:fill="B3B3B3"/>
          </w:tcPr>
          <w:p w:rsidR="00CF7C1C" w:rsidRPr="00E1404B" w:rsidRDefault="00CF7C1C" w:rsidP="00CF7C1C">
            <w:pPr>
              <w:pStyle w:val="Normltblzatban"/>
              <w:spacing w:after="0"/>
              <w:ind w:left="0" w:firstLine="0"/>
              <w:jc w:val="center"/>
              <w:rPr>
                <w:b/>
                <w:bCs/>
                <w:sz w:val="20"/>
                <w:szCs w:val="20"/>
                <w:lang w:bidi="sa-IN"/>
              </w:rPr>
            </w:pPr>
            <w:r w:rsidRPr="00E1404B">
              <w:rPr>
                <w:b/>
                <w:sz w:val="20"/>
                <w:szCs w:val="20"/>
              </w:rPr>
              <w:t>Indikátorok kumulált értéke</w:t>
            </w:r>
          </w:p>
        </w:tc>
      </w:tr>
      <w:tr w:rsidR="00CF7C1C" w:rsidRPr="00E1404B" w:rsidTr="00CF7C1C">
        <w:trPr>
          <w:cantSplit/>
          <w:jc w:val="center"/>
        </w:trPr>
        <w:tc>
          <w:tcPr>
            <w:tcW w:w="648" w:type="dxa"/>
            <w:vMerge w:val="restart"/>
          </w:tcPr>
          <w:p w:rsidR="00CF7C1C" w:rsidRPr="00E1404B" w:rsidRDefault="00CF7C1C" w:rsidP="00CF7C1C">
            <w:pPr>
              <w:pStyle w:val="Normltblzatban"/>
              <w:spacing w:after="0"/>
              <w:rPr>
                <w:sz w:val="20"/>
                <w:szCs w:val="20"/>
                <w:lang w:bidi="sa-IN"/>
              </w:rPr>
            </w:pPr>
            <w:r w:rsidRPr="00E1404B">
              <w:rPr>
                <w:sz w:val="20"/>
                <w:szCs w:val="20"/>
                <w:lang w:bidi="sa-IN"/>
              </w:rPr>
              <w:t>O</w:t>
            </w:r>
          </w:p>
        </w:tc>
        <w:tc>
          <w:tcPr>
            <w:tcW w:w="5823" w:type="dxa"/>
          </w:tcPr>
          <w:p w:rsidR="00CF7C1C" w:rsidRPr="00E1404B" w:rsidRDefault="00CF7C1C" w:rsidP="00CF7C1C">
            <w:pPr>
              <w:pStyle w:val="Normltblzatban"/>
              <w:spacing w:after="0"/>
              <w:jc w:val="left"/>
              <w:rPr>
                <w:sz w:val="20"/>
                <w:szCs w:val="20"/>
                <w:lang w:bidi="sa-IN"/>
              </w:rPr>
            </w:pPr>
            <w:r w:rsidRPr="00E1404B">
              <w:rPr>
                <w:sz w:val="20"/>
                <w:szCs w:val="20"/>
                <w:lang w:bidi="sa-IN"/>
              </w:rPr>
              <w:t>A támogatást kapó farmgazdaságok és egyéb földgazdálkodók gazdaságainak száma</w:t>
            </w:r>
          </w:p>
          <w:p w:rsidR="00CF7C1C" w:rsidRPr="00E1404B" w:rsidRDefault="00CF7C1C" w:rsidP="00CF7C1C">
            <w:pPr>
              <w:pStyle w:val="Normltblzatban"/>
              <w:spacing w:after="0"/>
              <w:rPr>
                <w:sz w:val="20"/>
                <w:szCs w:val="20"/>
                <w:lang w:bidi="sa-IN"/>
              </w:rPr>
            </w:pPr>
            <w:r w:rsidRPr="00E1404B">
              <w:rPr>
                <w:sz w:val="20"/>
                <w:szCs w:val="20"/>
                <w:lang w:bidi="sa-IN"/>
              </w:rPr>
              <w:t xml:space="preserve">A beruházás típusa: </w:t>
            </w:r>
          </w:p>
          <w:p w:rsidR="00CF7C1C" w:rsidRPr="00E1404B" w:rsidRDefault="00CF7C1C" w:rsidP="00CF7C1C">
            <w:pPr>
              <w:suppressAutoHyphens w:val="0"/>
              <w:spacing w:after="0"/>
              <w:jc w:val="left"/>
              <w:rPr>
                <w:sz w:val="20"/>
                <w:szCs w:val="20"/>
                <w:lang w:bidi="sa-IN"/>
              </w:rPr>
            </w:pPr>
            <w:r w:rsidRPr="00E1404B">
              <w:rPr>
                <w:sz w:val="20"/>
                <w:szCs w:val="20"/>
                <w:lang w:bidi="sa-IN"/>
              </w:rPr>
              <w:t xml:space="preserve">Amihez a beruházások kapcsolódnak: </w:t>
            </w:r>
          </w:p>
          <w:p w:rsidR="00CF7C1C" w:rsidRPr="00E1404B" w:rsidRDefault="00CF7C1C" w:rsidP="0033390A">
            <w:pPr>
              <w:numPr>
                <w:ilvl w:val="0"/>
                <w:numId w:val="80"/>
              </w:numPr>
              <w:spacing w:after="0"/>
              <w:jc w:val="left"/>
              <w:rPr>
                <w:sz w:val="20"/>
                <w:szCs w:val="20"/>
              </w:rPr>
            </w:pPr>
            <w:r w:rsidRPr="00E1404B">
              <w:rPr>
                <w:sz w:val="20"/>
                <w:szCs w:val="20"/>
                <w:lang w:bidi="sa-IN"/>
              </w:rPr>
              <w:t xml:space="preserve"> A 36. cikk a) </w:t>
            </w:r>
            <w:r w:rsidRPr="00E1404B">
              <w:rPr>
                <w:sz w:val="20"/>
                <w:szCs w:val="20"/>
              </w:rPr>
              <w:t>bekezdésének (iv) pontja szerinti intézkedésnek megfelelően vállalt kötelezettségek megvalósítása</w:t>
            </w:r>
          </w:p>
          <w:p w:rsidR="00CF7C1C" w:rsidRPr="00E1404B" w:rsidRDefault="00CF7C1C" w:rsidP="0033390A">
            <w:pPr>
              <w:numPr>
                <w:ilvl w:val="0"/>
                <w:numId w:val="80"/>
              </w:numPr>
              <w:spacing w:after="0"/>
              <w:jc w:val="left"/>
              <w:rPr>
                <w:sz w:val="20"/>
                <w:szCs w:val="20"/>
                <w:lang w:bidi="sa-IN"/>
              </w:rPr>
            </w:pPr>
            <w:r w:rsidRPr="00E1404B">
              <w:rPr>
                <w:sz w:val="20"/>
                <w:szCs w:val="20"/>
              </w:rPr>
              <w:t xml:space="preserve"> Egyéb agrár-környezetgazdálkodási célok (biodiverzitás, vízgazdálkodás, nitrát</w:t>
            </w:r>
            <w:r w:rsidRPr="00E1404B">
              <w:rPr>
                <w:sz w:val="20"/>
                <w:szCs w:val="20"/>
                <w:lang w:bidi="sa-IN"/>
              </w:rPr>
              <w:t>, stb.) megvalósításához kapcsolódnak.</w:t>
            </w:r>
          </w:p>
          <w:p w:rsidR="00CF7C1C" w:rsidRPr="00E1404B" w:rsidRDefault="00CF7C1C" w:rsidP="00CF7C1C">
            <w:pPr>
              <w:suppressAutoHyphens w:val="0"/>
              <w:spacing w:after="0"/>
              <w:jc w:val="left"/>
              <w:rPr>
                <w:sz w:val="20"/>
                <w:szCs w:val="20"/>
                <w:lang w:bidi="sa-IN"/>
              </w:rPr>
            </w:pPr>
            <w:r w:rsidRPr="00E1404B">
              <w:rPr>
                <w:sz w:val="20"/>
                <w:szCs w:val="20"/>
                <w:lang w:bidi="sa-IN"/>
              </w:rPr>
              <w:t xml:space="preserve">Beruházások, melyek növelik az alábbi mezőgazdasági területek közjóléti értékét: </w:t>
            </w:r>
          </w:p>
          <w:p w:rsidR="00CF7C1C" w:rsidRPr="00E1404B" w:rsidRDefault="00CF7C1C" w:rsidP="0033390A">
            <w:pPr>
              <w:numPr>
                <w:ilvl w:val="0"/>
                <w:numId w:val="80"/>
              </w:numPr>
              <w:spacing w:after="0"/>
              <w:rPr>
                <w:sz w:val="20"/>
                <w:szCs w:val="20"/>
              </w:rPr>
            </w:pPr>
            <w:r w:rsidRPr="00E1404B">
              <w:rPr>
                <w:sz w:val="20"/>
                <w:szCs w:val="20"/>
                <w:lang w:bidi="sa-IN"/>
              </w:rPr>
              <w:t xml:space="preserve"> Natura 2000 </w:t>
            </w:r>
            <w:r w:rsidRPr="00E1404B">
              <w:rPr>
                <w:sz w:val="20"/>
                <w:szCs w:val="20"/>
              </w:rPr>
              <w:t xml:space="preserve">területen fekvő terület; </w:t>
            </w:r>
          </w:p>
          <w:p w:rsidR="00CF7C1C" w:rsidRPr="00E1404B" w:rsidRDefault="00CF7C1C" w:rsidP="0033390A">
            <w:pPr>
              <w:numPr>
                <w:ilvl w:val="0"/>
                <w:numId w:val="80"/>
              </w:numPr>
              <w:spacing w:after="0"/>
              <w:rPr>
                <w:sz w:val="20"/>
                <w:szCs w:val="20"/>
                <w:lang w:bidi="sa-IN"/>
              </w:rPr>
            </w:pPr>
            <w:r w:rsidRPr="00E1404B">
              <w:rPr>
                <w:sz w:val="20"/>
                <w:szCs w:val="20"/>
              </w:rPr>
              <w:t xml:space="preserve">  a programban meghatározott egyéb magas természeti értékű területen</w:t>
            </w:r>
            <w:r w:rsidRPr="00E1404B">
              <w:rPr>
                <w:sz w:val="20"/>
                <w:szCs w:val="20"/>
                <w:lang w:bidi="sa-IN"/>
              </w:rPr>
              <w:t xml:space="preserve"> fekvő terület</w:t>
            </w:r>
          </w:p>
        </w:tc>
        <w:tc>
          <w:tcPr>
            <w:tcW w:w="1657" w:type="dxa"/>
            <w:noWrap/>
          </w:tcPr>
          <w:p w:rsidR="00CF7C1C" w:rsidRPr="00E1404B" w:rsidRDefault="00CF7C1C" w:rsidP="00CF7C1C">
            <w:pPr>
              <w:pStyle w:val="Normltblzatban"/>
              <w:spacing w:after="0"/>
              <w:jc w:val="right"/>
              <w:rPr>
                <w:sz w:val="20"/>
                <w:szCs w:val="20"/>
                <w:lang w:val="de-DE" w:bidi="sa-IN"/>
              </w:rPr>
            </w:pPr>
            <w:r w:rsidRPr="00E1404B">
              <w:rPr>
                <w:sz w:val="20"/>
                <w:szCs w:val="20"/>
                <w:lang w:bidi="sa-IN"/>
              </w:rPr>
              <w:t>10 000 db</w:t>
            </w: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bidi="sa-IN"/>
              </w:rPr>
            </w:pPr>
            <w:r w:rsidRPr="00E1404B">
              <w:rPr>
                <w:sz w:val="20"/>
                <w:szCs w:val="20"/>
                <w:lang w:bidi="sa-IN"/>
              </w:rPr>
              <w:t>4 000 db</w:t>
            </w: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bidi="sa-IN"/>
              </w:rPr>
            </w:pPr>
            <w:r w:rsidRPr="00E1404B">
              <w:rPr>
                <w:sz w:val="20"/>
                <w:szCs w:val="20"/>
                <w:lang w:bidi="sa-IN"/>
              </w:rPr>
              <w:t>3 000 db</w:t>
            </w: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rPr>
            </w:pPr>
          </w:p>
          <w:p w:rsidR="00CF7C1C" w:rsidRPr="00E1404B" w:rsidRDefault="00CF7C1C" w:rsidP="00CF7C1C">
            <w:pPr>
              <w:pStyle w:val="Normltblzatban"/>
              <w:spacing w:after="0"/>
              <w:jc w:val="right"/>
              <w:rPr>
                <w:sz w:val="20"/>
                <w:szCs w:val="20"/>
                <w:lang w:val="de-DE" w:bidi="sa-IN"/>
              </w:rPr>
            </w:pPr>
            <w:r w:rsidRPr="00E1404B">
              <w:rPr>
                <w:sz w:val="20"/>
                <w:szCs w:val="20"/>
                <w:lang w:bidi="sa-IN"/>
              </w:rPr>
              <w:t>2500 db</w:t>
            </w:r>
          </w:p>
          <w:p w:rsidR="00CF7C1C" w:rsidRPr="00E1404B" w:rsidRDefault="00CF7C1C" w:rsidP="00CF7C1C">
            <w:pPr>
              <w:pStyle w:val="Normltblzatban"/>
              <w:spacing w:after="0"/>
              <w:jc w:val="right"/>
              <w:rPr>
                <w:sz w:val="20"/>
                <w:szCs w:val="20"/>
                <w:lang w:bidi="sa-IN"/>
              </w:rPr>
            </w:pPr>
            <w:r w:rsidRPr="00E1404B">
              <w:rPr>
                <w:sz w:val="20"/>
                <w:szCs w:val="20"/>
                <w:lang w:bidi="sa-IN"/>
              </w:rPr>
              <w:t>500 db</w:t>
            </w:r>
          </w:p>
        </w:tc>
        <w:tc>
          <w:tcPr>
            <w:tcW w:w="1385" w:type="dxa"/>
          </w:tcPr>
          <w:p w:rsidR="00CF7C1C" w:rsidRPr="002B4681" w:rsidRDefault="00CF7C1C" w:rsidP="00CF7C1C">
            <w:pPr>
              <w:pStyle w:val="Normltblzatban"/>
              <w:spacing w:after="0"/>
              <w:jc w:val="right"/>
              <w:rPr>
                <w:sz w:val="20"/>
                <w:szCs w:val="20"/>
                <w:highlight w:val="green"/>
                <w:lang w:bidi="sa-IN"/>
              </w:rPr>
            </w:pPr>
            <w:r w:rsidRPr="002B4681">
              <w:rPr>
                <w:sz w:val="20"/>
                <w:szCs w:val="20"/>
                <w:lang w:bidi="sa-IN"/>
              </w:rPr>
              <w:t>785</w:t>
            </w:r>
          </w:p>
          <w:p w:rsidR="00CF7C1C" w:rsidRPr="002B4681" w:rsidRDefault="00CF7C1C" w:rsidP="00CF7C1C">
            <w:pPr>
              <w:pStyle w:val="Normltblzatban"/>
              <w:spacing w:after="0"/>
              <w:jc w:val="right"/>
              <w:rPr>
                <w:sz w:val="20"/>
                <w:szCs w:val="20"/>
                <w:highlight w:val="green"/>
                <w:lang w:bidi="sa-IN"/>
              </w:rPr>
            </w:pPr>
          </w:p>
          <w:p w:rsidR="00CF7C1C" w:rsidRPr="002B4681" w:rsidRDefault="00CF7C1C" w:rsidP="00CF7C1C">
            <w:pPr>
              <w:pStyle w:val="Normltblzatban"/>
              <w:spacing w:after="0"/>
              <w:jc w:val="right"/>
              <w:rPr>
                <w:sz w:val="20"/>
                <w:szCs w:val="20"/>
                <w:highlight w:val="green"/>
                <w:lang w:bidi="sa-IN"/>
              </w:rPr>
            </w:pPr>
          </w:p>
          <w:p w:rsidR="00CF7C1C" w:rsidRPr="002B4681" w:rsidRDefault="00CF7C1C" w:rsidP="00CF7C1C">
            <w:pPr>
              <w:pStyle w:val="Normltblzatban"/>
              <w:spacing w:after="0"/>
              <w:jc w:val="right"/>
              <w:rPr>
                <w:sz w:val="20"/>
                <w:szCs w:val="20"/>
                <w:highlight w:val="green"/>
                <w:lang w:bidi="sa-IN"/>
              </w:rPr>
            </w:pPr>
          </w:p>
          <w:p w:rsidR="00CF7C1C" w:rsidRPr="002B4681" w:rsidRDefault="00CF7C1C" w:rsidP="00CF7C1C">
            <w:pPr>
              <w:pStyle w:val="Normltblzatban"/>
              <w:spacing w:after="0"/>
              <w:jc w:val="right"/>
              <w:rPr>
                <w:sz w:val="20"/>
                <w:szCs w:val="20"/>
                <w:highlight w:val="green"/>
                <w:lang w:bidi="sa-IN"/>
              </w:rPr>
            </w:pPr>
            <w:r w:rsidRPr="002B4681">
              <w:rPr>
                <w:sz w:val="20"/>
                <w:szCs w:val="20"/>
                <w:lang w:bidi="sa-IN"/>
              </w:rPr>
              <w:t>610</w:t>
            </w:r>
          </w:p>
          <w:p w:rsidR="00CF7C1C" w:rsidRPr="002B4681" w:rsidRDefault="00CF7C1C" w:rsidP="00CF7C1C">
            <w:pPr>
              <w:pStyle w:val="Normltblzatban"/>
              <w:spacing w:after="0"/>
              <w:jc w:val="right"/>
              <w:rPr>
                <w:sz w:val="20"/>
                <w:szCs w:val="20"/>
                <w:highlight w:val="green"/>
                <w:lang w:bidi="sa-IN"/>
              </w:rPr>
            </w:pPr>
          </w:p>
          <w:p w:rsidR="00CF7C1C" w:rsidRPr="002B4681" w:rsidRDefault="00CF7C1C" w:rsidP="00CF7C1C">
            <w:pPr>
              <w:pStyle w:val="Normltblzatban"/>
              <w:spacing w:after="0"/>
              <w:jc w:val="right"/>
              <w:rPr>
                <w:sz w:val="20"/>
                <w:szCs w:val="20"/>
                <w:highlight w:val="green"/>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173</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42</w:t>
            </w:r>
          </w:p>
          <w:p w:rsidR="00CF7C1C" w:rsidRPr="002B4681" w:rsidRDefault="00CF7C1C" w:rsidP="00CF7C1C">
            <w:pPr>
              <w:pStyle w:val="Normltblzatban"/>
              <w:spacing w:after="0"/>
              <w:jc w:val="right"/>
              <w:rPr>
                <w:sz w:val="20"/>
                <w:szCs w:val="20"/>
                <w:lang w:bidi="sa-IN"/>
              </w:rPr>
            </w:pPr>
            <w:r w:rsidRPr="002B4681">
              <w:rPr>
                <w:sz w:val="20"/>
                <w:szCs w:val="20"/>
                <w:lang w:bidi="sa-IN"/>
              </w:rPr>
              <w:t>74</w:t>
            </w:r>
          </w:p>
        </w:tc>
      </w:tr>
      <w:tr w:rsidR="00CF7C1C" w:rsidRPr="00B053D2" w:rsidTr="00B053D2">
        <w:trPr>
          <w:cantSplit/>
          <w:jc w:val="center"/>
        </w:trPr>
        <w:tc>
          <w:tcPr>
            <w:tcW w:w="648" w:type="dxa"/>
            <w:vMerge/>
            <w:shd w:val="clear" w:color="auto" w:fill="auto"/>
          </w:tcPr>
          <w:p w:rsidR="00CF7C1C" w:rsidRPr="00E1404B" w:rsidRDefault="00CF7C1C" w:rsidP="00CF7C1C">
            <w:pPr>
              <w:pStyle w:val="Normltblzatban"/>
              <w:spacing w:after="0"/>
              <w:rPr>
                <w:sz w:val="20"/>
                <w:szCs w:val="20"/>
                <w:lang w:bidi="sa-IN"/>
              </w:rPr>
            </w:pPr>
          </w:p>
        </w:tc>
        <w:tc>
          <w:tcPr>
            <w:tcW w:w="5823" w:type="dxa"/>
            <w:shd w:val="clear" w:color="auto" w:fill="auto"/>
          </w:tcPr>
          <w:p w:rsidR="00CF7C1C" w:rsidRPr="00B053D2" w:rsidRDefault="00CF7C1C" w:rsidP="00CF7C1C">
            <w:pPr>
              <w:pStyle w:val="Normltblzatban"/>
              <w:spacing w:after="0"/>
              <w:rPr>
                <w:sz w:val="20"/>
                <w:szCs w:val="20"/>
                <w:lang w:bidi="sa-IN"/>
              </w:rPr>
            </w:pPr>
            <w:r w:rsidRPr="00B053D2">
              <w:rPr>
                <w:sz w:val="20"/>
                <w:szCs w:val="20"/>
                <w:lang w:bidi="sa-IN"/>
              </w:rPr>
              <w:t xml:space="preserve">A beruházások teljes összege </w:t>
            </w:r>
          </w:p>
          <w:p w:rsidR="00CF7C1C" w:rsidRPr="00B053D2" w:rsidRDefault="00CF7C1C" w:rsidP="00CF7C1C">
            <w:pPr>
              <w:pStyle w:val="Normltblzatban"/>
              <w:spacing w:after="0"/>
              <w:rPr>
                <w:sz w:val="20"/>
                <w:szCs w:val="20"/>
                <w:lang w:bidi="sa-IN"/>
              </w:rPr>
            </w:pPr>
            <w:r w:rsidRPr="00B053D2">
              <w:rPr>
                <w:sz w:val="20"/>
                <w:szCs w:val="20"/>
                <w:lang w:bidi="sa-IN"/>
              </w:rPr>
              <w:t xml:space="preserve">A beruházás típusa </w:t>
            </w:r>
          </w:p>
          <w:p w:rsidR="00CF7C1C" w:rsidRPr="00B053D2" w:rsidRDefault="00CF7C1C" w:rsidP="00CF7C1C">
            <w:pPr>
              <w:pStyle w:val="Normltblzatban"/>
              <w:spacing w:after="0"/>
              <w:ind w:left="0" w:firstLine="0"/>
              <w:rPr>
                <w:sz w:val="20"/>
                <w:szCs w:val="20"/>
                <w:lang w:val="en-GB" w:bidi="sa-IN"/>
              </w:rPr>
            </w:pPr>
            <w:r w:rsidRPr="00B053D2">
              <w:rPr>
                <w:sz w:val="20"/>
                <w:szCs w:val="20"/>
                <w:lang w:bidi="sa-IN"/>
              </w:rPr>
              <w:t>Amihez a beruházások kapcsolódnak:</w:t>
            </w:r>
            <w:r w:rsidRPr="00B053D2">
              <w:rPr>
                <w:sz w:val="20"/>
                <w:szCs w:val="20"/>
                <w:lang w:val="en-GB" w:bidi="sa-IN"/>
              </w:rPr>
              <w:t xml:space="preserve"> </w:t>
            </w:r>
          </w:p>
          <w:p w:rsidR="00CF7C1C" w:rsidRPr="00B053D2" w:rsidRDefault="00CF7C1C" w:rsidP="0033390A">
            <w:pPr>
              <w:numPr>
                <w:ilvl w:val="0"/>
                <w:numId w:val="80"/>
              </w:numPr>
              <w:spacing w:after="0"/>
              <w:jc w:val="left"/>
              <w:rPr>
                <w:sz w:val="20"/>
                <w:szCs w:val="20"/>
              </w:rPr>
            </w:pPr>
            <w:r w:rsidRPr="00B053D2">
              <w:rPr>
                <w:sz w:val="20"/>
                <w:szCs w:val="20"/>
                <w:lang w:bidi="sa-IN"/>
              </w:rPr>
              <w:t xml:space="preserve">A 36. cikk a) </w:t>
            </w:r>
            <w:r w:rsidRPr="00B053D2">
              <w:rPr>
                <w:sz w:val="20"/>
                <w:szCs w:val="20"/>
              </w:rPr>
              <w:t>bekezdésének (iv) pontja szerinti intézkedésnek megfelelően vállalt kötelezettségek megvalósítása</w:t>
            </w:r>
          </w:p>
          <w:p w:rsidR="00CF7C1C" w:rsidRPr="00B053D2" w:rsidRDefault="00CF7C1C" w:rsidP="0033390A">
            <w:pPr>
              <w:numPr>
                <w:ilvl w:val="0"/>
                <w:numId w:val="80"/>
              </w:numPr>
              <w:spacing w:after="0"/>
              <w:jc w:val="left"/>
              <w:rPr>
                <w:sz w:val="20"/>
                <w:szCs w:val="20"/>
                <w:lang w:bidi="sa-IN"/>
              </w:rPr>
            </w:pPr>
            <w:r w:rsidRPr="00B053D2">
              <w:rPr>
                <w:sz w:val="20"/>
                <w:szCs w:val="20"/>
              </w:rPr>
              <w:t>Egyéb agrár-környezetgazdálkodási célok (biodiverzitás, vízgazdálkodás, nitrát, stb.) megvalósításához kapcsolódnak</w:t>
            </w:r>
            <w:r w:rsidRPr="00B053D2">
              <w:rPr>
                <w:sz w:val="20"/>
                <w:szCs w:val="20"/>
                <w:lang w:bidi="sa-IN"/>
              </w:rPr>
              <w:t>.</w:t>
            </w:r>
          </w:p>
          <w:p w:rsidR="00CF7C1C" w:rsidRPr="00B053D2" w:rsidRDefault="00CF7C1C" w:rsidP="00CF7C1C">
            <w:pPr>
              <w:pStyle w:val="Normltblzatban"/>
              <w:spacing w:after="0"/>
              <w:ind w:firstLine="0"/>
              <w:rPr>
                <w:sz w:val="20"/>
                <w:szCs w:val="20"/>
                <w:lang w:bidi="sa-IN"/>
              </w:rPr>
            </w:pPr>
            <w:r w:rsidRPr="00B053D2">
              <w:rPr>
                <w:sz w:val="20"/>
                <w:szCs w:val="20"/>
                <w:lang w:bidi="sa-IN"/>
              </w:rPr>
              <w:t xml:space="preserve">Beruházások, melyek növelik az alábbi mezőgazdasági területek közjóléti értékét: </w:t>
            </w:r>
          </w:p>
          <w:p w:rsidR="00CF7C1C" w:rsidRPr="00B053D2" w:rsidRDefault="00CF7C1C" w:rsidP="0033390A">
            <w:pPr>
              <w:numPr>
                <w:ilvl w:val="0"/>
                <w:numId w:val="80"/>
              </w:numPr>
              <w:spacing w:after="0"/>
              <w:rPr>
                <w:sz w:val="20"/>
                <w:szCs w:val="20"/>
              </w:rPr>
            </w:pPr>
            <w:r w:rsidRPr="00B053D2">
              <w:rPr>
                <w:sz w:val="20"/>
                <w:szCs w:val="20"/>
                <w:lang w:bidi="sa-IN"/>
              </w:rPr>
              <w:t xml:space="preserve">Natura 2000 </w:t>
            </w:r>
            <w:r w:rsidRPr="00B053D2">
              <w:rPr>
                <w:sz w:val="20"/>
                <w:szCs w:val="20"/>
              </w:rPr>
              <w:t xml:space="preserve">terület fekvő terület; </w:t>
            </w:r>
          </w:p>
          <w:p w:rsidR="00CF7C1C" w:rsidRPr="00B053D2" w:rsidRDefault="00CF7C1C" w:rsidP="0033390A">
            <w:pPr>
              <w:numPr>
                <w:ilvl w:val="0"/>
                <w:numId w:val="80"/>
              </w:numPr>
              <w:spacing w:after="0"/>
              <w:jc w:val="left"/>
              <w:rPr>
                <w:sz w:val="20"/>
                <w:szCs w:val="20"/>
                <w:lang w:bidi="sa-IN"/>
              </w:rPr>
            </w:pPr>
            <w:r w:rsidRPr="00B053D2">
              <w:rPr>
                <w:sz w:val="20"/>
                <w:szCs w:val="20"/>
              </w:rPr>
              <w:t xml:space="preserve"> a programban meghatározott egyéb magas természeti értékű területen fekvő</w:t>
            </w:r>
            <w:r w:rsidRPr="00B053D2">
              <w:rPr>
                <w:sz w:val="20"/>
                <w:szCs w:val="20"/>
                <w:lang w:bidi="sa-IN"/>
              </w:rPr>
              <w:t xml:space="preserve"> terület</w:t>
            </w:r>
          </w:p>
        </w:tc>
        <w:tc>
          <w:tcPr>
            <w:tcW w:w="1657" w:type="dxa"/>
            <w:shd w:val="clear" w:color="auto" w:fill="auto"/>
            <w:noWrap/>
          </w:tcPr>
          <w:p w:rsidR="00CF7C1C" w:rsidRPr="00B053D2" w:rsidRDefault="00CF7C1C" w:rsidP="00CF7C1C">
            <w:pPr>
              <w:pStyle w:val="Normltblzatban"/>
              <w:spacing w:after="0"/>
              <w:jc w:val="right"/>
              <w:rPr>
                <w:sz w:val="20"/>
                <w:szCs w:val="20"/>
                <w:lang w:bidi="sa-IN"/>
              </w:rPr>
            </w:pPr>
            <w:r w:rsidRPr="00B053D2">
              <w:rPr>
                <w:sz w:val="20"/>
                <w:szCs w:val="20"/>
                <w:lang w:bidi="sa-IN"/>
              </w:rPr>
              <w:t>13 millió euró</w:t>
            </w: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lang w:bidi="sa-IN"/>
              </w:rPr>
            </w:pPr>
            <w:r w:rsidRPr="00B053D2">
              <w:rPr>
                <w:sz w:val="20"/>
                <w:szCs w:val="20"/>
                <w:lang w:bidi="sa-IN"/>
              </w:rPr>
              <w:t>5,2 millió euró</w:t>
            </w: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lang w:bidi="sa-IN"/>
              </w:rPr>
            </w:pPr>
            <w:r w:rsidRPr="00B053D2">
              <w:rPr>
                <w:sz w:val="20"/>
                <w:szCs w:val="20"/>
                <w:lang w:bidi="sa-IN"/>
              </w:rPr>
              <w:t>3,9 millió euró</w:t>
            </w: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lang w:val="en-GB" w:bidi="sa-IN"/>
              </w:rPr>
            </w:pPr>
            <w:r w:rsidRPr="00B053D2">
              <w:rPr>
                <w:sz w:val="20"/>
                <w:szCs w:val="20"/>
                <w:lang w:bidi="sa-IN"/>
              </w:rPr>
              <w:t>3,2 millió euró</w:t>
            </w:r>
          </w:p>
          <w:p w:rsidR="00CF7C1C" w:rsidRPr="00B053D2" w:rsidRDefault="00CF7C1C" w:rsidP="00CF7C1C">
            <w:pPr>
              <w:pStyle w:val="Normltblzatban"/>
              <w:spacing w:after="0"/>
              <w:jc w:val="right"/>
              <w:rPr>
                <w:sz w:val="20"/>
                <w:szCs w:val="20"/>
                <w:lang w:val="en-GB" w:bidi="sa-IN"/>
              </w:rPr>
            </w:pPr>
            <w:r w:rsidRPr="00B053D2">
              <w:rPr>
                <w:sz w:val="20"/>
                <w:szCs w:val="20"/>
                <w:lang w:bidi="sa-IN"/>
              </w:rPr>
              <w:t>0,7 millió euró</w:t>
            </w:r>
          </w:p>
        </w:tc>
        <w:tc>
          <w:tcPr>
            <w:tcW w:w="1385" w:type="dxa"/>
            <w:shd w:val="clear" w:color="auto" w:fill="auto"/>
          </w:tcPr>
          <w:p w:rsidR="00CF7C1C" w:rsidRPr="00B053D2" w:rsidRDefault="00CF7C1C" w:rsidP="00CF7C1C">
            <w:pPr>
              <w:pStyle w:val="Normltblzatban"/>
              <w:spacing w:after="0"/>
              <w:ind w:left="0" w:firstLine="0"/>
              <w:rPr>
                <w:sz w:val="20"/>
                <w:szCs w:val="20"/>
                <w:lang w:bidi="sa-IN"/>
              </w:rPr>
            </w:pPr>
            <w:r w:rsidRPr="00B053D2">
              <w:rPr>
                <w:sz w:val="20"/>
                <w:szCs w:val="20"/>
                <w:lang w:bidi="sa-IN"/>
              </w:rPr>
              <w:t xml:space="preserve">     10,3 millió</w:t>
            </w: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r w:rsidRPr="00B053D2">
              <w:rPr>
                <w:sz w:val="20"/>
                <w:szCs w:val="20"/>
                <w:lang w:bidi="sa-IN"/>
              </w:rPr>
              <w:t>5,3 millió</w:t>
            </w: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r w:rsidRPr="00B053D2">
              <w:rPr>
                <w:sz w:val="20"/>
                <w:szCs w:val="20"/>
                <w:lang w:bidi="sa-IN"/>
              </w:rPr>
              <w:t>3,8 millió</w:t>
            </w: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r w:rsidRPr="00B053D2">
              <w:rPr>
                <w:sz w:val="20"/>
                <w:szCs w:val="20"/>
                <w:lang w:bidi="sa-IN"/>
              </w:rPr>
              <w:t>0,35 millió</w:t>
            </w:r>
          </w:p>
          <w:p w:rsidR="00CF7C1C" w:rsidRPr="00B053D2" w:rsidRDefault="006444BD" w:rsidP="00CF7C1C">
            <w:pPr>
              <w:pStyle w:val="Normltblzatban"/>
              <w:spacing w:after="0"/>
              <w:jc w:val="right"/>
              <w:rPr>
                <w:sz w:val="20"/>
                <w:szCs w:val="20"/>
                <w:lang w:bidi="sa-IN"/>
              </w:rPr>
            </w:pPr>
            <w:r>
              <w:rPr>
                <w:sz w:val="20"/>
                <w:szCs w:val="20"/>
                <w:lang w:bidi="sa-IN"/>
              </w:rPr>
              <w:t>0,82</w:t>
            </w:r>
            <w:r w:rsidR="00CF7C1C" w:rsidRPr="00B053D2">
              <w:rPr>
                <w:sz w:val="20"/>
                <w:szCs w:val="20"/>
                <w:lang w:bidi="sa-IN"/>
              </w:rPr>
              <w:t xml:space="preserve"> millió</w:t>
            </w:r>
          </w:p>
        </w:tc>
      </w:tr>
      <w:tr w:rsidR="00CF7C1C" w:rsidRPr="00B053D2" w:rsidTr="00B053D2">
        <w:trPr>
          <w:cantSplit/>
          <w:jc w:val="center"/>
        </w:trPr>
        <w:tc>
          <w:tcPr>
            <w:tcW w:w="648" w:type="dxa"/>
            <w:shd w:val="clear" w:color="auto" w:fill="auto"/>
          </w:tcPr>
          <w:p w:rsidR="00CF7C1C" w:rsidRPr="00B053D2" w:rsidRDefault="00CF7C1C" w:rsidP="00CF7C1C">
            <w:pPr>
              <w:pStyle w:val="Normltblzatban"/>
              <w:spacing w:after="0"/>
              <w:rPr>
                <w:sz w:val="20"/>
                <w:szCs w:val="20"/>
                <w:lang w:bidi="sa-IN"/>
              </w:rPr>
            </w:pPr>
            <w:r w:rsidRPr="00B053D2">
              <w:rPr>
                <w:sz w:val="20"/>
                <w:szCs w:val="20"/>
                <w:lang w:bidi="sa-IN"/>
              </w:rPr>
              <w:t>R</w:t>
            </w:r>
          </w:p>
        </w:tc>
        <w:tc>
          <w:tcPr>
            <w:tcW w:w="5823" w:type="dxa"/>
            <w:shd w:val="clear" w:color="auto" w:fill="auto"/>
          </w:tcPr>
          <w:p w:rsidR="00CF7C1C" w:rsidRPr="00B053D2" w:rsidRDefault="00CF7C1C" w:rsidP="00CF7C1C">
            <w:pPr>
              <w:pStyle w:val="Normltblzatban"/>
              <w:spacing w:after="0"/>
              <w:rPr>
                <w:sz w:val="20"/>
                <w:szCs w:val="20"/>
                <w:lang w:bidi="sa-IN"/>
              </w:rPr>
            </w:pPr>
            <w:r w:rsidRPr="00B053D2">
              <w:rPr>
                <w:sz w:val="20"/>
                <w:szCs w:val="20"/>
                <w:lang w:bidi="sa-IN"/>
              </w:rPr>
              <w:t>Sikeresen gazdálkodás alá vont terület</w:t>
            </w:r>
          </w:p>
          <w:p w:rsidR="00CF7C1C" w:rsidRPr="00B053D2" w:rsidRDefault="00CF7C1C" w:rsidP="00CF7C1C">
            <w:pPr>
              <w:suppressAutoHyphens w:val="0"/>
              <w:spacing w:after="0"/>
              <w:jc w:val="left"/>
              <w:rPr>
                <w:sz w:val="20"/>
                <w:szCs w:val="20"/>
                <w:lang w:bidi="sa-IN"/>
              </w:rPr>
            </w:pPr>
            <w:r w:rsidRPr="00B053D2">
              <w:rPr>
                <w:sz w:val="20"/>
                <w:szCs w:val="20"/>
                <w:lang w:bidi="sa-IN"/>
              </w:rPr>
              <w:t>Intézkedés</w:t>
            </w:r>
          </w:p>
          <w:p w:rsidR="00CF7C1C" w:rsidRPr="00B053D2" w:rsidRDefault="00CF7C1C" w:rsidP="00CF7C1C">
            <w:pPr>
              <w:suppressAutoHyphens w:val="0"/>
              <w:spacing w:after="0"/>
              <w:jc w:val="left"/>
              <w:rPr>
                <w:sz w:val="20"/>
                <w:szCs w:val="20"/>
                <w:lang w:val="en-GB" w:bidi="sa-IN"/>
              </w:rPr>
            </w:pPr>
            <w:r w:rsidRPr="00B053D2">
              <w:rPr>
                <w:sz w:val="20"/>
                <w:szCs w:val="20"/>
                <w:lang w:bidi="sa-IN"/>
              </w:rPr>
              <w:t>A hozzájárulás típusa</w:t>
            </w:r>
            <w:r w:rsidRPr="00B053D2">
              <w:rPr>
                <w:sz w:val="20"/>
                <w:szCs w:val="20"/>
                <w:lang w:val="en-GB" w:bidi="sa-IN"/>
              </w:rPr>
              <w:t xml:space="preserve"> </w:t>
            </w:r>
          </w:p>
          <w:p w:rsidR="00CF7C1C" w:rsidRPr="00B053D2" w:rsidRDefault="00CF7C1C" w:rsidP="0033390A">
            <w:pPr>
              <w:numPr>
                <w:ilvl w:val="0"/>
                <w:numId w:val="80"/>
              </w:numPr>
              <w:spacing w:after="0"/>
              <w:rPr>
                <w:sz w:val="20"/>
                <w:szCs w:val="20"/>
              </w:rPr>
            </w:pPr>
            <w:r w:rsidRPr="00B053D2">
              <w:rPr>
                <w:sz w:val="20"/>
                <w:szCs w:val="20"/>
                <w:lang w:bidi="sa-IN"/>
              </w:rPr>
              <w:t xml:space="preserve">A </w:t>
            </w:r>
            <w:r w:rsidRPr="00B053D2">
              <w:rPr>
                <w:sz w:val="20"/>
                <w:szCs w:val="20"/>
              </w:rPr>
              <w:t>biodiverzitás növelése</w:t>
            </w:r>
          </w:p>
          <w:p w:rsidR="00CF7C1C" w:rsidRPr="00B053D2" w:rsidRDefault="00CF7C1C" w:rsidP="0033390A">
            <w:pPr>
              <w:numPr>
                <w:ilvl w:val="0"/>
                <w:numId w:val="80"/>
              </w:numPr>
              <w:spacing w:after="0"/>
              <w:rPr>
                <w:sz w:val="20"/>
                <w:szCs w:val="20"/>
              </w:rPr>
            </w:pPr>
            <w:r w:rsidRPr="00B053D2">
              <w:rPr>
                <w:sz w:val="20"/>
                <w:szCs w:val="20"/>
              </w:rPr>
              <w:t>A vízminőség javítása</w:t>
            </w:r>
          </w:p>
          <w:p w:rsidR="00CF7C1C" w:rsidRPr="00B053D2" w:rsidRDefault="00CF7C1C" w:rsidP="0033390A">
            <w:pPr>
              <w:numPr>
                <w:ilvl w:val="0"/>
                <w:numId w:val="80"/>
              </w:numPr>
              <w:spacing w:after="0"/>
              <w:rPr>
                <w:sz w:val="20"/>
                <w:szCs w:val="20"/>
              </w:rPr>
            </w:pPr>
            <w:r w:rsidRPr="00B053D2">
              <w:rPr>
                <w:sz w:val="20"/>
                <w:szCs w:val="20"/>
              </w:rPr>
              <w:t>A klímaváltozás mérséklése</w:t>
            </w:r>
          </w:p>
          <w:p w:rsidR="00CF7C1C" w:rsidRPr="00B053D2" w:rsidRDefault="00CF7C1C" w:rsidP="0033390A">
            <w:pPr>
              <w:numPr>
                <w:ilvl w:val="0"/>
                <w:numId w:val="80"/>
              </w:numPr>
              <w:spacing w:after="0"/>
              <w:rPr>
                <w:sz w:val="20"/>
                <w:szCs w:val="20"/>
              </w:rPr>
            </w:pPr>
            <w:r w:rsidRPr="00B053D2">
              <w:rPr>
                <w:sz w:val="20"/>
                <w:szCs w:val="20"/>
              </w:rPr>
              <w:t xml:space="preserve">A talajminőség javítása </w:t>
            </w:r>
          </w:p>
          <w:p w:rsidR="00CF7C1C" w:rsidRPr="00B053D2" w:rsidRDefault="00CF7C1C" w:rsidP="0033390A">
            <w:pPr>
              <w:numPr>
                <w:ilvl w:val="0"/>
                <w:numId w:val="80"/>
              </w:numPr>
              <w:spacing w:after="0"/>
              <w:rPr>
                <w:sz w:val="20"/>
                <w:szCs w:val="20"/>
                <w:lang w:bidi="sa-IN"/>
              </w:rPr>
            </w:pPr>
            <w:r w:rsidRPr="00B053D2">
              <w:rPr>
                <w:sz w:val="20"/>
                <w:szCs w:val="20"/>
              </w:rPr>
              <w:t>A marginalizálódás</w:t>
            </w:r>
            <w:r w:rsidRPr="00B053D2">
              <w:rPr>
                <w:sz w:val="20"/>
                <w:szCs w:val="20"/>
                <w:lang w:bidi="sa-IN"/>
              </w:rPr>
              <w:t xml:space="preserve"> és a föld felhagyásának elkerülése</w:t>
            </w:r>
          </w:p>
        </w:tc>
        <w:tc>
          <w:tcPr>
            <w:tcW w:w="1657" w:type="dxa"/>
            <w:shd w:val="clear" w:color="auto" w:fill="auto"/>
            <w:noWrap/>
          </w:tcPr>
          <w:p w:rsidR="00CF7C1C" w:rsidRPr="00B053D2" w:rsidRDefault="00CF7C1C" w:rsidP="00CF7C1C">
            <w:pPr>
              <w:pStyle w:val="Normltblzatban"/>
              <w:spacing w:after="0"/>
              <w:jc w:val="right"/>
              <w:rPr>
                <w:sz w:val="20"/>
                <w:szCs w:val="20"/>
                <w:lang w:bidi="sa-IN"/>
              </w:rPr>
            </w:pPr>
            <w:r w:rsidRPr="00B053D2">
              <w:rPr>
                <w:sz w:val="20"/>
                <w:szCs w:val="20"/>
                <w:lang w:bidi="sa-IN"/>
              </w:rPr>
              <w:t>380 000 ha</w:t>
            </w: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lang w:bidi="sa-IN"/>
              </w:rPr>
            </w:pPr>
            <w:r w:rsidRPr="00B053D2">
              <w:rPr>
                <w:sz w:val="20"/>
                <w:szCs w:val="20"/>
                <w:lang w:bidi="sa-IN"/>
              </w:rPr>
              <w:t xml:space="preserve">Közvetlen pozitív </w:t>
            </w:r>
          </w:p>
          <w:p w:rsidR="00CF7C1C" w:rsidRPr="00B053D2" w:rsidRDefault="00CF7C1C" w:rsidP="00CF7C1C">
            <w:pPr>
              <w:pStyle w:val="Normltblzatban"/>
              <w:spacing w:after="0"/>
              <w:jc w:val="right"/>
              <w:rPr>
                <w:sz w:val="20"/>
                <w:szCs w:val="20"/>
                <w:lang w:bidi="sa-IN"/>
              </w:rPr>
            </w:pPr>
            <w:r w:rsidRPr="00B053D2">
              <w:rPr>
                <w:rFonts w:cs="Mangal"/>
                <w:sz w:val="20"/>
                <w:szCs w:val="20"/>
                <w:lang w:bidi="sa-IN"/>
              </w:rPr>
              <w:t>K</w:t>
            </w:r>
            <w:r w:rsidRPr="00B053D2">
              <w:rPr>
                <w:sz w:val="20"/>
                <w:szCs w:val="20"/>
                <w:lang w:bidi="sa-IN"/>
              </w:rPr>
              <w:t>ö</w:t>
            </w:r>
            <w:r w:rsidRPr="00B053D2">
              <w:rPr>
                <w:rFonts w:cs="Mangal"/>
                <w:sz w:val="20"/>
                <w:szCs w:val="20"/>
                <w:lang w:bidi="sa-IN"/>
              </w:rPr>
              <w:t>zvetett pozit</w:t>
            </w:r>
            <w:r w:rsidRPr="00B053D2">
              <w:rPr>
                <w:sz w:val="20"/>
                <w:szCs w:val="20"/>
                <w:lang w:bidi="sa-IN"/>
              </w:rPr>
              <w:t>í</w:t>
            </w:r>
            <w:r w:rsidRPr="00B053D2">
              <w:rPr>
                <w:rFonts w:cs="Mangal"/>
                <w:sz w:val="20"/>
                <w:szCs w:val="20"/>
                <w:lang w:bidi="sa-IN"/>
              </w:rPr>
              <w:t xml:space="preserve">v </w:t>
            </w:r>
          </w:p>
          <w:p w:rsidR="00CF7C1C" w:rsidRPr="00B053D2" w:rsidRDefault="00CF7C1C" w:rsidP="00CF7C1C">
            <w:pPr>
              <w:pStyle w:val="Normltblzatban"/>
              <w:spacing w:after="0"/>
              <w:jc w:val="right"/>
              <w:rPr>
                <w:sz w:val="20"/>
                <w:szCs w:val="20"/>
                <w:lang w:bidi="sa-IN"/>
              </w:rPr>
            </w:pPr>
            <w:r w:rsidRPr="00B053D2">
              <w:rPr>
                <w:rFonts w:cs="Mangal"/>
                <w:sz w:val="20"/>
                <w:szCs w:val="20"/>
                <w:lang w:bidi="sa-IN"/>
              </w:rPr>
              <w:t>K</w:t>
            </w:r>
            <w:r w:rsidRPr="00B053D2">
              <w:rPr>
                <w:sz w:val="20"/>
                <w:szCs w:val="20"/>
                <w:lang w:bidi="sa-IN"/>
              </w:rPr>
              <w:t>ö</w:t>
            </w:r>
            <w:r w:rsidRPr="00B053D2">
              <w:rPr>
                <w:rFonts w:cs="Mangal"/>
                <w:sz w:val="20"/>
                <w:szCs w:val="20"/>
                <w:lang w:bidi="sa-IN"/>
              </w:rPr>
              <w:t>zvetett pozit</w:t>
            </w:r>
            <w:r w:rsidRPr="00B053D2">
              <w:rPr>
                <w:sz w:val="20"/>
                <w:szCs w:val="20"/>
                <w:lang w:bidi="sa-IN"/>
              </w:rPr>
              <w:t>í</w:t>
            </w:r>
            <w:r w:rsidRPr="00B053D2">
              <w:rPr>
                <w:rFonts w:cs="Mangal"/>
                <w:sz w:val="20"/>
                <w:szCs w:val="20"/>
                <w:lang w:bidi="sa-IN"/>
              </w:rPr>
              <w:t xml:space="preserve">v </w:t>
            </w:r>
          </w:p>
          <w:p w:rsidR="00CF7C1C" w:rsidRPr="00B053D2" w:rsidRDefault="00CF7C1C" w:rsidP="00CF7C1C">
            <w:pPr>
              <w:pStyle w:val="Normltblzatban"/>
              <w:spacing w:after="0"/>
              <w:jc w:val="right"/>
              <w:rPr>
                <w:sz w:val="20"/>
                <w:szCs w:val="20"/>
                <w:lang w:bidi="sa-IN"/>
              </w:rPr>
            </w:pPr>
            <w:r w:rsidRPr="00B053D2">
              <w:rPr>
                <w:sz w:val="20"/>
                <w:szCs w:val="20"/>
                <w:lang w:bidi="sa-IN"/>
              </w:rPr>
              <w:t>Kismértékben</w:t>
            </w:r>
          </w:p>
          <w:p w:rsidR="00CF7C1C" w:rsidRPr="00B053D2" w:rsidRDefault="00CF7C1C" w:rsidP="00CF7C1C">
            <w:pPr>
              <w:pStyle w:val="Normltblzatban"/>
              <w:spacing w:after="0"/>
              <w:jc w:val="right"/>
              <w:rPr>
                <w:sz w:val="20"/>
                <w:szCs w:val="20"/>
                <w:lang w:bidi="sa-IN"/>
              </w:rPr>
            </w:pPr>
            <w:r w:rsidRPr="00B053D2">
              <w:rPr>
                <w:rFonts w:cs="Mangal"/>
                <w:sz w:val="20"/>
                <w:szCs w:val="20"/>
                <w:lang w:bidi="sa-IN"/>
              </w:rPr>
              <w:t>K</w:t>
            </w:r>
            <w:r w:rsidRPr="00B053D2">
              <w:rPr>
                <w:sz w:val="20"/>
                <w:szCs w:val="20"/>
                <w:lang w:bidi="sa-IN"/>
              </w:rPr>
              <w:t>ö</w:t>
            </w:r>
            <w:r w:rsidRPr="00B053D2">
              <w:rPr>
                <w:rFonts w:cs="Mangal"/>
                <w:sz w:val="20"/>
                <w:szCs w:val="20"/>
                <w:lang w:bidi="sa-IN"/>
              </w:rPr>
              <w:t>zvetett pozit</w:t>
            </w:r>
            <w:r w:rsidRPr="00B053D2">
              <w:rPr>
                <w:sz w:val="20"/>
                <w:szCs w:val="20"/>
                <w:lang w:bidi="sa-IN"/>
              </w:rPr>
              <w:t>í</w:t>
            </w:r>
            <w:r w:rsidRPr="00B053D2">
              <w:rPr>
                <w:rFonts w:cs="Mangal"/>
                <w:sz w:val="20"/>
                <w:szCs w:val="20"/>
                <w:lang w:bidi="sa-IN"/>
              </w:rPr>
              <w:t xml:space="preserve">v </w:t>
            </w:r>
          </w:p>
        </w:tc>
        <w:tc>
          <w:tcPr>
            <w:tcW w:w="1385" w:type="dxa"/>
            <w:shd w:val="clear" w:color="auto" w:fill="auto"/>
          </w:tcPr>
          <w:p w:rsidR="00CF7C1C" w:rsidRPr="00B053D2" w:rsidRDefault="00CF7C1C" w:rsidP="00CF7C1C">
            <w:pPr>
              <w:pStyle w:val="Normltblzatban"/>
              <w:spacing w:after="0"/>
              <w:jc w:val="right"/>
              <w:rPr>
                <w:sz w:val="20"/>
                <w:szCs w:val="20"/>
                <w:lang w:bidi="sa-IN"/>
              </w:rPr>
            </w:pPr>
            <w:r w:rsidRPr="00B053D2">
              <w:rPr>
                <w:sz w:val="20"/>
                <w:szCs w:val="20"/>
                <w:lang w:bidi="sa-IN"/>
              </w:rPr>
              <w:t>NA</w:t>
            </w: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p>
          <w:p w:rsidR="00CF7C1C" w:rsidRPr="00B053D2" w:rsidRDefault="00CF7C1C" w:rsidP="00CF7C1C">
            <w:pPr>
              <w:pStyle w:val="Normltblzatban"/>
              <w:spacing w:after="0"/>
              <w:jc w:val="right"/>
              <w:rPr>
                <w:sz w:val="20"/>
                <w:szCs w:val="20"/>
                <w:lang w:bidi="sa-IN"/>
              </w:rPr>
            </w:pPr>
            <w:r w:rsidRPr="00B053D2">
              <w:rPr>
                <w:sz w:val="20"/>
                <w:szCs w:val="20"/>
                <w:lang w:bidi="sa-IN"/>
              </w:rPr>
              <w:t>NA</w:t>
            </w:r>
          </w:p>
          <w:p w:rsidR="00CF7C1C" w:rsidRPr="00B053D2" w:rsidRDefault="00CF7C1C" w:rsidP="00CF7C1C">
            <w:pPr>
              <w:pStyle w:val="Normltblzatban"/>
              <w:spacing w:after="0"/>
              <w:jc w:val="right"/>
              <w:rPr>
                <w:sz w:val="20"/>
                <w:szCs w:val="20"/>
                <w:lang w:bidi="sa-IN"/>
              </w:rPr>
            </w:pPr>
            <w:r w:rsidRPr="00B053D2">
              <w:rPr>
                <w:sz w:val="20"/>
                <w:szCs w:val="20"/>
                <w:lang w:bidi="sa-IN"/>
              </w:rPr>
              <w:t>NA</w:t>
            </w:r>
          </w:p>
          <w:p w:rsidR="00CF7C1C" w:rsidRPr="00B053D2" w:rsidRDefault="00CF7C1C" w:rsidP="00CF7C1C">
            <w:pPr>
              <w:pStyle w:val="Normltblzatban"/>
              <w:spacing w:after="0"/>
              <w:jc w:val="right"/>
              <w:rPr>
                <w:sz w:val="20"/>
                <w:szCs w:val="20"/>
                <w:lang w:bidi="sa-IN"/>
              </w:rPr>
            </w:pPr>
            <w:r w:rsidRPr="00B053D2">
              <w:rPr>
                <w:sz w:val="20"/>
                <w:szCs w:val="20"/>
                <w:lang w:bidi="sa-IN"/>
              </w:rPr>
              <w:t>NA</w:t>
            </w:r>
          </w:p>
          <w:p w:rsidR="00CF7C1C" w:rsidRPr="00B053D2" w:rsidRDefault="00CF7C1C" w:rsidP="00CF7C1C">
            <w:pPr>
              <w:pStyle w:val="Normltblzatban"/>
              <w:spacing w:after="0"/>
              <w:jc w:val="right"/>
              <w:rPr>
                <w:sz w:val="20"/>
                <w:szCs w:val="20"/>
                <w:lang w:bidi="sa-IN"/>
              </w:rPr>
            </w:pPr>
            <w:r w:rsidRPr="00B053D2">
              <w:rPr>
                <w:sz w:val="20"/>
                <w:szCs w:val="20"/>
                <w:lang w:bidi="sa-IN"/>
              </w:rPr>
              <w:t>NA</w:t>
            </w:r>
          </w:p>
          <w:p w:rsidR="00CF7C1C" w:rsidRPr="00B053D2" w:rsidRDefault="00CF7C1C" w:rsidP="00CF7C1C">
            <w:pPr>
              <w:pStyle w:val="Normltblzatban"/>
              <w:spacing w:after="0"/>
              <w:jc w:val="right"/>
              <w:rPr>
                <w:sz w:val="20"/>
                <w:szCs w:val="20"/>
                <w:lang w:bidi="sa-IN"/>
              </w:rPr>
            </w:pPr>
            <w:r w:rsidRPr="00B053D2">
              <w:rPr>
                <w:sz w:val="20"/>
                <w:szCs w:val="20"/>
                <w:lang w:bidi="sa-IN"/>
              </w:rPr>
              <w:t>NA</w:t>
            </w:r>
          </w:p>
        </w:tc>
      </w:tr>
      <w:tr w:rsidR="00CF7C1C" w:rsidRPr="00B053D2" w:rsidTr="00B053D2">
        <w:trPr>
          <w:cantSplit/>
          <w:jc w:val="center"/>
        </w:trPr>
        <w:tc>
          <w:tcPr>
            <w:tcW w:w="648" w:type="dxa"/>
            <w:vMerge w:val="restart"/>
            <w:shd w:val="clear" w:color="auto" w:fill="auto"/>
          </w:tcPr>
          <w:p w:rsidR="00CF7C1C" w:rsidRPr="00B053D2" w:rsidRDefault="00CF7C1C" w:rsidP="00EA6C22">
            <w:pPr>
              <w:pStyle w:val="Normltblzatban"/>
              <w:keepNext/>
              <w:spacing w:after="0"/>
              <w:rPr>
                <w:sz w:val="20"/>
                <w:szCs w:val="20"/>
                <w:lang w:bidi="sa-IN"/>
              </w:rPr>
            </w:pPr>
            <w:r w:rsidRPr="00B053D2">
              <w:rPr>
                <w:sz w:val="20"/>
                <w:szCs w:val="20"/>
                <w:lang w:bidi="sa-IN"/>
              </w:rPr>
              <w:t>I</w:t>
            </w:r>
          </w:p>
        </w:tc>
        <w:tc>
          <w:tcPr>
            <w:tcW w:w="5823" w:type="dxa"/>
            <w:shd w:val="clear" w:color="auto" w:fill="auto"/>
            <w:vAlign w:val="bottom"/>
          </w:tcPr>
          <w:p w:rsidR="00CF7C1C" w:rsidRPr="00B053D2" w:rsidRDefault="00CF7C1C" w:rsidP="00EA6C22">
            <w:pPr>
              <w:pStyle w:val="Normltblzatban"/>
              <w:keepNext/>
              <w:spacing w:after="0"/>
              <w:rPr>
                <w:sz w:val="20"/>
                <w:szCs w:val="20"/>
                <w:lang w:bidi="sa-IN"/>
              </w:rPr>
            </w:pPr>
            <w:r w:rsidRPr="00B053D2">
              <w:rPr>
                <w:sz w:val="20"/>
                <w:szCs w:val="20"/>
                <w:lang w:bidi="sa-IN"/>
              </w:rPr>
              <w:t>A biodiverzitás-csökkenés visszafordítása (mezőgazdasági területen fészkelő vadon élő madarak állományának tekintetében)</w:t>
            </w:r>
          </w:p>
        </w:tc>
        <w:tc>
          <w:tcPr>
            <w:tcW w:w="1657" w:type="dxa"/>
            <w:shd w:val="clear" w:color="auto" w:fill="auto"/>
            <w:noWrap/>
          </w:tcPr>
          <w:p w:rsidR="00CF7C1C" w:rsidRPr="00B053D2" w:rsidRDefault="00CF7C1C" w:rsidP="00EA6C22">
            <w:pPr>
              <w:pStyle w:val="Normltblzatban"/>
              <w:keepNext/>
              <w:spacing w:after="0"/>
              <w:jc w:val="right"/>
              <w:rPr>
                <w:sz w:val="20"/>
                <w:szCs w:val="20"/>
                <w:lang w:val="en-GB"/>
              </w:rPr>
            </w:pPr>
            <w:r w:rsidRPr="00B053D2">
              <w:rPr>
                <w:sz w:val="20"/>
                <w:szCs w:val="20"/>
                <w:lang w:val="en-GB"/>
              </w:rPr>
              <w:t>0,3%</w:t>
            </w:r>
          </w:p>
        </w:tc>
        <w:tc>
          <w:tcPr>
            <w:tcW w:w="1385" w:type="dxa"/>
            <w:shd w:val="clear" w:color="auto" w:fill="auto"/>
          </w:tcPr>
          <w:p w:rsidR="00CF7C1C" w:rsidRPr="00B053D2" w:rsidRDefault="00CF7C1C" w:rsidP="00EA6C22">
            <w:pPr>
              <w:pStyle w:val="Normltblzatban"/>
              <w:keepNext/>
              <w:spacing w:after="0"/>
              <w:jc w:val="right"/>
              <w:rPr>
                <w:sz w:val="20"/>
                <w:szCs w:val="20"/>
                <w:lang w:val="en-GB"/>
              </w:rPr>
            </w:pPr>
            <w:r w:rsidRPr="00B053D2">
              <w:rPr>
                <w:sz w:val="20"/>
                <w:szCs w:val="20"/>
                <w:lang w:val="en-GB"/>
              </w:rPr>
              <w:t>-</w:t>
            </w:r>
          </w:p>
        </w:tc>
      </w:tr>
      <w:tr w:rsidR="00CF7C1C" w:rsidRPr="00B053D2" w:rsidTr="00B053D2">
        <w:trPr>
          <w:cantSplit/>
          <w:jc w:val="center"/>
        </w:trPr>
        <w:tc>
          <w:tcPr>
            <w:tcW w:w="648" w:type="dxa"/>
            <w:vMerge/>
            <w:shd w:val="clear" w:color="auto" w:fill="auto"/>
          </w:tcPr>
          <w:p w:rsidR="00CF7C1C" w:rsidRPr="00B053D2" w:rsidRDefault="00CF7C1C" w:rsidP="00EA6C22">
            <w:pPr>
              <w:pStyle w:val="Normltblzatban"/>
              <w:keepNext/>
              <w:spacing w:after="0"/>
              <w:rPr>
                <w:sz w:val="20"/>
                <w:szCs w:val="20"/>
                <w:lang w:bidi="sa-IN"/>
              </w:rPr>
            </w:pPr>
          </w:p>
        </w:tc>
        <w:tc>
          <w:tcPr>
            <w:tcW w:w="5823" w:type="dxa"/>
            <w:shd w:val="clear" w:color="auto" w:fill="auto"/>
            <w:vAlign w:val="bottom"/>
          </w:tcPr>
          <w:p w:rsidR="00CF7C1C" w:rsidRPr="00B053D2" w:rsidRDefault="00CF7C1C" w:rsidP="00EA6C22">
            <w:pPr>
              <w:pStyle w:val="Normltblzatban"/>
              <w:keepNext/>
              <w:spacing w:after="0"/>
              <w:rPr>
                <w:sz w:val="20"/>
                <w:szCs w:val="20"/>
                <w:lang w:bidi="sa-IN"/>
              </w:rPr>
            </w:pPr>
            <w:r w:rsidRPr="00B053D2">
              <w:rPr>
                <w:sz w:val="20"/>
                <w:szCs w:val="20"/>
                <w:lang w:bidi="sa-IN"/>
              </w:rPr>
              <w:t>Magas természeti értékű területek növekedése</w:t>
            </w:r>
          </w:p>
        </w:tc>
        <w:tc>
          <w:tcPr>
            <w:tcW w:w="1657" w:type="dxa"/>
            <w:shd w:val="clear" w:color="auto" w:fill="auto"/>
            <w:noWrap/>
          </w:tcPr>
          <w:p w:rsidR="00CF7C1C" w:rsidRPr="00B053D2" w:rsidRDefault="00CF7C1C" w:rsidP="00EA6C22">
            <w:pPr>
              <w:pStyle w:val="Normltblzatban"/>
              <w:keepNext/>
              <w:spacing w:after="0"/>
              <w:jc w:val="right"/>
              <w:rPr>
                <w:sz w:val="20"/>
                <w:szCs w:val="20"/>
                <w:lang w:bidi="sa-IN"/>
              </w:rPr>
            </w:pPr>
            <w:r w:rsidRPr="00B053D2">
              <w:rPr>
                <w:sz w:val="20"/>
                <w:szCs w:val="20"/>
                <w:lang w:bidi="sa-IN"/>
              </w:rPr>
              <w:t>5200 ha</w:t>
            </w:r>
          </w:p>
        </w:tc>
        <w:tc>
          <w:tcPr>
            <w:tcW w:w="1385" w:type="dxa"/>
            <w:shd w:val="clear" w:color="auto" w:fill="auto"/>
          </w:tcPr>
          <w:p w:rsidR="00CF7C1C" w:rsidRPr="00B053D2" w:rsidRDefault="00CF7C1C" w:rsidP="00EA6C22">
            <w:pPr>
              <w:pStyle w:val="Normltblzatban"/>
              <w:keepNext/>
              <w:spacing w:after="0"/>
              <w:jc w:val="right"/>
              <w:rPr>
                <w:sz w:val="20"/>
                <w:szCs w:val="20"/>
                <w:lang w:bidi="sa-IN"/>
              </w:rPr>
            </w:pPr>
            <w:r w:rsidRPr="00B053D2">
              <w:rPr>
                <w:sz w:val="20"/>
                <w:szCs w:val="20"/>
                <w:lang w:bidi="sa-IN"/>
              </w:rPr>
              <w:t>-</w:t>
            </w:r>
          </w:p>
        </w:tc>
      </w:tr>
      <w:tr w:rsidR="00CF7C1C" w:rsidRPr="00B053D2" w:rsidTr="00B053D2">
        <w:trPr>
          <w:cantSplit/>
          <w:jc w:val="center"/>
        </w:trPr>
        <w:tc>
          <w:tcPr>
            <w:tcW w:w="648" w:type="dxa"/>
            <w:vMerge/>
            <w:shd w:val="clear" w:color="auto" w:fill="auto"/>
          </w:tcPr>
          <w:p w:rsidR="00CF7C1C" w:rsidRPr="00B053D2" w:rsidRDefault="00CF7C1C" w:rsidP="00CF7C1C">
            <w:pPr>
              <w:pStyle w:val="Normltblzatban"/>
              <w:spacing w:after="0"/>
              <w:rPr>
                <w:sz w:val="20"/>
                <w:szCs w:val="20"/>
                <w:lang w:bidi="sa-IN"/>
              </w:rPr>
            </w:pPr>
          </w:p>
        </w:tc>
        <w:tc>
          <w:tcPr>
            <w:tcW w:w="5823" w:type="dxa"/>
            <w:shd w:val="clear" w:color="auto" w:fill="auto"/>
          </w:tcPr>
          <w:p w:rsidR="00CF7C1C" w:rsidRPr="00B053D2" w:rsidRDefault="00CF7C1C" w:rsidP="00CF7C1C">
            <w:pPr>
              <w:pStyle w:val="Normltblzatban"/>
              <w:spacing w:after="0"/>
              <w:rPr>
                <w:sz w:val="20"/>
                <w:szCs w:val="20"/>
                <w:lang w:bidi="sa-IN"/>
              </w:rPr>
            </w:pPr>
            <w:r w:rsidRPr="00B053D2">
              <w:rPr>
                <w:sz w:val="20"/>
                <w:szCs w:val="20"/>
                <w:lang w:bidi="sa-IN"/>
              </w:rPr>
              <w:t>Bruttó tápanyagmérleg (nitrogéntöbblet) változása</w:t>
            </w:r>
          </w:p>
        </w:tc>
        <w:tc>
          <w:tcPr>
            <w:tcW w:w="1657" w:type="dxa"/>
            <w:shd w:val="clear" w:color="auto" w:fill="auto"/>
            <w:noWrap/>
          </w:tcPr>
          <w:p w:rsidR="00CF7C1C" w:rsidRPr="00B053D2" w:rsidRDefault="00CF7C1C" w:rsidP="00CF7C1C">
            <w:pPr>
              <w:pStyle w:val="Normltblzatban"/>
              <w:spacing w:after="0"/>
              <w:jc w:val="right"/>
              <w:rPr>
                <w:sz w:val="20"/>
                <w:szCs w:val="20"/>
                <w:lang w:bidi="sa-IN"/>
              </w:rPr>
            </w:pPr>
            <w:r w:rsidRPr="00B053D2">
              <w:rPr>
                <w:sz w:val="20"/>
                <w:szCs w:val="20"/>
                <w:lang w:bidi="sa-IN"/>
              </w:rPr>
              <w:t>-0,76 kT</w:t>
            </w:r>
          </w:p>
        </w:tc>
        <w:tc>
          <w:tcPr>
            <w:tcW w:w="1385" w:type="dxa"/>
            <w:shd w:val="clear" w:color="auto" w:fill="auto"/>
          </w:tcPr>
          <w:p w:rsidR="00CF7C1C" w:rsidRPr="00B053D2" w:rsidRDefault="00CF7C1C" w:rsidP="00CF7C1C">
            <w:pPr>
              <w:pStyle w:val="Normltblzatban"/>
              <w:spacing w:after="0"/>
              <w:jc w:val="right"/>
              <w:rPr>
                <w:sz w:val="20"/>
                <w:szCs w:val="20"/>
                <w:lang w:bidi="sa-IN"/>
              </w:rPr>
            </w:pPr>
            <w:r w:rsidRPr="00B053D2">
              <w:rPr>
                <w:sz w:val="20"/>
                <w:szCs w:val="20"/>
                <w:lang w:bidi="sa-IN"/>
              </w:rPr>
              <w:t>-</w:t>
            </w:r>
          </w:p>
        </w:tc>
      </w:tr>
    </w:tbl>
    <w:p w:rsidR="00CF7C1C" w:rsidRDefault="00CF7C1C" w:rsidP="00CF7C1C">
      <w:pPr>
        <w:pStyle w:val="Normlforrs"/>
      </w:pPr>
      <w:r w:rsidRPr="00B053D2">
        <w:t>Forrás: MVH</w:t>
      </w:r>
    </w:p>
    <w:p w:rsidR="00CF7C1C" w:rsidRDefault="005223D2" w:rsidP="004869BB">
      <w:r>
        <w:t>A tervezés során a jogcím által támogatott gazdaságok száma az AKG-ból támogatásban részesülő gazdaságokhoz mérten került meghatározásra. A megvalósítás során a tervezettnél kevesebb gazdálkodó vette igénybe a támogatást, ugyanakkor a beruházások összege eléri a tervezett adatokat, így a végrehajtás eredményesnek mondható.</w:t>
      </w:r>
    </w:p>
    <w:p w:rsidR="00CF7C1C" w:rsidRPr="00F35797" w:rsidRDefault="00CF7C1C" w:rsidP="00715E86">
      <w:pPr>
        <w:pStyle w:val="Cmsor4"/>
      </w:pPr>
      <w:bookmarkStart w:id="287" w:name="_Toc261596936"/>
      <w:r w:rsidRPr="00F35797">
        <w:t>Nem termelő mezőgazdasági beruházásokhoz nyújtandó támogatások jogcím megvalósulása</w:t>
      </w:r>
      <w:bookmarkEnd w:id="287"/>
    </w:p>
    <w:p w:rsidR="00CF7C1C" w:rsidRPr="002B4681" w:rsidRDefault="00CF7C1C" w:rsidP="004869BB">
      <w:r w:rsidRPr="002B4681">
        <w:t>A jogcímen a 33/2008. (III.27.) FVM rendelet alapján földhasználati intézkedésekre, ezen belül mezővédő fásításra, sövénytelepítésre, gyeptelepítésre, rovarteleltető bakhát létesítésére gyeptelepí</w:t>
      </w:r>
      <w:r w:rsidR="002503A0">
        <w:softHyphen/>
      </w:r>
      <w:r w:rsidRPr="002B4681">
        <w:t>téssel, valamint olyan eszközbeszerzésekre igényelhető támogatás, mint a természetes alapú kerítés létesítése gyepterület hasznosítása esetén, vagy a természetes alapú madárvédelmi berendezés létesítése.</w:t>
      </w:r>
    </w:p>
    <w:p w:rsidR="006B3C0B" w:rsidRDefault="00CF7C1C" w:rsidP="004869BB">
      <w:r w:rsidRPr="002B4681">
        <w:t>Az intézkedés 2008-ban indult és minden évben lehetett támogatási kérelmet benyújtani</w:t>
      </w:r>
    </w:p>
    <w:p w:rsidR="00CF7C1C" w:rsidRPr="002B4681" w:rsidRDefault="006B3C0B" w:rsidP="004869BB">
      <w:pPr>
        <w:rPr>
          <w:strike/>
        </w:rPr>
      </w:pPr>
      <w:r w:rsidRPr="002B4681">
        <w:rPr>
          <w:lang w:bidi="sa-IN"/>
        </w:rPr>
        <w:t>Támogatási kérelem benyújtására így 2012-ben június 1. és július 25. között nyílt lehetőség.</w:t>
      </w:r>
    </w:p>
    <w:p w:rsidR="00CF7C1C" w:rsidRPr="002B4681" w:rsidRDefault="00CF7C1C" w:rsidP="004869BB">
      <w:pPr>
        <w:rPr>
          <w:rFonts w:cs="Times New Roman"/>
        </w:rPr>
      </w:pPr>
      <w:r w:rsidRPr="002B4681">
        <w:t>A 33/2008. (III.27.) FVM rendelet 2012-ben egyszer módosult.</w:t>
      </w:r>
    </w:p>
    <w:p w:rsidR="00CF7C1C" w:rsidRPr="002B4681" w:rsidRDefault="00CF7C1C" w:rsidP="004869BB">
      <w:pPr>
        <w:rPr>
          <w:lang w:bidi="sa-IN"/>
        </w:rPr>
      </w:pPr>
      <w:r w:rsidRPr="002B4681">
        <w:t>A 69/2012. (VII.13.) rendelet elsődleges célja a jogszabályban foglalt előírások pontosítása, azon keresztül a gyakorlati alkalmazhatóság megkönnyítése volt. A Nem termelő beruházásoknak nyújtott támogatás leginkább az önként vállalt agrár-környezetgazdálkodási előírások betartását, valamint a Natura 2000 és egyéb magas természeti értékű területek közjóléti értékének növelését segíti. A módosító rendelet legfőképp az alapjogszabály végrehajtását érintő technikai jellegű változtatásokat tartalmazza, amelyek érthetőbbé, és könnyebben követhetőbbé teszik annak rendelkezéseit mind a gazdálkodók, mind pedig a végrehajtásban részt vevő egyéb szereplők számára.</w:t>
      </w:r>
    </w:p>
    <w:p w:rsidR="00CF7C1C" w:rsidRPr="002B4681" w:rsidRDefault="00CF7C1C" w:rsidP="004869BB">
      <w:pPr>
        <w:rPr>
          <w:lang w:bidi="sa-IN"/>
        </w:rPr>
      </w:pPr>
      <w:r w:rsidRPr="002B4681">
        <w:lastRenderedPageBreak/>
        <w:t>A módosítás legjelentősebb része az volt, hogy meghosszabbította a támogatási kérelmek benyújtására rendelkezésre álló időszakot. Így 2012-ben a korábbi június 30-a helyett július 25-ig lehetett benyújtani a kérelmeket.</w:t>
      </w:r>
    </w:p>
    <w:p w:rsidR="00CF7C1C" w:rsidRPr="00F92037" w:rsidRDefault="007E5FDF" w:rsidP="00F92037">
      <w:pPr>
        <w:pStyle w:val="bra-cmetbla"/>
      </w:pPr>
      <w:fldSimple w:instr=" SEQ táblázat \* ARABIC ">
        <w:r w:rsidR="00E5031F">
          <w:rPr>
            <w:noProof/>
          </w:rPr>
          <w:t>69</w:t>
        </w:r>
      </w:fldSimple>
      <w:r w:rsidR="00673DDE">
        <w:t xml:space="preserve">. táblázat: </w:t>
      </w:r>
      <w:r w:rsidR="00CF7C1C" w:rsidRPr="00F92037">
        <w:t>Nem termelő mezőgazdasági beruházásokhoz nyújtandó támogatások jogcím 2012. évi eredm</w:t>
      </w:r>
      <w:r w:rsidR="00BB1F25" w:rsidRPr="00F92037">
        <w:t>é</w:t>
      </w:r>
      <w:r w:rsidR="00CF7C1C" w:rsidRPr="00F92037">
        <w:t>nyei</w:t>
      </w:r>
    </w:p>
    <w:p w:rsidR="00CF7C1C" w:rsidRPr="00F92037" w:rsidRDefault="00B452BF" w:rsidP="00F92037">
      <w:pPr>
        <w:pStyle w:val="bra-cmetbla"/>
      </w:pPr>
      <w:r w:rsidRPr="00F92037">
        <w:rPr>
          <w:noProof/>
        </w:rPr>
        <w:drawing>
          <wp:inline distT="0" distB="0" distL="0" distR="0" wp14:anchorId="6B6E4EDC" wp14:editId="01D4491C">
            <wp:extent cx="5156835" cy="1882140"/>
            <wp:effectExtent l="0" t="0" r="5715" b="381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CF7C1C" w:rsidRDefault="00CF7C1C" w:rsidP="004869BB">
      <w:bookmarkStart w:id="288" w:name="_Toc232860178"/>
      <w:bookmarkStart w:id="289" w:name="_Toc261596937"/>
      <w:r w:rsidRPr="002B4681">
        <w:t xml:space="preserve">2012-ben 257 db támogatási kérelem érkezett be az MVH-hoz. 2012-ben a jogcímre 1,7 M euró (486 M Ft) kifizetés történt. </w:t>
      </w:r>
    </w:p>
    <w:p w:rsidR="00217769" w:rsidRPr="002B4681" w:rsidRDefault="00217769" w:rsidP="004869BB">
      <w:pPr>
        <w:rPr>
          <w:strike/>
        </w:rPr>
      </w:pPr>
      <w:r w:rsidRPr="00313ED5">
        <w:t>A jogcím</w:t>
      </w:r>
      <w:r>
        <w:t xml:space="preserve"> esetében 6 kedvezményezett esetében került sor támogatási kérelmek visszavonására.</w:t>
      </w:r>
    </w:p>
    <w:p w:rsidR="00CF7C1C" w:rsidRPr="002B4681" w:rsidRDefault="00CF7C1C" w:rsidP="004869BB">
      <w:r w:rsidRPr="002B4681">
        <w:t>A beérkezett támogatási kérelmek regionális megoszlását tekintve Szabolcs-Szatmár-Bereg megyéből érkezett be az összes kérelem közel fele (45,9%</w:t>
      </w:r>
      <w:r w:rsidR="00B053D2">
        <w:t>), emellett Borsod-Abaúj-Zemplén</w:t>
      </w:r>
      <w:r w:rsidRPr="002B4681">
        <w:t xml:space="preserve"> (18,2%) és Hajdú-Bihar megyében volt még viszonylag nagyobb érdeklődés a jogcím iránt, míg Békés megyéből egy kérelem sem érkezett be az MVH-hoz.</w:t>
      </w:r>
    </w:p>
    <w:p w:rsidR="00CF7C1C" w:rsidRPr="00896E03" w:rsidRDefault="00CF7C1C" w:rsidP="00DB48A3">
      <w:pPr>
        <w:pStyle w:val="Cmsor3"/>
      </w:pPr>
      <w:bookmarkStart w:id="290" w:name="_Toc328638719"/>
      <w:bookmarkStart w:id="291" w:name="_Toc360176809"/>
      <w:r w:rsidRPr="00896E03">
        <w:t>Mezőgazdasági földterület első erdősítése (221) intézkedés rövid bemutatása</w:t>
      </w:r>
      <w:bookmarkEnd w:id="288"/>
      <w:bookmarkEnd w:id="289"/>
      <w:bookmarkEnd w:id="290"/>
      <w:bookmarkEnd w:id="291"/>
    </w:p>
    <w:p w:rsidR="00CF7C1C" w:rsidRPr="00F35797" w:rsidRDefault="00CF7C1C" w:rsidP="004869BB">
      <w:pPr>
        <w:rPr>
          <w:lang w:bidi="sa-IN"/>
        </w:rPr>
      </w:pPr>
      <w:r w:rsidRPr="00F35797">
        <w:rPr>
          <w:iCs/>
          <w:lang w:bidi="sa-IN"/>
        </w:rPr>
        <w:t>Az intézkedés fő célja</w:t>
      </w:r>
      <w:r w:rsidRPr="00F35797">
        <w:rPr>
          <w:lang w:bidi="sa-IN"/>
        </w:rPr>
        <w:t xml:space="preserve"> az ország erdővel való fedettségének növelése, az erdők környezetvédelmi, szociális, közjóléti és gazdasági szerepének fokozása, és a foglalkozt</w:t>
      </w:r>
      <w:r>
        <w:rPr>
          <w:lang w:bidi="sa-IN"/>
        </w:rPr>
        <w:t>atottság javítása a vidéki terü</w:t>
      </w:r>
      <w:r w:rsidRPr="00F35797">
        <w:rPr>
          <w:lang w:bidi="sa-IN"/>
        </w:rPr>
        <w:t>leteken az erdészeti ágazat fejlesztésével, a mezőgazdasági átszervezés lehetővé tétele azzal, hogy elősegíti a területek alternatív felhasználását. Az erdészeti célok közé tartozik nagy biodiverzitású te</w:t>
      </w:r>
      <w:r>
        <w:rPr>
          <w:lang w:bidi="sa-IN"/>
        </w:rPr>
        <w:t>rmé</w:t>
      </w:r>
      <w:r w:rsidRPr="00F35797">
        <w:rPr>
          <w:lang w:bidi="sa-IN"/>
        </w:rPr>
        <w:t xml:space="preserve">szetes erdők létrehozása a termőhelynek megfelelő őshonos </w:t>
      </w:r>
      <w:r>
        <w:rPr>
          <w:lang w:bidi="sa-IN"/>
        </w:rPr>
        <w:t>fafajok arányának jelentős növe</w:t>
      </w:r>
      <w:r w:rsidRPr="00F35797">
        <w:rPr>
          <w:lang w:bidi="sa-IN"/>
        </w:rPr>
        <w:t xml:space="preserve">lésével, különösen a védett területeken. </w:t>
      </w:r>
      <w:r w:rsidRPr="00F35797">
        <w:rPr>
          <w:iCs/>
          <w:lang w:bidi="sa-IN"/>
        </w:rPr>
        <w:t>Környezetfejlesztési cél</w:t>
      </w:r>
      <w:r w:rsidRPr="00F35797">
        <w:rPr>
          <w:lang w:bidi="sa-IN"/>
        </w:rPr>
        <w:t xml:space="preserve"> a biod</w:t>
      </w:r>
      <w:r>
        <w:rPr>
          <w:lang w:bidi="sa-IN"/>
        </w:rPr>
        <w:t>iverzitás gazdagítása természet</w:t>
      </w:r>
      <w:r w:rsidRPr="00F35797">
        <w:rPr>
          <w:lang w:bidi="sa-IN"/>
        </w:rPr>
        <w:t>közeli erdők telepítésével, a vidéki táj természeti alkotórészeinek megóvása, és a táj vonzerejének fokozása.</w:t>
      </w:r>
    </w:p>
    <w:p w:rsidR="00CF7C1C" w:rsidRPr="00F35797" w:rsidRDefault="00CF7C1C" w:rsidP="004869BB">
      <w:pPr>
        <w:rPr>
          <w:lang w:bidi="sa-IN"/>
        </w:rPr>
      </w:pPr>
      <w:r w:rsidRPr="00F35797">
        <w:rPr>
          <w:lang w:bidi="sa-IN"/>
        </w:rPr>
        <w:t>Az intézkedés nem tartalmaz alintézkedéseket, a megjelent jogcímrendelet az intézkedés egészét lefedi.</w:t>
      </w:r>
    </w:p>
    <w:p w:rsidR="00CF7C1C" w:rsidRPr="00F92037" w:rsidRDefault="007E5FDF" w:rsidP="00F92037">
      <w:pPr>
        <w:pStyle w:val="bra-cmetbla"/>
      </w:pPr>
      <w:fldSimple w:instr=" SEQ táblázat \* ARABIC ">
        <w:r w:rsidR="00E5031F">
          <w:rPr>
            <w:noProof/>
          </w:rPr>
          <w:t>70</w:t>
        </w:r>
      </w:fldSimple>
      <w:r w:rsidR="00673DDE">
        <w:t xml:space="preserve">. táblázat: </w:t>
      </w:r>
      <w:r w:rsidR="00CF7C1C" w:rsidRPr="00F92037">
        <w:t>Mezőgazdasági földterület első erdősítése intézkedés (221) indikátorainak megvalósulása</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5860"/>
        <w:gridCol w:w="1792"/>
        <w:gridCol w:w="1531"/>
      </w:tblGrid>
      <w:tr w:rsidR="00CF7C1C" w:rsidRPr="00E1404B" w:rsidTr="00CF7C1C">
        <w:trPr>
          <w:cantSplit/>
          <w:tblHeader/>
          <w:jc w:val="center"/>
        </w:trPr>
        <w:tc>
          <w:tcPr>
            <w:tcW w:w="680" w:type="dxa"/>
            <w:shd w:val="clear" w:color="auto" w:fill="B3B3B3"/>
          </w:tcPr>
          <w:p w:rsidR="00CF7C1C" w:rsidRPr="00E1404B" w:rsidRDefault="00CF7C1C" w:rsidP="00CF7C1C">
            <w:pPr>
              <w:pStyle w:val="Normltblzatban"/>
              <w:keepNext/>
              <w:spacing w:after="0"/>
              <w:ind w:left="0" w:firstLine="0"/>
              <w:jc w:val="center"/>
              <w:rPr>
                <w:b/>
                <w:bCs/>
                <w:sz w:val="20"/>
                <w:szCs w:val="20"/>
                <w:lang w:bidi="sa-IN"/>
              </w:rPr>
            </w:pPr>
            <w:bookmarkStart w:id="292" w:name="_Toc261596938"/>
          </w:p>
        </w:tc>
        <w:tc>
          <w:tcPr>
            <w:tcW w:w="5860" w:type="dxa"/>
            <w:shd w:val="clear" w:color="auto" w:fill="B3B3B3"/>
            <w:vAlign w:val="center"/>
          </w:tcPr>
          <w:p w:rsidR="00CF7C1C" w:rsidRPr="00E1404B" w:rsidRDefault="00CF7C1C" w:rsidP="00CF7C1C">
            <w:pPr>
              <w:pStyle w:val="Normltblzatban"/>
              <w:keepNext/>
              <w:spacing w:after="0"/>
              <w:ind w:left="-70" w:firstLine="0"/>
              <w:jc w:val="center"/>
              <w:rPr>
                <w:sz w:val="20"/>
                <w:szCs w:val="20"/>
                <w:lang w:bidi="sa-IN"/>
              </w:rPr>
            </w:pPr>
            <w:r w:rsidRPr="00E1404B">
              <w:rPr>
                <w:b/>
                <w:bCs/>
                <w:sz w:val="20"/>
                <w:szCs w:val="20"/>
                <w:lang w:bidi="sa-IN"/>
              </w:rPr>
              <w:t>Indikátor leírása</w:t>
            </w:r>
          </w:p>
        </w:tc>
        <w:tc>
          <w:tcPr>
            <w:tcW w:w="1792" w:type="dxa"/>
            <w:shd w:val="clear" w:color="auto" w:fill="B3B3B3"/>
            <w:vAlign w:val="center"/>
          </w:tcPr>
          <w:p w:rsidR="00CF7C1C" w:rsidRPr="00E1404B" w:rsidRDefault="00CF7C1C" w:rsidP="00CF7C1C">
            <w:pPr>
              <w:pStyle w:val="Normltblzatban"/>
              <w:keepNext/>
              <w:spacing w:after="0"/>
              <w:ind w:left="-70" w:firstLine="70"/>
              <w:jc w:val="center"/>
              <w:rPr>
                <w:sz w:val="20"/>
                <w:szCs w:val="20"/>
                <w:lang w:bidi="sa-IN"/>
              </w:rPr>
            </w:pPr>
            <w:r w:rsidRPr="00E1404B">
              <w:rPr>
                <w:b/>
                <w:sz w:val="20"/>
                <w:szCs w:val="20"/>
              </w:rPr>
              <w:t>Program szerinti tervadat</w:t>
            </w:r>
          </w:p>
        </w:tc>
        <w:tc>
          <w:tcPr>
            <w:tcW w:w="1531" w:type="dxa"/>
            <w:shd w:val="clear" w:color="auto" w:fill="B3B3B3"/>
            <w:vAlign w:val="center"/>
          </w:tcPr>
          <w:p w:rsidR="00CF7C1C" w:rsidRPr="00E1404B" w:rsidRDefault="00CF7C1C" w:rsidP="00CF7C1C">
            <w:pPr>
              <w:pStyle w:val="Normltblzatban"/>
              <w:keepNext/>
              <w:spacing w:after="0"/>
              <w:ind w:left="-70" w:firstLine="70"/>
              <w:jc w:val="center"/>
              <w:rPr>
                <w:b/>
                <w:bCs/>
                <w:sz w:val="20"/>
                <w:szCs w:val="20"/>
                <w:lang w:bidi="sa-IN"/>
              </w:rPr>
            </w:pPr>
            <w:r w:rsidRPr="00E1404B">
              <w:rPr>
                <w:b/>
                <w:sz w:val="20"/>
                <w:szCs w:val="20"/>
              </w:rPr>
              <w:t>Indikátorok kumulált értéke</w:t>
            </w:r>
          </w:p>
        </w:tc>
      </w:tr>
      <w:tr w:rsidR="00CF7C1C" w:rsidRPr="00E1404B" w:rsidTr="00CF7C1C">
        <w:trPr>
          <w:cantSplit/>
          <w:jc w:val="center"/>
        </w:trPr>
        <w:tc>
          <w:tcPr>
            <w:tcW w:w="680" w:type="dxa"/>
            <w:vMerge w:val="restart"/>
          </w:tcPr>
          <w:p w:rsidR="00CF7C1C" w:rsidRPr="00E1404B" w:rsidRDefault="00CF7C1C" w:rsidP="00F335D8">
            <w:pPr>
              <w:pStyle w:val="Tbla-kzp"/>
            </w:pPr>
            <w:r w:rsidRPr="00E1404B">
              <w:t>O</w:t>
            </w:r>
          </w:p>
        </w:tc>
        <w:tc>
          <w:tcPr>
            <w:tcW w:w="5860" w:type="dxa"/>
          </w:tcPr>
          <w:p w:rsidR="00CF7C1C" w:rsidRPr="00E1404B" w:rsidRDefault="00CF7C1C" w:rsidP="007B5AEF">
            <w:pPr>
              <w:pStyle w:val="Tbla-bal"/>
              <w:rPr>
                <w:lang w:bidi="sa-IN"/>
              </w:rPr>
            </w:pPr>
            <w:r w:rsidRPr="00E1404B">
              <w:rPr>
                <w:lang w:bidi="sa-IN"/>
              </w:rPr>
              <w:t>Az erdősítési támogatás kedvezményezettjeinek száma</w:t>
            </w:r>
          </w:p>
          <w:p w:rsidR="00CF7C1C" w:rsidRPr="00E1404B" w:rsidRDefault="00CF7C1C" w:rsidP="007B5AEF">
            <w:pPr>
              <w:pStyle w:val="Tbla-bal"/>
              <w:rPr>
                <w:lang w:bidi="sa-IN"/>
              </w:rPr>
            </w:pPr>
            <w:r w:rsidRPr="00E1404B">
              <w:rPr>
                <w:lang w:bidi="sa-IN"/>
              </w:rPr>
              <w:t>A földtulajdon típusa</w:t>
            </w:r>
          </w:p>
          <w:p w:rsidR="00CF7C1C" w:rsidRPr="00E1404B" w:rsidRDefault="00CF7C1C" w:rsidP="0033390A">
            <w:pPr>
              <w:pStyle w:val="Normltblabal3pckkel"/>
              <w:numPr>
                <w:ilvl w:val="0"/>
                <w:numId w:val="80"/>
              </w:numPr>
            </w:pPr>
            <w:r w:rsidRPr="00E1404B">
              <w:t>magánbirtokú mezőgazdasági földterület (természetes személyek vagy magánjogi társaság)</w:t>
            </w:r>
          </w:p>
          <w:p w:rsidR="00CF7C1C" w:rsidRPr="00E1404B" w:rsidRDefault="00CF7C1C" w:rsidP="0033390A">
            <w:pPr>
              <w:pStyle w:val="Normltblabal3pckkel"/>
              <w:numPr>
                <w:ilvl w:val="0"/>
                <w:numId w:val="80"/>
              </w:numPr>
            </w:pPr>
            <w:r w:rsidRPr="00E1404B">
              <w:t>önkormányzat által birtokolt mezőgazdasági földterület</w:t>
            </w:r>
          </w:p>
          <w:p w:rsidR="00CF7C1C" w:rsidRPr="00E1404B" w:rsidRDefault="00CF7C1C" w:rsidP="00CF7C1C">
            <w:pPr>
              <w:spacing w:after="0"/>
              <w:jc w:val="left"/>
              <w:rPr>
                <w:sz w:val="20"/>
                <w:szCs w:val="20"/>
              </w:rPr>
            </w:pPr>
            <w:r w:rsidRPr="00E1404B">
              <w:rPr>
                <w:sz w:val="20"/>
                <w:szCs w:val="20"/>
              </w:rPr>
              <w:t>A kötelezettségvállalás „életkora”</w:t>
            </w:r>
          </w:p>
          <w:p w:rsidR="00CF7C1C" w:rsidRPr="00E1404B" w:rsidRDefault="00CF7C1C" w:rsidP="0033390A">
            <w:pPr>
              <w:pStyle w:val="Normltblabal3pckkel"/>
              <w:numPr>
                <w:ilvl w:val="0"/>
                <w:numId w:val="80"/>
              </w:numPr>
            </w:pPr>
            <w:r w:rsidRPr="00E1404B">
              <w:t>Meglévő kötelezettségek (2080/2992; 1257/1999; 1698/2005 rendeletek)</w:t>
            </w:r>
          </w:p>
          <w:p w:rsidR="00CF7C1C" w:rsidRPr="00E1404B" w:rsidRDefault="00CF7C1C" w:rsidP="0033390A">
            <w:pPr>
              <w:pStyle w:val="Normltblabal3pckkel"/>
              <w:numPr>
                <w:ilvl w:val="0"/>
                <w:numId w:val="80"/>
              </w:numPr>
            </w:pPr>
            <w:r w:rsidRPr="00E1404B">
              <w:t xml:space="preserve">Új kötelezettségvállalások  </w:t>
            </w:r>
          </w:p>
          <w:p w:rsidR="00CF7C1C" w:rsidRPr="00E1404B" w:rsidRDefault="00CF7C1C" w:rsidP="00CF7C1C">
            <w:pPr>
              <w:spacing w:after="0"/>
              <w:rPr>
                <w:sz w:val="20"/>
                <w:szCs w:val="20"/>
              </w:rPr>
            </w:pPr>
            <w:r w:rsidRPr="00E1404B">
              <w:rPr>
                <w:sz w:val="20"/>
                <w:szCs w:val="20"/>
              </w:rPr>
              <w:t xml:space="preserve">Környezetvédelmi indoklás </w:t>
            </w:r>
          </w:p>
          <w:p w:rsidR="00CF7C1C" w:rsidRPr="00E1404B" w:rsidRDefault="00CF7C1C" w:rsidP="0033390A">
            <w:pPr>
              <w:pStyle w:val="Normltblabal3pckkel"/>
              <w:numPr>
                <w:ilvl w:val="0"/>
                <w:numId w:val="80"/>
              </w:numPr>
            </w:pPr>
            <w:r w:rsidRPr="00E1404B">
              <w:t>Az erózió vagy elsivatagosodás megakadályozása</w:t>
            </w:r>
          </w:p>
          <w:p w:rsidR="00CF7C1C" w:rsidRPr="00E1404B" w:rsidRDefault="00CF7C1C" w:rsidP="0033390A">
            <w:pPr>
              <w:pStyle w:val="Normltblabal3pckkel"/>
              <w:numPr>
                <w:ilvl w:val="0"/>
                <w:numId w:val="80"/>
              </w:numPr>
            </w:pPr>
            <w:r w:rsidRPr="00E1404B">
              <w:t>A biodiverzitás növelése</w:t>
            </w:r>
          </w:p>
          <w:p w:rsidR="00CF7C1C" w:rsidRPr="00E1404B" w:rsidRDefault="00CF7C1C" w:rsidP="0033390A">
            <w:pPr>
              <w:pStyle w:val="Normltblabal3pckkel"/>
              <w:numPr>
                <w:ilvl w:val="0"/>
                <w:numId w:val="80"/>
              </w:numPr>
            </w:pPr>
            <w:r w:rsidRPr="00E1404B">
              <w:t>Vízbázisvédelem</w:t>
            </w:r>
          </w:p>
          <w:p w:rsidR="00CF7C1C" w:rsidRPr="00E1404B" w:rsidRDefault="00CF7C1C" w:rsidP="0033390A">
            <w:pPr>
              <w:pStyle w:val="Normltblabal3pckkel"/>
              <w:numPr>
                <w:ilvl w:val="0"/>
                <w:numId w:val="80"/>
              </w:numPr>
            </w:pPr>
            <w:r w:rsidRPr="00E1404B">
              <w:t>Árvízmegelőzés</w:t>
            </w:r>
          </w:p>
          <w:p w:rsidR="00CF7C1C" w:rsidRPr="00E1404B" w:rsidRDefault="00CF7C1C" w:rsidP="0033390A">
            <w:pPr>
              <w:pStyle w:val="Normltblabal3pckkel"/>
              <w:numPr>
                <w:ilvl w:val="0"/>
                <w:numId w:val="80"/>
              </w:numPr>
            </w:pPr>
            <w:r w:rsidRPr="00E1404B">
              <w:t>Az éghajlatváltozás mérséklése</w:t>
            </w:r>
          </w:p>
          <w:p w:rsidR="00CF7C1C" w:rsidRPr="00E1404B" w:rsidRDefault="00CF7C1C" w:rsidP="0033390A">
            <w:pPr>
              <w:numPr>
                <w:ilvl w:val="0"/>
                <w:numId w:val="80"/>
              </w:numPr>
              <w:spacing w:after="0"/>
              <w:rPr>
                <w:sz w:val="20"/>
                <w:szCs w:val="20"/>
                <w:lang w:bidi="sa-IN"/>
              </w:rPr>
            </w:pPr>
            <w:r w:rsidRPr="00E1404B">
              <w:rPr>
                <w:sz w:val="20"/>
                <w:szCs w:val="20"/>
              </w:rPr>
              <w:t>Egyéb</w:t>
            </w:r>
          </w:p>
        </w:tc>
        <w:tc>
          <w:tcPr>
            <w:tcW w:w="1792" w:type="dxa"/>
          </w:tcPr>
          <w:p w:rsidR="00CF7C1C" w:rsidRPr="00E1404B" w:rsidRDefault="00CF7C1C" w:rsidP="00F335D8">
            <w:pPr>
              <w:pStyle w:val="Tbla-jobb"/>
              <w:rPr>
                <w:lang w:val="en-GB" w:bidi="sa-IN"/>
              </w:rPr>
            </w:pPr>
            <w:r w:rsidRPr="00E1404B">
              <w:rPr>
                <w:lang w:bidi="sa-IN"/>
              </w:rPr>
              <w:t>6</w:t>
            </w:r>
            <w:r w:rsidR="00136EEC">
              <w:rPr>
                <w:lang w:bidi="sa-IN"/>
              </w:rPr>
              <w:t xml:space="preserve"> </w:t>
            </w:r>
            <w:r w:rsidRPr="00E1404B">
              <w:rPr>
                <w:lang w:bidi="sa-IN"/>
              </w:rPr>
              <w:t>600 db</w:t>
            </w:r>
          </w:p>
          <w:p w:rsidR="00CF7C1C" w:rsidRPr="00E1404B" w:rsidRDefault="00CF7C1C" w:rsidP="00F335D8">
            <w:pPr>
              <w:pStyle w:val="Tbla-jobb"/>
              <w:rPr>
                <w:lang w:val="en-GB"/>
              </w:rPr>
            </w:pPr>
          </w:p>
          <w:p w:rsidR="00CF7C1C" w:rsidRPr="00E1404B" w:rsidRDefault="00CF7C1C" w:rsidP="00F335D8">
            <w:pPr>
              <w:pStyle w:val="Tbla-jobb"/>
              <w:rPr>
                <w:lang w:val="en-GB"/>
              </w:rPr>
            </w:pPr>
          </w:p>
          <w:p w:rsidR="00CF7C1C" w:rsidRPr="00E1404B" w:rsidRDefault="00CF7C1C" w:rsidP="00F335D8">
            <w:pPr>
              <w:pStyle w:val="Tbla-jobb"/>
              <w:rPr>
                <w:lang w:val="en-GB" w:bidi="sa-IN"/>
              </w:rPr>
            </w:pPr>
            <w:r w:rsidRPr="00E1404B">
              <w:rPr>
                <w:lang w:bidi="sa-IN"/>
              </w:rPr>
              <w:t>5</w:t>
            </w:r>
            <w:r w:rsidR="00136EEC">
              <w:rPr>
                <w:lang w:bidi="sa-IN"/>
              </w:rPr>
              <w:t xml:space="preserve"> </w:t>
            </w:r>
            <w:r w:rsidRPr="00E1404B">
              <w:rPr>
                <w:lang w:bidi="sa-IN"/>
              </w:rPr>
              <w:t>800 db</w:t>
            </w:r>
          </w:p>
          <w:p w:rsidR="00CF7C1C" w:rsidRPr="00E1404B" w:rsidRDefault="00CF7C1C" w:rsidP="00F335D8">
            <w:pPr>
              <w:pStyle w:val="Tbla-jobb"/>
              <w:rPr>
                <w:lang w:val="en-GB" w:bidi="sa-IN"/>
              </w:rPr>
            </w:pPr>
            <w:r w:rsidRPr="00E1404B">
              <w:rPr>
                <w:lang w:bidi="sa-IN"/>
              </w:rPr>
              <w:t>800 db</w:t>
            </w:r>
          </w:p>
          <w:p w:rsidR="00CF7C1C" w:rsidRPr="00E1404B" w:rsidRDefault="00CF7C1C" w:rsidP="00F335D8">
            <w:pPr>
              <w:pStyle w:val="Tbla-jobb"/>
              <w:rPr>
                <w:lang w:val="en-GB"/>
              </w:rPr>
            </w:pPr>
          </w:p>
          <w:p w:rsidR="00CF7C1C" w:rsidRPr="00E1404B" w:rsidRDefault="00CF7C1C" w:rsidP="00F335D8">
            <w:pPr>
              <w:pStyle w:val="Tbla-jobb"/>
              <w:rPr>
                <w:lang w:val="en-GB" w:bidi="sa-IN"/>
              </w:rPr>
            </w:pPr>
            <w:r w:rsidRPr="00E1404B">
              <w:rPr>
                <w:lang w:bidi="sa-IN"/>
              </w:rPr>
              <w:t>4</w:t>
            </w:r>
            <w:r w:rsidR="00136EEC">
              <w:rPr>
                <w:lang w:bidi="sa-IN"/>
              </w:rPr>
              <w:t xml:space="preserve"> </w:t>
            </w:r>
            <w:r w:rsidRPr="00E1404B">
              <w:rPr>
                <w:lang w:bidi="sa-IN"/>
              </w:rPr>
              <w:t>300 db</w:t>
            </w:r>
          </w:p>
          <w:p w:rsidR="00CF7C1C" w:rsidRPr="00E1404B" w:rsidRDefault="00CF7C1C" w:rsidP="00F335D8">
            <w:pPr>
              <w:pStyle w:val="Tbla-jobb"/>
              <w:rPr>
                <w:lang w:val="en-GB"/>
              </w:rPr>
            </w:pPr>
          </w:p>
          <w:p w:rsidR="00CF7C1C" w:rsidRPr="00E1404B" w:rsidRDefault="00CF7C1C" w:rsidP="00F335D8">
            <w:pPr>
              <w:pStyle w:val="Tbla-jobb"/>
              <w:rPr>
                <w:lang w:val="en-GB" w:bidi="sa-IN"/>
              </w:rPr>
            </w:pPr>
            <w:r w:rsidRPr="00E1404B">
              <w:rPr>
                <w:lang w:bidi="sa-IN"/>
              </w:rPr>
              <w:t>2</w:t>
            </w:r>
            <w:r w:rsidR="00136EEC">
              <w:rPr>
                <w:lang w:bidi="sa-IN"/>
              </w:rPr>
              <w:t xml:space="preserve"> </w:t>
            </w:r>
            <w:r w:rsidRPr="00E1404B">
              <w:rPr>
                <w:lang w:bidi="sa-IN"/>
              </w:rPr>
              <w:t>300 db</w:t>
            </w:r>
          </w:p>
          <w:p w:rsidR="00CF7C1C" w:rsidRPr="00E1404B" w:rsidRDefault="00CF7C1C" w:rsidP="00F335D8">
            <w:pPr>
              <w:pStyle w:val="Tbla-jobb"/>
              <w:rPr>
                <w:lang w:val="en-GB"/>
              </w:rPr>
            </w:pPr>
          </w:p>
          <w:p w:rsidR="00CF7C1C" w:rsidRPr="00E1404B" w:rsidRDefault="00CF7C1C" w:rsidP="00F335D8">
            <w:pPr>
              <w:pStyle w:val="Tbla-jobb"/>
              <w:rPr>
                <w:lang w:val="en-GB" w:bidi="sa-IN"/>
              </w:rPr>
            </w:pPr>
            <w:r w:rsidRPr="00E1404B">
              <w:rPr>
                <w:lang w:bidi="sa-IN"/>
              </w:rPr>
              <w:t>Közvetlen, pozitív</w:t>
            </w:r>
          </w:p>
          <w:p w:rsidR="00CF7C1C" w:rsidRPr="00E1404B" w:rsidRDefault="00CF7C1C" w:rsidP="00F335D8">
            <w:pPr>
              <w:pStyle w:val="Tbla-jobb"/>
              <w:rPr>
                <w:lang w:val="en-GB"/>
              </w:rPr>
            </w:pPr>
          </w:p>
          <w:p w:rsidR="00CF7C1C" w:rsidRPr="00E1404B" w:rsidRDefault="00CF7C1C" w:rsidP="00F335D8">
            <w:pPr>
              <w:pStyle w:val="Tbla-jobb"/>
              <w:rPr>
                <w:lang w:val="en-GB" w:bidi="sa-IN"/>
              </w:rPr>
            </w:pPr>
            <w:r w:rsidRPr="00E1404B">
              <w:rPr>
                <w:lang w:bidi="sa-IN"/>
              </w:rPr>
              <w:t>Közvetlen, pozitív</w:t>
            </w:r>
          </w:p>
          <w:p w:rsidR="00CF7C1C" w:rsidRPr="00E1404B" w:rsidRDefault="00CF7C1C" w:rsidP="00F335D8">
            <w:pPr>
              <w:pStyle w:val="Tbla-jobb"/>
              <w:rPr>
                <w:lang w:val="en-GB" w:bidi="sa-IN"/>
              </w:rPr>
            </w:pPr>
            <w:r w:rsidRPr="00E1404B">
              <w:rPr>
                <w:lang w:bidi="sa-IN"/>
              </w:rPr>
              <w:t>Közvetett, pozitív</w:t>
            </w:r>
          </w:p>
          <w:p w:rsidR="00CF7C1C" w:rsidRPr="00E1404B" w:rsidRDefault="00CF7C1C" w:rsidP="00F335D8">
            <w:pPr>
              <w:pStyle w:val="Tbla-jobb"/>
              <w:rPr>
                <w:lang w:val="en-GB" w:bidi="sa-IN"/>
              </w:rPr>
            </w:pPr>
            <w:r w:rsidRPr="00E1404B">
              <w:rPr>
                <w:lang w:bidi="sa-IN"/>
              </w:rPr>
              <w:t>Közvetlen, pozitív</w:t>
            </w:r>
          </w:p>
          <w:p w:rsidR="00CF7C1C" w:rsidRPr="00E1404B" w:rsidRDefault="00CF7C1C" w:rsidP="00F335D8">
            <w:pPr>
              <w:pStyle w:val="Tbla-jobb"/>
              <w:rPr>
                <w:lang w:bidi="sa-IN"/>
              </w:rPr>
            </w:pPr>
            <w:r w:rsidRPr="00E1404B">
              <w:rPr>
                <w:lang w:bidi="sa-IN"/>
              </w:rPr>
              <w:t>Közvetlen, pozitív</w:t>
            </w:r>
          </w:p>
        </w:tc>
        <w:tc>
          <w:tcPr>
            <w:tcW w:w="1531" w:type="dxa"/>
          </w:tcPr>
          <w:p w:rsidR="00CF7C1C" w:rsidRPr="002B4681" w:rsidRDefault="00CF7C1C" w:rsidP="00F335D8">
            <w:pPr>
              <w:pStyle w:val="Tbla-jobb"/>
              <w:rPr>
                <w:lang w:bidi="sa-IN"/>
              </w:rPr>
            </w:pPr>
            <w:r w:rsidRPr="002B4681">
              <w:rPr>
                <w:lang w:bidi="sa-IN"/>
              </w:rPr>
              <w:t>2</w:t>
            </w:r>
            <w:r w:rsidR="00136EEC">
              <w:rPr>
                <w:lang w:bidi="sa-IN"/>
              </w:rPr>
              <w:t xml:space="preserve"> </w:t>
            </w:r>
            <w:r w:rsidRPr="002B4681">
              <w:rPr>
                <w:lang w:bidi="sa-IN"/>
              </w:rPr>
              <w:t xml:space="preserve">910 </w:t>
            </w:r>
          </w:p>
          <w:p w:rsidR="00CF7C1C" w:rsidRPr="002B4681" w:rsidRDefault="00CF7C1C" w:rsidP="00F335D8">
            <w:pPr>
              <w:pStyle w:val="Tbla-jobb"/>
              <w:rPr>
                <w:lang w:bidi="sa-IN"/>
              </w:rPr>
            </w:pPr>
          </w:p>
          <w:p w:rsidR="00CF7C1C" w:rsidRPr="002B4681" w:rsidRDefault="00CF7C1C" w:rsidP="00F335D8">
            <w:pPr>
              <w:pStyle w:val="Tbla-jobb"/>
              <w:rPr>
                <w:lang w:bidi="sa-IN"/>
              </w:rPr>
            </w:pPr>
          </w:p>
          <w:p w:rsidR="00CF7C1C" w:rsidRPr="002B4681" w:rsidRDefault="00CF7C1C" w:rsidP="00F335D8">
            <w:pPr>
              <w:pStyle w:val="Tbla-jobb"/>
              <w:rPr>
                <w:lang w:bidi="sa-IN"/>
              </w:rPr>
            </w:pPr>
            <w:r w:rsidRPr="002B4681">
              <w:rPr>
                <w:lang w:bidi="sa-IN"/>
              </w:rPr>
              <w:t>2</w:t>
            </w:r>
            <w:r w:rsidR="00136EEC">
              <w:rPr>
                <w:lang w:bidi="sa-IN"/>
              </w:rPr>
              <w:t xml:space="preserve"> </w:t>
            </w:r>
            <w:r w:rsidRPr="002B4681">
              <w:rPr>
                <w:lang w:bidi="sa-IN"/>
              </w:rPr>
              <w:t xml:space="preserve">613 </w:t>
            </w:r>
          </w:p>
          <w:p w:rsidR="00CF7C1C" w:rsidRPr="002B4681" w:rsidRDefault="00CF7C1C" w:rsidP="00F335D8">
            <w:pPr>
              <w:pStyle w:val="Tbla-jobb"/>
              <w:rPr>
                <w:lang w:bidi="sa-IN"/>
              </w:rPr>
            </w:pPr>
            <w:r w:rsidRPr="002B4681">
              <w:rPr>
                <w:lang w:bidi="sa-IN"/>
              </w:rPr>
              <w:t xml:space="preserve">25 </w:t>
            </w:r>
          </w:p>
          <w:p w:rsidR="00CF7C1C" w:rsidRPr="002B4681" w:rsidRDefault="00CF7C1C" w:rsidP="00F335D8">
            <w:pPr>
              <w:pStyle w:val="Tbla-jobb"/>
              <w:rPr>
                <w:lang w:bidi="sa-IN"/>
              </w:rPr>
            </w:pPr>
          </w:p>
          <w:p w:rsidR="00CF7C1C" w:rsidRPr="002B4681" w:rsidRDefault="00CF7C1C" w:rsidP="00F335D8">
            <w:pPr>
              <w:pStyle w:val="Tbla-jobb"/>
              <w:rPr>
                <w:lang w:bidi="sa-IN"/>
              </w:rPr>
            </w:pPr>
            <w:r w:rsidRPr="002B4681">
              <w:rPr>
                <w:lang w:bidi="sa-IN"/>
              </w:rPr>
              <w:t>3</w:t>
            </w:r>
            <w:r w:rsidR="00136EEC">
              <w:rPr>
                <w:lang w:bidi="sa-IN"/>
              </w:rPr>
              <w:t xml:space="preserve"> </w:t>
            </w:r>
            <w:r w:rsidRPr="002B4681">
              <w:rPr>
                <w:lang w:bidi="sa-IN"/>
              </w:rPr>
              <w:t>206</w:t>
            </w:r>
          </w:p>
          <w:p w:rsidR="00CF7C1C" w:rsidRPr="002B4681" w:rsidRDefault="00CF7C1C" w:rsidP="00F335D8">
            <w:pPr>
              <w:pStyle w:val="Tbla-jobb"/>
              <w:rPr>
                <w:lang w:bidi="sa-IN"/>
              </w:rPr>
            </w:pPr>
          </w:p>
          <w:p w:rsidR="00CF7C1C" w:rsidRPr="002B4681" w:rsidRDefault="00CF7C1C" w:rsidP="00F335D8">
            <w:pPr>
              <w:pStyle w:val="Tbla-jobb"/>
              <w:rPr>
                <w:lang w:bidi="sa-IN"/>
              </w:rPr>
            </w:pPr>
            <w:r w:rsidRPr="002B4681">
              <w:rPr>
                <w:lang w:bidi="sa-IN"/>
              </w:rPr>
              <w:t>2</w:t>
            </w:r>
            <w:r w:rsidR="00136EEC">
              <w:rPr>
                <w:lang w:bidi="sa-IN"/>
              </w:rPr>
              <w:t xml:space="preserve"> </w:t>
            </w:r>
            <w:r w:rsidRPr="002B4681">
              <w:rPr>
                <w:lang w:bidi="sa-IN"/>
              </w:rPr>
              <w:t xml:space="preserve">910 </w:t>
            </w:r>
          </w:p>
        </w:tc>
      </w:tr>
      <w:tr w:rsidR="00CF7C1C" w:rsidRPr="00B053D2" w:rsidTr="00CF7C1C">
        <w:trPr>
          <w:cantSplit/>
          <w:jc w:val="center"/>
        </w:trPr>
        <w:tc>
          <w:tcPr>
            <w:tcW w:w="680" w:type="dxa"/>
            <w:vMerge/>
          </w:tcPr>
          <w:p w:rsidR="00CF7C1C" w:rsidRPr="00E1404B" w:rsidRDefault="00CF7C1C" w:rsidP="00F335D8">
            <w:pPr>
              <w:pStyle w:val="Tbla-kzp"/>
            </w:pPr>
          </w:p>
        </w:tc>
        <w:tc>
          <w:tcPr>
            <w:tcW w:w="5860" w:type="dxa"/>
          </w:tcPr>
          <w:p w:rsidR="00CF7C1C" w:rsidRPr="00B053D2" w:rsidRDefault="00CF7C1C" w:rsidP="007B5AEF">
            <w:pPr>
              <w:pStyle w:val="Tbla-bal"/>
              <w:rPr>
                <w:lang w:bidi="sa-IN"/>
              </w:rPr>
            </w:pPr>
            <w:r w:rsidRPr="00B053D2">
              <w:rPr>
                <w:lang w:bidi="sa-IN"/>
              </w:rPr>
              <w:t>Beültetett erdőterület (ha)</w:t>
            </w:r>
          </w:p>
          <w:p w:rsidR="00CF7C1C" w:rsidRPr="00B053D2" w:rsidRDefault="00CF7C1C" w:rsidP="007B5AEF">
            <w:pPr>
              <w:pStyle w:val="Tbla-bal"/>
              <w:rPr>
                <w:lang w:bidi="sa-IN"/>
              </w:rPr>
            </w:pPr>
            <w:r w:rsidRPr="00B053D2">
              <w:rPr>
                <w:lang w:bidi="sa-IN"/>
              </w:rPr>
              <w:t>A földtulajdon típusa</w:t>
            </w:r>
          </w:p>
          <w:p w:rsidR="00CF7C1C" w:rsidRPr="00B053D2" w:rsidRDefault="00CF7C1C" w:rsidP="0033390A">
            <w:pPr>
              <w:pStyle w:val="Normltblabal3pckkel"/>
              <w:numPr>
                <w:ilvl w:val="0"/>
                <w:numId w:val="80"/>
              </w:numPr>
            </w:pPr>
            <w:r w:rsidRPr="00B053D2">
              <w:t>magánbirtokú mezőgazdasági földterület (természetes személyek vagy magánjogi társaság)</w:t>
            </w:r>
          </w:p>
          <w:p w:rsidR="00CF7C1C" w:rsidRPr="00B053D2" w:rsidRDefault="00CF7C1C" w:rsidP="0033390A">
            <w:pPr>
              <w:pStyle w:val="Normltblabal3pckkel"/>
              <w:numPr>
                <w:ilvl w:val="0"/>
                <w:numId w:val="80"/>
              </w:numPr>
            </w:pPr>
            <w:r w:rsidRPr="00B053D2">
              <w:t>helyi hatóság által birtokolt mezőgazdasági földterület</w:t>
            </w:r>
          </w:p>
          <w:p w:rsidR="00CF7C1C" w:rsidRPr="00B053D2" w:rsidRDefault="00CF7C1C" w:rsidP="004869BB">
            <w:pPr>
              <w:pStyle w:val="Normltblabal2"/>
            </w:pPr>
            <w:r w:rsidRPr="00B053D2">
              <w:t xml:space="preserve">Környezetvédelmi indoklás </w:t>
            </w:r>
          </w:p>
          <w:p w:rsidR="00CF7C1C" w:rsidRPr="00B053D2" w:rsidRDefault="00CF7C1C" w:rsidP="0033390A">
            <w:pPr>
              <w:pStyle w:val="Normltblabal3pckkel"/>
              <w:numPr>
                <w:ilvl w:val="0"/>
                <w:numId w:val="80"/>
              </w:numPr>
            </w:pPr>
            <w:r w:rsidRPr="00B053D2">
              <w:t>Az erózió vagy elsivatagosodás megakadályozása</w:t>
            </w:r>
          </w:p>
          <w:p w:rsidR="00CF7C1C" w:rsidRPr="00B053D2" w:rsidRDefault="00CF7C1C" w:rsidP="0033390A">
            <w:pPr>
              <w:pStyle w:val="Normltblabal3pckkel"/>
              <w:numPr>
                <w:ilvl w:val="0"/>
                <w:numId w:val="80"/>
              </w:numPr>
            </w:pPr>
            <w:r w:rsidRPr="00B053D2">
              <w:t>A biodiverzitás növelése</w:t>
            </w:r>
          </w:p>
          <w:p w:rsidR="00CF7C1C" w:rsidRPr="00B053D2" w:rsidRDefault="00CF7C1C" w:rsidP="0033390A">
            <w:pPr>
              <w:pStyle w:val="Normltblabal3pckkel"/>
              <w:numPr>
                <w:ilvl w:val="0"/>
                <w:numId w:val="80"/>
              </w:numPr>
            </w:pPr>
            <w:r w:rsidRPr="00B053D2">
              <w:t>Vízbázisvédelem</w:t>
            </w:r>
          </w:p>
          <w:p w:rsidR="00CF7C1C" w:rsidRPr="00B053D2" w:rsidRDefault="00CF7C1C" w:rsidP="0033390A">
            <w:pPr>
              <w:pStyle w:val="Normltblabal3pckkel"/>
              <w:numPr>
                <w:ilvl w:val="0"/>
                <w:numId w:val="80"/>
              </w:numPr>
            </w:pPr>
            <w:r w:rsidRPr="00B053D2">
              <w:t>Árvízmegelőzés</w:t>
            </w:r>
          </w:p>
          <w:p w:rsidR="00CF7C1C" w:rsidRPr="00B053D2" w:rsidRDefault="00CF7C1C" w:rsidP="0033390A">
            <w:pPr>
              <w:pStyle w:val="Normltblabal3pckkel"/>
              <w:numPr>
                <w:ilvl w:val="0"/>
                <w:numId w:val="80"/>
              </w:numPr>
            </w:pPr>
            <w:r w:rsidRPr="00B053D2">
              <w:t>Az éghajlatváltozás mérséklése</w:t>
            </w:r>
          </w:p>
          <w:p w:rsidR="00CF7C1C" w:rsidRPr="00B053D2" w:rsidRDefault="00CF7C1C" w:rsidP="0033390A">
            <w:pPr>
              <w:pStyle w:val="Normltblabal3pckkel"/>
              <w:numPr>
                <w:ilvl w:val="0"/>
                <w:numId w:val="80"/>
              </w:numPr>
            </w:pPr>
            <w:r w:rsidRPr="00B053D2">
              <w:t>Egyéb</w:t>
            </w:r>
          </w:p>
          <w:p w:rsidR="00CF7C1C" w:rsidRPr="00B053D2" w:rsidRDefault="00CF7C1C" w:rsidP="007B5AEF">
            <w:pPr>
              <w:pStyle w:val="Tbla-bal"/>
              <w:rPr>
                <w:lang w:val="en-GB" w:bidi="sa-IN"/>
              </w:rPr>
            </w:pPr>
            <w:r w:rsidRPr="00B053D2">
              <w:rPr>
                <w:lang w:bidi="sa-IN"/>
              </w:rPr>
              <w:t>A fa típusa</w:t>
            </w:r>
          </w:p>
          <w:p w:rsidR="00CF7C1C" w:rsidRPr="00B053D2" w:rsidRDefault="00CF7C1C" w:rsidP="0033390A">
            <w:pPr>
              <w:pStyle w:val="Normltblabal3pckkel"/>
              <w:numPr>
                <w:ilvl w:val="0"/>
                <w:numId w:val="80"/>
              </w:numPr>
            </w:pPr>
            <w:r w:rsidRPr="00B053D2">
              <w:t>Tűlevelűek</w:t>
            </w:r>
          </w:p>
          <w:p w:rsidR="00CF7C1C" w:rsidRPr="00B053D2" w:rsidRDefault="00CF7C1C" w:rsidP="0033390A">
            <w:pPr>
              <w:pStyle w:val="Normltblabal3pckkel"/>
              <w:numPr>
                <w:ilvl w:val="0"/>
                <w:numId w:val="80"/>
              </w:numPr>
            </w:pPr>
            <w:r w:rsidRPr="00B053D2">
              <w:t>Lombos fafajok</w:t>
            </w:r>
          </w:p>
          <w:p w:rsidR="00CF7C1C" w:rsidRPr="00B053D2" w:rsidRDefault="00CF7C1C" w:rsidP="0033390A">
            <w:pPr>
              <w:pStyle w:val="Normltblabal3pckkel"/>
              <w:numPr>
                <w:ilvl w:val="0"/>
                <w:numId w:val="80"/>
              </w:numPr>
              <w:rPr>
                <w:lang w:bidi="sa-IN"/>
              </w:rPr>
            </w:pPr>
            <w:r w:rsidRPr="00B053D2">
              <w:t>Rövid távú</w:t>
            </w:r>
            <w:r w:rsidRPr="00B053D2">
              <w:rPr>
                <w:lang w:bidi="sa-IN"/>
              </w:rPr>
              <w:t xml:space="preserve"> kitermelésre szánt gyorsan növő fafajok</w:t>
            </w:r>
          </w:p>
          <w:p w:rsidR="00CF7C1C" w:rsidRPr="00B053D2" w:rsidRDefault="00CF7C1C" w:rsidP="007B5AEF">
            <w:pPr>
              <w:pStyle w:val="Tbla-bal"/>
              <w:rPr>
                <w:lang w:val="en-GB" w:bidi="sa-IN"/>
              </w:rPr>
            </w:pPr>
            <w:r w:rsidRPr="00B053D2">
              <w:rPr>
                <w:lang w:bidi="sa-IN"/>
              </w:rPr>
              <w:t>A kötelezettségvállalás „életkora”</w:t>
            </w:r>
          </w:p>
          <w:p w:rsidR="00CF7C1C" w:rsidRPr="00B053D2" w:rsidRDefault="00CF7C1C" w:rsidP="0033390A">
            <w:pPr>
              <w:pStyle w:val="Normltblabal3pckkel"/>
              <w:numPr>
                <w:ilvl w:val="0"/>
                <w:numId w:val="80"/>
              </w:numPr>
            </w:pPr>
            <w:r w:rsidRPr="00B053D2">
              <w:t>Meglévő kötelezettségvállalások</w:t>
            </w:r>
          </w:p>
          <w:p w:rsidR="00CF7C1C" w:rsidRPr="00B053D2" w:rsidRDefault="00CF7C1C" w:rsidP="0033390A">
            <w:pPr>
              <w:pStyle w:val="Normltblabal3pckkel"/>
              <w:numPr>
                <w:ilvl w:val="0"/>
                <w:numId w:val="80"/>
              </w:numPr>
              <w:rPr>
                <w:lang w:bidi="sa-IN"/>
              </w:rPr>
            </w:pPr>
            <w:r w:rsidRPr="00B053D2">
              <w:t xml:space="preserve"> Új kötelezettségvállalások</w:t>
            </w:r>
          </w:p>
        </w:tc>
        <w:tc>
          <w:tcPr>
            <w:tcW w:w="1792" w:type="dxa"/>
          </w:tcPr>
          <w:p w:rsidR="00CF7C1C" w:rsidRPr="00B053D2" w:rsidRDefault="00CF7C1C" w:rsidP="00F335D8">
            <w:pPr>
              <w:pStyle w:val="Tbla-jobb"/>
              <w:rPr>
                <w:lang w:val="en-GB"/>
              </w:rPr>
            </w:pPr>
            <w:r w:rsidRPr="00B053D2">
              <w:rPr>
                <w:lang w:val="en-GB"/>
              </w:rPr>
              <w:t>66 000 ha</w:t>
            </w: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63 000 ha</w:t>
            </w: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3 000 ha</w:t>
            </w:r>
          </w:p>
          <w:p w:rsidR="00CF7C1C" w:rsidRPr="00B053D2" w:rsidRDefault="00CF7C1C" w:rsidP="00F335D8">
            <w:pPr>
              <w:pStyle w:val="Tbla-jobb"/>
              <w:rPr>
                <w:lang w:val="en-GB"/>
              </w:rPr>
            </w:pPr>
          </w:p>
          <w:p w:rsidR="00CF7C1C" w:rsidRPr="00B053D2" w:rsidRDefault="00CF7C1C" w:rsidP="00F335D8">
            <w:pPr>
              <w:pStyle w:val="Tbla-jobb"/>
              <w:rPr>
                <w:lang w:val="en-GB" w:bidi="sa-IN"/>
              </w:rPr>
            </w:pPr>
            <w:r w:rsidRPr="00B053D2">
              <w:rPr>
                <w:lang w:bidi="sa-IN"/>
              </w:rPr>
              <w:t>Közvetlen, pozitív</w:t>
            </w:r>
          </w:p>
          <w:p w:rsidR="00CF7C1C" w:rsidRPr="00B053D2" w:rsidRDefault="00CF7C1C" w:rsidP="00F335D8">
            <w:pPr>
              <w:pStyle w:val="Tbla-jobb"/>
              <w:rPr>
                <w:lang w:val="en-GB"/>
              </w:rPr>
            </w:pPr>
          </w:p>
          <w:p w:rsidR="00CF7C1C" w:rsidRPr="00B053D2" w:rsidRDefault="00CF7C1C" w:rsidP="00F335D8">
            <w:pPr>
              <w:pStyle w:val="Tbla-jobb"/>
              <w:rPr>
                <w:lang w:val="en-GB" w:bidi="sa-IN"/>
              </w:rPr>
            </w:pPr>
            <w:r w:rsidRPr="00B053D2">
              <w:rPr>
                <w:lang w:bidi="sa-IN"/>
              </w:rPr>
              <w:t>Közvetlen, pozitív</w:t>
            </w:r>
          </w:p>
          <w:p w:rsidR="00CF7C1C" w:rsidRPr="00B053D2" w:rsidRDefault="00CF7C1C" w:rsidP="00F335D8">
            <w:pPr>
              <w:pStyle w:val="Tbla-jobb"/>
              <w:rPr>
                <w:lang w:val="en-GB" w:bidi="sa-IN"/>
              </w:rPr>
            </w:pPr>
            <w:r w:rsidRPr="00B053D2">
              <w:rPr>
                <w:lang w:bidi="sa-IN"/>
              </w:rPr>
              <w:t>Közvetett, pozitív</w:t>
            </w:r>
          </w:p>
          <w:p w:rsidR="00CF7C1C" w:rsidRPr="00B053D2" w:rsidRDefault="00CF7C1C" w:rsidP="00F335D8">
            <w:pPr>
              <w:pStyle w:val="Tbla-jobb"/>
              <w:rPr>
                <w:lang w:val="en-GB" w:bidi="sa-IN"/>
              </w:rPr>
            </w:pPr>
            <w:r w:rsidRPr="00B053D2">
              <w:rPr>
                <w:lang w:bidi="sa-IN"/>
              </w:rPr>
              <w:t>Közvetlen, pozitív</w:t>
            </w:r>
          </w:p>
          <w:p w:rsidR="00CF7C1C" w:rsidRPr="00B053D2" w:rsidRDefault="00CF7C1C" w:rsidP="00F335D8">
            <w:pPr>
              <w:pStyle w:val="Tbla-jobb"/>
              <w:rPr>
                <w:lang w:bidi="sa-IN"/>
              </w:rPr>
            </w:pPr>
            <w:r w:rsidRPr="00B053D2">
              <w:rPr>
                <w:lang w:bidi="sa-IN"/>
              </w:rPr>
              <w:t>Közvetlen, pozitív</w:t>
            </w:r>
          </w:p>
          <w:p w:rsidR="00CF7C1C" w:rsidRPr="00B053D2" w:rsidRDefault="00CF7C1C" w:rsidP="00F335D8">
            <w:pPr>
              <w:pStyle w:val="Tbla-jobb"/>
              <w:rPr>
                <w:lang w:val="en-GB" w:bidi="sa-IN"/>
              </w:rPr>
            </w:pPr>
          </w:p>
          <w:p w:rsidR="00CF7C1C" w:rsidRPr="00B053D2" w:rsidRDefault="00CF7C1C" w:rsidP="00F335D8">
            <w:pPr>
              <w:pStyle w:val="Tbla-jobb"/>
              <w:rPr>
                <w:lang w:val="en-GB"/>
              </w:rPr>
            </w:pPr>
            <w:r w:rsidRPr="00B053D2">
              <w:rPr>
                <w:lang w:val="en-GB"/>
              </w:rPr>
              <w:t>500 ha</w:t>
            </w:r>
          </w:p>
          <w:p w:rsidR="00CF7C1C" w:rsidRPr="00B053D2" w:rsidRDefault="00CF7C1C" w:rsidP="00F335D8">
            <w:pPr>
              <w:pStyle w:val="Tbla-jobb"/>
              <w:rPr>
                <w:lang w:val="en-GB"/>
              </w:rPr>
            </w:pPr>
            <w:r w:rsidRPr="00B053D2">
              <w:rPr>
                <w:lang w:val="en-GB"/>
              </w:rPr>
              <w:t>65 500 ha</w:t>
            </w:r>
          </w:p>
          <w:p w:rsidR="00CF7C1C" w:rsidRPr="00B053D2" w:rsidRDefault="00CF7C1C" w:rsidP="00F335D8">
            <w:pPr>
              <w:pStyle w:val="Tbla-jobb"/>
              <w:rPr>
                <w:lang w:val="en-GB"/>
              </w:rPr>
            </w:pPr>
            <w:r w:rsidRPr="00B053D2">
              <w:rPr>
                <w:lang w:val="en-GB"/>
              </w:rPr>
              <w:t>0</w:t>
            </w: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0</w:t>
            </w:r>
          </w:p>
          <w:p w:rsidR="00CF7C1C" w:rsidRPr="00B053D2" w:rsidRDefault="00CF7C1C" w:rsidP="00F335D8">
            <w:pPr>
              <w:pStyle w:val="Tbla-jobb"/>
              <w:rPr>
                <w:lang w:val="en-GB"/>
              </w:rPr>
            </w:pPr>
            <w:r w:rsidRPr="00B053D2">
              <w:rPr>
                <w:lang w:val="en-GB"/>
              </w:rPr>
              <w:t xml:space="preserve">66 000 </w:t>
            </w:r>
          </w:p>
        </w:tc>
        <w:tc>
          <w:tcPr>
            <w:tcW w:w="1531" w:type="dxa"/>
          </w:tcPr>
          <w:p w:rsidR="00CF7C1C" w:rsidRPr="00B053D2" w:rsidRDefault="00CF7C1C" w:rsidP="00F335D8">
            <w:pPr>
              <w:pStyle w:val="Tbla-jobb"/>
              <w:rPr>
                <w:lang w:val="en-GB"/>
              </w:rPr>
            </w:pPr>
            <w:r w:rsidRPr="00B053D2">
              <w:rPr>
                <w:lang w:val="en-GB"/>
              </w:rPr>
              <w:t>25</w:t>
            </w:r>
            <w:r w:rsidR="00136EEC" w:rsidRPr="00B053D2">
              <w:rPr>
                <w:lang w:val="en-GB"/>
              </w:rPr>
              <w:t xml:space="preserve"> </w:t>
            </w:r>
            <w:r w:rsidRPr="00B053D2">
              <w:rPr>
                <w:lang w:val="en-GB"/>
              </w:rPr>
              <w:t xml:space="preserve">900,14 </w:t>
            </w: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23</w:t>
            </w:r>
            <w:r w:rsidR="00136EEC" w:rsidRPr="00B053D2">
              <w:rPr>
                <w:lang w:val="en-GB"/>
              </w:rPr>
              <w:t xml:space="preserve"> </w:t>
            </w:r>
            <w:r w:rsidRPr="00B053D2">
              <w:rPr>
                <w:lang w:val="en-GB"/>
              </w:rPr>
              <w:t xml:space="preserve">120,42 </w:t>
            </w: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 xml:space="preserve">225,16 </w:t>
            </w:r>
          </w:p>
          <w:p w:rsidR="00CF7C1C" w:rsidRPr="00B053D2" w:rsidRDefault="00CF7C1C" w:rsidP="00F335D8">
            <w:pPr>
              <w:pStyle w:val="Tbla-jobb"/>
              <w:rPr>
                <w:lang w:val="en-GB"/>
              </w:rPr>
            </w:pPr>
          </w:p>
          <w:p w:rsidR="00CF7C1C" w:rsidRPr="00B053D2" w:rsidRDefault="00CF7C1C" w:rsidP="00F335D8">
            <w:pPr>
              <w:pStyle w:val="Tbla-jobb"/>
              <w:rPr>
                <w:lang w:val="en-GB"/>
              </w:rPr>
            </w:pPr>
          </w:p>
          <w:p w:rsidR="00CF7C1C" w:rsidRPr="00B053D2" w:rsidRDefault="00CF7C1C" w:rsidP="00F335D8">
            <w:pPr>
              <w:pStyle w:val="Tbla-jobb"/>
              <w:rPr>
                <w:lang w:val="en-GB"/>
              </w:rPr>
            </w:pPr>
          </w:p>
          <w:p w:rsidR="00CF7C1C" w:rsidRPr="00B053D2" w:rsidRDefault="00CF7C1C" w:rsidP="00F335D8">
            <w:pPr>
              <w:pStyle w:val="Tbla-jobb"/>
              <w:rPr>
                <w:lang w:val="en-GB"/>
              </w:rPr>
            </w:pP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25</w:t>
            </w:r>
            <w:r w:rsidR="00136EEC" w:rsidRPr="00B053D2">
              <w:rPr>
                <w:lang w:val="en-GB"/>
              </w:rPr>
              <w:t xml:space="preserve"> </w:t>
            </w:r>
            <w:r w:rsidRPr="00B053D2">
              <w:rPr>
                <w:lang w:val="en-GB"/>
              </w:rPr>
              <w:t xml:space="preserve">900,14 </w:t>
            </w:r>
          </w:p>
          <w:p w:rsidR="00CF7C1C" w:rsidRPr="00B053D2" w:rsidRDefault="00CF7C1C" w:rsidP="00F335D8">
            <w:pPr>
              <w:pStyle w:val="Tbla-jobb"/>
              <w:rPr>
                <w:lang w:val="en-GB"/>
              </w:rPr>
            </w:pP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 xml:space="preserve">103,16 </w:t>
            </w:r>
          </w:p>
          <w:p w:rsidR="00CF7C1C" w:rsidRPr="00B053D2" w:rsidRDefault="00CF7C1C" w:rsidP="00F335D8">
            <w:pPr>
              <w:pStyle w:val="Tbla-jobb"/>
              <w:rPr>
                <w:lang w:val="en-GB"/>
              </w:rPr>
            </w:pPr>
            <w:r w:rsidRPr="00B053D2">
              <w:rPr>
                <w:lang w:val="en-GB"/>
              </w:rPr>
              <w:t>25</w:t>
            </w:r>
            <w:r w:rsidR="00136EEC" w:rsidRPr="00B053D2">
              <w:rPr>
                <w:lang w:val="en-GB"/>
              </w:rPr>
              <w:t xml:space="preserve"> </w:t>
            </w:r>
            <w:r w:rsidRPr="00B053D2">
              <w:rPr>
                <w:lang w:val="en-GB"/>
              </w:rPr>
              <w:t xml:space="preserve">796,98 </w:t>
            </w:r>
          </w:p>
          <w:p w:rsidR="00CF7C1C" w:rsidRPr="00B053D2" w:rsidRDefault="00CF7C1C" w:rsidP="00F335D8">
            <w:pPr>
              <w:pStyle w:val="Tbla-jobb"/>
              <w:rPr>
                <w:lang w:val="en-GB"/>
              </w:rPr>
            </w:pPr>
            <w:r w:rsidRPr="00B053D2">
              <w:rPr>
                <w:lang w:val="en-GB"/>
              </w:rPr>
              <w:t>0</w:t>
            </w: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39</w:t>
            </w:r>
            <w:r w:rsidR="00136EEC" w:rsidRPr="00B053D2">
              <w:rPr>
                <w:lang w:val="en-GB"/>
              </w:rPr>
              <w:t xml:space="preserve"> </w:t>
            </w:r>
            <w:r w:rsidRPr="00B053D2">
              <w:rPr>
                <w:lang w:val="en-GB"/>
              </w:rPr>
              <w:t>523,54</w:t>
            </w:r>
          </w:p>
          <w:p w:rsidR="00CF7C1C" w:rsidRPr="00B053D2" w:rsidRDefault="00CF7C1C" w:rsidP="00F335D8">
            <w:pPr>
              <w:pStyle w:val="Tbla-jobb"/>
              <w:rPr>
                <w:lang w:val="en-GB"/>
              </w:rPr>
            </w:pPr>
            <w:r w:rsidRPr="00B053D2">
              <w:rPr>
                <w:lang w:val="en-GB"/>
              </w:rPr>
              <w:t>25</w:t>
            </w:r>
            <w:r w:rsidR="00136EEC" w:rsidRPr="00B053D2">
              <w:rPr>
                <w:lang w:val="en-GB"/>
              </w:rPr>
              <w:t xml:space="preserve"> </w:t>
            </w:r>
            <w:r w:rsidRPr="00B053D2">
              <w:rPr>
                <w:lang w:val="en-GB"/>
              </w:rPr>
              <w:t xml:space="preserve">900,14 </w:t>
            </w:r>
          </w:p>
        </w:tc>
      </w:tr>
      <w:tr w:rsidR="00CF7C1C" w:rsidRPr="00B053D2" w:rsidTr="00B053D2">
        <w:trPr>
          <w:cantSplit/>
          <w:jc w:val="center"/>
        </w:trPr>
        <w:tc>
          <w:tcPr>
            <w:tcW w:w="680" w:type="dxa"/>
            <w:shd w:val="clear" w:color="auto" w:fill="auto"/>
          </w:tcPr>
          <w:p w:rsidR="00CF7C1C" w:rsidRPr="00B053D2" w:rsidRDefault="00CF7C1C" w:rsidP="00F335D8">
            <w:pPr>
              <w:pStyle w:val="Tbla-kzp"/>
            </w:pPr>
            <w:r w:rsidRPr="00B053D2">
              <w:t>R</w:t>
            </w:r>
          </w:p>
        </w:tc>
        <w:tc>
          <w:tcPr>
            <w:tcW w:w="5860" w:type="dxa"/>
            <w:shd w:val="clear" w:color="auto" w:fill="auto"/>
          </w:tcPr>
          <w:p w:rsidR="00CF7C1C" w:rsidRPr="00B053D2" w:rsidRDefault="00CF7C1C" w:rsidP="007B5AEF">
            <w:pPr>
              <w:pStyle w:val="Tbla-bal"/>
              <w:rPr>
                <w:lang w:bidi="sa-IN"/>
              </w:rPr>
            </w:pPr>
            <w:r w:rsidRPr="00B053D2">
              <w:rPr>
                <w:lang w:bidi="sa-IN"/>
              </w:rPr>
              <w:t>Sikeresen erdősített terület</w:t>
            </w:r>
          </w:p>
          <w:p w:rsidR="00CF7C1C" w:rsidRPr="00B053D2" w:rsidRDefault="00CF7C1C" w:rsidP="007B5AEF">
            <w:pPr>
              <w:pStyle w:val="Tbla-bal"/>
              <w:rPr>
                <w:lang w:bidi="sa-IN"/>
              </w:rPr>
            </w:pPr>
            <w:r w:rsidRPr="00B053D2">
              <w:rPr>
                <w:lang w:bidi="sa-IN"/>
              </w:rPr>
              <w:t>Intézkedés</w:t>
            </w:r>
          </w:p>
          <w:p w:rsidR="00CF7C1C" w:rsidRPr="00B053D2" w:rsidRDefault="00CF7C1C" w:rsidP="007B5AEF">
            <w:pPr>
              <w:pStyle w:val="Tbla-bal"/>
              <w:rPr>
                <w:lang w:bidi="sa-IN"/>
              </w:rPr>
            </w:pPr>
            <w:r w:rsidRPr="00B053D2">
              <w:rPr>
                <w:lang w:bidi="sa-IN"/>
              </w:rPr>
              <w:t xml:space="preserve">A hozzájárulás típusa </w:t>
            </w:r>
          </w:p>
          <w:p w:rsidR="00CF7C1C" w:rsidRPr="00B053D2" w:rsidRDefault="00CF7C1C" w:rsidP="0033390A">
            <w:pPr>
              <w:pStyle w:val="Normltblabal3pckkel"/>
              <w:numPr>
                <w:ilvl w:val="0"/>
                <w:numId w:val="80"/>
              </w:numPr>
              <w:rPr>
                <w:lang w:val="en-GB" w:bidi="sa-IN"/>
              </w:rPr>
            </w:pPr>
            <w:r w:rsidRPr="00B053D2">
              <w:rPr>
                <w:lang w:bidi="sa-IN"/>
              </w:rPr>
              <w:t>A biodiverzitás növelése</w:t>
            </w:r>
          </w:p>
          <w:p w:rsidR="00CF7C1C" w:rsidRPr="00B053D2" w:rsidRDefault="00CF7C1C" w:rsidP="0033390A">
            <w:pPr>
              <w:pStyle w:val="Normltblabal3pckkel"/>
              <w:numPr>
                <w:ilvl w:val="0"/>
                <w:numId w:val="80"/>
              </w:numPr>
              <w:rPr>
                <w:lang w:val="en-GB" w:bidi="sa-IN"/>
              </w:rPr>
            </w:pPr>
            <w:r w:rsidRPr="00B053D2">
              <w:rPr>
                <w:lang w:bidi="sa-IN"/>
              </w:rPr>
              <w:t>A vízminőség javítása</w:t>
            </w:r>
          </w:p>
          <w:p w:rsidR="00CF7C1C" w:rsidRPr="00B053D2" w:rsidRDefault="00CF7C1C" w:rsidP="0033390A">
            <w:pPr>
              <w:pStyle w:val="Normltblabal3pckkel"/>
              <w:numPr>
                <w:ilvl w:val="0"/>
                <w:numId w:val="80"/>
              </w:numPr>
              <w:rPr>
                <w:lang w:val="en-GB" w:bidi="sa-IN"/>
              </w:rPr>
            </w:pPr>
            <w:r w:rsidRPr="00B053D2">
              <w:rPr>
                <w:lang w:bidi="sa-IN"/>
              </w:rPr>
              <w:t>A klímaváltozás mérséklése</w:t>
            </w:r>
          </w:p>
          <w:p w:rsidR="00CF7C1C" w:rsidRPr="00B053D2" w:rsidRDefault="00CF7C1C" w:rsidP="0033390A">
            <w:pPr>
              <w:pStyle w:val="Normltblabal3pckkel"/>
              <w:numPr>
                <w:ilvl w:val="0"/>
                <w:numId w:val="80"/>
              </w:numPr>
              <w:rPr>
                <w:lang w:val="en-GB" w:bidi="sa-IN"/>
              </w:rPr>
            </w:pPr>
            <w:r w:rsidRPr="00B053D2">
              <w:rPr>
                <w:lang w:bidi="sa-IN"/>
              </w:rPr>
              <w:t>A talajminőség javítása</w:t>
            </w:r>
            <w:r w:rsidRPr="00B053D2">
              <w:rPr>
                <w:lang w:val="en-GB" w:bidi="sa-IN"/>
              </w:rPr>
              <w:t xml:space="preserve"> </w:t>
            </w:r>
          </w:p>
          <w:p w:rsidR="00CF7C1C" w:rsidRPr="00B053D2" w:rsidRDefault="00CF7C1C" w:rsidP="0033390A">
            <w:pPr>
              <w:pStyle w:val="Normltblabal3pckkel"/>
              <w:numPr>
                <w:ilvl w:val="0"/>
                <w:numId w:val="80"/>
              </w:numPr>
              <w:rPr>
                <w:lang w:bidi="sa-IN"/>
              </w:rPr>
            </w:pPr>
            <w:r w:rsidRPr="00B053D2">
              <w:rPr>
                <w:lang w:bidi="sa-IN"/>
              </w:rPr>
              <w:t>A marginalizálódás és a föld felhagyásának elkerülése</w:t>
            </w:r>
          </w:p>
        </w:tc>
        <w:tc>
          <w:tcPr>
            <w:tcW w:w="1792" w:type="dxa"/>
            <w:shd w:val="clear" w:color="auto" w:fill="auto"/>
          </w:tcPr>
          <w:p w:rsidR="00CF7C1C" w:rsidRPr="00B053D2" w:rsidRDefault="00CF7C1C" w:rsidP="00F335D8">
            <w:pPr>
              <w:pStyle w:val="Tbla-jobb"/>
              <w:rPr>
                <w:lang w:bidi="sa-IN"/>
              </w:rPr>
            </w:pPr>
            <w:r w:rsidRPr="00B053D2">
              <w:rPr>
                <w:lang w:bidi="sa-IN"/>
              </w:rPr>
              <w:t>66 000 ha</w:t>
            </w:r>
          </w:p>
          <w:p w:rsidR="00CF7C1C" w:rsidRPr="00B053D2" w:rsidRDefault="00CF7C1C" w:rsidP="00F335D8">
            <w:pPr>
              <w:pStyle w:val="Tbla-jobb"/>
            </w:pPr>
          </w:p>
          <w:p w:rsidR="00CF7C1C" w:rsidRPr="00B053D2" w:rsidRDefault="00CF7C1C" w:rsidP="00F335D8">
            <w:pPr>
              <w:pStyle w:val="Tbla-jobb"/>
            </w:pPr>
          </w:p>
          <w:p w:rsidR="00CF7C1C" w:rsidRPr="00B053D2" w:rsidRDefault="00CF7C1C" w:rsidP="00F335D8">
            <w:pPr>
              <w:pStyle w:val="Tbla-jobb"/>
              <w:rPr>
                <w:lang w:bidi="sa-IN"/>
              </w:rPr>
            </w:pPr>
            <w:r w:rsidRPr="00B053D2">
              <w:rPr>
                <w:lang w:bidi="sa-IN"/>
              </w:rPr>
              <w:t>Közvetlen, pozitív</w:t>
            </w:r>
          </w:p>
          <w:p w:rsidR="00CF7C1C" w:rsidRPr="00B053D2" w:rsidRDefault="00CF7C1C" w:rsidP="00F335D8">
            <w:pPr>
              <w:pStyle w:val="Tbla-jobb"/>
              <w:rPr>
                <w:lang w:bidi="sa-IN"/>
              </w:rPr>
            </w:pPr>
            <w:r w:rsidRPr="00B053D2">
              <w:rPr>
                <w:lang w:bidi="sa-IN"/>
              </w:rPr>
              <w:t>Közvetett, pozitív</w:t>
            </w:r>
          </w:p>
          <w:p w:rsidR="00CF7C1C" w:rsidRPr="00B053D2" w:rsidRDefault="00CF7C1C" w:rsidP="00F335D8">
            <w:pPr>
              <w:pStyle w:val="Tbla-jobb"/>
              <w:rPr>
                <w:lang w:bidi="sa-IN"/>
              </w:rPr>
            </w:pPr>
            <w:r w:rsidRPr="00B053D2">
              <w:rPr>
                <w:lang w:bidi="sa-IN"/>
              </w:rPr>
              <w:t>Közvetlen, pozitív</w:t>
            </w:r>
          </w:p>
          <w:p w:rsidR="00CF7C1C" w:rsidRPr="00B053D2" w:rsidRDefault="00CF7C1C" w:rsidP="00F335D8">
            <w:pPr>
              <w:pStyle w:val="Tbla-jobb"/>
              <w:rPr>
                <w:lang w:val="en-GB" w:bidi="sa-IN"/>
              </w:rPr>
            </w:pPr>
            <w:r w:rsidRPr="00B053D2">
              <w:rPr>
                <w:lang w:bidi="sa-IN"/>
              </w:rPr>
              <w:t>Közvetett, pozitív</w:t>
            </w:r>
          </w:p>
          <w:p w:rsidR="00CF7C1C" w:rsidRPr="00B053D2" w:rsidRDefault="00CF7C1C" w:rsidP="00F335D8">
            <w:pPr>
              <w:pStyle w:val="Tbla-jobb"/>
              <w:rPr>
                <w:lang w:bidi="sa-IN"/>
              </w:rPr>
            </w:pPr>
            <w:r w:rsidRPr="00B053D2">
              <w:rPr>
                <w:lang w:bidi="sa-IN"/>
              </w:rPr>
              <w:t>Közvetett, pozitív</w:t>
            </w:r>
          </w:p>
        </w:tc>
        <w:tc>
          <w:tcPr>
            <w:tcW w:w="1531" w:type="dxa"/>
            <w:shd w:val="clear" w:color="auto" w:fill="auto"/>
          </w:tcPr>
          <w:p w:rsidR="00CF7C1C" w:rsidRPr="00B053D2" w:rsidRDefault="00CF7C1C" w:rsidP="00F335D8">
            <w:pPr>
              <w:pStyle w:val="Tbla-jobb"/>
              <w:rPr>
                <w:lang w:val="en-GB"/>
              </w:rPr>
            </w:pPr>
            <w:r w:rsidRPr="00B053D2">
              <w:rPr>
                <w:lang w:val="en-GB"/>
              </w:rPr>
              <w:t>16 160,26</w:t>
            </w:r>
          </w:p>
          <w:p w:rsidR="00CF7C1C" w:rsidRPr="00B053D2" w:rsidRDefault="00CF7C1C" w:rsidP="00F335D8">
            <w:pPr>
              <w:pStyle w:val="Tbla-jobb"/>
              <w:rPr>
                <w:lang w:val="en-GB"/>
              </w:rPr>
            </w:pPr>
          </w:p>
          <w:p w:rsidR="00CF7C1C" w:rsidRPr="00B053D2" w:rsidRDefault="00CF7C1C" w:rsidP="00F335D8">
            <w:pPr>
              <w:pStyle w:val="Tbla-jobb"/>
              <w:rPr>
                <w:lang w:val="en-GB"/>
              </w:rPr>
            </w:pPr>
          </w:p>
          <w:p w:rsidR="00CF7C1C" w:rsidRPr="00B053D2" w:rsidRDefault="00CF7C1C" w:rsidP="00F335D8">
            <w:pPr>
              <w:pStyle w:val="Tbla-jobb"/>
              <w:rPr>
                <w:lang w:val="en-GB"/>
              </w:rPr>
            </w:pPr>
            <w:r w:rsidRPr="00B053D2">
              <w:rPr>
                <w:lang w:val="en-GB"/>
              </w:rPr>
              <w:t>NA</w:t>
            </w:r>
          </w:p>
          <w:p w:rsidR="00CF7C1C" w:rsidRPr="00B053D2" w:rsidRDefault="00CF7C1C" w:rsidP="00F335D8">
            <w:pPr>
              <w:pStyle w:val="Tbla-jobb"/>
              <w:rPr>
                <w:lang w:val="en-GB"/>
              </w:rPr>
            </w:pPr>
            <w:r w:rsidRPr="00B053D2">
              <w:rPr>
                <w:lang w:val="en-GB"/>
              </w:rPr>
              <w:t>NA</w:t>
            </w:r>
          </w:p>
          <w:p w:rsidR="00CF7C1C" w:rsidRPr="00B053D2" w:rsidRDefault="00CF7C1C" w:rsidP="00F335D8">
            <w:pPr>
              <w:pStyle w:val="Tbla-jobb"/>
              <w:rPr>
                <w:lang w:val="en-GB"/>
              </w:rPr>
            </w:pPr>
            <w:r w:rsidRPr="00B053D2">
              <w:rPr>
                <w:lang w:val="en-GB"/>
              </w:rPr>
              <w:t>16 160,26</w:t>
            </w:r>
          </w:p>
          <w:p w:rsidR="00CF7C1C" w:rsidRPr="00B053D2" w:rsidRDefault="00CF7C1C" w:rsidP="00F335D8">
            <w:pPr>
              <w:pStyle w:val="Tbla-jobb"/>
              <w:rPr>
                <w:lang w:val="en-GB"/>
              </w:rPr>
            </w:pPr>
            <w:r w:rsidRPr="00B053D2">
              <w:rPr>
                <w:lang w:val="en-GB"/>
              </w:rPr>
              <w:t>NA</w:t>
            </w:r>
          </w:p>
          <w:p w:rsidR="00CF7C1C" w:rsidRPr="00B053D2" w:rsidRDefault="00CF7C1C" w:rsidP="00F335D8">
            <w:pPr>
              <w:pStyle w:val="Tbla-jobb"/>
              <w:rPr>
                <w:lang w:bidi="sa-IN"/>
              </w:rPr>
            </w:pPr>
            <w:r w:rsidRPr="00B053D2">
              <w:rPr>
                <w:lang w:val="en-GB"/>
              </w:rPr>
              <w:t>NA</w:t>
            </w:r>
          </w:p>
        </w:tc>
      </w:tr>
      <w:tr w:rsidR="00CF7C1C" w:rsidRPr="00B053D2" w:rsidTr="00B053D2">
        <w:trPr>
          <w:cantSplit/>
          <w:jc w:val="center"/>
        </w:trPr>
        <w:tc>
          <w:tcPr>
            <w:tcW w:w="680" w:type="dxa"/>
            <w:vMerge w:val="restart"/>
            <w:shd w:val="clear" w:color="auto" w:fill="auto"/>
          </w:tcPr>
          <w:p w:rsidR="00CF7C1C" w:rsidRPr="00B053D2" w:rsidRDefault="00CF7C1C" w:rsidP="00673DDE">
            <w:pPr>
              <w:pStyle w:val="Tbla-kzp"/>
            </w:pPr>
            <w:r w:rsidRPr="00B053D2">
              <w:t>I</w:t>
            </w:r>
          </w:p>
        </w:tc>
        <w:tc>
          <w:tcPr>
            <w:tcW w:w="5860" w:type="dxa"/>
            <w:shd w:val="clear" w:color="auto" w:fill="auto"/>
          </w:tcPr>
          <w:p w:rsidR="00CF7C1C" w:rsidRPr="00B053D2" w:rsidRDefault="00CF7C1C" w:rsidP="00673DDE">
            <w:pPr>
              <w:pStyle w:val="Tbla-bal"/>
              <w:rPr>
                <w:lang w:bidi="sa-IN"/>
              </w:rPr>
            </w:pPr>
            <w:r w:rsidRPr="00B053D2">
              <w:rPr>
                <w:lang w:bidi="sa-IN"/>
              </w:rPr>
              <w:t>A biodiverzitás csökkenésének visszafordítása (mezőgazdasági területen fészkelő, vadon élő madarak állományindexe; 2000 = 100%)</w:t>
            </w:r>
          </w:p>
        </w:tc>
        <w:tc>
          <w:tcPr>
            <w:tcW w:w="1792" w:type="dxa"/>
            <w:shd w:val="clear" w:color="auto" w:fill="auto"/>
            <w:vAlign w:val="center"/>
          </w:tcPr>
          <w:p w:rsidR="00CF7C1C" w:rsidRPr="00B053D2" w:rsidRDefault="00CF7C1C" w:rsidP="00673DDE">
            <w:pPr>
              <w:pStyle w:val="Tbla-jobb"/>
            </w:pPr>
          </w:p>
          <w:p w:rsidR="00CF7C1C" w:rsidRPr="00B053D2" w:rsidRDefault="00CF7C1C" w:rsidP="00673DDE">
            <w:pPr>
              <w:pStyle w:val="Tbla-jobb"/>
              <w:rPr>
                <w:lang w:val="en-GB"/>
              </w:rPr>
            </w:pPr>
            <w:r w:rsidRPr="00B053D2">
              <w:rPr>
                <w:lang w:val="en-GB"/>
              </w:rPr>
              <w:t>- 0,1%</w:t>
            </w:r>
          </w:p>
        </w:tc>
        <w:tc>
          <w:tcPr>
            <w:tcW w:w="1531" w:type="dxa"/>
            <w:shd w:val="clear" w:color="auto" w:fill="auto"/>
          </w:tcPr>
          <w:p w:rsidR="00CF7C1C" w:rsidRPr="00B053D2" w:rsidRDefault="00CF7C1C" w:rsidP="00673DDE">
            <w:pPr>
              <w:pStyle w:val="Tbla-jobb"/>
            </w:pPr>
            <w:r w:rsidRPr="00B053D2">
              <w:t>-</w:t>
            </w:r>
          </w:p>
        </w:tc>
      </w:tr>
      <w:tr w:rsidR="00CF7C1C" w:rsidRPr="00B053D2" w:rsidTr="00B053D2">
        <w:trPr>
          <w:cantSplit/>
          <w:jc w:val="center"/>
        </w:trPr>
        <w:tc>
          <w:tcPr>
            <w:tcW w:w="680" w:type="dxa"/>
            <w:vMerge/>
            <w:shd w:val="clear" w:color="auto" w:fill="auto"/>
          </w:tcPr>
          <w:p w:rsidR="00CF7C1C" w:rsidRPr="00B053D2" w:rsidRDefault="00CF7C1C" w:rsidP="00673DDE">
            <w:pPr>
              <w:pStyle w:val="Normltblzatban"/>
              <w:keepNext/>
              <w:spacing w:after="0"/>
              <w:ind w:left="0" w:firstLine="0"/>
              <w:rPr>
                <w:sz w:val="20"/>
                <w:szCs w:val="20"/>
                <w:lang w:bidi="sa-IN"/>
              </w:rPr>
            </w:pPr>
          </w:p>
        </w:tc>
        <w:tc>
          <w:tcPr>
            <w:tcW w:w="5860" w:type="dxa"/>
            <w:shd w:val="clear" w:color="auto" w:fill="auto"/>
          </w:tcPr>
          <w:p w:rsidR="00CF7C1C" w:rsidRPr="00B053D2" w:rsidRDefault="00CF7C1C" w:rsidP="00673DDE">
            <w:pPr>
              <w:pStyle w:val="Tbla-bal"/>
              <w:rPr>
                <w:lang w:bidi="sa-IN"/>
              </w:rPr>
            </w:pPr>
            <w:r w:rsidRPr="00B053D2">
              <w:rPr>
                <w:lang w:bidi="sa-IN"/>
              </w:rPr>
              <w:t>Bruttó tápanyagmérleg (nitrogéntöbblet) változása</w:t>
            </w:r>
          </w:p>
        </w:tc>
        <w:tc>
          <w:tcPr>
            <w:tcW w:w="1792" w:type="dxa"/>
            <w:shd w:val="clear" w:color="auto" w:fill="auto"/>
            <w:vAlign w:val="center"/>
          </w:tcPr>
          <w:p w:rsidR="00CF7C1C" w:rsidRPr="00B053D2" w:rsidRDefault="00CF7C1C" w:rsidP="00673DDE">
            <w:pPr>
              <w:pStyle w:val="Tbla-jobb"/>
              <w:rPr>
                <w:lang w:bidi="sa-IN"/>
              </w:rPr>
            </w:pPr>
            <w:r w:rsidRPr="00B053D2">
              <w:rPr>
                <w:lang w:bidi="sa-IN"/>
              </w:rPr>
              <w:t>-6,25 kT</w:t>
            </w:r>
          </w:p>
        </w:tc>
        <w:tc>
          <w:tcPr>
            <w:tcW w:w="1531" w:type="dxa"/>
            <w:shd w:val="clear" w:color="auto" w:fill="auto"/>
          </w:tcPr>
          <w:p w:rsidR="00CF7C1C" w:rsidRPr="00B053D2" w:rsidRDefault="00CF7C1C" w:rsidP="00673DDE">
            <w:pPr>
              <w:pStyle w:val="Tbla-jobb"/>
              <w:rPr>
                <w:lang w:bidi="sa-IN"/>
              </w:rPr>
            </w:pPr>
            <w:r w:rsidRPr="00B053D2">
              <w:rPr>
                <w:lang w:bidi="sa-IN"/>
              </w:rPr>
              <w:t>-</w:t>
            </w:r>
          </w:p>
        </w:tc>
      </w:tr>
      <w:tr w:rsidR="00CF7C1C" w:rsidRPr="00B053D2" w:rsidTr="00B053D2">
        <w:trPr>
          <w:cantSplit/>
          <w:jc w:val="center"/>
        </w:trPr>
        <w:tc>
          <w:tcPr>
            <w:tcW w:w="680" w:type="dxa"/>
            <w:vMerge/>
            <w:shd w:val="clear" w:color="auto" w:fill="auto"/>
          </w:tcPr>
          <w:p w:rsidR="00CF7C1C" w:rsidRPr="00B053D2" w:rsidRDefault="00CF7C1C" w:rsidP="00CF7C1C">
            <w:pPr>
              <w:pStyle w:val="Normltblzatban"/>
              <w:spacing w:after="0"/>
              <w:ind w:left="0" w:firstLine="0"/>
              <w:rPr>
                <w:sz w:val="20"/>
                <w:szCs w:val="20"/>
                <w:lang w:bidi="sa-IN"/>
              </w:rPr>
            </w:pPr>
          </w:p>
        </w:tc>
        <w:tc>
          <w:tcPr>
            <w:tcW w:w="5860" w:type="dxa"/>
            <w:shd w:val="clear" w:color="auto" w:fill="auto"/>
          </w:tcPr>
          <w:p w:rsidR="00CF7C1C" w:rsidRPr="00B053D2" w:rsidRDefault="00CF7C1C" w:rsidP="007B5AEF">
            <w:pPr>
              <w:pStyle w:val="Tbla-bal"/>
              <w:rPr>
                <w:lang w:bidi="sa-IN"/>
              </w:rPr>
            </w:pPr>
            <w:r w:rsidRPr="00B053D2">
              <w:rPr>
                <w:lang w:bidi="sa-IN"/>
              </w:rPr>
              <w:t>Megújulóenergia-termelés növekedése (ásványolaj-egyenérték)</w:t>
            </w:r>
          </w:p>
        </w:tc>
        <w:tc>
          <w:tcPr>
            <w:tcW w:w="1792" w:type="dxa"/>
            <w:shd w:val="clear" w:color="auto" w:fill="auto"/>
            <w:vAlign w:val="center"/>
          </w:tcPr>
          <w:p w:rsidR="00CF7C1C" w:rsidRPr="00B053D2" w:rsidRDefault="00CF7C1C" w:rsidP="00F335D8">
            <w:pPr>
              <w:pStyle w:val="Tbla-jobb"/>
              <w:rPr>
                <w:lang w:val="en-GB"/>
              </w:rPr>
            </w:pPr>
            <w:r w:rsidRPr="00B053D2">
              <w:rPr>
                <w:lang w:val="en-GB"/>
              </w:rPr>
              <w:t>421 kT</w:t>
            </w:r>
          </w:p>
        </w:tc>
        <w:tc>
          <w:tcPr>
            <w:tcW w:w="1531" w:type="dxa"/>
            <w:shd w:val="clear" w:color="auto" w:fill="auto"/>
          </w:tcPr>
          <w:p w:rsidR="00CF7C1C" w:rsidRPr="00B053D2" w:rsidRDefault="00CF7C1C" w:rsidP="00F335D8">
            <w:pPr>
              <w:pStyle w:val="Tbla-jobb"/>
              <w:rPr>
                <w:lang w:val="en-GB"/>
              </w:rPr>
            </w:pPr>
            <w:r w:rsidRPr="00B053D2">
              <w:rPr>
                <w:lang w:val="en-GB"/>
              </w:rPr>
              <w:t>-</w:t>
            </w:r>
          </w:p>
        </w:tc>
      </w:tr>
    </w:tbl>
    <w:p w:rsidR="00CF7C1C" w:rsidRDefault="00CF7C1C" w:rsidP="00CF7C1C">
      <w:pPr>
        <w:pStyle w:val="Normlforrs"/>
      </w:pPr>
      <w:r w:rsidRPr="00B053D2">
        <w:t>Forrás: MVH</w:t>
      </w:r>
    </w:p>
    <w:p w:rsidR="00CF7C1C" w:rsidRDefault="005223D2" w:rsidP="004869BB">
      <w:r>
        <w:t>A területalapú támogatásokhoz képest a jogcímben adható támogatási összeg a szántóföldi növények termeléséből (vetőmag, élelmezés, takarmány) adódó bevétellel való összehasonlításban a nem bizonyult versenyképesnek, ezért a</w:t>
      </w:r>
      <w:r w:rsidR="00C01615">
        <w:t xml:space="preserve">z intézkedés </w:t>
      </w:r>
      <w:r>
        <w:t>iránti érdeklődés elmaradt a tervezettől,</w:t>
      </w:r>
      <w:r w:rsidR="00B053D2">
        <w:t xml:space="preserve"> mert a támogatás intenzitása az első kivitel támogatás esetében az EU szabályok alapján mindegy negyedével </w:t>
      </w:r>
      <w:r w:rsidR="00B053D2">
        <w:lastRenderedPageBreak/>
        <w:t>csökkent az NVT-hez képest, továbbá jövedelempótló támogatás összegének meghatározása nem vette kellő mértékben figyelembe az időszak során a mezőgazdaságban jelentkező nagyfokú jövedelmeződés növekedést. 2007-2010 között a kukorica termelésben az ágazati eredmény országos átlagban 78,5%kal javult, a területalapú támogatás pedig 19,6%-kal növekedett hektáronként.</w:t>
      </w:r>
    </w:p>
    <w:p w:rsidR="00CF7C1C" w:rsidRPr="00F35797" w:rsidRDefault="00CF7C1C" w:rsidP="00715E86">
      <w:pPr>
        <w:pStyle w:val="Cmsor4"/>
      </w:pPr>
      <w:r w:rsidRPr="00F35797">
        <w:t>Mezőgazdasági területek erdősítéséhez nyújtandó támogatás jogcím megvalósulása</w:t>
      </w:r>
      <w:bookmarkEnd w:id="292"/>
    </w:p>
    <w:p w:rsidR="00CF7C1C" w:rsidRPr="002B4681" w:rsidRDefault="00CF7C1C" w:rsidP="00006375">
      <w:r w:rsidRPr="002B4681">
        <w:t>Ezen jogcím keretében támogatás adható a mezőgazdasági területek erdősítése esetén az első kivitelre (alaptámogatás és kiegészítő intézkedések), az erdősítések ápolására a telepítést követő öt évig, valamint a kieső jövedelem pótlására fafajtól függően legfeljebb 15 évig.</w:t>
      </w:r>
      <w:r w:rsidRPr="002B4681">
        <w:rPr>
          <w:sz w:val="32"/>
          <w:szCs w:val="32"/>
        </w:rPr>
        <w:t xml:space="preserve"> </w:t>
      </w:r>
      <w:r w:rsidRPr="002B4681">
        <w:rPr>
          <w:szCs w:val="22"/>
          <w:lang w:bidi="sa-IN"/>
        </w:rPr>
        <w:t xml:space="preserve">A támogatási jogcímet szabályozó 88/2007. (VIII.17.) FVM rendelet </w:t>
      </w:r>
      <w:r w:rsidRPr="002B4681">
        <w:t xml:space="preserve">2012-ben </w:t>
      </w:r>
      <w:r w:rsidRPr="002B4681">
        <w:rPr>
          <w:szCs w:val="22"/>
          <w:lang w:bidi="sa-IN"/>
        </w:rPr>
        <w:t xml:space="preserve">egy alkalommal módosult. </w:t>
      </w:r>
    </w:p>
    <w:p w:rsidR="00CF7C1C" w:rsidRPr="002B4681" w:rsidRDefault="00CF7C1C" w:rsidP="00D90F4C">
      <w:pPr>
        <w:rPr>
          <w:rFonts w:eastAsia="Calibri" w:cs="Times New Roman"/>
          <w:sz w:val="24"/>
        </w:rPr>
      </w:pPr>
      <w:r w:rsidRPr="002B4681">
        <w:t xml:space="preserve">A </w:t>
      </w:r>
      <w:r w:rsidRPr="002B4681">
        <w:rPr>
          <w:bCs/>
        </w:rPr>
        <w:t xml:space="preserve">88/2007. (VIII.17.) FVM rendelet módosítását is tartalmazó 37/2012 (IV.16.) </w:t>
      </w:r>
      <w:r w:rsidRPr="002B4681">
        <w:t xml:space="preserve">VM rendelet jogszabály technikai és értelmezésjavító módosításokat tartalmaz, melyek közül a legfontosabb a jövedelempótló támogatásra való jogosultság igazolási módjára vonatkozó módosítás, ami 2011-es támogatási kérelmekkel indult ügyekre már vonatkozik. A módosítás nyomán rögzítésre került, hogy az erdő igénybevételének ellentételezése érdekében előírt csereerdősítések nem támogathatók. A kérelmek rangsorolásának alapjául szolgáló </w:t>
      </w:r>
      <w:r w:rsidRPr="00D90F4C">
        <w:t>pontozási</w:t>
      </w:r>
      <w:r w:rsidRPr="002B4681">
        <w:t xml:space="preserve"> táblázatban az erdők rendeltetés szerinti kategorizálása az erdőtörvénynek megfelelően került módosításra. A módosító rendelet az emelt szintű jövedelempótló támogatás ellenőrzési feltételeit is módosítja. A szabályozás lényege, hogy a jogosultságot jelentő 25%-os bevételi hányad meglétének vizsgálatakor a pályázó mezőgazdasági tevékenységből származó bevételét a teljes bevételéhez kell viszonyítani, és nem a korábbiakban vizsgált, a költségek levonása után keletkező adóalaphoz.</w:t>
      </w:r>
    </w:p>
    <w:p w:rsidR="00CF7C1C" w:rsidRPr="002B4681" w:rsidRDefault="00CF7C1C" w:rsidP="00CF7C1C">
      <w:r w:rsidRPr="002B4681">
        <w:rPr>
          <w:szCs w:val="20"/>
        </w:rPr>
        <w:t xml:space="preserve">A mezőgazdasági területek első erdősítése jogcím az NVT keretében került először meghirdetésre. </w:t>
      </w:r>
      <w:r w:rsidRPr="002B4681">
        <w:rPr>
          <w:szCs w:val="22"/>
        </w:rPr>
        <w:t xml:space="preserve">Az NVT </w:t>
      </w:r>
      <w:r w:rsidRPr="002B4681">
        <w:rPr>
          <w:i/>
          <w:szCs w:val="22"/>
        </w:rPr>
        <w:t>Mezőgazdasági területek erdősítése</w:t>
      </w:r>
      <w:r w:rsidRPr="002B4681">
        <w:rPr>
          <w:szCs w:val="22"/>
        </w:rPr>
        <w:t xml:space="preserve"> intézkedés keretében vállalt kötelezettségek kifizetéseinek teljesítése a 1320/2006/EK Bizottsági Rendelet alapján a Program terhére folytatódik az NVT források kimerülését követően. </w:t>
      </w:r>
      <w:r w:rsidRPr="002B4681">
        <w:t>Az NVT kifizetési kérelmek benyújtására az Egységes Kérelem keretein belül van lehetőség.</w:t>
      </w:r>
    </w:p>
    <w:p w:rsidR="00CF7C1C" w:rsidRPr="002B4681" w:rsidRDefault="00CF7C1C" w:rsidP="004869BB">
      <w:r w:rsidRPr="002B4681">
        <w:t xml:space="preserve">2012. április 16-án megjelent </w:t>
      </w:r>
      <w:r w:rsidR="00136EEC">
        <w:t>az NVT végrehajtását szabályozó</w:t>
      </w:r>
      <w:r w:rsidRPr="002B4681">
        <w:t xml:space="preserve"> </w:t>
      </w:r>
      <w:r w:rsidRPr="002B4681">
        <w:rPr>
          <w:bCs/>
        </w:rPr>
        <w:t xml:space="preserve">132/2004. (IX.11.) FVM rendelet módosításáról szóló 37/2012 (IV.16.) </w:t>
      </w:r>
      <w:r w:rsidRPr="002B4681">
        <w:t xml:space="preserve">VM rendelet. A jogszabály technikai és értelmezésjavító módosításokat tartalmaz, melyek közül a legfontosabb a vis maior események utáni </w:t>
      </w:r>
      <w:r w:rsidRPr="002B4681">
        <w:rPr>
          <w:bCs/>
          <w:iCs/>
        </w:rPr>
        <w:t xml:space="preserve">erdősítés befejezésének feltételeire, illetve határidejére </w:t>
      </w:r>
      <w:r w:rsidRPr="002B4681">
        <w:t>vonatkozó módosítás, emellett pontosításra került a támogatható területméret, a koronavetület (max. 3m) fogalma is.</w:t>
      </w:r>
    </w:p>
    <w:p w:rsidR="00CF7C1C" w:rsidRPr="002B4681" w:rsidRDefault="00CF7C1C" w:rsidP="004869BB">
      <w:r w:rsidRPr="002B4681">
        <w:t>Támogatási kérelem benyújtására 2012. május 1 – június 30. közt volt lehetőség.</w:t>
      </w:r>
    </w:p>
    <w:p w:rsidR="00CF7C1C" w:rsidRPr="00F92037" w:rsidRDefault="007E5FDF" w:rsidP="00F92037">
      <w:pPr>
        <w:pStyle w:val="bra-cmetbla"/>
      </w:pPr>
      <w:fldSimple w:instr=" SEQ táblázat \* ARABIC ">
        <w:r w:rsidR="00E5031F">
          <w:rPr>
            <w:noProof/>
          </w:rPr>
          <w:t>71</w:t>
        </w:r>
      </w:fldSimple>
      <w:r w:rsidR="00673DDE">
        <w:t xml:space="preserve">. táblázat: </w:t>
      </w:r>
      <w:r w:rsidR="00CF7C1C" w:rsidRPr="00F92037">
        <w:t>Mezőgazdasági területek erdősítéséhez nyújtandó támogatási jogcím 2012. évi eredményei</w:t>
      </w:r>
    </w:p>
    <w:p w:rsidR="005223D2" w:rsidRPr="00F92037" w:rsidRDefault="005223D2" w:rsidP="00F92037">
      <w:pPr>
        <w:pStyle w:val="bra-cmetbla"/>
      </w:pPr>
      <w:r w:rsidRPr="00F92037">
        <w:rPr>
          <w:noProof/>
        </w:rPr>
        <w:drawing>
          <wp:inline distT="0" distB="0" distL="0" distR="0" wp14:anchorId="48055BF6" wp14:editId="10A5CD54">
            <wp:extent cx="5314950" cy="2733675"/>
            <wp:effectExtent l="0" t="0" r="0"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4950" cy="2733675"/>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E829EC" w:rsidRDefault="00CF7C1C" w:rsidP="00006375">
      <w:r w:rsidRPr="002B4681">
        <w:t xml:space="preserve">2012-ben a Program keretében meghirdetett jogcímre 404 db támogatási kérelem érkezett be. </w:t>
      </w:r>
    </w:p>
    <w:p w:rsidR="00CF7C1C" w:rsidRDefault="00CF7C1C" w:rsidP="00006375">
      <w:pPr>
        <w:rPr>
          <w:szCs w:val="22"/>
        </w:rPr>
      </w:pPr>
      <w:r w:rsidRPr="002B4681">
        <w:t xml:space="preserve">A 2012 évi kifizetési kérelmek közül 3109 db kérelemre </w:t>
      </w:r>
      <w:r w:rsidR="00E829EC">
        <w:t>16,6</w:t>
      </w:r>
      <w:r w:rsidRPr="002B4681">
        <w:t xml:space="preserve"> M euró (</w:t>
      </w:r>
      <w:r w:rsidR="00E829EC">
        <w:t>4,8</w:t>
      </w:r>
      <w:r w:rsidRPr="002B4681">
        <w:t xml:space="preserve"> Mrd Ft) került kifizetésre. </w:t>
      </w:r>
      <w:r w:rsidR="00136EEC" w:rsidRPr="002B4681">
        <w:rPr>
          <w:szCs w:val="22"/>
        </w:rPr>
        <w:t>Az NVT keretében vállalt kötelezettségvállalások a Program forrásainak terhére 2012-ben 11,8 M euró (3,4 Mrd Ft) összegű támogatás kifizetését jelentették.</w:t>
      </w:r>
    </w:p>
    <w:p w:rsidR="00CF7C1C" w:rsidRPr="002B4681" w:rsidRDefault="00CF7C1C" w:rsidP="00006375">
      <w:pPr>
        <w:rPr>
          <w:strike/>
        </w:rPr>
      </w:pPr>
      <w:r w:rsidRPr="002B4681">
        <w:t xml:space="preserve">A beérkezett támogatási kérelmek regionális megoszlását tekintve Szabolcs-Szatmár-Bereg (26,2%) és Bács-Kiskun (24%) megyében volt messze a legnagyobb érdeklődés a jogcím iránt, míg a dunántúli, valamint az Észak-magyarországi megyék többségében az átlagosnál alacsonyabb volt az érdeklődés. A legkevesebb kérelem (0,24%) Baranya megyéből érkezett be. Komárom-Esztergom megyéből nem nyújtottak be támogatási kérelmet. </w:t>
      </w:r>
    </w:p>
    <w:p w:rsidR="00CF7C1C" w:rsidRPr="00896E03" w:rsidRDefault="00CF7C1C" w:rsidP="00DB48A3">
      <w:pPr>
        <w:pStyle w:val="Cmsor3"/>
      </w:pPr>
      <w:bookmarkStart w:id="293" w:name="_Toc261596939"/>
      <w:bookmarkStart w:id="294" w:name="_Toc328638720"/>
      <w:bookmarkStart w:id="295" w:name="_Toc360176810"/>
      <w:r w:rsidRPr="00896E03">
        <w:t>Agrár-erdészeti rendszerek első létrehozása mezőgazdasági földterületeken intézkedés (222) rövid bemutatása</w:t>
      </w:r>
      <w:bookmarkEnd w:id="293"/>
      <w:bookmarkEnd w:id="294"/>
      <w:bookmarkEnd w:id="295"/>
    </w:p>
    <w:p w:rsidR="00CF7C1C" w:rsidRPr="00F35797" w:rsidRDefault="00CF7C1C" w:rsidP="004869BB">
      <w:pPr>
        <w:rPr>
          <w:szCs w:val="26"/>
          <w:lang w:bidi="sa-IN"/>
        </w:rPr>
      </w:pPr>
      <w:r w:rsidRPr="00F35797">
        <w:t xml:space="preserve">Az intézkedés célja, hogy lehetőséget teremtsen fás legelők létesítésére és hasznosítására, a hagyományos, tájjellegű gazdálkodás fenntartására, a mozaikos tájszerkezet kialakítására. </w:t>
      </w:r>
      <w:r w:rsidRPr="00F35797">
        <w:rPr>
          <w:szCs w:val="26"/>
          <w:lang w:bidi="sa-IN"/>
        </w:rPr>
        <w:t xml:space="preserve">Az intézkedés – multifunkcionális jellegéből adódóan – bővíti a lakosság jövedelemszerzési lehetőségeit, és biztosíthatja a gazdálkodás folytatását a korábban intenzív hasznosítású, kedvezőtlen adottságú területek és Natura 2000 területek esetében. </w:t>
      </w:r>
    </w:p>
    <w:p w:rsidR="00CF7C1C" w:rsidRPr="002B4681" w:rsidRDefault="00CF7C1C" w:rsidP="004869BB">
      <w:r w:rsidRPr="002B4681">
        <w:t>A</w:t>
      </w:r>
      <w:r w:rsidRPr="002B4681">
        <w:rPr>
          <w:lang w:val="en-GB"/>
        </w:rPr>
        <w:t>z intézkedés nem tartalmaz alintézkedéseket, a</w:t>
      </w:r>
      <w:r w:rsidRPr="002B4681">
        <w:t xml:space="preserve"> 2009-ben megjelent jogcímrendelet az intézkedés egészét lefedi.</w:t>
      </w:r>
    </w:p>
    <w:p w:rsidR="00CF7C1C" w:rsidRPr="00F92037" w:rsidRDefault="007E5FDF" w:rsidP="00F92037">
      <w:pPr>
        <w:pStyle w:val="bra-cmetbla"/>
      </w:pPr>
      <w:fldSimple w:instr=" SEQ táblázat \* ARABIC ">
        <w:r w:rsidR="00E5031F">
          <w:rPr>
            <w:noProof/>
          </w:rPr>
          <w:t>72</w:t>
        </w:r>
      </w:fldSimple>
      <w:r w:rsidR="00673DDE">
        <w:t xml:space="preserve">. táblázat: </w:t>
      </w:r>
      <w:r w:rsidR="00CF7C1C" w:rsidRPr="00F92037">
        <w:t>Agrár-erdészeti rendszerek első létrehozása mezőgazdasági földterületeken intézkedés (222) indikátorainak megvalósulása</w:t>
      </w: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9"/>
        <w:gridCol w:w="5400"/>
        <w:gridCol w:w="1792"/>
        <w:gridCol w:w="1586"/>
      </w:tblGrid>
      <w:tr w:rsidR="00CF7C1C" w:rsidRPr="00E1404B" w:rsidTr="00CF7C1C">
        <w:trPr>
          <w:cantSplit/>
          <w:tblHeader/>
          <w:jc w:val="center"/>
        </w:trPr>
        <w:tc>
          <w:tcPr>
            <w:tcW w:w="479" w:type="dxa"/>
            <w:shd w:val="clear" w:color="auto" w:fill="B3B3B3"/>
          </w:tcPr>
          <w:p w:rsidR="00CF7C1C" w:rsidRPr="00E1404B" w:rsidRDefault="00CF7C1C" w:rsidP="00CF7C1C">
            <w:pPr>
              <w:pStyle w:val="Normltblzatban"/>
              <w:spacing w:after="0"/>
              <w:ind w:left="0" w:firstLine="0"/>
              <w:jc w:val="center"/>
              <w:rPr>
                <w:b/>
                <w:bCs/>
                <w:sz w:val="20"/>
                <w:szCs w:val="20"/>
                <w:lang w:bidi="sa-IN"/>
              </w:rPr>
            </w:pPr>
            <w:bookmarkStart w:id="296" w:name="_Toc261596940"/>
          </w:p>
        </w:tc>
        <w:tc>
          <w:tcPr>
            <w:tcW w:w="5400" w:type="dxa"/>
            <w:shd w:val="clear" w:color="auto" w:fill="B3B3B3"/>
            <w:vAlign w:val="center"/>
          </w:tcPr>
          <w:p w:rsidR="00CF7C1C" w:rsidRPr="00E1404B" w:rsidRDefault="00CF7C1C" w:rsidP="00CF7C1C">
            <w:pPr>
              <w:pStyle w:val="Normltblzatban"/>
              <w:spacing w:after="0"/>
              <w:ind w:left="0" w:firstLine="0"/>
              <w:jc w:val="center"/>
              <w:rPr>
                <w:sz w:val="20"/>
                <w:szCs w:val="20"/>
                <w:lang w:bidi="sa-IN"/>
              </w:rPr>
            </w:pPr>
            <w:r w:rsidRPr="00E1404B">
              <w:rPr>
                <w:b/>
                <w:bCs/>
                <w:sz w:val="20"/>
                <w:szCs w:val="20"/>
                <w:lang w:bidi="sa-IN"/>
              </w:rPr>
              <w:t>Indikátor leírása</w:t>
            </w:r>
          </w:p>
        </w:tc>
        <w:tc>
          <w:tcPr>
            <w:tcW w:w="1792" w:type="dxa"/>
            <w:shd w:val="clear" w:color="auto" w:fill="B3B3B3"/>
          </w:tcPr>
          <w:p w:rsidR="00CF7C1C" w:rsidRPr="00E1404B" w:rsidRDefault="00CF7C1C" w:rsidP="00CF7C1C">
            <w:pPr>
              <w:pStyle w:val="Normltblzatban"/>
              <w:spacing w:after="0"/>
              <w:ind w:left="0" w:firstLine="0"/>
              <w:jc w:val="center"/>
              <w:rPr>
                <w:sz w:val="20"/>
                <w:szCs w:val="20"/>
                <w:lang w:bidi="sa-IN"/>
              </w:rPr>
            </w:pPr>
            <w:r w:rsidRPr="00E1404B">
              <w:rPr>
                <w:b/>
                <w:sz w:val="20"/>
                <w:szCs w:val="20"/>
              </w:rPr>
              <w:t>Program szerinti tervadat</w:t>
            </w:r>
          </w:p>
        </w:tc>
        <w:tc>
          <w:tcPr>
            <w:tcW w:w="1586" w:type="dxa"/>
            <w:shd w:val="clear" w:color="auto" w:fill="B3B3B3"/>
          </w:tcPr>
          <w:p w:rsidR="00CF7C1C" w:rsidRPr="00E1404B" w:rsidRDefault="00CF7C1C" w:rsidP="00CF7C1C">
            <w:pPr>
              <w:pStyle w:val="Normltblzatban"/>
              <w:spacing w:after="0"/>
              <w:ind w:left="34" w:hanging="34"/>
              <w:jc w:val="center"/>
              <w:rPr>
                <w:b/>
                <w:bCs/>
                <w:sz w:val="20"/>
                <w:szCs w:val="20"/>
                <w:lang w:bidi="sa-IN"/>
              </w:rPr>
            </w:pPr>
            <w:r w:rsidRPr="00E1404B">
              <w:rPr>
                <w:b/>
                <w:sz w:val="20"/>
                <w:szCs w:val="20"/>
              </w:rPr>
              <w:t>Indikátorok kumulált értéke</w:t>
            </w:r>
          </w:p>
        </w:tc>
      </w:tr>
      <w:tr w:rsidR="00CF7C1C" w:rsidRPr="00E1404B" w:rsidTr="00CF7C1C">
        <w:trPr>
          <w:cantSplit/>
          <w:jc w:val="center"/>
        </w:trPr>
        <w:tc>
          <w:tcPr>
            <w:tcW w:w="479" w:type="dxa"/>
            <w:vMerge w:val="restart"/>
          </w:tcPr>
          <w:p w:rsidR="00CF7C1C" w:rsidRPr="00E1404B" w:rsidRDefault="00CF7C1C" w:rsidP="00CF7C1C">
            <w:pPr>
              <w:pStyle w:val="Normltblzatban"/>
              <w:spacing w:after="0"/>
              <w:jc w:val="center"/>
              <w:rPr>
                <w:sz w:val="20"/>
                <w:szCs w:val="20"/>
                <w:lang w:bidi="sa-IN"/>
              </w:rPr>
            </w:pPr>
            <w:r w:rsidRPr="00E1404B">
              <w:rPr>
                <w:sz w:val="20"/>
                <w:szCs w:val="20"/>
                <w:lang w:bidi="sa-IN"/>
              </w:rPr>
              <w:lastRenderedPageBreak/>
              <w:t>O</w:t>
            </w:r>
          </w:p>
        </w:tc>
        <w:tc>
          <w:tcPr>
            <w:tcW w:w="5400" w:type="dxa"/>
          </w:tcPr>
          <w:p w:rsidR="00CF7C1C" w:rsidRPr="00E1404B" w:rsidRDefault="00CF7C1C" w:rsidP="00CF7C1C">
            <w:pPr>
              <w:pStyle w:val="Normltblzatban"/>
              <w:spacing w:after="0"/>
              <w:rPr>
                <w:sz w:val="20"/>
                <w:szCs w:val="20"/>
                <w:lang w:bidi="sa-IN"/>
              </w:rPr>
            </w:pPr>
            <w:r w:rsidRPr="00E1404B">
              <w:rPr>
                <w:sz w:val="20"/>
                <w:szCs w:val="20"/>
                <w:lang w:bidi="sa-IN"/>
              </w:rPr>
              <w:t>A kedvezményezettek száma:</w:t>
            </w:r>
          </w:p>
          <w:p w:rsidR="00CF7C1C" w:rsidRPr="00E1404B" w:rsidRDefault="00CF7C1C" w:rsidP="00CF7C1C">
            <w:pPr>
              <w:suppressAutoHyphens w:val="0"/>
              <w:spacing w:after="0"/>
              <w:jc w:val="left"/>
              <w:rPr>
                <w:sz w:val="20"/>
                <w:szCs w:val="20"/>
                <w:lang w:bidi="sa-IN"/>
              </w:rPr>
            </w:pPr>
            <w:r w:rsidRPr="00E1404B">
              <w:rPr>
                <w:sz w:val="20"/>
                <w:szCs w:val="20"/>
                <w:lang w:bidi="sa-IN"/>
              </w:rPr>
              <w:t>A föld mezőgazdasági célú használata</w:t>
            </w:r>
          </w:p>
          <w:p w:rsidR="00CF7C1C" w:rsidRPr="00E1404B" w:rsidRDefault="00CF7C1C" w:rsidP="0033390A">
            <w:pPr>
              <w:numPr>
                <w:ilvl w:val="0"/>
                <w:numId w:val="80"/>
              </w:numPr>
              <w:spacing w:after="0"/>
              <w:rPr>
                <w:sz w:val="20"/>
                <w:szCs w:val="20"/>
              </w:rPr>
            </w:pPr>
            <w:r w:rsidRPr="00E1404B">
              <w:rPr>
                <w:sz w:val="20"/>
                <w:szCs w:val="20"/>
              </w:rPr>
              <w:t>Szántóföldi termesztés</w:t>
            </w:r>
          </w:p>
          <w:p w:rsidR="00CF7C1C" w:rsidRPr="00E1404B" w:rsidRDefault="00CF7C1C" w:rsidP="0033390A">
            <w:pPr>
              <w:numPr>
                <w:ilvl w:val="0"/>
                <w:numId w:val="80"/>
              </w:numPr>
              <w:spacing w:after="0"/>
              <w:rPr>
                <w:sz w:val="20"/>
                <w:szCs w:val="20"/>
              </w:rPr>
            </w:pPr>
            <w:r w:rsidRPr="00E1404B">
              <w:rPr>
                <w:sz w:val="20"/>
                <w:szCs w:val="20"/>
              </w:rPr>
              <w:t xml:space="preserve">Legelő </w:t>
            </w:r>
          </w:p>
          <w:p w:rsidR="00CF7C1C" w:rsidRPr="00E1404B" w:rsidRDefault="00CF7C1C" w:rsidP="0033390A">
            <w:pPr>
              <w:numPr>
                <w:ilvl w:val="0"/>
                <w:numId w:val="80"/>
              </w:numPr>
              <w:spacing w:after="0"/>
              <w:rPr>
                <w:sz w:val="20"/>
                <w:szCs w:val="20"/>
                <w:lang w:bidi="sa-IN"/>
              </w:rPr>
            </w:pPr>
            <w:r w:rsidRPr="00E1404B">
              <w:rPr>
                <w:sz w:val="20"/>
                <w:szCs w:val="20"/>
              </w:rPr>
              <w:t>Egyéb</w:t>
            </w:r>
          </w:p>
        </w:tc>
        <w:tc>
          <w:tcPr>
            <w:tcW w:w="1792" w:type="dxa"/>
          </w:tcPr>
          <w:p w:rsidR="00CF7C1C" w:rsidRPr="00E1404B" w:rsidRDefault="00CF7C1C" w:rsidP="00CF7C1C">
            <w:pPr>
              <w:pStyle w:val="Normltblzatban"/>
              <w:spacing w:after="0"/>
              <w:jc w:val="right"/>
              <w:rPr>
                <w:sz w:val="20"/>
                <w:szCs w:val="20"/>
                <w:lang w:val="en-GB" w:bidi="sa-IN"/>
              </w:rPr>
            </w:pPr>
            <w:r w:rsidRPr="00E1404B">
              <w:rPr>
                <w:sz w:val="20"/>
                <w:szCs w:val="20"/>
                <w:lang w:bidi="sa-IN"/>
              </w:rPr>
              <w:t>300 db</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pacing w:val="-6"/>
                <w:sz w:val="20"/>
                <w:szCs w:val="20"/>
                <w:lang w:bidi="sa-IN"/>
              </w:rPr>
              <w:t>Nem alkalmazható</w:t>
            </w:r>
          </w:p>
          <w:p w:rsidR="00CF7C1C" w:rsidRPr="00E1404B" w:rsidRDefault="00CF7C1C" w:rsidP="00CF7C1C">
            <w:pPr>
              <w:pStyle w:val="Normltblzatban"/>
              <w:spacing w:after="0"/>
              <w:jc w:val="right"/>
              <w:rPr>
                <w:sz w:val="20"/>
                <w:szCs w:val="20"/>
                <w:lang w:val="en-GB"/>
              </w:rPr>
            </w:pPr>
            <w:r w:rsidRPr="00E1404B">
              <w:rPr>
                <w:sz w:val="20"/>
                <w:szCs w:val="20"/>
                <w:lang w:val="en-GB"/>
              </w:rPr>
              <w:t>300</w:t>
            </w:r>
          </w:p>
          <w:p w:rsidR="00CF7C1C" w:rsidRPr="00E1404B" w:rsidRDefault="00CF7C1C" w:rsidP="00CF7C1C">
            <w:pPr>
              <w:pStyle w:val="Normltblzatban"/>
              <w:spacing w:after="0"/>
              <w:jc w:val="right"/>
              <w:rPr>
                <w:sz w:val="20"/>
                <w:szCs w:val="20"/>
                <w:lang w:val="en-GB"/>
              </w:rPr>
            </w:pPr>
            <w:r w:rsidRPr="00E1404B">
              <w:rPr>
                <w:spacing w:val="-6"/>
                <w:sz w:val="20"/>
                <w:szCs w:val="20"/>
                <w:lang w:bidi="sa-IN"/>
              </w:rPr>
              <w:t>Nem alkalmazható</w:t>
            </w:r>
          </w:p>
        </w:tc>
        <w:tc>
          <w:tcPr>
            <w:tcW w:w="1586" w:type="dxa"/>
          </w:tcPr>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88 </w:t>
            </w:r>
          </w:p>
          <w:p w:rsidR="00CF7C1C" w:rsidRPr="002B4681" w:rsidRDefault="00CF7C1C" w:rsidP="00CF7C1C">
            <w:pPr>
              <w:pStyle w:val="Normltblzatban"/>
              <w:spacing w:after="0"/>
              <w:ind w:left="0" w:firstLine="0"/>
              <w:rPr>
                <w:sz w:val="20"/>
                <w:szCs w:val="20"/>
                <w:lang w:bidi="sa-IN"/>
              </w:rPr>
            </w:pP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88 </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p>
        </w:tc>
      </w:tr>
      <w:tr w:rsidR="00CF7C1C" w:rsidRPr="00E64692" w:rsidTr="00CF7C1C">
        <w:trPr>
          <w:cantSplit/>
          <w:jc w:val="center"/>
        </w:trPr>
        <w:tc>
          <w:tcPr>
            <w:tcW w:w="479" w:type="dxa"/>
            <w:vMerge/>
          </w:tcPr>
          <w:p w:rsidR="00CF7C1C" w:rsidRPr="00E1404B" w:rsidRDefault="00CF7C1C" w:rsidP="00A35D13">
            <w:pPr>
              <w:pStyle w:val="Normltblzatban"/>
              <w:rPr>
                <w:sz w:val="20"/>
                <w:szCs w:val="20"/>
                <w:lang w:bidi="sa-IN"/>
              </w:rPr>
            </w:pPr>
          </w:p>
        </w:tc>
        <w:tc>
          <w:tcPr>
            <w:tcW w:w="5400" w:type="dxa"/>
          </w:tcPr>
          <w:p w:rsidR="00CF7C1C" w:rsidRPr="00E1404B" w:rsidRDefault="00CF7C1C" w:rsidP="00A35D13">
            <w:pPr>
              <w:pStyle w:val="Normltblzatban"/>
              <w:spacing w:after="0"/>
              <w:rPr>
                <w:sz w:val="20"/>
                <w:szCs w:val="20"/>
                <w:lang w:bidi="sa-IN"/>
              </w:rPr>
            </w:pPr>
            <w:r w:rsidRPr="00E1404B">
              <w:rPr>
                <w:sz w:val="20"/>
                <w:szCs w:val="20"/>
                <w:lang w:bidi="sa-IN"/>
              </w:rPr>
              <w:t>Az új agrár-erdészeti rendszer kiterjedése (ha)</w:t>
            </w:r>
            <w:r w:rsidRPr="00E1404B">
              <w:rPr>
                <w:b/>
                <w:bCs/>
                <w:sz w:val="20"/>
                <w:szCs w:val="20"/>
                <w:lang w:bidi="sa-IN"/>
              </w:rPr>
              <w:t xml:space="preserve"> </w:t>
            </w:r>
          </w:p>
          <w:p w:rsidR="00CF7C1C" w:rsidRPr="00E1404B" w:rsidRDefault="00CF7C1C" w:rsidP="00A35D13">
            <w:pPr>
              <w:spacing w:after="0"/>
              <w:rPr>
                <w:sz w:val="20"/>
                <w:szCs w:val="20"/>
                <w:lang w:val="en-GB" w:bidi="sa-IN"/>
              </w:rPr>
            </w:pPr>
            <w:r w:rsidRPr="00E1404B">
              <w:rPr>
                <w:sz w:val="20"/>
                <w:szCs w:val="20"/>
                <w:lang w:bidi="sa-IN"/>
              </w:rPr>
              <w:t>A föld mezőgazdasági célú használata</w:t>
            </w:r>
          </w:p>
          <w:p w:rsidR="00CF7C1C" w:rsidRPr="00E1404B" w:rsidRDefault="00CF7C1C" w:rsidP="00A35D13">
            <w:pPr>
              <w:pStyle w:val="Normltblabal3pckkel"/>
            </w:pPr>
            <w:r w:rsidRPr="00E1404B">
              <w:t>Szántóföldi termesztés</w:t>
            </w:r>
          </w:p>
          <w:p w:rsidR="00CF7C1C" w:rsidRPr="00E1404B" w:rsidRDefault="00CF7C1C" w:rsidP="00A35D13">
            <w:pPr>
              <w:pStyle w:val="Normltblabal3pckkel"/>
            </w:pPr>
            <w:r w:rsidRPr="00E1404B">
              <w:t xml:space="preserve">Legelő </w:t>
            </w:r>
          </w:p>
          <w:p w:rsidR="00CF7C1C" w:rsidRPr="00E1404B" w:rsidRDefault="00CF7C1C" w:rsidP="00A35D13">
            <w:pPr>
              <w:pStyle w:val="Normltblabal3pckkel"/>
            </w:pPr>
            <w:r w:rsidRPr="00E1404B">
              <w:t>Egyéb</w:t>
            </w:r>
          </w:p>
          <w:p w:rsidR="00CF7C1C" w:rsidRPr="00E1404B" w:rsidRDefault="00CF7C1C" w:rsidP="00A35D13">
            <w:pPr>
              <w:pStyle w:val="Normltblabal2"/>
              <w:rPr>
                <w:lang w:bidi="sa-IN"/>
              </w:rPr>
            </w:pPr>
          </w:p>
          <w:p w:rsidR="00CF7C1C" w:rsidRPr="00E1404B" w:rsidRDefault="00CF7C1C" w:rsidP="00A35D13">
            <w:pPr>
              <w:spacing w:after="0"/>
              <w:rPr>
                <w:sz w:val="20"/>
                <w:szCs w:val="20"/>
                <w:lang w:val="en-GB" w:bidi="sa-IN"/>
              </w:rPr>
            </w:pPr>
            <w:r w:rsidRPr="00E1404B">
              <w:rPr>
                <w:sz w:val="20"/>
                <w:szCs w:val="20"/>
                <w:lang w:bidi="sa-IN"/>
              </w:rPr>
              <w:t>A fa típusa</w:t>
            </w:r>
          </w:p>
          <w:p w:rsidR="00CF7C1C" w:rsidRPr="00E1404B" w:rsidRDefault="00CF7C1C" w:rsidP="00A35D13">
            <w:pPr>
              <w:spacing w:after="0"/>
              <w:rPr>
                <w:sz w:val="20"/>
                <w:szCs w:val="20"/>
              </w:rPr>
            </w:pPr>
            <w:r w:rsidRPr="00E1404B">
              <w:rPr>
                <w:sz w:val="20"/>
                <w:szCs w:val="20"/>
                <w:lang w:bidi="sa-IN"/>
              </w:rPr>
              <w:t xml:space="preserve">Tölgy és </w:t>
            </w:r>
            <w:r w:rsidRPr="00E1404B">
              <w:rPr>
                <w:sz w:val="20"/>
                <w:szCs w:val="20"/>
              </w:rPr>
              <w:t>bükk</w:t>
            </w:r>
          </w:p>
          <w:p w:rsidR="00CF7C1C" w:rsidRPr="00E1404B" w:rsidRDefault="00CF7C1C" w:rsidP="00A35D13">
            <w:pPr>
              <w:spacing w:after="0"/>
              <w:rPr>
                <w:sz w:val="20"/>
                <w:szCs w:val="20"/>
              </w:rPr>
            </w:pPr>
            <w:r w:rsidRPr="00E1404B">
              <w:rPr>
                <w:sz w:val="20"/>
                <w:szCs w:val="20"/>
              </w:rPr>
              <w:t>Egyéb kemény lombú</w:t>
            </w:r>
          </w:p>
          <w:p w:rsidR="00CF7C1C" w:rsidRPr="00E1404B" w:rsidRDefault="00CF7C1C" w:rsidP="00A35D13">
            <w:pPr>
              <w:spacing w:after="0"/>
              <w:rPr>
                <w:sz w:val="20"/>
                <w:szCs w:val="20"/>
              </w:rPr>
            </w:pPr>
            <w:r w:rsidRPr="00E1404B">
              <w:rPr>
                <w:sz w:val="20"/>
                <w:szCs w:val="20"/>
              </w:rPr>
              <w:t>Egyéb puha lombú</w:t>
            </w:r>
          </w:p>
          <w:p w:rsidR="00CF7C1C" w:rsidRPr="00E1404B" w:rsidRDefault="00CF7C1C" w:rsidP="00A35D13">
            <w:pPr>
              <w:spacing w:after="0"/>
              <w:rPr>
                <w:sz w:val="20"/>
                <w:szCs w:val="20"/>
              </w:rPr>
            </w:pPr>
            <w:r w:rsidRPr="00E1404B">
              <w:rPr>
                <w:sz w:val="20"/>
                <w:szCs w:val="20"/>
              </w:rPr>
              <w:t>Akácfa</w:t>
            </w:r>
          </w:p>
          <w:p w:rsidR="00CF7C1C" w:rsidRPr="00E1404B" w:rsidRDefault="00CF7C1C" w:rsidP="00A35D13">
            <w:pPr>
              <w:spacing w:after="0"/>
              <w:rPr>
                <w:sz w:val="20"/>
                <w:szCs w:val="20"/>
              </w:rPr>
            </w:pPr>
            <w:r w:rsidRPr="00E1404B">
              <w:rPr>
                <w:sz w:val="20"/>
                <w:szCs w:val="20"/>
              </w:rPr>
              <w:t>Nemes nyár</w:t>
            </w:r>
          </w:p>
          <w:p w:rsidR="00CF7C1C" w:rsidRPr="00E1404B" w:rsidRDefault="00CF7C1C" w:rsidP="00A35D13">
            <w:pPr>
              <w:spacing w:after="0"/>
              <w:rPr>
                <w:sz w:val="20"/>
                <w:szCs w:val="20"/>
                <w:lang w:bidi="sa-IN"/>
              </w:rPr>
            </w:pPr>
            <w:r w:rsidRPr="00E1404B">
              <w:rPr>
                <w:sz w:val="20"/>
                <w:szCs w:val="20"/>
              </w:rPr>
              <w:t>Fenyő</w:t>
            </w:r>
          </w:p>
        </w:tc>
        <w:tc>
          <w:tcPr>
            <w:tcW w:w="1792" w:type="dxa"/>
          </w:tcPr>
          <w:p w:rsidR="00CF7C1C" w:rsidRPr="00A35D13" w:rsidRDefault="00CF7C1C" w:rsidP="00A35D13">
            <w:pPr>
              <w:pStyle w:val="Tbla-jobb"/>
            </w:pPr>
            <w:r w:rsidRPr="00A35D13">
              <w:t>3</w:t>
            </w:r>
            <w:r w:rsidR="00173635" w:rsidRPr="00A35D13">
              <w:t xml:space="preserve"> </w:t>
            </w:r>
            <w:r w:rsidRPr="00A35D13">
              <w:t>000 ha</w:t>
            </w:r>
          </w:p>
          <w:p w:rsidR="00CF7C1C" w:rsidRPr="00A35D13" w:rsidRDefault="00CF7C1C" w:rsidP="00A35D13">
            <w:pPr>
              <w:pStyle w:val="Tbla-jobb"/>
            </w:pPr>
          </w:p>
          <w:p w:rsidR="00CF7C1C" w:rsidRPr="00A35D13" w:rsidRDefault="00CF7C1C" w:rsidP="00A35D13">
            <w:pPr>
              <w:pStyle w:val="Tbla-jobb"/>
            </w:pPr>
            <w:r w:rsidRPr="00A35D13">
              <w:t>Nem alkalmazható</w:t>
            </w:r>
          </w:p>
          <w:p w:rsidR="00CF7C1C" w:rsidRPr="00A35D13" w:rsidRDefault="00CF7C1C" w:rsidP="00A35D13">
            <w:pPr>
              <w:pStyle w:val="Tbla-jobb"/>
            </w:pPr>
            <w:r w:rsidRPr="00A35D13">
              <w:t>3</w:t>
            </w:r>
            <w:r w:rsidR="00173635" w:rsidRPr="00A35D13">
              <w:t xml:space="preserve"> </w:t>
            </w:r>
            <w:r w:rsidRPr="00A35D13">
              <w:t>000 ha</w:t>
            </w:r>
          </w:p>
          <w:p w:rsidR="00CF7C1C" w:rsidRPr="00A35D13" w:rsidRDefault="00CF7C1C" w:rsidP="00A35D13">
            <w:pPr>
              <w:pStyle w:val="Tbla-jobb"/>
            </w:pPr>
            <w:r w:rsidRPr="00A35D13">
              <w:t>Nem alkalmazható</w:t>
            </w:r>
          </w:p>
          <w:p w:rsidR="00CF7C1C" w:rsidRPr="00A35D13" w:rsidRDefault="00CF7C1C" w:rsidP="00A35D13">
            <w:pPr>
              <w:pStyle w:val="Tbla-jobb"/>
            </w:pPr>
          </w:p>
          <w:p w:rsidR="00CF7C1C" w:rsidRPr="00A35D13" w:rsidRDefault="00CF7C1C" w:rsidP="00A35D13">
            <w:pPr>
              <w:pStyle w:val="Tbla-jobb"/>
            </w:pPr>
          </w:p>
          <w:p w:rsidR="00CF7C1C" w:rsidRPr="00A35D13" w:rsidRDefault="00CF7C1C" w:rsidP="00A35D13">
            <w:pPr>
              <w:pStyle w:val="Tbla-jobb"/>
            </w:pPr>
          </w:p>
          <w:p w:rsidR="00CF7C1C" w:rsidRPr="00A35D13" w:rsidRDefault="00CF7C1C" w:rsidP="00A35D13">
            <w:pPr>
              <w:pStyle w:val="Tbla-jobb"/>
            </w:pPr>
            <w:r w:rsidRPr="00A35D13">
              <w:t>1</w:t>
            </w:r>
            <w:r w:rsidR="00173635" w:rsidRPr="00A35D13">
              <w:t xml:space="preserve"> </w:t>
            </w:r>
            <w:r w:rsidRPr="00A35D13">
              <w:t>000 ha</w:t>
            </w:r>
          </w:p>
          <w:p w:rsidR="00CF7C1C" w:rsidRPr="00A35D13" w:rsidRDefault="00CF7C1C" w:rsidP="00A35D13">
            <w:pPr>
              <w:pStyle w:val="Tbla-jobb"/>
            </w:pPr>
            <w:r w:rsidRPr="00A35D13">
              <w:t>1</w:t>
            </w:r>
            <w:r w:rsidR="00173635" w:rsidRPr="00A35D13">
              <w:t xml:space="preserve"> </w:t>
            </w:r>
            <w:r w:rsidRPr="00A35D13">
              <w:t>000 ha</w:t>
            </w:r>
          </w:p>
          <w:p w:rsidR="00CF7C1C" w:rsidRPr="00A35D13" w:rsidRDefault="00CF7C1C" w:rsidP="00A35D13">
            <w:pPr>
              <w:pStyle w:val="Tbla-jobb"/>
            </w:pPr>
            <w:r w:rsidRPr="00A35D13">
              <w:t>1</w:t>
            </w:r>
            <w:r w:rsidR="00173635" w:rsidRPr="00A35D13">
              <w:t xml:space="preserve"> </w:t>
            </w:r>
            <w:r w:rsidRPr="00A35D13">
              <w:t>000 ha</w:t>
            </w:r>
          </w:p>
          <w:p w:rsidR="00CF7C1C" w:rsidRPr="00A35D13" w:rsidRDefault="00CF7C1C" w:rsidP="00A35D13">
            <w:pPr>
              <w:pStyle w:val="Tbla-jobb"/>
            </w:pPr>
            <w:r w:rsidRPr="00A35D13">
              <w:t>0</w:t>
            </w:r>
          </w:p>
          <w:p w:rsidR="00CF7C1C" w:rsidRPr="00A35D13" w:rsidRDefault="00CF7C1C" w:rsidP="00A35D13">
            <w:pPr>
              <w:pStyle w:val="Tbla-jobb"/>
            </w:pPr>
            <w:r w:rsidRPr="00A35D13">
              <w:t>0</w:t>
            </w:r>
          </w:p>
          <w:p w:rsidR="00CF7C1C" w:rsidRPr="00A35D13" w:rsidRDefault="00CF7C1C" w:rsidP="00A35D13">
            <w:pPr>
              <w:pStyle w:val="Tbla-jobb"/>
            </w:pPr>
            <w:r w:rsidRPr="00A35D13">
              <w:t>0</w:t>
            </w:r>
          </w:p>
        </w:tc>
        <w:tc>
          <w:tcPr>
            <w:tcW w:w="1586" w:type="dxa"/>
          </w:tcPr>
          <w:p w:rsidR="00CF7C1C" w:rsidRPr="00A35D13" w:rsidRDefault="00CF7C1C" w:rsidP="00A35D13">
            <w:pPr>
              <w:pStyle w:val="Tbla-jobb"/>
            </w:pPr>
            <w:r w:rsidRPr="00A35D13">
              <w:t xml:space="preserve">905,45 </w:t>
            </w:r>
          </w:p>
          <w:p w:rsidR="00CF7C1C" w:rsidRPr="00A35D13" w:rsidRDefault="00CF7C1C" w:rsidP="00A35D13">
            <w:pPr>
              <w:pStyle w:val="Tbla-jobb"/>
            </w:pPr>
          </w:p>
          <w:p w:rsidR="00CF7C1C" w:rsidRPr="00A35D13" w:rsidRDefault="00CF7C1C" w:rsidP="00A35D13">
            <w:pPr>
              <w:pStyle w:val="Tbla-jobb"/>
            </w:pPr>
          </w:p>
          <w:p w:rsidR="006444BD" w:rsidRPr="00A35D13" w:rsidRDefault="006444BD" w:rsidP="006444BD">
            <w:pPr>
              <w:pStyle w:val="Tbla-jobb"/>
            </w:pPr>
            <w:r w:rsidRPr="00A35D13">
              <w:t xml:space="preserve">905,45 </w:t>
            </w:r>
          </w:p>
          <w:p w:rsidR="00CF7C1C" w:rsidRPr="00A35D13" w:rsidRDefault="00CF7C1C" w:rsidP="00A35D13">
            <w:pPr>
              <w:pStyle w:val="Tbla-jobb"/>
            </w:pPr>
          </w:p>
          <w:p w:rsidR="00CF7C1C" w:rsidRPr="00A35D13" w:rsidRDefault="00CF7C1C" w:rsidP="00A35D13">
            <w:pPr>
              <w:pStyle w:val="Tbla-jobb"/>
            </w:pPr>
          </w:p>
          <w:p w:rsidR="00CF7C1C" w:rsidRPr="00A35D13" w:rsidRDefault="00CF7C1C" w:rsidP="00A35D13">
            <w:pPr>
              <w:pStyle w:val="Tbla-jobb"/>
            </w:pPr>
          </w:p>
          <w:p w:rsidR="00CF7C1C" w:rsidRPr="00A35D13" w:rsidRDefault="00CF7C1C" w:rsidP="00A35D13">
            <w:pPr>
              <w:pStyle w:val="Tbla-jobb"/>
            </w:pPr>
          </w:p>
          <w:p w:rsidR="00CF7C1C" w:rsidRPr="00A35D13" w:rsidRDefault="00CF7C1C" w:rsidP="00A35D13">
            <w:pPr>
              <w:pStyle w:val="Tbla-jobb"/>
            </w:pPr>
            <w:r w:rsidRPr="00A35D13">
              <w:t xml:space="preserve">894,88 </w:t>
            </w:r>
          </w:p>
          <w:p w:rsidR="00CF7C1C" w:rsidRPr="00A35D13" w:rsidRDefault="00CF7C1C" w:rsidP="00A35D13">
            <w:pPr>
              <w:pStyle w:val="Tbla-jobb"/>
            </w:pPr>
            <w:r w:rsidRPr="00A35D13">
              <w:t xml:space="preserve">0 </w:t>
            </w:r>
          </w:p>
          <w:p w:rsidR="00CF7C1C" w:rsidRPr="00A35D13" w:rsidRDefault="00CF7C1C" w:rsidP="00A35D13">
            <w:pPr>
              <w:pStyle w:val="Tbla-jobb"/>
            </w:pPr>
            <w:r w:rsidRPr="00A35D13">
              <w:t>10,57</w:t>
            </w:r>
          </w:p>
          <w:p w:rsidR="00CF7C1C" w:rsidRPr="00A35D13" w:rsidRDefault="00CF7C1C" w:rsidP="00A35D13">
            <w:pPr>
              <w:pStyle w:val="Tbla-jobb"/>
            </w:pPr>
            <w:r w:rsidRPr="00A35D13">
              <w:t>0</w:t>
            </w:r>
          </w:p>
          <w:p w:rsidR="00CF7C1C" w:rsidRPr="00A35D13" w:rsidRDefault="00CF7C1C" w:rsidP="00A35D13">
            <w:pPr>
              <w:pStyle w:val="Tbla-jobb"/>
            </w:pPr>
            <w:r w:rsidRPr="00A35D13">
              <w:t>0</w:t>
            </w:r>
          </w:p>
          <w:p w:rsidR="00CF7C1C" w:rsidRPr="00A35D13" w:rsidRDefault="00CF7C1C" w:rsidP="00A35D13">
            <w:pPr>
              <w:pStyle w:val="Tbla-jobb"/>
            </w:pPr>
            <w:r w:rsidRPr="00A35D13">
              <w:t xml:space="preserve">0 </w:t>
            </w:r>
          </w:p>
        </w:tc>
      </w:tr>
      <w:tr w:rsidR="00CF7C1C" w:rsidRPr="00B053D2" w:rsidTr="00CF7C1C">
        <w:trPr>
          <w:cantSplit/>
          <w:jc w:val="center"/>
        </w:trPr>
        <w:tc>
          <w:tcPr>
            <w:tcW w:w="479" w:type="dxa"/>
          </w:tcPr>
          <w:p w:rsidR="00CF7C1C" w:rsidRPr="00B053D2" w:rsidRDefault="00CF7C1C" w:rsidP="00CF7C1C">
            <w:pPr>
              <w:pStyle w:val="Normltblzatban"/>
              <w:spacing w:after="0"/>
              <w:jc w:val="center"/>
              <w:rPr>
                <w:sz w:val="20"/>
                <w:szCs w:val="20"/>
                <w:lang w:bidi="sa-IN"/>
              </w:rPr>
            </w:pPr>
            <w:r w:rsidRPr="00B053D2">
              <w:rPr>
                <w:sz w:val="20"/>
                <w:szCs w:val="20"/>
                <w:lang w:bidi="sa-IN"/>
              </w:rPr>
              <w:t>R</w:t>
            </w:r>
          </w:p>
        </w:tc>
        <w:tc>
          <w:tcPr>
            <w:tcW w:w="5400" w:type="dxa"/>
          </w:tcPr>
          <w:p w:rsidR="00CF7C1C" w:rsidRPr="00B053D2" w:rsidRDefault="00CF7C1C" w:rsidP="00CF7C1C">
            <w:pPr>
              <w:pStyle w:val="Normltblzatban"/>
              <w:spacing w:after="0"/>
              <w:rPr>
                <w:sz w:val="20"/>
                <w:szCs w:val="20"/>
                <w:lang w:bidi="sa-IN"/>
              </w:rPr>
            </w:pPr>
            <w:r w:rsidRPr="00B053D2">
              <w:rPr>
                <w:sz w:val="20"/>
                <w:szCs w:val="20"/>
                <w:lang w:bidi="sa-IN"/>
              </w:rPr>
              <w:t>Sikeres földhasználat alatt álló területek</w:t>
            </w:r>
            <w:r w:rsidRPr="00B053D2">
              <w:rPr>
                <w:b/>
                <w:bCs/>
                <w:sz w:val="20"/>
                <w:szCs w:val="20"/>
                <w:lang w:bidi="sa-IN"/>
              </w:rPr>
              <w:t xml:space="preserve"> </w:t>
            </w:r>
          </w:p>
          <w:p w:rsidR="00CF7C1C" w:rsidRPr="00B053D2" w:rsidRDefault="00CF7C1C" w:rsidP="00CF7C1C">
            <w:pPr>
              <w:suppressAutoHyphens w:val="0"/>
              <w:spacing w:after="0"/>
              <w:jc w:val="left"/>
              <w:rPr>
                <w:sz w:val="20"/>
                <w:szCs w:val="20"/>
                <w:lang w:bidi="sa-IN"/>
              </w:rPr>
            </w:pPr>
            <w:r w:rsidRPr="00B053D2">
              <w:rPr>
                <w:sz w:val="20"/>
                <w:szCs w:val="20"/>
                <w:lang w:bidi="sa-IN"/>
              </w:rPr>
              <w:t>Intézkedés</w:t>
            </w:r>
          </w:p>
          <w:p w:rsidR="00CF7C1C" w:rsidRPr="00B053D2" w:rsidRDefault="00CF7C1C" w:rsidP="00CF7C1C">
            <w:pPr>
              <w:suppressAutoHyphens w:val="0"/>
              <w:spacing w:after="0"/>
              <w:jc w:val="left"/>
              <w:rPr>
                <w:sz w:val="20"/>
                <w:szCs w:val="20"/>
                <w:lang w:val="en-GB" w:bidi="sa-IN"/>
              </w:rPr>
            </w:pPr>
            <w:r w:rsidRPr="00B053D2">
              <w:rPr>
                <w:sz w:val="20"/>
                <w:szCs w:val="20"/>
                <w:lang w:bidi="sa-IN"/>
              </w:rPr>
              <w:t>A hozzájárulás típusa</w:t>
            </w:r>
            <w:r w:rsidRPr="00B053D2">
              <w:rPr>
                <w:sz w:val="20"/>
                <w:szCs w:val="20"/>
                <w:lang w:val="en-GB" w:bidi="sa-IN"/>
              </w:rPr>
              <w:t xml:space="preserve"> </w:t>
            </w:r>
          </w:p>
          <w:p w:rsidR="00CF7C1C" w:rsidRPr="00B053D2" w:rsidRDefault="00CF7C1C" w:rsidP="00495C8B">
            <w:pPr>
              <w:numPr>
                <w:ilvl w:val="0"/>
                <w:numId w:val="46"/>
              </w:numPr>
              <w:spacing w:after="0"/>
              <w:rPr>
                <w:sz w:val="20"/>
                <w:szCs w:val="20"/>
              </w:rPr>
            </w:pPr>
            <w:r w:rsidRPr="00B053D2">
              <w:rPr>
                <w:sz w:val="20"/>
                <w:szCs w:val="20"/>
                <w:lang w:bidi="sa-IN"/>
              </w:rPr>
              <w:t xml:space="preserve">A </w:t>
            </w:r>
            <w:r w:rsidRPr="00B053D2">
              <w:rPr>
                <w:sz w:val="20"/>
                <w:szCs w:val="20"/>
              </w:rPr>
              <w:t>biodiverzitás növelése</w:t>
            </w:r>
          </w:p>
          <w:p w:rsidR="00CF7C1C" w:rsidRPr="00B053D2" w:rsidRDefault="00CF7C1C" w:rsidP="00495C8B">
            <w:pPr>
              <w:numPr>
                <w:ilvl w:val="0"/>
                <w:numId w:val="46"/>
              </w:numPr>
              <w:spacing w:after="0"/>
              <w:rPr>
                <w:sz w:val="20"/>
                <w:szCs w:val="20"/>
              </w:rPr>
            </w:pPr>
            <w:r w:rsidRPr="00B053D2">
              <w:rPr>
                <w:sz w:val="20"/>
                <w:szCs w:val="20"/>
              </w:rPr>
              <w:t>A vízminőség javítása</w:t>
            </w:r>
          </w:p>
          <w:p w:rsidR="00CF7C1C" w:rsidRPr="00B053D2" w:rsidRDefault="00CF7C1C" w:rsidP="00495C8B">
            <w:pPr>
              <w:numPr>
                <w:ilvl w:val="0"/>
                <w:numId w:val="46"/>
              </w:numPr>
              <w:spacing w:after="0"/>
              <w:rPr>
                <w:sz w:val="20"/>
                <w:szCs w:val="20"/>
              </w:rPr>
            </w:pPr>
            <w:r w:rsidRPr="00B053D2">
              <w:rPr>
                <w:sz w:val="20"/>
                <w:szCs w:val="20"/>
              </w:rPr>
              <w:t>A klímaváltozás mérséklése</w:t>
            </w:r>
          </w:p>
          <w:p w:rsidR="00CF7C1C" w:rsidRPr="00B053D2" w:rsidRDefault="00CF7C1C" w:rsidP="00495C8B">
            <w:pPr>
              <w:numPr>
                <w:ilvl w:val="0"/>
                <w:numId w:val="46"/>
              </w:numPr>
              <w:spacing w:after="0"/>
              <w:rPr>
                <w:sz w:val="20"/>
                <w:szCs w:val="20"/>
              </w:rPr>
            </w:pPr>
            <w:r w:rsidRPr="00B053D2">
              <w:rPr>
                <w:sz w:val="20"/>
                <w:szCs w:val="20"/>
              </w:rPr>
              <w:t xml:space="preserve">A talajminőség javítása </w:t>
            </w:r>
          </w:p>
          <w:p w:rsidR="00CF7C1C" w:rsidRPr="00B053D2" w:rsidRDefault="00CF7C1C" w:rsidP="00495C8B">
            <w:pPr>
              <w:numPr>
                <w:ilvl w:val="0"/>
                <w:numId w:val="46"/>
              </w:numPr>
              <w:spacing w:after="0"/>
              <w:jc w:val="left"/>
              <w:rPr>
                <w:sz w:val="20"/>
                <w:szCs w:val="20"/>
                <w:lang w:bidi="sa-IN"/>
              </w:rPr>
            </w:pPr>
            <w:r w:rsidRPr="00B053D2">
              <w:rPr>
                <w:sz w:val="20"/>
                <w:szCs w:val="20"/>
              </w:rPr>
              <w:t>A marginalizálódás</w:t>
            </w:r>
            <w:r w:rsidRPr="00B053D2">
              <w:rPr>
                <w:sz w:val="20"/>
                <w:szCs w:val="20"/>
                <w:lang w:bidi="sa-IN"/>
              </w:rPr>
              <w:t xml:space="preserve"> és a föld felhagyásának elkerülése</w:t>
            </w:r>
          </w:p>
        </w:tc>
        <w:tc>
          <w:tcPr>
            <w:tcW w:w="1792" w:type="dxa"/>
          </w:tcPr>
          <w:p w:rsidR="00CF7C1C" w:rsidRPr="00B053D2" w:rsidRDefault="00CF7C1C" w:rsidP="00CF7C1C">
            <w:pPr>
              <w:pStyle w:val="Normltblzatban"/>
              <w:spacing w:after="0"/>
              <w:jc w:val="right"/>
              <w:rPr>
                <w:sz w:val="20"/>
                <w:szCs w:val="20"/>
                <w:lang w:bidi="sa-IN"/>
              </w:rPr>
            </w:pPr>
            <w:r w:rsidRPr="00B053D2">
              <w:rPr>
                <w:sz w:val="20"/>
                <w:szCs w:val="20"/>
                <w:lang w:bidi="sa-IN"/>
              </w:rPr>
              <w:t>3000 ha</w:t>
            </w: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pacing w:val="-6"/>
                <w:sz w:val="20"/>
                <w:szCs w:val="20"/>
                <w:lang w:bidi="sa-IN"/>
              </w:rPr>
            </w:pPr>
            <w:r w:rsidRPr="00B053D2">
              <w:rPr>
                <w:spacing w:val="-6"/>
                <w:sz w:val="20"/>
                <w:szCs w:val="20"/>
                <w:lang w:bidi="sa-IN"/>
              </w:rPr>
              <w:t>Közvetlen, pozitív</w:t>
            </w:r>
          </w:p>
          <w:p w:rsidR="00CF7C1C" w:rsidRPr="00B053D2" w:rsidRDefault="00CF7C1C" w:rsidP="00CF7C1C">
            <w:pPr>
              <w:pStyle w:val="Normltblzatban"/>
              <w:spacing w:after="0"/>
              <w:jc w:val="right"/>
              <w:rPr>
                <w:spacing w:val="-6"/>
                <w:sz w:val="20"/>
                <w:szCs w:val="20"/>
                <w:lang w:bidi="sa-IN"/>
              </w:rPr>
            </w:pPr>
            <w:r w:rsidRPr="00B053D2">
              <w:rPr>
                <w:spacing w:val="-6"/>
                <w:sz w:val="20"/>
                <w:szCs w:val="20"/>
                <w:lang w:bidi="sa-IN"/>
              </w:rPr>
              <w:t>Közvetett, pozitív</w:t>
            </w:r>
          </w:p>
          <w:p w:rsidR="00CF7C1C" w:rsidRPr="00B053D2" w:rsidRDefault="00CF7C1C" w:rsidP="00CF7C1C">
            <w:pPr>
              <w:pStyle w:val="Normltblzatban"/>
              <w:spacing w:after="0"/>
              <w:jc w:val="right"/>
              <w:rPr>
                <w:spacing w:val="-6"/>
                <w:sz w:val="20"/>
                <w:szCs w:val="20"/>
                <w:lang w:bidi="sa-IN"/>
              </w:rPr>
            </w:pPr>
            <w:r w:rsidRPr="00B053D2">
              <w:rPr>
                <w:spacing w:val="-6"/>
                <w:sz w:val="20"/>
                <w:szCs w:val="20"/>
                <w:lang w:bidi="sa-IN"/>
              </w:rPr>
              <w:t>Közvetlen, pozitív</w:t>
            </w:r>
          </w:p>
          <w:p w:rsidR="00CF7C1C" w:rsidRPr="00B053D2" w:rsidRDefault="00CF7C1C" w:rsidP="00CF7C1C">
            <w:pPr>
              <w:pStyle w:val="Normltblzatban"/>
              <w:spacing w:after="0"/>
              <w:jc w:val="right"/>
              <w:rPr>
                <w:spacing w:val="-6"/>
                <w:sz w:val="20"/>
                <w:szCs w:val="20"/>
                <w:lang w:val="en-GB" w:bidi="sa-IN"/>
              </w:rPr>
            </w:pPr>
            <w:r w:rsidRPr="00B053D2">
              <w:rPr>
                <w:spacing w:val="-6"/>
                <w:sz w:val="20"/>
                <w:szCs w:val="20"/>
                <w:lang w:bidi="sa-IN"/>
              </w:rPr>
              <w:t>Közvetett, pozitív</w:t>
            </w:r>
          </w:p>
          <w:p w:rsidR="00CF7C1C" w:rsidRPr="00B053D2" w:rsidRDefault="00CF7C1C" w:rsidP="00CF7C1C">
            <w:pPr>
              <w:pStyle w:val="Normltblzatban"/>
              <w:spacing w:after="0"/>
              <w:jc w:val="right"/>
              <w:rPr>
                <w:sz w:val="20"/>
                <w:szCs w:val="20"/>
                <w:lang w:bidi="sa-IN"/>
              </w:rPr>
            </w:pPr>
            <w:r w:rsidRPr="00B053D2">
              <w:rPr>
                <w:spacing w:val="-6"/>
                <w:sz w:val="20"/>
                <w:szCs w:val="20"/>
                <w:lang w:bidi="sa-IN"/>
              </w:rPr>
              <w:t>Közvetett, pozitív</w:t>
            </w:r>
          </w:p>
        </w:tc>
        <w:tc>
          <w:tcPr>
            <w:tcW w:w="1586" w:type="dxa"/>
            <w:shd w:val="clear" w:color="auto" w:fill="auto"/>
          </w:tcPr>
          <w:p w:rsidR="00CF7C1C" w:rsidRDefault="00B053D2" w:rsidP="00CF7C1C">
            <w:pPr>
              <w:pStyle w:val="Normltblzatban"/>
              <w:spacing w:after="0"/>
              <w:jc w:val="right"/>
              <w:rPr>
                <w:sz w:val="20"/>
                <w:szCs w:val="20"/>
                <w:lang w:bidi="sa-IN"/>
              </w:rPr>
            </w:pPr>
            <w:r>
              <w:rPr>
                <w:sz w:val="20"/>
                <w:szCs w:val="20"/>
                <w:lang w:bidi="sa-IN"/>
              </w:rPr>
              <w:t>184,08</w:t>
            </w:r>
          </w:p>
          <w:p w:rsidR="00B053D2" w:rsidRDefault="00B053D2" w:rsidP="00CF7C1C">
            <w:pPr>
              <w:pStyle w:val="Normltblzatban"/>
              <w:spacing w:after="0"/>
              <w:jc w:val="right"/>
              <w:rPr>
                <w:sz w:val="20"/>
                <w:szCs w:val="20"/>
                <w:lang w:bidi="sa-IN"/>
              </w:rPr>
            </w:pPr>
          </w:p>
          <w:p w:rsidR="00B053D2" w:rsidRDefault="00B053D2" w:rsidP="00CF7C1C">
            <w:pPr>
              <w:pStyle w:val="Normltblzatban"/>
              <w:spacing w:after="0"/>
              <w:jc w:val="right"/>
              <w:rPr>
                <w:sz w:val="20"/>
                <w:szCs w:val="20"/>
                <w:lang w:bidi="sa-IN"/>
              </w:rPr>
            </w:pPr>
          </w:p>
          <w:p w:rsidR="00B053D2" w:rsidRDefault="00B053D2" w:rsidP="00CF7C1C">
            <w:pPr>
              <w:pStyle w:val="Normltblzatban"/>
              <w:spacing w:after="0"/>
              <w:jc w:val="right"/>
              <w:rPr>
                <w:sz w:val="20"/>
                <w:szCs w:val="20"/>
                <w:lang w:bidi="sa-IN"/>
              </w:rPr>
            </w:pPr>
            <w:r>
              <w:rPr>
                <w:sz w:val="20"/>
                <w:szCs w:val="20"/>
                <w:lang w:bidi="sa-IN"/>
              </w:rPr>
              <w:t>NA</w:t>
            </w:r>
          </w:p>
          <w:p w:rsidR="00B053D2" w:rsidRDefault="00B053D2" w:rsidP="00CF7C1C">
            <w:pPr>
              <w:pStyle w:val="Normltblzatban"/>
              <w:spacing w:after="0"/>
              <w:jc w:val="right"/>
              <w:rPr>
                <w:sz w:val="20"/>
                <w:szCs w:val="20"/>
                <w:lang w:bidi="sa-IN"/>
              </w:rPr>
            </w:pPr>
            <w:r>
              <w:rPr>
                <w:sz w:val="20"/>
                <w:szCs w:val="20"/>
                <w:lang w:bidi="sa-IN"/>
              </w:rPr>
              <w:t>NA</w:t>
            </w:r>
          </w:p>
          <w:p w:rsidR="00B053D2" w:rsidRDefault="00B053D2" w:rsidP="00CF7C1C">
            <w:pPr>
              <w:pStyle w:val="Normltblzatban"/>
              <w:spacing w:after="0"/>
              <w:jc w:val="right"/>
              <w:rPr>
                <w:sz w:val="20"/>
                <w:szCs w:val="20"/>
                <w:lang w:bidi="sa-IN"/>
              </w:rPr>
            </w:pPr>
            <w:r>
              <w:rPr>
                <w:sz w:val="20"/>
                <w:szCs w:val="20"/>
                <w:lang w:bidi="sa-IN"/>
              </w:rPr>
              <w:t>NA</w:t>
            </w:r>
          </w:p>
          <w:p w:rsidR="00B053D2" w:rsidRDefault="00B053D2" w:rsidP="00B053D2">
            <w:pPr>
              <w:pStyle w:val="Normltblzatban"/>
              <w:spacing w:after="0"/>
              <w:jc w:val="right"/>
              <w:rPr>
                <w:sz w:val="20"/>
                <w:szCs w:val="20"/>
                <w:lang w:bidi="sa-IN"/>
              </w:rPr>
            </w:pPr>
            <w:r>
              <w:rPr>
                <w:sz w:val="20"/>
                <w:szCs w:val="20"/>
                <w:lang w:bidi="sa-IN"/>
              </w:rPr>
              <w:t>NA</w:t>
            </w:r>
          </w:p>
          <w:p w:rsidR="00831A61" w:rsidRPr="00B053D2" w:rsidRDefault="00831A61" w:rsidP="00B053D2">
            <w:pPr>
              <w:pStyle w:val="Normltblzatban"/>
              <w:spacing w:after="0"/>
              <w:jc w:val="right"/>
              <w:rPr>
                <w:sz w:val="20"/>
                <w:szCs w:val="20"/>
                <w:lang w:bidi="sa-IN"/>
              </w:rPr>
            </w:pPr>
            <w:r>
              <w:rPr>
                <w:sz w:val="20"/>
                <w:szCs w:val="20"/>
                <w:lang w:bidi="sa-IN"/>
              </w:rPr>
              <w:t>NA</w:t>
            </w:r>
          </w:p>
        </w:tc>
      </w:tr>
      <w:tr w:rsidR="00CF7C1C" w:rsidRPr="00B053D2" w:rsidTr="00CF7C1C">
        <w:trPr>
          <w:cantSplit/>
          <w:jc w:val="center"/>
        </w:trPr>
        <w:tc>
          <w:tcPr>
            <w:tcW w:w="479" w:type="dxa"/>
            <w:vMerge w:val="restart"/>
          </w:tcPr>
          <w:p w:rsidR="00CF7C1C" w:rsidRPr="00B053D2" w:rsidRDefault="00CF7C1C" w:rsidP="00CF7C1C">
            <w:pPr>
              <w:pStyle w:val="Normltblzatban"/>
              <w:spacing w:after="0"/>
              <w:jc w:val="center"/>
              <w:rPr>
                <w:sz w:val="20"/>
                <w:szCs w:val="20"/>
                <w:lang w:bidi="sa-IN"/>
              </w:rPr>
            </w:pPr>
            <w:r w:rsidRPr="00B053D2">
              <w:rPr>
                <w:sz w:val="20"/>
                <w:szCs w:val="20"/>
                <w:lang w:bidi="sa-IN"/>
              </w:rPr>
              <w:t>I</w:t>
            </w:r>
          </w:p>
        </w:tc>
        <w:tc>
          <w:tcPr>
            <w:tcW w:w="5400" w:type="dxa"/>
          </w:tcPr>
          <w:p w:rsidR="00CF7C1C" w:rsidRPr="00B053D2" w:rsidRDefault="00CF7C1C" w:rsidP="00CF7C1C">
            <w:pPr>
              <w:pStyle w:val="Normltblzatban"/>
              <w:spacing w:after="0"/>
              <w:rPr>
                <w:sz w:val="20"/>
                <w:szCs w:val="20"/>
                <w:lang w:bidi="sa-IN"/>
              </w:rPr>
            </w:pPr>
            <w:r w:rsidRPr="00B053D2">
              <w:rPr>
                <w:sz w:val="20"/>
                <w:szCs w:val="20"/>
                <w:lang w:bidi="sa-IN"/>
              </w:rPr>
              <w:t>A biodiverzitás csökkenésének visszafordítása (mezőgazdasági területen fészkelő vadon élő madarak száma, 2000 = 100%) 100%)</w:t>
            </w:r>
          </w:p>
        </w:tc>
        <w:tc>
          <w:tcPr>
            <w:tcW w:w="1792" w:type="dxa"/>
            <w:vAlign w:val="center"/>
          </w:tcPr>
          <w:p w:rsidR="00CF7C1C" w:rsidRPr="00B053D2" w:rsidRDefault="00CF7C1C" w:rsidP="00CF7C1C">
            <w:pPr>
              <w:pStyle w:val="Normltblzatban"/>
              <w:spacing w:after="0"/>
              <w:jc w:val="right"/>
              <w:rPr>
                <w:sz w:val="20"/>
                <w:szCs w:val="20"/>
              </w:rPr>
            </w:pPr>
          </w:p>
          <w:p w:rsidR="00CF7C1C" w:rsidRPr="00B053D2" w:rsidRDefault="00CF7C1C" w:rsidP="00CF7C1C">
            <w:pPr>
              <w:pStyle w:val="Normltblzatban"/>
              <w:spacing w:after="0"/>
              <w:jc w:val="right"/>
              <w:rPr>
                <w:sz w:val="20"/>
                <w:szCs w:val="20"/>
                <w:lang w:val="en-GB"/>
              </w:rPr>
            </w:pPr>
            <w:r w:rsidRPr="00B053D2">
              <w:rPr>
                <w:sz w:val="20"/>
                <w:szCs w:val="20"/>
                <w:lang w:val="en-GB"/>
              </w:rPr>
              <w:t>0%</w:t>
            </w:r>
          </w:p>
        </w:tc>
        <w:tc>
          <w:tcPr>
            <w:tcW w:w="1586" w:type="dxa"/>
            <w:shd w:val="clear" w:color="auto" w:fill="auto"/>
          </w:tcPr>
          <w:p w:rsidR="00CF7C1C" w:rsidRPr="00B053D2" w:rsidRDefault="00CF7C1C" w:rsidP="00CF7C1C">
            <w:pPr>
              <w:pStyle w:val="Normltblzatban"/>
              <w:spacing w:after="0"/>
              <w:jc w:val="right"/>
              <w:rPr>
                <w:sz w:val="20"/>
                <w:szCs w:val="20"/>
              </w:rPr>
            </w:pPr>
            <w:r w:rsidRPr="00B053D2">
              <w:rPr>
                <w:sz w:val="20"/>
                <w:szCs w:val="20"/>
              </w:rPr>
              <w:t>-</w:t>
            </w:r>
          </w:p>
        </w:tc>
      </w:tr>
      <w:tr w:rsidR="00CF7C1C" w:rsidRPr="00B053D2" w:rsidTr="00CF7C1C">
        <w:trPr>
          <w:cantSplit/>
          <w:jc w:val="center"/>
        </w:trPr>
        <w:tc>
          <w:tcPr>
            <w:tcW w:w="479" w:type="dxa"/>
            <w:vMerge/>
          </w:tcPr>
          <w:p w:rsidR="00CF7C1C" w:rsidRPr="00B053D2" w:rsidRDefault="00CF7C1C" w:rsidP="00CF7C1C">
            <w:pPr>
              <w:pStyle w:val="Normltblzatban"/>
              <w:spacing w:after="0"/>
              <w:jc w:val="center"/>
              <w:rPr>
                <w:sz w:val="20"/>
                <w:szCs w:val="20"/>
                <w:lang w:bidi="sa-IN"/>
              </w:rPr>
            </w:pPr>
          </w:p>
        </w:tc>
        <w:tc>
          <w:tcPr>
            <w:tcW w:w="5400" w:type="dxa"/>
          </w:tcPr>
          <w:p w:rsidR="00CF7C1C" w:rsidRPr="00B053D2" w:rsidRDefault="00CF7C1C" w:rsidP="00CF7C1C">
            <w:pPr>
              <w:pStyle w:val="Normltblzatban"/>
              <w:spacing w:after="0"/>
              <w:rPr>
                <w:sz w:val="20"/>
                <w:szCs w:val="20"/>
                <w:lang w:bidi="sa-IN"/>
              </w:rPr>
            </w:pPr>
            <w:r w:rsidRPr="00B053D2">
              <w:rPr>
                <w:sz w:val="20"/>
                <w:szCs w:val="20"/>
                <w:lang w:bidi="sa-IN"/>
              </w:rPr>
              <w:t>Bruttó tápanyagmérleg (nitrogéntöbblet) változása</w:t>
            </w:r>
          </w:p>
        </w:tc>
        <w:tc>
          <w:tcPr>
            <w:tcW w:w="1792" w:type="dxa"/>
            <w:vAlign w:val="center"/>
          </w:tcPr>
          <w:p w:rsidR="00CF7C1C" w:rsidRPr="00B053D2" w:rsidRDefault="00CF7C1C" w:rsidP="00CF7C1C">
            <w:pPr>
              <w:pStyle w:val="Normltblzatban"/>
              <w:spacing w:after="0"/>
              <w:jc w:val="right"/>
              <w:rPr>
                <w:sz w:val="20"/>
                <w:szCs w:val="20"/>
                <w:lang w:bidi="sa-IN"/>
              </w:rPr>
            </w:pPr>
            <w:r w:rsidRPr="00B053D2">
              <w:rPr>
                <w:sz w:val="20"/>
                <w:szCs w:val="20"/>
                <w:lang w:bidi="sa-IN"/>
              </w:rPr>
              <w:t>-30 kT</w:t>
            </w:r>
          </w:p>
        </w:tc>
        <w:tc>
          <w:tcPr>
            <w:tcW w:w="1586" w:type="dxa"/>
            <w:shd w:val="clear" w:color="auto" w:fill="auto"/>
          </w:tcPr>
          <w:p w:rsidR="00CF7C1C" w:rsidRPr="00B053D2" w:rsidRDefault="00CF7C1C" w:rsidP="00CF7C1C">
            <w:pPr>
              <w:pStyle w:val="Normltblzatban"/>
              <w:spacing w:after="0"/>
              <w:jc w:val="right"/>
              <w:rPr>
                <w:sz w:val="20"/>
                <w:szCs w:val="20"/>
                <w:lang w:bidi="sa-IN"/>
              </w:rPr>
            </w:pPr>
            <w:r w:rsidRPr="00B053D2">
              <w:rPr>
                <w:sz w:val="20"/>
                <w:szCs w:val="20"/>
                <w:lang w:bidi="sa-IN"/>
              </w:rPr>
              <w:t>-</w:t>
            </w:r>
          </w:p>
        </w:tc>
      </w:tr>
      <w:tr w:rsidR="00CF7C1C" w:rsidRPr="00E1404B" w:rsidTr="00CF7C1C">
        <w:trPr>
          <w:cantSplit/>
          <w:jc w:val="center"/>
        </w:trPr>
        <w:tc>
          <w:tcPr>
            <w:tcW w:w="479" w:type="dxa"/>
            <w:vMerge/>
          </w:tcPr>
          <w:p w:rsidR="00CF7C1C" w:rsidRPr="00B053D2" w:rsidRDefault="00CF7C1C" w:rsidP="00CF7C1C">
            <w:pPr>
              <w:pStyle w:val="Normltblzatban"/>
              <w:spacing w:after="0"/>
              <w:jc w:val="center"/>
              <w:rPr>
                <w:sz w:val="20"/>
                <w:szCs w:val="20"/>
                <w:lang w:bidi="sa-IN"/>
              </w:rPr>
            </w:pPr>
          </w:p>
        </w:tc>
        <w:tc>
          <w:tcPr>
            <w:tcW w:w="5400" w:type="dxa"/>
          </w:tcPr>
          <w:p w:rsidR="00CF7C1C" w:rsidRPr="00B053D2" w:rsidRDefault="00CF7C1C" w:rsidP="00CF7C1C">
            <w:pPr>
              <w:pStyle w:val="Normltblzatban"/>
              <w:spacing w:after="0"/>
              <w:rPr>
                <w:sz w:val="20"/>
                <w:szCs w:val="20"/>
                <w:lang w:bidi="sa-IN"/>
              </w:rPr>
            </w:pPr>
            <w:r w:rsidRPr="00B053D2">
              <w:rPr>
                <w:sz w:val="20"/>
                <w:szCs w:val="20"/>
                <w:lang w:bidi="sa-IN"/>
              </w:rPr>
              <w:t>Megújulóenergia-termelés növekedése (ásványolaj-egyenérték)</w:t>
            </w:r>
          </w:p>
        </w:tc>
        <w:tc>
          <w:tcPr>
            <w:tcW w:w="1792" w:type="dxa"/>
            <w:vAlign w:val="center"/>
          </w:tcPr>
          <w:p w:rsidR="00CF7C1C" w:rsidRPr="00B053D2" w:rsidRDefault="00CF7C1C" w:rsidP="00CF7C1C">
            <w:pPr>
              <w:pStyle w:val="Normltblzatban"/>
              <w:spacing w:after="0"/>
              <w:jc w:val="right"/>
              <w:rPr>
                <w:sz w:val="20"/>
                <w:szCs w:val="20"/>
                <w:lang w:val="en-GB"/>
              </w:rPr>
            </w:pPr>
            <w:r w:rsidRPr="00B053D2">
              <w:rPr>
                <w:sz w:val="20"/>
                <w:szCs w:val="20"/>
                <w:lang w:val="en-GB"/>
              </w:rPr>
              <w:t>10 kT</w:t>
            </w:r>
          </w:p>
        </w:tc>
        <w:tc>
          <w:tcPr>
            <w:tcW w:w="1586" w:type="dxa"/>
            <w:shd w:val="clear" w:color="auto" w:fill="auto"/>
          </w:tcPr>
          <w:p w:rsidR="00CF7C1C" w:rsidRPr="00B053D2" w:rsidRDefault="00CF7C1C" w:rsidP="00CF7C1C">
            <w:pPr>
              <w:pStyle w:val="Normltblzatban"/>
              <w:spacing w:after="0"/>
              <w:jc w:val="right"/>
              <w:rPr>
                <w:sz w:val="20"/>
                <w:szCs w:val="20"/>
                <w:lang w:val="en-GB"/>
              </w:rPr>
            </w:pPr>
            <w:r w:rsidRPr="00B053D2">
              <w:rPr>
                <w:sz w:val="20"/>
                <w:szCs w:val="20"/>
                <w:lang w:val="en-GB"/>
              </w:rPr>
              <w:t>-</w:t>
            </w:r>
          </w:p>
        </w:tc>
      </w:tr>
    </w:tbl>
    <w:p w:rsidR="00CF7C1C" w:rsidRDefault="00CF7C1C" w:rsidP="00CF7C1C">
      <w:pPr>
        <w:pStyle w:val="Normlforrs"/>
      </w:pPr>
      <w:r w:rsidRPr="00F35797">
        <w:t>Forrás: MVH</w:t>
      </w:r>
    </w:p>
    <w:p w:rsidR="00CF7C1C" w:rsidRPr="00F35797" w:rsidRDefault="005223D2" w:rsidP="00831A61">
      <w:r>
        <w:t>A</w:t>
      </w:r>
      <w:r w:rsidR="009C0043">
        <w:t>z intézkedés</w:t>
      </w:r>
      <w:r>
        <w:t xml:space="preserve"> megvalósulása elmarad a tervezett értékektől, mivel az érintett területek az extenzív állattartás fejlesztés célozták elsődlegesen, azonban ez az ágazat nem fejlődött a megfelelő mértékben. </w:t>
      </w:r>
      <w:r w:rsidR="00CF7C1C" w:rsidRPr="00F35797">
        <w:t>Agrár-erdészeti rendszerek mezőgazdasági földterületeken történő első létrehozásához nyújtandó támogatás jogcím megvalósulása</w:t>
      </w:r>
      <w:bookmarkEnd w:id="296"/>
      <w:r w:rsidR="00831A61">
        <w:t>.</w:t>
      </w:r>
    </w:p>
    <w:p w:rsidR="00CF7C1C" w:rsidRPr="002229D7" w:rsidRDefault="00CF7C1C" w:rsidP="004869BB">
      <w:r w:rsidRPr="002B4681">
        <w:t xml:space="preserve">A jogcímet meghirdető </w:t>
      </w:r>
      <w:r w:rsidRPr="002229D7">
        <w:t>46/2009. (IV.16.) FVM rendele</w:t>
      </w:r>
      <w:r w:rsidR="00D53DF7">
        <w:t>tet 2012-ben nem módosították.</w:t>
      </w:r>
    </w:p>
    <w:p w:rsidR="00CF7C1C" w:rsidRPr="002B4681" w:rsidRDefault="00CF7C1C" w:rsidP="004869BB">
      <w:r w:rsidRPr="002229D7">
        <w:t>A kérelembenyújtási időszak</w:t>
      </w:r>
      <w:r w:rsidRPr="002B4681">
        <w:t xml:space="preserve"> 2012-ben a május 1 – július 2. közötti időszak volt.</w:t>
      </w:r>
    </w:p>
    <w:p w:rsidR="00CF7C1C" w:rsidRPr="00F92037" w:rsidRDefault="007E5FDF" w:rsidP="00F92037">
      <w:pPr>
        <w:pStyle w:val="bra-cmetbla"/>
      </w:pPr>
      <w:fldSimple w:instr=" SEQ táblázat \* ARABIC ">
        <w:r w:rsidR="00E5031F">
          <w:rPr>
            <w:noProof/>
          </w:rPr>
          <w:t>73</w:t>
        </w:r>
      </w:fldSimple>
      <w:r w:rsidR="00673DDE">
        <w:t xml:space="preserve">. táblázat: </w:t>
      </w:r>
      <w:r w:rsidR="00CF7C1C" w:rsidRPr="00F92037">
        <w:t>Agrár-erdészeti rendszerek mezőgazdasági földterületeken történő első létrehozásához nyújtandó támogatások jogcím 2012. évi eredményei</w:t>
      </w:r>
    </w:p>
    <w:p w:rsidR="00CF7C1C" w:rsidRPr="00F92037" w:rsidRDefault="00B452BF" w:rsidP="00F92037">
      <w:pPr>
        <w:pStyle w:val="bra-cmetbla"/>
      </w:pPr>
      <w:r w:rsidRPr="00F92037">
        <w:rPr>
          <w:noProof/>
        </w:rPr>
        <w:drawing>
          <wp:inline distT="0" distB="0" distL="0" distR="0" wp14:anchorId="43C2DBA5" wp14:editId="25711166">
            <wp:extent cx="5156835" cy="1882140"/>
            <wp:effectExtent l="0" t="0" r="5715" b="381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CF7C1C" w:rsidRDefault="00CF7C1C" w:rsidP="004869BB">
      <w:pPr>
        <w:rPr>
          <w:bCs/>
        </w:rPr>
      </w:pPr>
      <w:r w:rsidRPr="002B4681">
        <w:t xml:space="preserve">2012-ben 19 db támogatási kérelem érkezett be az MVH-hoz és összesen 15 db kifizetési kérelem került elfogadásra, melyekre </w:t>
      </w:r>
      <w:r w:rsidRPr="002B4681">
        <w:rPr>
          <w:bCs/>
        </w:rPr>
        <w:t>145,7 ezer euró (42,6 M Ft) került kifizetésre.</w:t>
      </w:r>
    </w:p>
    <w:p w:rsidR="00CF7C1C" w:rsidRPr="002B4681" w:rsidRDefault="00CF7C1C" w:rsidP="004869BB">
      <w:pPr>
        <w:rPr>
          <w:highlight w:val="green"/>
        </w:rPr>
      </w:pPr>
      <w:r w:rsidRPr="002B4681">
        <w:t>A beérkezett támogatási kérelmek regionális megoszlás</w:t>
      </w:r>
      <w:r w:rsidR="00831A61">
        <w:t>át tekintve Borsod-Abaúj-Zemplén</w:t>
      </w:r>
      <w:r w:rsidRPr="002B4681">
        <w:t xml:space="preserve"> (21%) és Szabolcs-Szatmár-Bereg (21%) megyékben volt a legtöbb beadott kérelem, míg a Nyugat- és Közép-dunántúli régióban egyáltalán nem mutatkozott érdeklődés a jogcím iránt és a Dél-Alföldről is csak 1 kérelem érkezett. </w:t>
      </w:r>
    </w:p>
    <w:p w:rsidR="00CF7C1C" w:rsidRPr="00896E03" w:rsidRDefault="00CF7C1C" w:rsidP="00DB48A3">
      <w:pPr>
        <w:pStyle w:val="Cmsor3"/>
      </w:pPr>
      <w:bookmarkStart w:id="297" w:name="_Toc261596941"/>
      <w:bookmarkStart w:id="298" w:name="_Toc328638721"/>
      <w:bookmarkStart w:id="299" w:name="_Toc360176811"/>
      <w:r w:rsidRPr="00896E03">
        <w:t>A Natura 2000 erdőterületeken történő gazdálkodáshoz nyújtandó kompenzációs támogatás (224) intézkedés rövid bemutatása</w:t>
      </w:r>
      <w:bookmarkEnd w:id="299"/>
    </w:p>
    <w:p w:rsidR="00CF7C1C" w:rsidRPr="00D90F4C" w:rsidRDefault="00CF7C1C" w:rsidP="004869BB">
      <w:r w:rsidRPr="00D90F4C">
        <w:t>A támogatás célja a Natura 2000 irányelvek végrehajtásával összefüggő korlátozások eredményeként felmerülő költségek és jövedelem kiesés kompenzálása (a jogcím notifikációj</w:t>
      </w:r>
      <w:r w:rsidR="00AA0C90">
        <w:t>ának elfogadása áthúzódott 2013-ra</w:t>
      </w:r>
      <w:r w:rsidRPr="00D90F4C">
        <w:t>).</w:t>
      </w:r>
    </w:p>
    <w:p w:rsidR="00CF7C1C" w:rsidRPr="00D90F4C" w:rsidRDefault="00CF7C1C" w:rsidP="00D90F4C">
      <w:r w:rsidRPr="00D90F4C">
        <w:t xml:space="preserve">Az intézkedés fő célja </w:t>
      </w:r>
      <w:r w:rsidR="00AA0C90" w:rsidRPr="00D90F4C">
        <w:t xml:space="preserve">kompenzációs </w:t>
      </w:r>
      <w:r w:rsidR="00AA0C90">
        <w:t xml:space="preserve">támogatás nyújtása </w:t>
      </w:r>
      <w:r w:rsidRPr="00D90F4C">
        <w:t>a vonatkozó uniós jogszabályokban felsorolt, a kijelölés alapjául szolgáló fajok, valamint élőhelyek kedvező természeti helyzetének megőrzése és fenntartása az ökológiai szempontból is fenntartható erdőgazdálkodási tevékenység által.</w:t>
      </w:r>
    </w:p>
    <w:p w:rsidR="00CF7C1C" w:rsidRPr="00D90F4C" w:rsidRDefault="00CF7C1C" w:rsidP="00D90F4C">
      <w:r w:rsidRPr="00D90F4C">
        <w:t xml:space="preserve">E cél megvalósításának eszköze az érintett erdőgazdálkodók részére kompenzációs támogatási rendszer kialakítása. Az intézkedés lehetővé teszi, hogy az érintett erdőgazdálkodókra háruló, az uniós elvárásokat szolgáló kötelezettségekből fakadó kieső jövedelmet és többletköltséget jelentősen csökkentse. </w:t>
      </w:r>
    </w:p>
    <w:p w:rsidR="00CF7C1C" w:rsidRPr="00D90F4C" w:rsidRDefault="00CF7C1C" w:rsidP="00D90F4C">
      <w:r w:rsidRPr="00D90F4C">
        <w:t xml:space="preserve">Az intézkedés nem </w:t>
      </w:r>
      <w:r w:rsidRPr="002229D7">
        <w:t>tartalmaz</w:t>
      </w:r>
      <w:r w:rsidRPr="00D90F4C">
        <w:t xml:space="preserve"> alintézkedést, a megjelent jogcímrendelet az intézkedés egészét lefedi.</w:t>
      </w:r>
    </w:p>
    <w:p w:rsidR="00CF7C1C" w:rsidRPr="00D90F4C" w:rsidRDefault="00CF7C1C" w:rsidP="004869BB">
      <w:r w:rsidRPr="00D90F4C">
        <w:t>A támogatási jogosultság megállapítására az Országos Erdőállomány Adattárban szereplő adatok szolgálnak alapul. A támogatás mértéke 40-230 euró/hektár.</w:t>
      </w:r>
    </w:p>
    <w:p w:rsidR="00CF7C1C" w:rsidRPr="002B4681" w:rsidRDefault="00CF7C1C" w:rsidP="00715E86">
      <w:pPr>
        <w:pStyle w:val="Cmsor4"/>
      </w:pPr>
      <w:r w:rsidRPr="002B4681">
        <w:t>Natura 2000 erdőterületeken történő gazdálkodáshoz nyújtandó kompenzációs támogatás jogcím megvalósulása</w:t>
      </w:r>
    </w:p>
    <w:p w:rsidR="00CF7C1C" w:rsidRPr="009C0043" w:rsidRDefault="00AA0C90" w:rsidP="009C0043">
      <w:r>
        <w:rPr>
          <w:lang w:bidi="sa-IN"/>
        </w:rPr>
        <w:t>2012. á</w:t>
      </w:r>
      <w:r w:rsidRPr="002B4681">
        <w:rPr>
          <w:lang w:bidi="sa-IN"/>
        </w:rPr>
        <w:t xml:space="preserve">prilis </w:t>
      </w:r>
      <w:r w:rsidR="00CF7C1C" w:rsidRPr="002B4681">
        <w:rPr>
          <w:lang w:bidi="sa-IN"/>
        </w:rPr>
        <w:t>27-én megjelent az Európai Mezőgazdasági Vidékfejlesztési Alapból Natura</w:t>
      </w:r>
      <w:r>
        <w:rPr>
          <w:lang w:bidi="sa-IN"/>
        </w:rPr>
        <w:t> </w:t>
      </w:r>
      <w:r w:rsidR="00CF7C1C" w:rsidRPr="002B4681">
        <w:rPr>
          <w:lang w:bidi="sa-IN"/>
        </w:rPr>
        <w:t xml:space="preserve">2000 erdőterületeken történő gazdálkodáshoz nyújtandó </w:t>
      </w:r>
      <w:r w:rsidR="00CF7C1C" w:rsidRPr="00D90F4C">
        <w:t>kompenzációs</w:t>
      </w:r>
      <w:r w:rsidR="00CF7C1C" w:rsidRPr="002B4681">
        <w:rPr>
          <w:lang w:bidi="sa-IN"/>
        </w:rPr>
        <w:t xml:space="preserve"> támogatás részletes szabályairól szóló 41/2012 (IV.27.) VM rendelet, melynek </w:t>
      </w:r>
      <w:r w:rsidR="00CF7C1C" w:rsidRPr="002B4681">
        <w:t xml:space="preserve">alapján a Natura 2000 területekre vonatkozó előírásoknak megfelelően végrehajtott, </w:t>
      </w:r>
      <w:r w:rsidR="00CF7C1C" w:rsidRPr="002B4681">
        <w:rPr>
          <w:bCs/>
        </w:rPr>
        <w:t xml:space="preserve">ökológiai szempontból is fenntartható erdőgazdálkodás során keletkező kieső jövedelem, illetve többletköltségek kompenzálására támogatás igényelhető minden évben – először 2012-ben </w:t>
      </w:r>
      <w:r w:rsidRPr="002B4681">
        <w:rPr>
          <w:bCs/>
          <w:szCs w:val="22"/>
        </w:rPr>
        <w:t>május 15-ig</w:t>
      </w:r>
      <w:r w:rsidRPr="002B4681">
        <w:rPr>
          <w:bCs/>
        </w:rPr>
        <w:t xml:space="preserve"> </w:t>
      </w:r>
      <w:r w:rsidR="00CF7C1C" w:rsidRPr="002B4681">
        <w:rPr>
          <w:bCs/>
        </w:rPr>
        <w:t>az Egységes Kérelem keretében</w:t>
      </w:r>
      <w:r w:rsidRPr="002B4681">
        <w:rPr>
          <w:bCs/>
          <w:szCs w:val="22"/>
        </w:rPr>
        <w:t xml:space="preserve"> történik</w:t>
      </w:r>
      <w:r w:rsidR="00CF7C1C" w:rsidRPr="002B4681">
        <w:t>.</w:t>
      </w:r>
    </w:p>
    <w:p w:rsidR="00CF7C1C" w:rsidRPr="00F92037" w:rsidRDefault="007E5FDF" w:rsidP="00F92037">
      <w:pPr>
        <w:pStyle w:val="bra-cmetbla"/>
      </w:pPr>
      <w:fldSimple w:instr=" SEQ táblázat \* ARABIC ">
        <w:r w:rsidR="00E5031F">
          <w:rPr>
            <w:noProof/>
          </w:rPr>
          <w:t>74</w:t>
        </w:r>
      </w:fldSimple>
      <w:r w:rsidR="00673DDE">
        <w:t xml:space="preserve">. táblázat: </w:t>
      </w:r>
      <w:r w:rsidR="00CF7C1C" w:rsidRPr="00F92037">
        <w:t>Natura 2000 erdőterületeken történő gazdálkodáshoz nyújtandó kompenzációs támogatások jogcím 2012. évi eredményei</w:t>
      </w:r>
    </w:p>
    <w:p w:rsidR="00CF7C1C" w:rsidRDefault="00B452BF" w:rsidP="003E35A2">
      <w:r>
        <w:rPr>
          <w:noProof/>
        </w:rPr>
        <w:drawing>
          <wp:inline distT="0" distB="0" distL="0" distR="0" wp14:anchorId="7DB54254" wp14:editId="2DBE8D46">
            <wp:extent cx="5156835" cy="1882140"/>
            <wp:effectExtent l="0" t="0" r="5715" b="381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CF7C1C" w:rsidRPr="002B4681" w:rsidRDefault="00CF7C1C" w:rsidP="00CF7C1C">
      <w:pPr>
        <w:rPr>
          <w:lang w:bidi="sa-IN"/>
        </w:rPr>
      </w:pPr>
      <w:r w:rsidRPr="002B4681">
        <w:rPr>
          <w:bCs/>
          <w:szCs w:val="22"/>
        </w:rPr>
        <w:t>2012-ben 2 193 db kérelem érkezett be a jogcím kapcsán, az év során</w:t>
      </w:r>
      <w:r w:rsidRPr="002B4681">
        <w:rPr>
          <w:bCs/>
        </w:rPr>
        <w:t xml:space="preserve"> ezek feldolgozása folyamatban volt, támogatási határozatokat nem adott ki az MVH. Ennek alapján az intézkedés keretében 2012-ben kifizetés nem történt.</w:t>
      </w:r>
    </w:p>
    <w:p w:rsidR="00CF7C1C" w:rsidRPr="002B4681" w:rsidRDefault="00CF7C1C" w:rsidP="004869BB">
      <w:r w:rsidRPr="002B4681">
        <w:t>A beérkezett támogatási kérelmek regionális megoszlását tekintve Szabolcs-Szatmár-Bereg (15,3%) és Vas megyében volt a legnagyobb érdeklődés és általában a dunántúli és a Duna menti megyékből több kérelem érkezett, mint a keleti országrészből, Budapestről viszont nem érkezett kérelem.</w:t>
      </w:r>
    </w:p>
    <w:p w:rsidR="00CF7C1C" w:rsidRPr="00896E03" w:rsidRDefault="00CF7C1C" w:rsidP="00DB48A3">
      <w:pPr>
        <w:pStyle w:val="Cmsor3"/>
      </w:pPr>
      <w:bookmarkStart w:id="300" w:name="_Toc360176812"/>
      <w:r w:rsidRPr="00896E03">
        <w:t>Erdő-környezetvédelmi kifizetések (225) intézkedés rövid bemutatása</w:t>
      </w:r>
      <w:bookmarkEnd w:id="297"/>
      <w:bookmarkEnd w:id="298"/>
      <w:bookmarkEnd w:id="300"/>
    </w:p>
    <w:p w:rsidR="00CF7C1C" w:rsidRPr="002B4681" w:rsidRDefault="00CF7C1C" w:rsidP="004869BB">
      <w:r w:rsidRPr="002B4681">
        <w:t>Az intézkedés célja a természetközeli erdőgazdálkodás fejlesztése, a legmegfelelőbb hasznosítási mód megkeresése – megfelelve a szakmai követelményeknek és a tulajdonos gazdasági elvárásainak – a magántulajdonú erdőterületeken, melyek állapota ökológiai és gazdasági szempontból egyaránt folyamatosan romlik, vagy csak állapotfenntartás folyik.</w:t>
      </w:r>
    </w:p>
    <w:p w:rsidR="00CF7C1C" w:rsidRPr="002B4681" w:rsidRDefault="00CF7C1C" w:rsidP="004869BB">
      <w:r w:rsidRPr="002B4681">
        <w:t>Az intézkedés nem tartalmaz alintézkedéseket, azonban kilenc célprogramot ölel fel. A megjelent jogcímrendelet a teljes intézkedést lefedi.</w:t>
      </w:r>
    </w:p>
    <w:p w:rsidR="00CF7C1C" w:rsidRPr="00F92037" w:rsidRDefault="007E5FDF" w:rsidP="00F92037">
      <w:pPr>
        <w:pStyle w:val="bra-cmetbla"/>
      </w:pPr>
      <w:fldSimple w:instr=" SEQ táblázat \* ARABIC ">
        <w:r w:rsidR="00E5031F">
          <w:rPr>
            <w:noProof/>
          </w:rPr>
          <w:t>75</w:t>
        </w:r>
      </w:fldSimple>
      <w:r w:rsidR="00673DDE">
        <w:t xml:space="preserve">. táblázat: </w:t>
      </w:r>
      <w:r w:rsidR="00CF7C1C" w:rsidRPr="00F92037">
        <w:t>Erdő-környezetvédelmi kifizetések intézkedés (225) indikátorainak megvalósulása</w:t>
      </w:r>
    </w:p>
    <w:tbl>
      <w:tblPr>
        <w:tblW w:w="9665" w:type="dxa"/>
        <w:jc w:val="center"/>
        <w:tblLayout w:type="fixed"/>
        <w:tblCellMar>
          <w:left w:w="70" w:type="dxa"/>
          <w:right w:w="70" w:type="dxa"/>
        </w:tblCellMar>
        <w:tblLook w:val="0000" w:firstRow="0" w:lastRow="0" w:firstColumn="0" w:lastColumn="0" w:noHBand="0" w:noVBand="0"/>
      </w:tblPr>
      <w:tblGrid>
        <w:gridCol w:w="490"/>
        <w:gridCol w:w="5843"/>
        <w:gridCol w:w="1800"/>
        <w:gridCol w:w="1532"/>
      </w:tblGrid>
      <w:tr w:rsidR="00CF7C1C" w:rsidRPr="00E1404B" w:rsidTr="00CF7C1C">
        <w:trPr>
          <w:cantSplit/>
          <w:tblHeader/>
          <w:jc w:val="center"/>
        </w:trPr>
        <w:tc>
          <w:tcPr>
            <w:tcW w:w="490" w:type="dxa"/>
            <w:tcBorders>
              <w:top w:val="single" w:sz="4" w:space="0" w:color="000000"/>
              <w:left w:val="single" w:sz="4" w:space="0" w:color="000000"/>
              <w:bottom w:val="single" w:sz="4" w:space="0" w:color="000000"/>
            </w:tcBorders>
            <w:shd w:val="clear" w:color="auto" w:fill="B3B3B3"/>
          </w:tcPr>
          <w:p w:rsidR="00CF7C1C" w:rsidRPr="003E35A2" w:rsidRDefault="00CF7C1C" w:rsidP="003E35A2">
            <w:pPr>
              <w:pStyle w:val="Tbla-cm"/>
            </w:pPr>
            <w:bookmarkStart w:id="301" w:name="_Toc261596942"/>
          </w:p>
        </w:tc>
        <w:tc>
          <w:tcPr>
            <w:tcW w:w="5843" w:type="dxa"/>
            <w:tcBorders>
              <w:top w:val="single" w:sz="4" w:space="0" w:color="000000"/>
              <w:left w:val="single" w:sz="4" w:space="0" w:color="000000"/>
              <w:bottom w:val="single" w:sz="4" w:space="0" w:color="000000"/>
            </w:tcBorders>
            <w:shd w:val="clear" w:color="auto" w:fill="B3B3B3"/>
            <w:vAlign w:val="center"/>
          </w:tcPr>
          <w:p w:rsidR="00CF7C1C" w:rsidRPr="003E35A2" w:rsidRDefault="00CF7C1C" w:rsidP="003E35A2">
            <w:pPr>
              <w:pStyle w:val="Tbla-cm"/>
            </w:pPr>
            <w:r w:rsidRPr="003E35A2">
              <w:t>Indikátor leírása</w:t>
            </w:r>
          </w:p>
        </w:tc>
        <w:tc>
          <w:tcPr>
            <w:tcW w:w="180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CF7C1C" w:rsidRPr="003E35A2" w:rsidRDefault="00CF7C1C" w:rsidP="003E35A2">
            <w:pPr>
              <w:pStyle w:val="Tbla-cm"/>
            </w:pPr>
            <w:r w:rsidRPr="003E35A2">
              <w:t>Program szerinti tervadat</w:t>
            </w:r>
          </w:p>
        </w:tc>
        <w:tc>
          <w:tcPr>
            <w:tcW w:w="1532" w:type="dxa"/>
            <w:tcBorders>
              <w:top w:val="single" w:sz="4" w:space="0" w:color="000000"/>
              <w:left w:val="single" w:sz="4" w:space="0" w:color="000000"/>
              <w:bottom w:val="single" w:sz="4" w:space="0" w:color="000000"/>
              <w:right w:val="single" w:sz="4" w:space="0" w:color="000000"/>
            </w:tcBorders>
            <w:shd w:val="clear" w:color="auto" w:fill="B3B3B3"/>
          </w:tcPr>
          <w:p w:rsidR="00CF7C1C" w:rsidRPr="003E35A2" w:rsidRDefault="00CF7C1C" w:rsidP="003E35A2">
            <w:pPr>
              <w:pStyle w:val="Tbla-cm"/>
            </w:pPr>
            <w:r w:rsidRPr="003E35A2">
              <w:t>Indikátorok kumulált értéke</w:t>
            </w:r>
          </w:p>
        </w:tc>
      </w:tr>
      <w:tr w:rsidR="00CF7C1C" w:rsidRPr="002B4681" w:rsidTr="00CF7C1C">
        <w:trPr>
          <w:cantSplit/>
          <w:jc w:val="center"/>
        </w:trPr>
        <w:tc>
          <w:tcPr>
            <w:tcW w:w="490" w:type="dxa"/>
            <w:vMerge w:val="restart"/>
            <w:tcBorders>
              <w:left w:val="single" w:sz="4" w:space="0" w:color="000000"/>
            </w:tcBorders>
          </w:tcPr>
          <w:p w:rsidR="00CF7C1C" w:rsidRPr="00E1404B" w:rsidRDefault="00CF7C1C" w:rsidP="00CF7C1C">
            <w:pPr>
              <w:pStyle w:val="Normltblzatban"/>
              <w:keepNext/>
              <w:spacing w:after="0"/>
              <w:jc w:val="center"/>
              <w:rPr>
                <w:sz w:val="20"/>
                <w:szCs w:val="20"/>
                <w:lang w:bidi="sa-IN"/>
              </w:rPr>
            </w:pPr>
            <w:r w:rsidRPr="00E1404B">
              <w:rPr>
                <w:sz w:val="20"/>
                <w:szCs w:val="20"/>
                <w:lang w:bidi="sa-IN"/>
              </w:rPr>
              <w:t>O</w:t>
            </w:r>
          </w:p>
        </w:tc>
        <w:tc>
          <w:tcPr>
            <w:tcW w:w="5843" w:type="dxa"/>
            <w:tcBorders>
              <w:left w:val="single" w:sz="4" w:space="0" w:color="000000"/>
              <w:bottom w:val="single" w:sz="4" w:space="0" w:color="000000"/>
            </w:tcBorders>
          </w:tcPr>
          <w:p w:rsidR="00CF7C1C" w:rsidRPr="00E1404B" w:rsidRDefault="00CF7C1C" w:rsidP="00CF7C1C">
            <w:pPr>
              <w:pStyle w:val="Normltblzatban"/>
              <w:keepNext/>
              <w:spacing w:after="0"/>
              <w:rPr>
                <w:sz w:val="20"/>
                <w:szCs w:val="20"/>
                <w:lang w:val="en-GB" w:bidi="sa-IN"/>
              </w:rPr>
            </w:pPr>
            <w:r w:rsidRPr="00E1404B">
              <w:rPr>
                <w:sz w:val="20"/>
                <w:szCs w:val="20"/>
                <w:lang w:bidi="sa-IN"/>
              </w:rPr>
              <w:t>A támogatott erdőgazdaságok száma</w:t>
            </w:r>
            <w:r w:rsidRPr="00E1404B">
              <w:rPr>
                <w:sz w:val="20"/>
                <w:szCs w:val="20"/>
                <w:lang w:val="en-GB" w:bidi="sa-IN"/>
              </w:rPr>
              <w:t xml:space="preserve"> </w:t>
            </w:r>
          </w:p>
        </w:tc>
        <w:tc>
          <w:tcPr>
            <w:tcW w:w="1800" w:type="dxa"/>
            <w:tcBorders>
              <w:left w:val="single" w:sz="4" w:space="0" w:color="000000"/>
              <w:bottom w:val="single" w:sz="4" w:space="0" w:color="000000"/>
              <w:right w:val="single" w:sz="4" w:space="0" w:color="000000"/>
            </w:tcBorders>
            <w:vAlign w:val="center"/>
          </w:tcPr>
          <w:p w:rsidR="00CF7C1C" w:rsidRPr="00E1404B" w:rsidRDefault="00CF7C1C" w:rsidP="00CF7C1C">
            <w:pPr>
              <w:pStyle w:val="Normltblzatban"/>
              <w:keepNext/>
              <w:spacing w:after="0"/>
              <w:jc w:val="right"/>
              <w:rPr>
                <w:sz w:val="20"/>
                <w:szCs w:val="20"/>
                <w:lang w:bidi="sa-IN"/>
              </w:rPr>
            </w:pPr>
            <w:r w:rsidRPr="00E1404B">
              <w:rPr>
                <w:sz w:val="20"/>
                <w:szCs w:val="20"/>
                <w:lang w:bidi="sa-IN"/>
              </w:rPr>
              <w:t>45 000 db</w:t>
            </w:r>
          </w:p>
        </w:tc>
        <w:tc>
          <w:tcPr>
            <w:tcW w:w="1532" w:type="dxa"/>
            <w:tcBorders>
              <w:left w:val="single" w:sz="4" w:space="0" w:color="000000"/>
              <w:bottom w:val="single" w:sz="4" w:space="0" w:color="000000"/>
              <w:right w:val="single" w:sz="4" w:space="0" w:color="000000"/>
            </w:tcBorders>
          </w:tcPr>
          <w:p w:rsidR="00CF7C1C" w:rsidRPr="002B4681" w:rsidRDefault="00CF7C1C" w:rsidP="00CF7C1C">
            <w:pPr>
              <w:pStyle w:val="Normltblzatban"/>
              <w:keepNext/>
              <w:spacing w:after="0"/>
              <w:jc w:val="right"/>
              <w:rPr>
                <w:sz w:val="20"/>
                <w:szCs w:val="20"/>
                <w:lang w:bidi="sa-IN"/>
              </w:rPr>
            </w:pPr>
            <w:r w:rsidRPr="002B4681">
              <w:rPr>
                <w:sz w:val="20"/>
                <w:szCs w:val="20"/>
                <w:lang w:bidi="sa-IN"/>
              </w:rPr>
              <w:t xml:space="preserve">382 </w:t>
            </w:r>
          </w:p>
        </w:tc>
      </w:tr>
      <w:tr w:rsidR="00CF7C1C" w:rsidRPr="002B4681" w:rsidTr="00CF7C1C">
        <w:trPr>
          <w:cantSplit/>
          <w:jc w:val="center"/>
        </w:trPr>
        <w:tc>
          <w:tcPr>
            <w:tcW w:w="490" w:type="dxa"/>
            <w:vMerge/>
            <w:tcBorders>
              <w:left w:val="single" w:sz="4" w:space="0" w:color="000000"/>
            </w:tcBorders>
          </w:tcPr>
          <w:p w:rsidR="00CF7C1C" w:rsidRPr="00E1404B" w:rsidRDefault="00CF7C1C" w:rsidP="00CF7C1C">
            <w:pPr>
              <w:suppressAutoHyphens w:val="0"/>
              <w:spacing w:after="0"/>
              <w:jc w:val="center"/>
              <w:rPr>
                <w:sz w:val="20"/>
                <w:szCs w:val="20"/>
                <w:lang w:bidi="sa-IN"/>
              </w:rPr>
            </w:pPr>
          </w:p>
        </w:tc>
        <w:tc>
          <w:tcPr>
            <w:tcW w:w="5843" w:type="dxa"/>
            <w:tcBorders>
              <w:left w:val="single" w:sz="4" w:space="0" w:color="000000"/>
              <w:bottom w:val="single" w:sz="4" w:space="0" w:color="000000"/>
            </w:tcBorders>
          </w:tcPr>
          <w:p w:rsidR="00CF7C1C" w:rsidRPr="00E1404B" w:rsidRDefault="00CF7C1C" w:rsidP="00CF7C1C">
            <w:pPr>
              <w:suppressAutoHyphens w:val="0"/>
              <w:spacing w:after="0"/>
              <w:jc w:val="left"/>
              <w:rPr>
                <w:sz w:val="20"/>
                <w:szCs w:val="20"/>
                <w:lang w:val="en-GB" w:bidi="sa-IN"/>
              </w:rPr>
            </w:pPr>
            <w:r w:rsidRPr="00E1404B">
              <w:rPr>
                <w:sz w:val="20"/>
                <w:szCs w:val="20"/>
                <w:lang w:bidi="sa-IN"/>
              </w:rPr>
              <w:t>A kötelezettségvállalás típusa</w:t>
            </w:r>
          </w:p>
          <w:p w:rsidR="00CF7C1C" w:rsidRPr="00E1404B" w:rsidRDefault="00CF7C1C" w:rsidP="0033390A">
            <w:pPr>
              <w:numPr>
                <w:ilvl w:val="0"/>
                <w:numId w:val="80"/>
              </w:numPr>
              <w:spacing w:after="0"/>
              <w:rPr>
                <w:sz w:val="20"/>
                <w:szCs w:val="20"/>
              </w:rPr>
            </w:pPr>
            <w:r w:rsidRPr="00E1404B">
              <w:rPr>
                <w:sz w:val="20"/>
                <w:szCs w:val="20"/>
                <w:lang w:bidi="sa-IN"/>
              </w:rPr>
              <w:t xml:space="preserve">A biodiverzitás </w:t>
            </w:r>
            <w:r w:rsidRPr="00E1404B">
              <w:rPr>
                <w:sz w:val="20"/>
                <w:szCs w:val="20"/>
              </w:rPr>
              <w:t>növelése</w:t>
            </w:r>
          </w:p>
          <w:p w:rsidR="00CF7C1C" w:rsidRPr="00E1404B" w:rsidRDefault="00CF7C1C" w:rsidP="0033390A">
            <w:pPr>
              <w:numPr>
                <w:ilvl w:val="0"/>
                <w:numId w:val="80"/>
              </w:numPr>
              <w:spacing w:after="0"/>
              <w:rPr>
                <w:sz w:val="20"/>
                <w:szCs w:val="20"/>
              </w:rPr>
            </w:pPr>
            <w:r w:rsidRPr="00E1404B">
              <w:rPr>
                <w:sz w:val="20"/>
                <w:szCs w:val="20"/>
              </w:rPr>
              <w:t>A nagy értékű ökoszisztémák megőrzése</w:t>
            </w:r>
          </w:p>
          <w:p w:rsidR="00CF7C1C" w:rsidRPr="00E1404B" w:rsidRDefault="00CF7C1C" w:rsidP="0033390A">
            <w:pPr>
              <w:numPr>
                <w:ilvl w:val="0"/>
                <w:numId w:val="80"/>
              </w:numPr>
              <w:spacing w:after="0"/>
              <w:jc w:val="left"/>
              <w:rPr>
                <w:sz w:val="20"/>
                <w:szCs w:val="20"/>
              </w:rPr>
            </w:pPr>
            <w:r w:rsidRPr="00E1404B">
              <w:rPr>
                <w:sz w:val="20"/>
                <w:szCs w:val="20"/>
              </w:rPr>
              <w:t>Az erdők védelmi értékének növelése, a következők tekintetében:</w:t>
            </w:r>
          </w:p>
          <w:p w:rsidR="00CF7C1C" w:rsidRPr="00E1404B" w:rsidRDefault="00CF7C1C" w:rsidP="0033390A">
            <w:pPr>
              <w:numPr>
                <w:ilvl w:val="0"/>
                <w:numId w:val="80"/>
              </w:numPr>
              <w:spacing w:after="0"/>
              <w:rPr>
                <w:sz w:val="20"/>
                <w:szCs w:val="20"/>
              </w:rPr>
            </w:pPr>
            <w:r w:rsidRPr="00E1404B">
              <w:rPr>
                <w:sz w:val="20"/>
                <w:szCs w:val="20"/>
              </w:rPr>
              <w:t>Talajerózió</w:t>
            </w:r>
          </w:p>
          <w:p w:rsidR="00CF7C1C" w:rsidRPr="00E1404B" w:rsidRDefault="00CF7C1C" w:rsidP="0033390A">
            <w:pPr>
              <w:numPr>
                <w:ilvl w:val="0"/>
                <w:numId w:val="80"/>
              </w:numPr>
              <w:spacing w:after="0"/>
              <w:rPr>
                <w:sz w:val="20"/>
                <w:szCs w:val="20"/>
              </w:rPr>
            </w:pPr>
            <w:r w:rsidRPr="00E1404B">
              <w:rPr>
                <w:sz w:val="20"/>
                <w:szCs w:val="20"/>
              </w:rPr>
              <w:t>A vízforrások karbantartása/ Vízminőség</w:t>
            </w:r>
          </w:p>
          <w:p w:rsidR="00CF7C1C" w:rsidRPr="00E1404B" w:rsidRDefault="00CF7C1C" w:rsidP="0033390A">
            <w:pPr>
              <w:numPr>
                <w:ilvl w:val="0"/>
                <w:numId w:val="80"/>
              </w:numPr>
              <w:spacing w:after="0"/>
              <w:rPr>
                <w:sz w:val="20"/>
                <w:szCs w:val="20"/>
              </w:rPr>
            </w:pPr>
            <w:r w:rsidRPr="00E1404B">
              <w:rPr>
                <w:sz w:val="20"/>
                <w:szCs w:val="20"/>
              </w:rPr>
              <w:t>Természeti károk</w:t>
            </w:r>
          </w:p>
          <w:p w:rsidR="00CF7C1C" w:rsidRPr="00E1404B" w:rsidRDefault="00CF7C1C" w:rsidP="0033390A">
            <w:pPr>
              <w:numPr>
                <w:ilvl w:val="0"/>
                <w:numId w:val="80"/>
              </w:numPr>
              <w:spacing w:after="0"/>
              <w:rPr>
                <w:sz w:val="20"/>
                <w:szCs w:val="20"/>
              </w:rPr>
            </w:pPr>
            <w:r w:rsidRPr="00E1404B">
              <w:rPr>
                <w:sz w:val="20"/>
                <w:szCs w:val="20"/>
              </w:rPr>
              <w:t xml:space="preserve">Egyéb </w:t>
            </w:r>
          </w:p>
          <w:p w:rsidR="00CF7C1C" w:rsidRPr="00E1404B" w:rsidRDefault="00CF7C1C" w:rsidP="00CF7C1C">
            <w:pPr>
              <w:suppressAutoHyphens w:val="0"/>
              <w:spacing w:after="0"/>
              <w:jc w:val="left"/>
              <w:rPr>
                <w:sz w:val="20"/>
                <w:szCs w:val="20"/>
                <w:lang w:val="en-GB" w:bidi="sa-IN"/>
              </w:rPr>
            </w:pPr>
            <w:r w:rsidRPr="00E1404B">
              <w:rPr>
                <w:sz w:val="20"/>
                <w:szCs w:val="20"/>
                <w:lang w:bidi="sa-IN"/>
              </w:rPr>
              <w:t>A kötelezettségvállalás „életkora”</w:t>
            </w:r>
          </w:p>
          <w:p w:rsidR="00CF7C1C" w:rsidRPr="00E1404B" w:rsidRDefault="00CF7C1C" w:rsidP="0033390A">
            <w:pPr>
              <w:numPr>
                <w:ilvl w:val="0"/>
                <w:numId w:val="80"/>
              </w:numPr>
              <w:spacing w:after="0"/>
              <w:rPr>
                <w:sz w:val="20"/>
                <w:szCs w:val="20"/>
              </w:rPr>
            </w:pPr>
            <w:r w:rsidRPr="00E1404B">
              <w:rPr>
                <w:sz w:val="20"/>
                <w:szCs w:val="20"/>
                <w:lang w:bidi="sa-IN"/>
              </w:rPr>
              <w:t xml:space="preserve">Meglévő </w:t>
            </w:r>
            <w:r w:rsidRPr="00E1404B">
              <w:rPr>
                <w:sz w:val="20"/>
                <w:szCs w:val="20"/>
              </w:rPr>
              <w:t xml:space="preserve">kötelezettségvállalások </w:t>
            </w:r>
          </w:p>
          <w:p w:rsidR="00CF7C1C" w:rsidRPr="00E1404B" w:rsidRDefault="00CF7C1C" w:rsidP="0033390A">
            <w:pPr>
              <w:numPr>
                <w:ilvl w:val="0"/>
                <w:numId w:val="80"/>
              </w:numPr>
              <w:spacing w:after="0"/>
              <w:rPr>
                <w:sz w:val="20"/>
                <w:szCs w:val="20"/>
                <w:lang w:bidi="sa-IN"/>
              </w:rPr>
            </w:pPr>
            <w:r w:rsidRPr="00E1404B">
              <w:rPr>
                <w:sz w:val="20"/>
                <w:szCs w:val="20"/>
              </w:rPr>
              <w:t>Új köteleze</w:t>
            </w:r>
            <w:r w:rsidRPr="00E1404B">
              <w:rPr>
                <w:sz w:val="20"/>
                <w:szCs w:val="20"/>
                <w:lang w:bidi="sa-IN"/>
              </w:rPr>
              <w:t>ttségvállalások</w:t>
            </w:r>
          </w:p>
        </w:tc>
        <w:tc>
          <w:tcPr>
            <w:tcW w:w="1800" w:type="dxa"/>
            <w:tcBorders>
              <w:left w:val="single" w:sz="4" w:space="0" w:color="000000"/>
              <w:bottom w:val="single" w:sz="4" w:space="0" w:color="000000"/>
              <w:right w:val="single" w:sz="4" w:space="0" w:color="000000"/>
            </w:tcBorders>
          </w:tcPr>
          <w:p w:rsidR="00CF7C1C" w:rsidRPr="00E1404B" w:rsidRDefault="00CF7C1C" w:rsidP="00CF7C1C">
            <w:pPr>
              <w:pStyle w:val="Normltblzatban"/>
              <w:spacing w:after="0"/>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ind w:left="0" w:firstLine="0"/>
              <w:rPr>
                <w:sz w:val="20"/>
                <w:szCs w:val="20"/>
                <w:lang w:val="en-GB"/>
              </w:rPr>
            </w:pPr>
          </w:p>
          <w:p w:rsidR="00CF7C1C" w:rsidRPr="00E1404B" w:rsidRDefault="00CF7C1C" w:rsidP="00CF7C1C">
            <w:pPr>
              <w:pStyle w:val="Normltblzatban"/>
              <w:spacing w:after="0"/>
              <w:ind w:left="0" w:firstLine="0"/>
              <w:jc w:val="right"/>
              <w:rPr>
                <w:sz w:val="20"/>
                <w:szCs w:val="20"/>
                <w:lang w:val="en-GB"/>
              </w:rPr>
            </w:pPr>
            <w:r w:rsidRPr="00E1404B">
              <w:rPr>
                <w:sz w:val="20"/>
                <w:szCs w:val="20"/>
                <w:lang w:val="en-GB"/>
              </w:rPr>
              <w:t>0</w:t>
            </w:r>
          </w:p>
          <w:p w:rsidR="00CF7C1C" w:rsidRPr="00E1404B" w:rsidRDefault="00CF7C1C" w:rsidP="00CF7C1C">
            <w:pPr>
              <w:pStyle w:val="Normltblzatban"/>
              <w:spacing w:after="0"/>
              <w:ind w:left="0" w:firstLine="0"/>
              <w:jc w:val="right"/>
              <w:rPr>
                <w:sz w:val="20"/>
                <w:szCs w:val="20"/>
                <w:lang w:bidi="sa-IN"/>
              </w:rPr>
            </w:pPr>
            <w:r w:rsidRPr="00E1404B">
              <w:rPr>
                <w:sz w:val="20"/>
                <w:szCs w:val="20"/>
                <w:lang w:bidi="sa-IN"/>
              </w:rPr>
              <w:t>45 000 db</w:t>
            </w:r>
          </w:p>
        </w:tc>
        <w:tc>
          <w:tcPr>
            <w:tcW w:w="1532" w:type="dxa"/>
            <w:tcBorders>
              <w:left w:val="single" w:sz="4" w:space="0" w:color="000000"/>
              <w:bottom w:val="single" w:sz="4" w:space="0" w:color="000000"/>
              <w:right w:val="single" w:sz="4" w:space="0" w:color="000000"/>
            </w:tcBorders>
          </w:tcPr>
          <w:p w:rsidR="00CF7C1C" w:rsidRPr="002B4681" w:rsidRDefault="00CF7C1C" w:rsidP="00CF7C1C">
            <w:pPr>
              <w:pStyle w:val="Normltblzatban"/>
              <w:spacing w:after="0"/>
              <w:jc w:val="right"/>
              <w:rPr>
                <w:sz w:val="20"/>
                <w:szCs w:val="20"/>
                <w:lang w:val="en-GB"/>
              </w:rPr>
            </w:pPr>
          </w:p>
          <w:p w:rsidR="00CF7C1C" w:rsidRPr="002B4681" w:rsidRDefault="00CF7C1C" w:rsidP="00CF7C1C">
            <w:pPr>
              <w:pStyle w:val="Normltblzatban"/>
              <w:spacing w:after="0"/>
              <w:jc w:val="right"/>
              <w:rPr>
                <w:sz w:val="20"/>
                <w:szCs w:val="20"/>
                <w:lang w:val="en-GB"/>
              </w:rPr>
            </w:pPr>
            <w:r w:rsidRPr="002B4681">
              <w:rPr>
                <w:sz w:val="20"/>
                <w:szCs w:val="20"/>
                <w:lang w:val="en-GB"/>
              </w:rPr>
              <w:t>47</w:t>
            </w:r>
          </w:p>
          <w:p w:rsidR="00CF7C1C" w:rsidRPr="002B4681" w:rsidRDefault="00CF7C1C" w:rsidP="00CF7C1C">
            <w:pPr>
              <w:pStyle w:val="Normltblzatban"/>
              <w:spacing w:after="0"/>
              <w:jc w:val="right"/>
              <w:rPr>
                <w:sz w:val="20"/>
                <w:szCs w:val="20"/>
                <w:lang w:val="en-GB"/>
              </w:rPr>
            </w:pPr>
            <w:r w:rsidRPr="002B4681">
              <w:rPr>
                <w:sz w:val="20"/>
                <w:szCs w:val="20"/>
                <w:lang w:val="en-GB"/>
              </w:rPr>
              <w:t xml:space="preserve">65 </w:t>
            </w:r>
          </w:p>
          <w:p w:rsidR="00CF7C1C" w:rsidRPr="002B4681" w:rsidRDefault="00CF7C1C" w:rsidP="00CF7C1C">
            <w:pPr>
              <w:pStyle w:val="Normltblzatban"/>
              <w:spacing w:after="0"/>
              <w:jc w:val="right"/>
              <w:rPr>
                <w:sz w:val="20"/>
                <w:szCs w:val="20"/>
                <w:lang w:val="en-GB"/>
              </w:rPr>
            </w:pPr>
          </w:p>
          <w:p w:rsidR="00CF7C1C" w:rsidRPr="002B4681" w:rsidRDefault="00CF7C1C" w:rsidP="00CF7C1C">
            <w:pPr>
              <w:pStyle w:val="Normltblzatban"/>
              <w:spacing w:after="0"/>
              <w:jc w:val="right"/>
              <w:rPr>
                <w:sz w:val="20"/>
                <w:szCs w:val="20"/>
                <w:lang w:val="en-GB"/>
              </w:rPr>
            </w:pPr>
          </w:p>
          <w:p w:rsidR="00CF7C1C" w:rsidRPr="002B4681" w:rsidRDefault="00CF7C1C" w:rsidP="00CF7C1C">
            <w:pPr>
              <w:pStyle w:val="Normltblzatban"/>
              <w:spacing w:after="0"/>
              <w:jc w:val="right"/>
              <w:rPr>
                <w:sz w:val="20"/>
                <w:szCs w:val="20"/>
                <w:lang w:val="en-GB"/>
              </w:rPr>
            </w:pPr>
            <w:r w:rsidRPr="002B4681">
              <w:rPr>
                <w:sz w:val="20"/>
                <w:szCs w:val="20"/>
                <w:lang w:val="en-GB"/>
              </w:rPr>
              <w:t xml:space="preserve">183 </w:t>
            </w:r>
          </w:p>
          <w:p w:rsidR="00CF7C1C" w:rsidRPr="002B4681" w:rsidRDefault="00CF7C1C" w:rsidP="00CF7C1C">
            <w:pPr>
              <w:pStyle w:val="Normltblzatban"/>
              <w:spacing w:after="0"/>
              <w:jc w:val="right"/>
              <w:rPr>
                <w:sz w:val="20"/>
                <w:szCs w:val="20"/>
                <w:lang w:val="en-GB"/>
              </w:rPr>
            </w:pPr>
            <w:r w:rsidRPr="002B4681">
              <w:rPr>
                <w:sz w:val="20"/>
                <w:szCs w:val="20"/>
                <w:lang w:val="en-GB"/>
              </w:rPr>
              <w:t>6</w:t>
            </w:r>
            <w:r w:rsidRPr="002B4681">
              <w:rPr>
                <w:sz w:val="20"/>
                <w:szCs w:val="20"/>
                <w:highlight w:val="green"/>
                <w:lang w:val="en-GB"/>
              </w:rPr>
              <w:t xml:space="preserve"> </w:t>
            </w:r>
          </w:p>
          <w:p w:rsidR="00CF7C1C" w:rsidRPr="002B4681" w:rsidRDefault="00CF7C1C" w:rsidP="00CF7C1C">
            <w:pPr>
              <w:pStyle w:val="Normltblzatban"/>
              <w:spacing w:after="0"/>
              <w:jc w:val="right"/>
              <w:rPr>
                <w:sz w:val="20"/>
                <w:szCs w:val="20"/>
                <w:lang w:val="en-GB"/>
              </w:rPr>
            </w:pPr>
            <w:r w:rsidRPr="002B4681">
              <w:rPr>
                <w:sz w:val="20"/>
                <w:szCs w:val="20"/>
                <w:lang w:val="en-GB"/>
              </w:rPr>
              <w:t>15</w:t>
            </w:r>
          </w:p>
          <w:p w:rsidR="00CF7C1C" w:rsidRPr="002B4681" w:rsidRDefault="00CF7C1C" w:rsidP="00CF7C1C">
            <w:pPr>
              <w:pStyle w:val="Normltblzatban"/>
              <w:spacing w:after="0"/>
              <w:jc w:val="right"/>
              <w:rPr>
                <w:sz w:val="20"/>
                <w:szCs w:val="20"/>
                <w:lang w:val="en-GB"/>
              </w:rPr>
            </w:pPr>
            <w:r w:rsidRPr="002B4681">
              <w:rPr>
                <w:sz w:val="20"/>
                <w:szCs w:val="20"/>
                <w:lang w:val="en-GB"/>
              </w:rPr>
              <w:t xml:space="preserve"> 66 </w:t>
            </w:r>
          </w:p>
          <w:p w:rsidR="00CF7C1C" w:rsidRPr="002B4681" w:rsidRDefault="00CF7C1C" w:rsidP="00CF7C1C">
            <w:pPr>
              <w:pStyle w:val="Normltblzatban"/>
              <w:spacing w:after="0"/>
              <w:jc w:val="right"/>
              <w:rPr>
                <w:sz w:val="20"/>
                <w:szCs w:val="20"/>
                <w:lang w:val="en-GB"/>
              </w:rPr>
            </w:pPr>
          </w:p>
          <w:p w:rsidR="00CF7C1C" w:rsidRPr="002B4681" w:rsidRDefault="00CF7C1C" w:rsidP="00CF7C1C">
            <w:pPr>
              <w:pStyle w:val="Normltblzatban"/>
              <w:spacing w:after="0"/>
              <w:jc w:val="right"/>
              <w:rPr>
                <w:sz w:val="20"/>
                <w:szCs w:val="20"/>
                <w:lang w:val="en-GB"/>
              </w:rPr>
            </w:pPr>
            <w:r w:rsidRPr="002B4681">
              <w:rPr>
                <w:sz w:val="20"/>
                <w:szCs w:val="20"/>
                <w:lang w:val="en-GB"/>
              </w:rPr>
              <w:t>315</w:t>
            </w:r>
          </w:p>
          <w:p w:rsidR="00CF7C1C" w:rsidRPr="002B4681" w:rsidRDefault="00CF7C1C" w:rsidP="00CF7C1C">
            <w:pPr>
              <w:pStyle w:val="Normltblzatban"/>
              <w:spacing w:after="0"/>
              <w:jc w:val="right"/>
              <w:rPr>
                <w:sz w:val="20"/>
                <w:szCs w:val="20"/>
                <w:lang w:val="en-GB"/>
              </w:rPr>
            </w:pPr>
            <w:r w:rsidRPr="002B4681">
              <w:rPr>
                <w:sz w:val="20"/>
                <w:szCs w:val="20"/>
                <w:lang w:val="en-GB"/>
              </w:rPr>
              <w:t xml:space="preserve"> 67</w:t>
            </w:r>
          </w:p>
        </w:tc>
      </w:tr>
      <w:tr w:rsidR="00CF7C1C" w:rsidRPr="002B4681" w:rsidTr="00CF7C1C">
        <w:trPr>
          <w:cantSplit/>
          <w:jc w:val="center"/>
        </w:trPr>
        <w:tc>
          <w:tcPr>
            <w:tcW w:w="490" w:type="dxa"/>
            <w:vMerge/>
            <w:tcBorders>
              <w:left w:val="single" w:sz="4" w:space="0" w:color="000000"/>
            </w:tcBorders>
          </w:tcPr>
          <w:p w:rsidR="00CF7C1C" w:rsidRPr="00E1404B" w:rsidRDefault="00CF7C1C" w:rsidP="00CF7C1C">
            <w:pPr>
              <w:pStyle w:val="Normltblzatban"/>
              <w:spacing w:after="0"/>
              <w:jc w:val="center"/>
              <w:rPr>
                <w:sz w:val="20"/>
                <w:szCs w:val="20"/>
                <w:lang w:bidi="sa-IN"/>
              </w:rPr>
            </w:pPr>
          </w:p>
        </w:tc>
        <w:tc>
          <w:tcPr>
            <w:tcW w:w="5843" w:type="dxa"/>
            <w:tcBorders>
              <w:left w:val="single" w:sz="4" w:space="0" w:color="000000"/>
              <w:bottom w:val="single" w:sz="4" w:space="0" w:color="000000"/>
            </w:tcBorders>
          </w:tcPr>
          <w:p w:rsidR="00CF7C1C" w:rsidRPr="00C54F47" w:rsidRDefault="00CF7C1C" w:rsidP="00CF7C1C">
            <w:pPr>
              <w:pStyle w:val="Normltblzatban"/>
              <w:spacing w:after="0"/>
              <w:rPr>
                <w:sz w:val="20"/>
                <w:szCs w:val="20"/>
                <w:lang w:bidi="sa-IN"/>
              </w:rPr>
            </w:pPr>
            <w:r w:rsidRPr="00E1404B">
              <w:rPr>
                <w:sz w:val="20"/>
                <w:szCs w:val="20"/>
                <w:lang w:bidi="sa-IN"/>
              </w:rPr>
              <w:t>Támogatott erdőterület</w:t>
            </w:r>
          </w:p>
          <w:p w:rsidR="00CF7C1C" w:rsidRPr="00C54F47" w:rsidRDefault="00CF7C1C" w:rsidP="00CF7C1C">
            <w:pPr>
              <w:suppressAutoHyphens w:val="0"/>
              <w:spacing w:after="0"/>
              <w:jc w:val="left"/>
              <w:rPr>
                <w:sz w:val="20"/>
                <w:szCs w:val="20"/>
                <w:lang w:bidi="sa-IN"/>
              </w:rPr>
            </w:pPr>
            <w:r w:rsidRPr="00E1404B">
              <w:rPr>
                <w:sz w:val="20"/>
                <w:szCs w:val="20"/>
                <w:lang w:bidi="sa-IN"/>
              </w:rPr>
              <w:t>A kötelezettségvállalás típusa:</w:t>
            </w:r>
          </w:p>
          <w:p w:rsidR="00CF7C1C" w:rsidRPr="00E1404B" w:rsidRDefault="00CF7C1C" w:rsidP="0033390A">
            <w:pPr>
              <w:numPr>
                <w:ilvl w:val="0"/>
                <w:numId w:val="80"/>
              </w:numPr>
              <w:spacing w:after="0"/>
              <w:rPr>
                <w:sz w:val="20"/>
                <w:szCs w:val="20"/>
              </w:rPr>
            </w:pPr>
            <w:r w:rsidRPr="00E1404B">
              <w:rPr>
                <w:sz w:val="20"/>
                <w:szCs w:val="20"/>
                <w:lang w:bidi="sa-IN"/>
              </w:rPr>
              <w:t xml:space="preserve">A </w:t>
            </w:r>
            <w:r w:rsidRPr="00E1404B">
              <w:rPr>
                <w:sz w:val="20"/>
                <w:szCs w:val="20"/>
              </w:rPr>
              <w:t>biodiverzitás növelése</w:t>
            </w:r>
          </w:p>
          <w:p w:rsidR="00CF7C1C" w:rsidRPr="00E1404B" w:rsidRDefault="00CF7C1C" w:rsidP="0033390A">
            <w:pPr>
              <w:numPr>
                <w:ilvl w:val="0"/>
                <w:numId w:val="80"/>
              </w:numPr>
              <w:spacing w:after="0"/>
              <w:rPr>
                <w:sz w:val="20"/>
                <w:szCs w:val="20"/>
              </w:rPr>
            </w:pPr>
            <w:r w:rsidRPr="00E1404B">
              <w:rPr>
                <w:sz w:val="20"/>
                <w:szCs w:val="20"/>
              </w:rPr>
              <w:t>A nagy értékű ökoszisztémák megőrzése</w:t>
            </w:r>
          </w:p>
          <w:p w:rsidR="00CF7C1C" w:rsidRPr="00C54F47" w:rsidRDefault="00CF7C1C" w:rsidP="0033390A">
            <w:pPr>
              <w:numPr>
                <w:ilvl w:val="0"/>
                <w:numId w:val="80"/>
              </w:numPr>
              <w:spacing w:after="0"/>
              <w:jc w:val="left"/>
              <w:rPr>
                <w:sz w:val="20"/>
                <w:szCs w:val="20"/>
                <w:lang w:bidi="sa-IN"/>
              </w:rPr>
            </w:pPr>
            <w:r w:rsidRPr="00E1404B">
              <w:rPr>
                <w:sz w:val="20"/>
                <w:szCs w:val="20"/>
              </w:rPr>
              <w:t>Az erdők védelmi</w:t>
            </w:r>
            <w:r w:rsidRPr="00E1404B">
              <w:rPr>
                <w:sz w:val="20"/>
                <w:szCs w:val="20"/>
                <w:lang w:bidi="sa-IN"/>
              </w:rPr>
              <w:t xml:space="preserve"> értékének növelése, a következők tekintetében:</w:t>
            </w:r>
          </w:p>
          <w:p w:rsidR="00CF7C1C" w:rsidRPr="00E1404B" w:rsidRDefault="00CF7C1C" w:rsidP="0033390A">
            <w:pPr>
              <w:numPr>
                <w:ilvl w:val="0"/>
                <w:numId w:val="80"/>
              </w:numPr>
              <w:spacing w:after="0"/>
              <w:rPr>
                <w:sz w:val="20"/>
                <w:szCs w:val="20"/>
              </w:rPr>
            </w:pPr>
            <w:r w:rsidRPr="00E1404B">
              <w:rPr>
                <w:sz w:val="20"/>
                <w:szCs w:val="20"/>
              </w:rPr>
              <w:t>Talajerózió</w:t>
            </w:r>
          </w:p>
          <w:p w:rsidR="00CF7C1C" w:rsidRPr="00E1404B" w:rsidRDefault="00CF7C1C" w:rsidP="0033390A">
            <w:pPr>
              <w:numPr>
                <w:ilvl w:val="0"/>
                <w:numId w:val="80"/>
              </w:numPr>
              <w:spacing w:after="0"/>
              <w:rPr>
                <w:sz w:val="20"/>
                <w:szCs w:val="20"/>
              </w:rPr>
            </w:pPr>
            <w:r w:rsidRPr="00E1404B">
              <w:rPr>
                <w:sz w:val="20"/>
                <w:szCs w:val="20"/>
              </w:rPr>
              <w:t>A vízforrások karbantartása/ Vízminőség</w:t>
            </w:r>
          </w:p>
          <w:p w:rsidR="00CF7C1C" w:rsidRPr="00E1404B" w:rsidRDefault="00CF7C1C" w:rsidP="0033390A">
            <w:pPr>
              <w:numPr>
                <w:ilvl w:val="0"/>
                <w:numId w:val="80"/>
              </w:numPr>
              <w:spacing w:after="0"/>
              <w:rPr>
                <w:sz w:val="20"/>
                <w:szCs w:val="20"/>
              </w:rPr>
            </w:pPr>
            <w:r w:rsidRPr="00E1404B">
              <w:rPr>
                <w:sz w:val="20"/>
                <w:szCs w:val="20"/>
              </w:rPr>
              <w:t>Természeti károk</w:t>
            </w:r>
          </w:p>
          <w:p w:rsidR="00CF7C1C" w:rsidRPr="00E1404B" w:rsidRDefault="00CF7C1C" w:rsidP="0033390A">
            <w:pPr>
              <w:numPr>
                <w:ilvl w:val="0"/>
                <w:numId w:val="80"/>
              </w:numPr>
              <w:spacing w:after="0"/>
              <w:rPr>
                <w:sz w:val="20"/>
                <w:szCs w:val="20"/>
              </w:rPr>
            </w:pPr>
            <w:r w:rsidRPr="00E1404B">
              <w:rPr>
                <w:sz w:val="20"/>
                <w:szCs w:val="20"/>
              </w:rPr>
              <w:t xml:space="preserve">Egyéb </w:t>
            </w:r>
          </w:p>
          <w:p w:rsidR="00CF7C1C" w:rsidRPr="00E1404B" w:rsidRDefault="00CF7C1C" w:rsidP="00CF7C1C">
            <w:pPr>
              <w:suppressAutoHyphens w:val="0"/>
              <w:spacing w:after="0"/>
              <w:jc w:val="left"/>
              <w:rPr>
                <w:sz w:val="20"/>
                <w:szCs w:val="20"/>
                <w:lang w:val="en-GB" w:bidi="sa-IN"/>
              </w:rPr>
            </w:pPr>
            <w:r w:rsidRPr="00E1404B">
              <w:rPr>
                <w:sz w:val="20"/>
                <w:szCs w:val="20"/>
                <w:lang w:bidi="sa-IN"/>
              </w:rPr>
              <w:t>A kötelezettségvállalás „életkora”</w:t>
            </w:r>
          </w:p>
          <w:p w:rsidR="00CF7C1C" w:rsidRPr="00E1404B" w:rsidRDefault="00CF7C1C" w:rsidP="0033390A">
            <w:pPr>
              <w:numPr>
                <w:ilvl w:val="0"/>
                <w:numId w:val="80"/>
              </w:numPr>
              <w:spacing w:after="0"/>
              <w:rPr>
                <w:sz w:val="20"/>
                <w:szCs w:val="20"/>
              </w:rPr>
            </w:pPr>
            <w:r w:rsidRPr="00E1404B">
              <w:rPr>
                <w:sz w:val="20"/>
                <w:szCs w:val="20"/>
              </w:rPr>
              <w:t>Meglévő kötelezettségvállalás</w:t>
            </w:r>
          </w:p>
          <w:p w:rsidR="00CF7C1C" w:rsidRPr="00E1404B" w:rsidRDefault="00CF7C1C" w:rsidP="0033390A">
            <w:pPr>
              <w:numPr>
                <w:ilvl w:val="0"/>
                <w:numId w:val="80"/>
              </w:numPr>
              <w:spacing w:after="0"/>
              <w:rPr>
                <w:sz w:val="20"/>
                <w:szCs w:val="20"/>
                <w:lang w:bidi="sa-IN"/>
              </w:rPr>
            </w:pPr>
            <w:r w:rsidRPr="00E1404B">
              <w:rPr>
                <w:sz w:val="20"/>
                <w:szCs w:val="20"/>
              </w:rPr>
              <w:t xml:space="preserve"> Új kötelez</w:t>
            </w:r>
            <w:r w:rsidRPr="00E1404B">
              <w:rPr>
                <w:sz w:val="20"/>
                <w:szCs w:val="20"/>
                <w:lang w:bidi="sa-IN"/>
              </w:rPr>
              <w:t>ettségvállalások</w:t>
            </w:r>
          </w:p>
        </w:tc>
        <w:tc>
          <w:tcPr>
            <w:tcW w:w="1800" w:type="dxa"/>
            <w:tcBorders>
              <w:left w:val="single" w:sz="4" w:space="0" w:color="000000"/>
              <w:bottom w:val="single" w:sz="4" w:space="0" w:color="000000"/>
              <w:right w:val="single" w:sz="4" w:space="0" w:color="000000"/>
            </w:tcBorders>
          </w:tcPr>
          <w:p w:rsidR="00CF7C1C" w:rsidRPr="00E1404B" w:rsidRDefault="00CF7C1C" w:rsidP="00CF7C1C">
            <w:pPr>
              <w:pStyle w:val="Normltblzatban"/>
              <w:spacing w:after="0"/>
              <w:jc w:val="right"/>
              <w:rPr>
                <w:sz w:val="20"/>
                <w:szCs w:val="20"/>
                <w:lang w:val="en-GB" w:bidi="sa-IN"/>
              </w:rPr>
            </w:pPr>
            <w:r w:rsidRPr="00E1404B">
              <w:rPr>
                <w:sz w:val="20"/>
                <w:szCs w:val="20"/>
                <w:lang w:bidi="sa-IN"/>
              </w:rPr>
              <w:t>170 000 ha</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Közvetlen, pozitív</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z w:val="20"/>
                <w:szCs w:val="20"/>
                <w:lang w:val="en-GB"/>
              </w:rPr>
              <w:t>0</w:t>
            </w:r>
          </w:p>
          <w:p w:rsidR="00CF7C1C" w:rsidRPr="00E1404B" w:rsidRDefault="00CF7C1C" w:rsidP="00CF7C1C">
            <w:pPr>
              <w:pStyle w:val="Normltblzatban"/>
              <w:spacing w:after="0"/>
              <w:jc w:val="right"/>
              <w:rPr>
                <w:sz w:val="20"/>
                <w:szCs w:val="20"/>
                <w:lang w:bidi="sa-IN"/>
              </w:rPr>
            </w:pPr>
            <w:r w:rsidRPr="00E1404B">
              <w:rPr>
                <w:sz w:val="20"/>
                <w:szCs w:val="20"/>
                <w:lang w:bidi="sa-IN"/>
              </w:rPr>
              <w:t>170 000 ha</w:t>
            </w:r>
          </w:p>
        </w:tc>
        <w:tc>
          <w:tcPr>
            <w:tcW w:w="1532" w:type="dxa"/>
            <w:tcBorders>
              <w:left w:val="single" w:sz="4" w:space="0" w:color="000000"/>
              <w:bottom w:val="single" w:sz="4" w:space="0" w:color="000000"/>
              <w:right w:val="single" w:sz="4" w:space="0" w:color="000000"/>
            </w:tcBorders>
          </w:tcPr>
          <w:p w:rsidR="00CF7C1C" w:rsidRPr="002B4681" w:rsidRDefault="00CF7C1C" w:rsidP="00CF7C1C">
            <w:pPr>
              <w:pStyle w:val="Normltblzatban"/>
              <w:spacing w:after="0"/>
              <w:jc w:val="right"/>
              <w:rPr>
                <w:sz w:val="20"/>
                <w:szCs w:val="20"/>
                <w:lang w:bidi="sa-IN"/>
              </w:rPr>
            </w:pPr>
            <w:r w:rsidRPr="002B4681">
              <w:rPr>
                <w:sz w:val="20"/>
                <w:szCs w:val="20"/>
                <w:lang w:bidi="sa-IN"/>
              </w:rPr>
              <w:t>17</w:t>
            </w:r>
            <w:r w:rsidR="00AA0C90">
              <w:rPr>
                <w:sz w:val="20"/>
                <w:szCs w:val="20"/>
                <w:lang w:bidi="sa-IN"/>
              </w:rPr>
              <w:t xml:space="preserve"> </w:t>
            </w:r>
            <w:r w:rsidRPr="002B4681">
              <w:rPr>
                <w:sz w:val="20"/>
                <w:szCs w:val="20"/>
                <w:lang w:bidi="sa-IN"/>
              </w:rPr>
              <w:t>726,03</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1</w:t>
            </w:r>
            <w:r w:rsidR="00AA0C90">
              <w:rPr>
                <w:sz w:val="20"/>
                <w:szCs w:val="20"/>
                <w:lang w:bidi="sa-IN"/>
              </w:rPr>
              <w:t xml:space="preserve"> </w:t>
            </w:r>
            <w:r w:rsidRPr="002B4681">
              <w:rPr>
                <w:sz w:val="20"/>
                <w:szCs w:val="20"/>
                <w:lang w:bidi="sa-IN"/>
              </w:rPr>
              <w:t>615,88</w:t>
            </w:r>
          </w:p>
          <w:p w:rsidR="00CF7C1C" w:rsidRPr="002B4681" w:rsidRDefault="00CF7C1C" w:rsidP="00CF7C1C">
            <w:pPr>
              <w:pStyle w:val="Normltblzatban"/>
              <w:spacing w:after="0"/>
              <w:jc w:val="right"/>
              <w:rPr>
                <w:sz w:val="20"/>
                <w:szCs w:val="20"/>
                <w:lang w:bidi="sa-IN"/>
              </w:rPr>
            </w:pPr>
            <w:r w:rsidRPr="002B4681">
              <w:rPr>
                <w:sz w:val="20"/>
                <w:szCs w:val="20"/>
                <w:lang w:bidi="sa-IN"/>
              </w:rPr>
              <w:t>4</w:t>
            </w:r>
            <w:r w:rsidR="00173635">
              <w:rPr>
                <w:sz w:val="20"/>
                <w:szCs w:val="20"/>
                <w:lang w:bidi="sa-IN"/>
              </w:rPr>
              <w:t xml:space="preserve"> </w:t>
            </w:r>
            <w:r w:rsidRPr="002B4681">
              <w:rPr>
                <w:sz w:val="20"/>
                <w:szCs w:val="20"/>
                <w:lang w:bidi="sa-IN"/>
              </w:rPr>
              <w:t>944,81</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9</w:t>
            </w:r>
            <w:r w:rsidR="00173635">
              <w:rPr>
                <w:sz w:val="20"/>
                <w:szCs w:val="20"/>
                <w:lang w:bidi="sa-IN"/>
              </w:rPr>
              <w:t xml:space="preserve"> </w:t>
            </w:r>
            <w:r w:rsidRPr="002B4681">
              <w:rPr>
                <w:sz w:val="20"/>
                <w:szCs w:val="20"/>
                <w:lang w:bidi="sa-IN"/>
              </w:rPr>
              <w:t>835,27</w:t>
            </w:r>
          </w:p>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170,30 </w:t>
            </w:r>
          </w:p>
          <w:p w:rsidR="00CF7C1C" w:rsidRPr="002B4681" w:rsidRDefault="00CF7C1C" w:rsidP="00CF7C1C">
            <w:pPr>
              <w:pStyle w:val="Normltblzatban"/>
              <w:spacing w:after="0"/>
              <w:jc w:val="right"/>
              <w:rPr>
                <w:sz w:val="20"/>
                <w:szCs w:val="20"/>
                <w:lang w:bidi="sa-IN"/>
              </w:rPr>
            </w:pPr>
            <w:r w:rsidRPr="002B4681">
              <w:rPr>
                <w:sz w:val="20"/>
                <w:szCs w:val="20"/>
                <w:lang w:bidi="sa-IN"/>
              </w:rPr>
              <w:t>271,59</w:t>
            </w:r>
          </w:p>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888,18 </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14</w:t>
            </w:r>
            <w:r w:rsidR="00173635">
              <w:rPr>
                <w:sz w:val="20"/>
                <w:szCs w:val="20"/>
                <w:lang w:bidi="sa-IN"/>
              </w:rPr>
              <w:t xml:space="preserve"> </w:t>
            </w:r>
            <w:r w:rsidRPr="002B4681">
              <w:rPr>
                <w:sz w:val="20"/>
                <w:szCs w:val="20"/>
                <w:lang w:bidi="sa-IN"/>
              </w:rPr>
              <w:t xml:space="preserve">289,19 </w:t>
            </w:r>
          </w:p>
          <w:p w:rsidR="00CF7C1C" w:rsidRPr="002B4681" w:rsidRDefault="00CF7C1C" w:rsidP="00CF7C1C">
            <w:pPr>
              <w:pStyle w:val="Normltblzatban"/>
              <w:spacing w:after="0"/>
              <w:jc w:val="right"/>
              <w:rPr>
                <w:sz w:val="20"/>
                <w:szCs w:val="20"/>
                <w:lang w:bidi="sa-IN"/>
              </w:rPr>
            </w:pPr>
            <w:r w:rsidRPr="002B4681">
              <w:rPr>
                <w:sz w:val="20"/>
                <w:szCs w:val="20"/>
                <w:lang w:bidi="sa-IN"/>
              </w:rPr>
              <w:t>3</w:t>
            </w:r>
            <w:r w:rsidR="00173635">
              <w:rPr>
                <w:sz w:val="20"/>
                <w:szCs w:val="20"/>
                <w:lang w:bidi="sa-IN"/>
              </w:rPr>
              <w:t xml:space="preserve"> </w:t>
            </w:r>
            <w:r w:rsidRPr="002B4681">
              <w:rPr>
                <w:sz w:val="20"/>
                <w:szCs w:val="20"/>
                <w:lang w:bidi="sa-IN"/>
              </w:rPr>
              <w:t>436,84</w:t>
            </w:r>
          </w:p>
        </w:tc>
      </w:tr>
      <w:tr w:rsidR="00CF7C1C" w:rsidRPr="002B4681" w:rsidTr="00831A61">
        <w:trPr>
          <w:jc w:val="center"/>
        </w:trPr>
        <w:tc>
          <w:tcPr>
            <w:tcW w:w="490" w:type="dxa"/>
            <w:vMerge/>
            <w:tcBorders>
              <w:left w:val="single" w:sz="4" w:space="0" w:color="000000"/>
            </w:tcBorders>
            <w:shd w:val="clear" w:color="auto" w:fill="auto"/>
          </w:tcPr>
          <w:p w:rsidR="00CF7C1C" w:rsidRPr="00E1404B" w:rsidRDefault="00CF7C1C" w:rsidP="00CF7C1C">
            <w:pPr>
              <w:pStyle w:val="Normltblzatban"/>
              <w:spacing w:after="0"/>
              <w:jc w:val="center"/>
              <w:rPr>
                <w:sz w:val="20"/>
                <w:szCs w:val="20"/>
                <w:lang w:bidi="sa-IN"/>
              </w:rPr>
            </w:pPr>
          </w:p>
        </w:tc>
        <w:tc>
          <w:tcPr>
            <w:tcW w:w="5843" w:type="dxa"/>
            <w:tcBorders>
              <w:left w:val="single" w:sz="4" w:space="0" w:color="000000"/>
              <w:bottom w:val="single" w:sz="4" w:space="0" w:color="000000"/>
            </w:tcBorders>
            <w:shd w:val="clear" w:color="auto" w:fill="auto"/>
          </w:tcPr>
          <w:p w:rsidR="00CF7C1C" w:rsidRPr="00E1404B" w:rsidRDefault="00CF7C1C" w:rsidP="00CF7C1C">
            <w:pPr>
              <w:pStyle w:val="Normltblzatban"/>
              <w:spacing w:after="0"/>
              <w:rPr>
                <w:sz w:val="20"/>
                <w:szCs w:val="20"/>
                <w:lang w:bidi="sa-IN"/>
              </w:rPr>
            </w:pPr>
            <w:r w:rsidRPr="00E1404B">
              <w:rPr>
                <w:sz w:val="20"/>
                <w:szCs w:val="20"/>
                <w:lang w:bidi="sa-IN"/>
              </w:rPr>
              <w:t>Támogatott tényleges terület</w:t>
            </w:r>
          </w:p>
        </w:tc>
        <w:tc>
          <w:tcPr>
            <w:tcW w:w="1800" w:type="dxa"/>
            <w:tcBorders>
              <w:left w:val="single" w:sz="4" w:space="0" w:color="000000"/>
              <w:bottom w:val="single" w:sz="4" w:space="0" w:color="000000"/>
              <w:right w:val="single" w:sz="4" w:space="0" w:color="000000"/>
            </w:tcBorders>
            <w:shd w:val="clear" w:color="auto" w:fill="auto"/>
          </w:tcPr>
          <w:p w:rsidR="00CF7C1C" w:rsidRPr="00E1404B" w:rsidRDefault="00CF7C1C" w:rsidP="00CF7C1C">
            <w:pPr>
              <w:pStyle w:val="Normltblzatban"/>
              <w:spacing w:after="0"/>
              <w:jc w:val="right"/>
              <w:rPr>
                <w:sz w:val="20"/>
                <w:szCs w:val="20"/>
                <w:lang w:val="en-GB"/>
              </w:rPr>
            </w:pPr>
            <w:r w:rsidRPr="00E1404B">
              <w:rPr>
                <w:sz w:val="20"/>
                <w:szCs w:val="20"/>
                <w:lang w:val="en-GB"/>
              </w:rPr>
              <w:t>170 000 ha</w:t>
            </w:r>
          </w:p>
        </w:tc>
        <w:tc>
          <w:tcPr>
            <w:tcW w:w="1532" w:type="dxa"/>
            <w:tcBorders>
              <w:left w:val="single" w:sz="4" w:space="0" w:color="000000"/>
              <w:bottom w:val="single" w:sz="4" w:space="0" w:color="000000"/>
              <w:right w:val="single" w:sz="4" w:space="0" w:color="000000"/>
            </w:tcBorders>
            <w:shd w:val="clear" w:color="auto" w:fill="auto"/>
          </w:tcPr>
          <w:p w:rsidR="00CF7C1C" w:rsidRPr="002B4681" w:rsidRDefault="00CF7C1C" w:rsidP="00CF7C1C">
            <w:pPr>
              <w:pStyle w:val="Normltblzatban"/>
              <w:spacing w:after="0"/>
              <w:jc w:val="right"/>
              <w:rPr>
                <w:sz w:val="20"/>
                <w:szCs w:val="20"/>
                <w:lang w:val="en-GB"/>
              </w:rPr>
            </w:pPr>
            <w:r w:rsidRPr="002B4681">
              <w:rPr>
                <w:sz w:val="20"/>
                <w:szCs w:val="20"/>
                <w:lang w:val="en-GB"/>
              </w:rPr>
              <w:t>17</w:t>
            </w:r>
            <w:r w:rsidR="00AA0C90">
              <w:rPr>
                <w:sz w:val="20"/>
                <w:szCs w:val="20"/>
                <w:lang w:val="en-GB"/>
              </w:rPr>
              <w:t xml:space="preserve"> </w:t>
            </w:r>
            <w:r w:rsidRPr="002B4681">
              <w:rPr>
                <w:sz w:val="20"/>
                <w:szCs w:val="20"/>
                <w:lang w:val="en-GB"/>
              </w:rPr>
              <w:t>726,03</w:t>
            </w:r>
          </w:p>
        </w:tc>
      </w:tr>
      <w:tr w:rsidR="00CF7C1C" w:rsidRPr="00831A61" w:rsidTr="00831A61">
        <w:trPr>
          <w:jc w:val="center"/>
        </w:trPr>
        <w:tc>
          <w:tcPr>
            <w:tcW w:w="490" w:type="dxa"/>
            <w:vMerge/>
            <w:tcBorders>
              <w:left w:val="single" w:sz="4" w:space="0" w:color="000000"/>
              <w:bottom w:val="single" w:sz="4" w:space="0" w:color="000000"/>
            </w:tcBorders>
            <w:shd w:val="clear" w:color="auto" w:fill="auto"/>
          </w:tcPr>
          <w:p w:rsidR="00CF7C1C" w:rsidRPr="00E1404B" w:rsidRDefault="00CF7C1C" w:rsidP="00CF7C1C">
            <w:pPr>
              <w:pStyle w:val="Normltblzatban"/>
              <w:spacing w:after="0"/>
              <w:jc w:val="center"/>
              <w:rPr>
                <w:sz w:val="20"/>
                <w:szCs w:val="20"/>
                <w:lang w:bidi="sa-IN"/>
              </w:rPr>
            </w:pPr>
          </w:p>
        </w:tc>
        <w:tc>
          <w:tcPr>
            <w:tcW w:w="5843" w:type="dxa"/>
            <w:tcBorders>
              <w:left w:val="single" w:sz="4" w:space="0" w:color="000000"/>
              <w:bottom w:val="single" w:sz="4" w:space="0" w:color="000000"/>
            </w:tcBorders>
            <w:shd w:val="clear" w:color="auto" w:fill="auto"/>
          </w:tcPr>
          <w:p w:rsidR="00CF7C1C" w:rsidRPr="00831A61" w:rsidRDefault="00CF7C1C" w:rsidP="00CF7C1C">
            <w:pPr>
              <w:pStyle w:val="Normltblzatban"/>
              <w:spacing w:after="0"/>
              <w:rPr>
                <w:sz w:val="20"/>
                <w:szCs w:val="20"/>
                <w:lang w:bidi="sa-IN"/>
              </w:rPr>
            </w:pPr>
            <w:r w:rsidRPr="00831A61">
              <w:rPr>
                <w:sz w:val="20"/>
                <w:szCs w:val="20"/>
                <w:lang w:bidi="sa-IN"/>
              </w:rPr>
              <w:t>Szerződések száma</w:t>
            </w:r>
          </w:p>
          <w:p w:rsidR="00CF7C1C" w:rsidRPr="00831A61" w:rsidRDefault="00CF7C1C" w:rsidP="00CF7C1C">
            <w:pPr>
              <w:suppressAutoHyphens w:val="0"/>
              <w:spacing w:after="0"/>
              <w:jc w:val="left"/>
              <w:rPr>
                <w:sz w:val="20"/>
                <w:szCs w:val="20"/>
                <w:lang w:bidi="sa-IN"/>
              </w:rPr>
            </w:pPr>
            <w:r w:rsidRPr="00831A61">
              <w:rPr>
                <w:sz w:val="20"/>
                <w:szCs w:val="20"/>
                <w:lang w:bidi="sa-IN"/>
              </w:rPr>
              <w:t>Az kötelezettségvállalás típusa:</w:t>
            </w:r>
          </w:p>
          <w:p w:rsidR="00CF7C1C" w:rsidRPr="00831A61" w:rsidRDefault="00CF7C1C" w:rsidP="0033390A">
            <w:pPr>
              <w:numPr>
                <w:ilvl w:val="0"/>
                <w:numId w:val="80"/>
              </w:numPr>
              <w:spacing w:after="0"/>
              <w:rPr>
                <w:sz w:val="20"/>
                <w:szCs w:val="20"/>
              </w:rPr>
            </w:pPr>
            <w:r w:rsidRPr="00831A61">
              <w:rPr>
                <w:sz w:val="20"/>
                <w:szCs w:val="20"/>
                <w:lang w:bidi="sa-IN"/>
              </w:rPr>
              <w:t xml:space="preserve">A </w:t>
            </w:r>
            <w:r w:rsidRPr="00831A61">
              <w:rPr>
                <w:sz w:val="20"/>
                <w:szCs w:val="20"/>
              </w:rPr>
              <w:t>biodiverzitás növelése</w:t>
            </w:r>
          </w:p>
          <w:p w:rsidR="00CF7C1C" w:rsidRPr="00831A61" w:rsidRDefault="00CF7C1C" w:rsidP="0033390A">
            <w:pPr>
              <w:numPr>
                <w:ilvl w:val="0"/>
                <w:numId w:val="80"/>
              </w:numPr>
              <w:spacing w:after="0"/>
              <w:rPr>
                <w:sz w:val="20"/>
                <w:szCs w:val="20"/>
              </w:rPr>
            </w:pPr>
            <w:r w:rsidRPr="00831A61">
              <w:rPr>
                <w:sz w:val="20"/>
                <w:szCs w:val="20"/>
              </w:rPr>
              <w:t>A nagy értékű ökoszisztémák megőrzése</w:t>
            </w:r>
          </w:p>
          <w:p w:rsidR="00CF7C1C" w:rsidRPr="00831A61" w:rsidRDefault="00CF7C1C" w:rsidP="0033390A">
            <w:pPr>
              <w:numPr>
                <w:ilvl w:val="0"/>
                <w:numId w:val="80"/>
              </w:numPr>
              <w:spacing w:after="0"/>
              <w:jc w:val="left"/>
              <w:rPr>
                <w:sz w:val="20"/>
                <w:szCs w:val="20"/>
                <w:lang w:bidi="sa-IN"/>
              </w:rPr>
            </w:pPr>
            <w:r w:rsidRPr="00831A61">
              <w:rPr>
                <w:sz w:val="20"/>
                <w:szCs w:val="20"/>
              </w:rPr>
              <w:t>Az erdők</w:t>
            </w:r>
            <w:r w:rsidRPr="00831A61">
              <w:rPr>
                <w:sz w:val="20"/>
                <w:szCs w:val="20"/>
                <w:lang w:bidi="sa-IN"/>
              </w:rPr>
              <w:t xml:space="preserve"> védelmi értékének növelése, a következők tekintetében:</w:t>
            </w:r>
          </w:p>
          <w:p w:rsidR="00CF7C1C" w:rsidRPr="00831A61" w:rsidRDefault="00CF7C1C" w:rsidP="0033390A">
            <w:pPr>
              <w:numPr>
                <w:ilvl w:val="0"/>
                <w:numId w:val="80"/>
              </w:numPr>
              <w:spacing w:after="0"/>
              <w:rPr>
                <w:sz w:val="20"/>
                <w:szCs w:val="20"/>
              </w:rPr>
            </w:pPr>
            <w:r w:rsidRPr="00831A61">
              <w:rPr>
                <w:sz w:val="20"/>
                <w:szCs w:val="20"/>
              </w:rPr>
              <w:t>Talajerózió</w:t>
            </w:r>
          </w:p>
          <w:p w:rsidR="00CF7C1C" w:rsidRPr="00831A61" w:rsidRDefault="00CF7C1C" w:rsidP="0033390A">
            <w:pPr>
              <w:numPr>
                <w:ilvl w:val="0"/>
                <w:numId w:val="80"/>
              </w:numPr>
              <w:spacing w:after="0"/>
              <w:rPr>
                <w:sz w:val="20"/>
                <w:szCs w:val="20"/>
              </w:rPr>
            </w:pPr>
            <w:r w:rsidRPr="00831A61">
              <w:rPr>
                <w:sz w:val="20"/>
                <w:szCs w:val="20"/>
              </w:rPr>
              <w:t>A vízforrások karbantartása/ Vízminőség</w:t>
            </w:r>
          </w:p>
          <w:p w:rsidR="00CF7C1C" w:rsidRPr="00831A61" w:rsidRDefault="00CF7C1C" w:rsidP="0033390A">
            <w:pPr>
              <w:numPr>
                <w:ilvl w:val="0"/>
                <w:numId w:val="80"/>
              </w:numPr>
              <w:spacing w:after="0"/>
              <w:rPr>
                <w:sz w:val="20"/>
                <w:szCs w:val="20"/>
              </w:rPr>
            </w:pPr>
            <w:r w:rsidRPr="00831A61">
              <w:rPr>
                <w:sz w:val="20"/>
                <w:szCs w:val="20"/>
              </w:rPr>
              <w:t>Természeti károk</w:t>
            </w:r>
          </w:p>
          <w:p w:rsidR="00CF7C1C" w:rsidRPr="00831A61" w:rsidRDefault="00CF7C1C" w:rsidP="0033390A">
            <w:pPr>
              <w:numPr>
                <w:ilvl w:val="0"/>
                <w:numId w:val="80"/>
              </w:numPr>
              <w:spacing w:after="0"/>
              <w:rPr>
                <w:sz w:val="20"/>
                <w:szCs w:val="20"/>
              </w:rPr>
            </w:pPr>
            <w:r w:rsidRPr="00831A61">
              <w:rPr>
                <w:sz w:val="20"/>
                <w:szCs w:val="20"/>
              </w:rPr>
              <w:t xml:space="preserve">Egyéb </w:t>
            </w:r>
          </w:p>
          <w:p w:rsidR="00CF7C1C" w:rsidRPr="00831A61" w:rsidRDefault="00CF7C1C" w:rsidP="00CF7C1C">
            <w:pPr>
              <w:suppressAutoHyphens w:val="0"/>
              <w:spacing w:after="0"/>
              <w:jc w:val="left"/>
              <w:rPr>
                <w:sz w:val="20"/>
                <w:szCs w:val="20"/>
                <w:lang w:val="en-GB" w:bidi="sa-IN"/>
              </w:rPr>
            </w:pPr>
            <w:r w:rsidRPr="00831A61">
              <w:rPr>
                <w:sz w:val="20"/>
                <w:szCs w:val="20"/>
                <w:lang w:bidi="sa-IN"/>
              </w:rPr>
              <w:t>A kötelezettségvállalás „életkora”</w:t>
            </w:r>
          </w:p>
          <w:p w:rsidR="00CF7C1C" w:rsidRPr="00831A61" w:rsidRDefault="00CF7C1C" w:rsidP="0033390A">
            <w:pPr>
              <w:numPr>
                <w:ilvl w:val="0"/>
                <w:numId w:val="80"/>
              </w:numPr>
              <w:spacing w:after="0"/>
              <w:rPr>
                <w:sz w:val="20"/>
                <w:szCs w:val="20"/>
              </w:rPr>
            </w:pPr>
            <w:r w:rsidRPr="00831A61">
              <w:rPr>
                <w:sz w:val="20"/>
                <w:szCs w:val="20"/>
                <w:lang w:bidi="sa-IN"/>
              </w:rPr>
              <w:t xml:space="preserve">Meglévő </w:t>
            </w:r>
            <w:r w:rsidRPr="00831A61">
              <w:rPr>
                <w:sz w:val="20"/>
                <w:szCs w:val="20"/>
              </w:rPr>
              <w:t xml:space="preserve">kötelezettségvállalások </w:t>
            </w:r>
          </w:p>
          <w:p w:rsidR="00CF7C1C" w:rsidRPr="00831A61" w:rsidRDefault="00CF7C1C" w:rsidP="0033390A">
            <w:pPr>
              <w:numPr>
                <w:ilvl w:val="0"/>
                <w:numId w:val="80"/>
              </w:numPr>
              <w:spacing w:after="0"/>
              <w:rPr>
                <w:sz w:val="20"/>
                <w:szCs w:val="20"/>
                <w:lang w:bidi="sa-IN"/>
              </w:rPr>
            </w:pPr>
            <w:r w:rsidRPr="00831A61">
              <w:rPr>
                <w:sz w:val="20"/>
                <w:szCs w:val="20"/>
              </w:rPr>
              <w:t xml:space="preserve"> Új kötelezettségvá</w:t>
            </w:r>
            <w:r w:rsidRPr="00831A61">
              <w:rPr>
                <w:sz w:val="20"/>
                <w:szCs w:val="20"/>
                <w:lang w:bidi="sa-IN"/>
              </w:rPr>
              <w:t>llalások</w:t>
            </w:r>
          </w:p>
        </w:tc>
        <w:tc>
          <w:tcPr>
            <w:tcW w:w="1800" w:type="dxa"/>
            <w:tcBorders>
              <w:left w:val="single" w:sz="4" w:space="0" w:color="000000"/>
              <w:bottom w:val="single" w:sz="4" w:space="0" w:color="000000"/>
              <w:right w:val="single" w:sz="4" w:space="0" w:color="000000"/>
            </w:tcBorders>
            <w:shd w:val="clear" w:color="auto" w:fill="auto"/>
          </w:tcPr>
          <w:p w:rsidR="00CF7C1C" w:rsidRPr="00831A61" w:rsidRDefault="00CF7C1C" w:rsidP="00CF7C1C">
            <w:pPr>
              <w:pStyle w:val="Normltblzatban"/>
              <w:spacing w:after="0"/>
              <w:jc w:val="right"/>
              <w:rPr>
                <w:sz w:val="20"/>
                <w:szCs w:val="20"/>
                <w:lang w:val="en-GB" w:bidi="sa-IN"/>
              </w:rPr>
            </w:pPr>
            <w:r w:rsidRPr="00831A61">
              <w:rPr>
                <w:sz w:val="20"/>
                <w:szCs w:val="20"/>
                <w:lang w:bidi="sa-IN"/>
              </w:rPr>
              <w:t>45 000 db</w:t>
            </w:r>
          </w:p>
          <w:p w:rsidR="00CF7C1C" w:rsidRPr="00831A61" w:rsidRDefault="00CF7C1C" w:rsidP="00CF7C1C">
            <w:pPr>
              <w:pStyle w:val="Normltblzatban"/>
              <w:spacing w:after="0"/>
              <w:jc w:val="right"/>
              <w:rPr>
                <w:sz w:val="20"/>
                <w:szCs w:val="20"/>
                <w:lang w:val="en-GB"/>
              </w:rPr>
            </w:pPr>
          </w:p>
          <w:p w:rsidR="00CF7C1C" w:rsidRPr="00831A61" w:rsidRDefault="00CF7C1C" w:rsidP="00CF7C1C">
            <w:pPr>
              <w:pStyle w:val="Normltblzatban"/>
              <w:spacing w:after="0"/>
              <w:jc w:val="right"/>
              <w:rPr>
                <w:sz w:val="20"/>
                <w:szCs w:val="20"/>
                <w:lang w:val="en-GB"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val="en-GB"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val="en-GB"/>
              </w:rPr>
            </w:pPr>
          </w:p>
          <w:p w:rsidR="00CF7C1C" w:rsidRPr="00831A61" w:rsidRDefault="00CF7C1C" w:rsidP="00CF7C1C">
            <w:pPr>
              <w:pStyle w:val="Normltblzatban"/>
              <w:spacing w:after="0"/>
              <w:jc w:val="right"/>
              <w:rPr>
                <w:sz w:val="20"/>
                <w:szCs w:val="20"/>
                <w:lang w:val="en-GB"/>
              </w:rPr>
            </w:pPr>
          </w:p>
          <w:p w:rsidR="00CF7C1C" w:rsidRPr="00831A61" w:rsidRDefault="00CF7C1C" w:rsidP="00CF7C1C">
            <w:pPr>
              <w:pStyle w:val="Normltblzatban"/>
              <w:spacing w:after="0"/>
              <w:jc w:val="right"/>
              <w:rPr>
                <w:sz w:val="20"/>
                <w:szCs w:val="20"/>
                <w:lang w:val="en-GB"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val="en-GB"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val="en-GB"/>
              </w:rPr>
            </w:pPr>
          </w:p>
          <w:p w:rsidR="00CF7C1C" w:rsidRPr="00831A61" w:rsidRDefault="00CF7C1C" w:rsidP="00CF7C1C">
            <w:pPr>
              <w:pStyle w:val="Normltblzatban"/>
              <w:spacing w:after="0"/>
              <w:jc w:val="right"/>
              <w:rPr>
                <w:sz w:val="20"/>
                <w:szCs w:val="20"/>
                <w:lang w:val="en-GB"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val="en-GB"/>
              </w:rPr>
            </w:pPr>
          </w:p>
          <w:p w:rsidR="00CF7C1C" w:rsidRPr="00831A61" w:rsidRDefault="00CF7C1C" w:rsidP="00CF7C1C">
            <w:pPr>
              <w:pStyle w:val="Normltblzatban"/>
              <w:spacing w:after="0"/>
              <w:jc w:val="right"/>
              <w:rPr>
                <w:sz w:val="20"/>
                <w:szCs w:val="20"/>
                <w:lang w:val="en-GB"/>
              </w:rPr>
            </w:pPr>
            <w:r w:rsidRPr="00831A61">
              <w:rPr>
                <w:sz w:val="20"/>
                <w:szCs w:val="20"/>
                <w:lang w:val="en-GB"/>
              </w:rPr>
              <w:t>0</w:t>
            </w:r>
          </w:p>
          <w:p w:rsidR="00CF7C1C" w:rsidRPr="00831A61" w:rsidRDefault="00CF7C1C" w:rsidP="00CF7C1C">
            <w:pPr>
              <w:pStyle w:val="Normltblzatban"/>
              <w:spacing w:after="0"/>
              <w:jc w:val="right"/>
              <w:rPr>
                <w:sz w:val="20"/>
                <w:szCs w:val="20"/>
                <w:lang w:bidi="sa-IN"/>
              </w:rPr>
            </w:pPr>
            <w:r w:rsidRPr="00831A61">
              <w:rPr>
                <w:sz w:val="20"/>
                <w:szCs w:val="20"/>
                <w:lang w:bidi="sa-IN"/>
              </w:rPr>
              <w:t>45 000 db</w:t>
            </w:r>
          </w:p>
        </w:tc>
        <w:tc>
          <w:tcPr>
            <w:tcW w:w="1532" w:type="dxa"/>
            <w:tcBorders>
              <w:left w:val="single" w:sz="4" w:space="0" w:color="000000"/>
              <w:bottom w:val="single" w:sz="4" w:space="0" w:color="000000"/>
              <w:right w:val="single" w:sz="4" w:space="0" w:color="000000"/>
            </w:tcBorders>
            <w:shd w:val="clear" w:color="auto" w:fill="auto"/>
          </w:tcPr>
          <w:p w:rsidR="00CF7C1C" w:rsidRPr="00831A61" w:rsidRDefault="00CF7C1C" w:rsidP="00CF7C1C">
            <w:pPr>
              <w:pStyle w:val="Normltblzatban"/>
              <w:spacing w:after="0"/>
              <w:jc w:val="right"/>
              <w:rPr>
                <w:sz w:val="20"/>
                <w:szCs w:val="20"/>
                <w:lang w:bidi="sa-IN"/>
              </w:rPr>
            </w:pPr>
            <w:r w:rsidRPr="00831A61">
              <w:rPr>
                <w:sz w:val="20"/>
                <w:szCs w:val="20"/>
                <w:lang w:bidi="sa-IN"/>
              </w:rPr>
              <w:t>NA</w:t>
            </w: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r w:rsidRPr="00831A61">
              <w:rPr>
                <w:sz w:val="20"/>
                <w:szCs w:val="20"/>
                <w:lang w:bidi="sa-IN"/>
              </w:rPr>
              <w:t>0</w:t>
            </w:r>
          </w:p>
          <w:p w:rsidR="00CF7C1C" w:rsidRPr="00831A61" w:rsidRDefault="00CF7C1C" w:rsidP="00CF7C1C">
            <w:pPr>
              <w:pStyle w:val="Normltblzatban"/>
              <w:spacing w:after="0"/>
              <w:jc w:val="right"/>
              <w:rPr>
                <w:sz w:val="20"/>
                <w:szCs w:val="20"/>
                <w:lang w:bidi="sa-IN"/>
              </w:rPr>
            </w:pPr>
            <w:r w:rsidRPr="00831A61">
              <w:rPr>
                <w:sz w:val="20"/>
                <w:szCs w:val="20"/>
                <w:lang w:bidi="sa-IN"/>
              </w:rPr>
              <w:t>NA</w:t>
            </w:r>
          </w:p>
        </w:tc>
      </w:tr>
      <w:tr w:rsidR="00CF7C1C" w:rsidRPr="00831A61" w:rsidTr="00831A61">
        <w:trPr>
          <w:jc w:val="center"/>
        </w:trPr>
        <w:tc>
          <w:tcPr>
            <w:tcW w:w="490" w:type="dxa"/>
            <w:tcBorders>
              <w:left w:val="single" w:sz="4" w:space="0" w:color="000000"/>
              <w:bottom w:val="single" w:sz="4" w:space="0" w:color="000000"/>
            </w:tcBorders>
            <w:shd w:val="clear" w:color="auto" w:fill="auto"/>
          </w:tcPr>
          <w:p w:rsidR="00CF7C1C" w:rsidRPr="00831A61" w:rsidRDefault="00CF7C1C" w:rsidP="00CF7C1C">
            <w:pPr>
              <w:pStyle w:val="Normltblzatban"/>
              <w:spacing w:after="0"/>
              <w:jc w:val="center"/>
              <w:rPr>
                <w:sz w:val="20"/>
                <w:szCs w:val="20"/>
                <w:lang w:bidi="sa-IN"/>
              </w:rPr>
            </w:pPr>
            <w:r w:rsidRPr="00831A61">
              <w:rPr>
                <w:sz w:val="20"/>
                <w:szCs w:val="20"/>
                <w:lang w:bidi="sa-IN"/>
              </w:rPr>
              <w:t>R</w:t>
            </w:r>
          </w:p>
        </w:tc>
        <w:tc>
          <w:tcPr>
            <w:tcW w:w="5843" w:type="dxa"/>
            <w:tcBorders>
              <w:left w:val="single" w:sz="4" w:space="0" w:color="000000"/>
              <w:bottom w:val="single" w:sz="4" w:space="0" w:color="000000"/>
            </w:tcBorders>
            <w:shd w:val="clear" w:color="auto" w:fill="auto"/>
          </w:tcPr>
          <w:p w:rsidR="00CF7C1C" w:rsidRPr="00831A61" w:rsidRDefault="00CF7C1C" w:rsidP="00CF7C1C">
            <w:pPr>
              <w:pStyle w:val="Normltblzatban"/>
              <w:spacing w:after="0"/>
              <w:rPr>
                <w:sz w:val="20"/>
                <w:szCs w:val="20"/>
                <w:lang w:bidi="sa-IN"/>
              </w:rPr>
            </w:pPr>
            <w:r w:rsidRPr="00831A61">
              <w:rPr>
                <w:sz w:val="20"/>
                <w:szCs w:val="20"/>
                <w:lang w:bidi="sa-IN"/>
              </w:rPr>
              <w:t xml:space="preserve">Sikeres földhasználat alatt álló területek </w:t>
            </w:r>
          </w:p>
          <w:p w:rsidR="00CF7C1C" w:rsidRPr="00831A61" w:rsidRDefault="00CF7C1C" w:rsidP="00CF7C1C">
            <w:pPr>
              <w:suppressAutoHyphens w:val="0"/>
              <w:spacing w:after="0"/>
              <w:jc w:val="left"/>
              <w:rPr>
                <w:sz w:val="20"/>
                <w:szCs w:val="20"/>
                <w:lang w:bidi="sa-IN"/>
              </w:rPr>
            </w:pPr>
            <w:r w:rsidRPr="00831A61">
              <w:rPr>
                <w:sz w:val="20"/>
                <w:szCs w:val="20"/>
                <w:lang w:bidi="sa-IN"/>
              </w:rPr>
              <w:t>Intézkedés</w:t>
            </w:r>
          </w:p>
          <w:p w:rsidR="00CF7C1C" w:rsidRPr="00831A61" w:rsidRDefault="00CF7C1C" w:rsidP="00CF7C1C">
            <w:pPr>
              <w:suppressAutoHyphens w:val="0"/>
              <w:spacing w:after="0"/>
              <w:jc w:val="left"/>
              <w:rPr>
                <w:sz w:val="20"/>
                <w:szCs w:val="20"/>
                <w:lang w:val="en-GB" w:bidi="sa-IN"/>
              </w:rPr>
            </w:pPr>
            <w:r w:rsidRPr="00831A61">
              <w:rPr>
                <w:sz w:val="20"/>
                <w:szCs w:val="20"/>
                <w:lang w:bidi="sa-IN"/>
              </w:rPr>
              <w:t>A hozzájárulás típusa</w:t>
            </w:r>
            <w:r w:rsidRPr="00831A61">
              <w:rPr>
                <w:sz w:val="20"/>
                <w:szCs w:val="20"/>
                <w:lang w:val="en-GB" w:bidi="sa-IN"/>
              </w:rPr>
              <w:t xml:space="preserve"> </w:t>
            </w:r>
          </w:p>
          <w:p w:rsidR="00CF7C1C" w:rsidRPr="00831A61" w:rsidRDefault="00CF7C1C" w:rsidP="00495C8B">
            <w:pPr>
              <w:numPr>
                <w:ilvl w:val="0"/>
                <w:numId w:val="46"/>
              </w:numPr>
              <w:spacing w:after="0"/>
              <w:rPr>
                <w:sz w:val="20"/>
                <w:szCs w:val="20"/>
              </w:rPr>
            </w:pPr>
            <w:r w:rsidRPr="00831A61">
              <w:rPr>
                <w:sz w:val="20"/>
                <w:szCs w:val="20"/>
                <w:lang w:bidi="sa-IN"/>
              </w:rPr>
              <w:t xml:space="preserve">A </w:t>
            </w:r>
            <w:r w:rsidRPr="00831A61">
              <w:rPr>
                <w:sz w:val="20"/>
                <w:szCs w:val="20"/>
              </w:rPr>
              <w:t>biodiverzitás növelése</w:t>
            </w:r>
          </w:p>
          <w:p w:rsidR="00CF7C1C" w:rsidRPr="00831A61" w:rsidRDefault="00CF7C1C" w:rsidP="00495C8B">
            <w:pPr>
              <w:numPr>
                <w:ilvl w:val="0"/>
                <w:numId w:val="46"/>
              </w:numPr>
              <w:spacing w:after="0"/>
              <w:rPr>
                <w:sz w:val="20"/>
                <w:szCs w:val="20"/>
              </w:rPr>
            </w:pPr>
            <w:r w:rsidRPr="00831A61">
              <w:rPr>
                <w:sz w:val="20"/>
                <w:szCs w:val="20"/>
              </w:rPr>
              <w:t>A vízminőség javítása</w:t>
            </w:r>
          </w:p>
          <w:p w:rsidR="00CF7C1C" w:rsidRPr="00831A61" w:rsidRDefault="00CF7C1C" w:rsidP="00495C8B">
            <w:pPr>
              <w:numPr>
                <w:ilvl w:val="0"/>
                <w:numId w:val="46"/>
              </w:numPr>
              <w:spacing w:after="0"/>
              <w:rPr>
                <w:sz w:val="20"/>
                <w:szCs w:val="20"/>
              </w:rPr>
            </w:pPr>
            <w:r w:rsidRPr="00831A61">
              <w:rPr>
                <w:sz w:val="20"/>
                <w:szCs w:val="20"/>
              </w:rPr>
              <w:t>A klímaváltozás mérséklése</w:t>
            </w:r>
          </w:p>
          <w:p w:rsidR="00CF7C1C" w:rsidRPr="00831A61" w:rsidRDefault="00CF7C1C" w:rsidP="00495C8B">
            <w:pPr>
              <w:numPr>
                <w:ilvl w:val="0"/>
                <w:numId w:val="46"/>
              </w:numPr>
              <w:spacing w:after="0"/>
              <w:rPr>
                <w:sz w:val="20"/>
                <w:szCs w:val="20"/>
              </w:rPr>
            </w:pPr>
            <w:r w:rsidRPr="00831A61">
              <w:rPr>
                <w:sz w:val="20"/>
                <w:szCs w:val="20"/>
              </w:rPr>
              <w:t xml:space="preserve">A talajminőség javítása </w:t>
            </w:r>
          </w:p>
          <w:p w:rsidR="00CF7C1C" w:rsidRPr="00831A61" w:rsidRDefault="00CF7C1C" w:rsidP="00495C8B">
            <w:pPr>
              <w:numPr>
                <w:ilvl w:val="0"/>
                <w:numId w:val="46"/>
              </w:numPr>
              <w:spacing w:after="0"/>
              <w:rPr>
                <w:sz w:val="20"/>
                <w:szCs w:val="20"/>
                <w:lang w:bidi="sa-IN"/>
              </w:rPr>
            </w:pPr>
            <w:r w:rsidRPr="00831A61">
              <w:rPr>
                <w:sz w:val="20"/>
                <w:szCs w:val="20"/>
              </w:rPr>
              <w:t>A marginalizálódás</w:t>
            </w:r>
            <w:r w:rsidRPr="00831A61">
              <w:rPr>
                <w:sz w:val="20"/>
                <w:szCs w:val="20"/>
                <w:lang w:bidi="sa-IN"/>
              </w:rPr>
              <w:t xml:space="preserve"> és a föld felhagyásának elkerülése</w:t>
            </w:r>
          </w:p>
        </w:tc>
        <w:tc>
          <w:tcPr>
            <w:tcW w:w="1800" w:type="dxa"/>
            <w:tcBorders>
              <w:left w:val="single" w:sz="4" w:space="0" w:color="000000"/>
              <w:bottom w:val="single" w:sz="4" w:space="0" w:color="000000"/>
              <w:right w:val="single" w:sz="4" w:space="0" w:color="000000"/>
            </w:tcBorders>
            <w:shd w:val="clear" w:color="auto" w:fill="auto"/>
          </w:tcPr>
          <w:p w:rsidR="00CF7C1C" w:rsidRPr="00831A61" w:rsidRDefault="00CF7C1C" w:rsidP="00CF7C1C">
            <w:pPr>
              <w:pStyle w:val="Normltblzatban"/>
              <w:spacing w:after="0"/>
              <w:jc w:val="right"/>
              <w:rPr>
                <w:sz w:val="20"/>
                <w:szCs w:val="20"/>
                <w:lang w:bidi="sa-IN"/>
              </w:rPr>
            </w:pPr>
            <w:r w:rsidRPr="00831A61">
              <w:rPr>
                <w:sz w:val="20"/>
                <w:szCs w:val="20"/>
                <w:lang w:bidi="sa-IN"/>
              </w:rPr>
              <w:t>170 000 ha</w:t>
            </w:r>
          </w:p>
          <w:p w:rsidR="00CF7C1C" w:rsidRPr="00831A61" w:rsidRDefault="00CF7C1C" w:rsidP="00CF7C1C">
            <w:pPr>
              <w:pStyle w:val="Normltblzatban"/>
              <w:spacing w:after="0"/>
              <w:jc w:val="right"/>
              <w:rPr>
                <w:sz w:val="20"/>
                <w:szCs w:val="20"/>
              </w:rPr>
            </w:pPr>
          </w:p>
          <w:p w:rsidR="00CF7C1C" w:rsidRPr="00831A61" w:rsidRDefault="00CF7C1C" w:rsidP="00CF7C1C">
            <w:pPr>
              <w:pStyle w:val="Normltblzatban"/>
              <w:spacing w:after="0"/>
              <w:jc w:val="right"/>
              <w:rPr>
                <w:sz w:val="20"/>
                <w:szCs w:val="20"/>
              </w:rPr>
            </w:pPr>
          </w:p>
          <w:p w:rsidR="00CF7C1C" w:rsidRPr="00831A61" w:rsidRDefault="00CF7C1C" w:rsidP="00CF7C1C">
            <w:pPr>
              <w:pStyle w:val="Normltblzatban"/>
              <w:spacing w:after="0"/>
              <w:jc w:val="right"/>
              <w:rPr>
                <w:sz w:val="20"/>
                <w:szCs w:val="20"/>
                <w:lang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val="en-GB" w:bidi="sa-IN"/>
              </w:rPr>
            </w:pPr>
            <w:r w:rsidRPr="00831A61">
              <w:rPr>
                <w:sz w:val="20"/>
                <w:szCs w:val="20"/>
                <w:lang w:bidi="sa-IN"/>
              </w:rPr>
              <w:t>Közvetlen, pozitív</w:t>
            </w:r>
          </w:p>
          <w:p w:rsidR="00CF7C1C" w:rsidRPr="00831A61" w:rsidRDefault="00CF7C1C" w:rsidP="00CF7C1C">
            <w:pPr>
              <w:pStyle w:val="Normltblzatban"/>
              <w:spacing w:after="0"/>
              <w:ind w:left="0" w:firstLine="0"/>
              <w:jc w:val="right"/>
              <w:rPr>
                <w:sz w:val="20"/>
                <w:szCs w:val="20"/>
                <w:lang w:bidi="sa-IN"/>
              </w:rPr>
            </w:pPr>
            <w:r w:rsidRPr="00831A61">
              <w:rPr>
                <w:sz w:val="20"/>
                <w:szCs w:val="20"/>
                <w:lang w:bidi="sa-IN"/>
              </w:rPr>
              <w:t>Közvetlen, pozitív</w:t>
            </w:r>
          </w:p>
        </w:tc>
        <w:tc>
          <w:tcPr>
            <w:tcW w:w="1532" w:type="dxa"/>
            <w:tcBorders>
              <w:left w:val="single" w:sz="4" w:space="0" w:color="000000"/>
              <w:bottom w:val="single" w:sz="4" w:space="0" w:color="000000"/>
              <w:right w:val="single" w:sz="4" w:space="0" w:color="000000"/>
            </w:tcBorders>
            <w:shd w:val="clear" w:color="auto" w:fill="auto"/>
          </w:tcPr>
          <w:p w:rsidR="00CF7C1C" w:rsidRPr="00831A61" w:rsidRDefault="00CF7C1C" w:rsidP="00CF7C1C">
            <w:pPr>
              <w:pStyle w:val="Normltblzatban"/>
              <w:spacing w:after="0"/>
              <w:jc w:val="right"/>
              <w:rPr>
                <w:sz w:val="20"/>
                <w:szCs w:val="20"/>
                <w:lang w:bidi="sa-IN"/>
              </w:rPr>
            </w:pPr>
            <w:r w:rsidRPr="00831A61">
              <w:rPr>
                <w:sz w:val="20"/>
                <w:szCs w:val="20"/>
                <w:lang w:bidi="sa-IN"/>
              </w:rPr>
              <w:t>6</w:t>
            </w:r>
            <w:r w:rsidR="00173635" w:rsidRPr="00831A61">
              <w:rPr>
                <w:sz w:val="20"/>
                <w:szCs w:val="20"/>
                <w:lang w:bidi="sa-IN"/>
              </w:rPr>
              <w:t xml:space="preserve"> </w:t>
            </w:r>
            <w:r w:rsidRPr="00831A61">
              <w:rPr>
                <w:sz w:val="20"/>
                <w:szCs w:val="20"/>
                <w:lang w:bidi="sa-IN"/>
              </w:rPr>
              <w:t>389,27</w:t>
            </w: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r w:rsidRPr="00831A61">
              <w:rPr>
                <w:sz w:val="20"/>
                <w:szCs w:val="20"/>
                <w:lang w:bidi="sa-IN"/>
              </w:rPr>
              <w:t>3</w:t>
            </w:r>
            <w:r w:rsidR="00173635" w:rsidRPr="00831A61">
              <w:rPr>
                <w:sz w:val="20"/>
                <w:szCs w:val="20"/>
                <w:lang w:bidi="sa-IN"/>
              </w:rPr>
              <w:t xml:space="preserve"> </w:t>
            </w:r>
            <w:r w:rsidRPr="00831A61">
              <w:rPr>
                <w:sz w:val="20"/>
                <w:szCs w:val="20"/>
                <w:lang w:bidi="sa-IN"/>
              </w:rPr>
              <w:t>188,48</w:t>
            </w:r>
          </w:p>
          <w:p w:rsidR="00CF7C1C" w:rsidRPr="00831A61" w:rsidRDefault="00CF7C1C" w:rsidP="00CF7C1C">
            <w:pPr>
              <w:pStyle w:val="Normltblzatban"/>
              <w:spacing w:after="0"/>
              <w:jc w:val="right"/>
              <w:rPr>
                <w:sz w:val="20"/>
                <w:szCs w:val="20"/>
                <w:lang w:bidi="sa-IN"/>
              </w:rPr>
            </w:pPr>
            <w:r w:rsidRPr="00831A61">
              <w:rPr>
                <w:sz w:val="20"/>
                <w:szCs w:val="20"/>
                <w:lang w:bidi="sa-IN"/>
              </w:rPr>
              <w:t>39,8</w:t>
            </w:r>
          </w:p>
          <w:p w:rsidR="00CF7C1C" w:rsidRPr="00831A61" w:rsidRDefault="00CF7C1C" w:rsidP="00CF7C1C">
            <w:pPr>
              <w:pStyle w:val="Normltblzatban"/>
              <w:spacing w:after="0"/>
              <w:jc w:val="right"/>
              <w:rPr>
                <w:sz w:val="20"/>
                <w:szCs w:val="20"/>
                <w:lang w:bidi="sa-IN"/>
              </w:rPr>
            </w:pPr>
            <w:r w:rsidRPr="00831A61">
              <w:rPr>
                <w:sz w:val="20"/>
                <w:szCs w:val="20"/>
                <w:lang w:bidi="sa-IN"/>
              </w:rPr>
              <w:t>0</w:t>
            </w:r>
          </w:p>
          <w:p w:rsidR="00CF7C1C" w:rsidRPr="00831A61" w:rsidRDefault="00CF7C1C" w:rsidP="00CF7C1C">
            <w:pPr>
              <w:pStyle w:val="Normltblzatban"/>
              <w:spacing w:after="0"/>
              <w:jc w:val="right"/>
              <w:rPr>
                <w:sz w:val="20"/>
                <w:szCs w:val="20"/>
                <w:lang w:bidi="sa-IN"/>
              </w:rPr>
            </w:pPr>
            <w:r w:rsidRPr="00831A61">
              <w:rPr>
                <w:sz w:val="20"/>
                <w:szCs w:val="20"/>
                <w:lang w:bidi="sa-IN"/>
              </w:rPr>
              <w:t>2</w:t>
            </w:r>
            <w:r w:rsidR="00173635" w:rsidRPr="00831A61">
              <w:rPr>
                <w:sz w:val="20"/>
                <w:szCs w:val="20"/>
                <w:lang w:bidi="sa-IN"/>
              </w:rPr>
              <w:t xml:space="preserve"> </w:t>
            </w:r>
            <w:r w:rsidRPr="00831A61">
              <w:rPr>
                <w:sz w:val="20"/>
                <w:szCs w:val="20"/>
                <w:lang w:bidi="sa-IN"/>
              </w:rPr>
              <w:t>943,2</w:t>
            </w:r>
          </w:p>
          <w:p w:rsidR="00CF7C1C" w:rsidRPr="00831A61" w:rsidRDefault="00CF7C1C" w:rsidP="00CF7C1C">
            <w:pPr>
              <w:pStyle w:val="Normltblzatban"/>
              <w:spacing w:after="0"/>
              <w:jc w:val="right"/>
              <w:rPr>
                <w:sz w:val="20"/>
                <w:szCs w:val="20"/>
                <w:lang w:bidi="sa-IN"/>
              </w:rPr>
            </w:pPr>
            <w:r w:rsidRPr="00831A61">
              <w:rPr>
                <w:sz w:val="20"/>
                <w:szCs w:val="20"/>
                <w:lang w:bidi="sa-IN"/>
              </w:rPr>
              <w:t>2</w:t>
            </w:r>
            <w:r w:rsidR="00173635" w:rsidRPr="00831A61">
              <w:rPr>
                <w:sz w:val="20"/>
                <w:szCs w:val="20"/>
                <w:lang w:bidi="sa-IN"/>
              </w:rPr>
              <w:t xml:space="preserve"> </w:t>
            </w:r>
            <w:r w:rsidRPr="00831A61">
              <w:rPr>
                <w:sz w:val="20"/>
                <w:szCs w:val="20"/>
                <w:lang w:bidi="sa-IN"/>
              </w:rPr>
              <w:t>17,79</w:t>
            </w:r>
          </w:p>
        </w:tc>
      </w:tr>
      <w:tr w:rsidR="00CF7C1C" w:rsidRPr="00831A61" w:rsidTr="00831A61">
        <w:trPr>
          <w:jc w:val="center"/>
        </w:trPr>
        <w:tc>
          <w:tcPr>
            <w:tcW w:w="490" w:type="dxa"/>
            <w:vMerge w:val="restart"/>
            <w:tcBorders>
              <w:left w:val="single" w:sz="4" w:space="0" w:color="000000"/>
            </w:tcBorders>
            <w:shd w:val="clear" w:color="auto" w:fill="auto"/>
          </w:tcPr>
          <w:p w:rsidR="00CF7C1C" w:rsidRPr="00831A61" w:rsidRDefault="00CF7C1C" w:rsidP="00CF7C1C">
            <w:pPr>
              <w:pStyle w:val="Normltblzatban"/>
              <w:spacing w:after="0"/>
              <w:jc w:val="center"/>
              <w:rPr>
                <w:sz w:val="20"/>
                <w:szCs w:val="20"/>
                <w:lang w:bidi="sa-IN"/>
              </w:rPr>
            </w:pPr>
            <w:r w:rsidRPr="00831A61">
              <w:rPr>
                <w:sz w:val="20"/>
                <w:szCs w:val="20"/>
                <w:lang w:bidi="sa-IN"/>
              </w:rPr>
              <w:t>I</w:t>
            </w:r>
          </w:p>
        </w:tc>
        <w:tc>
          <w:tcPr>
            <w:tcW w:w="5843" w:type="dxa"/>
            <w:tcBorders>
              <w:left w:val="single" w:sz="4" w:space="0" w:color="000000"/>
              <w:bottom w:val="single" w:sz="4" w:space="0" w:color="000000"/>
            </w:tcBorders>
            <w:shd w:val="clear" w:color="auto" w:fill="auto"/>
          </w:tcPr>
          <w:p w:rsidR="00CF7C1C" w:rsidRPr="00831A61" w:rsidRDefault="00CF7C1C" w:rsidP="00CF7C1C">
            <w:pPr>
              <w:pStyle w:val="Normltblzatban"/>
              <w:spacing w:after="0"/>
              <w:rPr>
                <w:sz w:val="20"/>
                <w:szCs w:val="20"/>
                <w:lang w:bidi="sa-IN"/>
              </w:rPr>
            </w:pPr>
            <w:r w:rsidRPr="00831A61">
              <w:rPr>
                <w:sz w:val="20"/>
                <w:szCs w:val="20"/>
                <w:lang w:bidi="sa-IN"/>
              </w:rPr>
              <w:t xml:space="preserve">Magas természeti értékű területek növekedése </w:t>
            </w:r>
          </w:p>
        </w:tc>
        <w:tc>
          <w:tcPr>
            <w:tcW w:w="1800" w:type="dxa"/>
            <w:tcBorders>
              <w:left w:val="single" w:sz="4" w:space="0" w:color="000000"/>
              <w:bottom w:val="single" w:sz="4" w:space="0" w:color="000000"/>
              <w:right w:val="single" w:sz="4" w:space="0" w:color="000000"/>
            </w:tcBorders>
            <w:shd w:val="clear" w:color="auto" w:fill="auto"/>
            <w:vAlign w:val="center"/>
          </w:tcPr>
          <w:p w:rsidR="00CF7C1C" w:rsidRPr="00831A61" w:rsidRDefault="00CF7C1C" w:rsidP="00CF7C1C">
            <w:pPr>
              <w:pStyle w:val="Normltblzatban"/>
              <w:spacing w:after="0"/>
              <w:jc w:val="right"/>
              <w:rPr>
                <w:sz w:val="20"/>
                <w:szCs w:val="20"/>
                <w:lang w:val="en-GB"/>
              </w:rPr>
            </w:pPr>
            <w:r w:rsidRPr="00831A61">
              <w:rPr>
                <w:sz w:val="20"/>
                <w:szCs w:val="20"/>
                <w:lang w:val="en-GB"/>
              </w:rPr>
              <w:t>60 000</w:t>
            </w:r>
          </w:p>
        </w:tc>
        <w:tc>
          <w:tcPr>
            <w:tcW w:w="1532" w:type="dxa"/>
            <w:tcBorders>
              <w:left w:val="single" w:sz="4" w:space="0" w:color="000000"/>
              <w:bottom w:val="single" w:sz="4" w:space="0" w:color="000000"/>
              <w:right w:val="single" w:sz="4" w:space="0" w:color="000000"/>
            </w:tcBorders>
            <w:shd w:val="clear" w:color="auto" w:fill="auto"/>
          </w:tcPr>
          <w:p w:rsidR="00CF7C1C" w:rsidRPr="00831A61" w:rsidRDefault="00CF7C1C" w:rsidP="00CF7C1C">
            <w:pPr>
              <w:pStyle w:val="Normltblzatban"/>
              <w:spacing w:after="0"/>
              <w:jc w:val="right"/>
              <w:rPr>
                <w:sz w:val="20"/>
                <w:szCs w:val="20"/>
                <w:lang w:val="en-GB"/>
              </w:rPr>
            </w:pPr>
            <w:r w:rsidRPr="00831A61">
              <w:rPr>
                <w:sz w:val="20"/>
                <w:szCs w:val="20"/>
                <w:lang w:val="en-GB"/>
              </w:rPr>
              <w:t>-</w:t>
            </w:r>
          </w:p>
        </w:tc>
      </w:tr>
      <w:tr w:rsidR="00CF7C1C" w:rsidRPr="00831A61" w:rsidTr="00831A61">
        <w:trPr>
          <w:jc w:val="center"/>
        </w:trPr>
        <w:tc>
          <w:tcPr>
            <w:tcW w:w="490" w:type="dxa"/>
            <w:vMerge/>
            <w:tcBorders>
              <w:left w:val="single" w:sz="4" w:space="0" w:color="000000"/>
            </w:tcBorders>
            <w:shd w:val="clear" w:color="auto" w:fill="auto"/>
          </w:tcPr>
          <w:p w:rsidR="00CF7C1C" w:rsidRPr="00831A61" w:rsidRDefault="00CF7C1C" w:rsidP="00CF7C1C">
            <w:pPr>
              <w:pStyle w:val="Normltblzatban"/>
              <w:spacing w:after="0"/>
              <w:jc w:val="center"/>
              <w:rPr>
                <w:sz w:val="20"/>
                <w:szCs w:val="20"/>
                <w:lang w:bidi="sa-IN"/>
              </w:rPr>
            </w:pPr>
          </w:p>
        </w:tc>
        <w:tc>
          <w:tcPr>
            <w:tcW w:w="5843" w:type="dxa"/>
            <w:tcBorders>
              <w:left w:val="single" w:sz="4" w:space="0" w:color="000000"/>
              <w:bottom w:val="single" w:sz="4" w:space="0" w:color="000000"/>
            </w:tcBorders>
            <w:shd w:val="clear" w:color="auto" w:fill="auto"/>
          </w:tcPr>
          <w:p w:rsidR="00CF7C1C" w:rsidRPr="00831A61" w:rsidRDefault="00CF7C1C" w:rsidP="00CF7C1C">
            <w:pPr>
              <w:pStyle w:val="Normltblzatban"/>
              <w:spacing w:after="0"/>
              <w:rPr>
                <w:sz w:val="20"/>
                <w:szCs w:val="20"/>
                <w:lang w:bidi="sa-IN"/>
              </w:rPr>
            </w:pPr>
            <w:r w:rsidRPr="00831A61">
              <w:rPr>
                <w:sz w:val="20"/>
                <w:szCs w:val="20"/>
                <w:lang w:bidi="sa-IN"/>
              </w:rPr>
              <w:t>Bruttó tápanyagegyensúly változása</w:t>
            </w:r>
            <w:r w:rsidRPr="00831A61">
              <w:rPr>
                <w:sz w:val="20"/>
                <w:szCs w:val="20"/>
                <w:lang w:val="en-GB" w:bidi="sa-IN"/>
              </w:rPr>
              <w:t xml:space="preserve"> </w:t>
            </w:r>
          </w:p>
        </w:tc>
        <w:tc>
          <w:tcPr>
            <w:tcW w:w="1800" w:type="dxa"/>
            <w:tcBorders>
              <w:left w:val="single" w:sz="4" w:space="0" w:color="000000"/>
              <w:bottom w:val="single" w:sz="4" w:space="0" w:color="000000"/>
              <w:right w:val="single" w:sz="4" w:space="0" w:color="000000"/>
            </w:tcBorders>
            <w:shd w:val="clear" w:color="auto" w:fill="auto"/>
            <w:vAlign w:val="center"/>
          </w:tcPr>
          <w:p w:rsidR="00CF7C1C" w:rsidRPr="00831A61" w:rsidRDefault="00CF7C1C" w:rsidP="00CF7C1C">
            <w:pPr>
              <w:pStyle w:val="Normltblzatban"/>
              <w:spacing w:after="0"/>
              <w:jc w:val="right"/>
              <w:rPr>
                <w:sz w:val="20"/>
                <w:szCs w:val="20"/>
                <w:lang w:bidi="sa-IN"/>
              </w:rPr>
            </w:pPr>
            <w:r w:rsidRPr="00831A61">
              <w:rPr>
                <w:sz w:val="20"/>
                <w:szCs w:val="20"/>
                <w:lang w:bidi="sa-IN"/>
              </w:rPr>
              <w:t>0 kT</w:t>
            </w:r>
          </w:p>
        </w:tc>
        <w:tc>
          <w:tcPr>
            <w:tcW w:w="1532" w:type="dxa"/>
            <w:tcBorders>
              <w:left w:val="single" w:sz="4" w:space="0" w:color="000000"/>
              <w:bottom w:val="single" w:sz="4" w:space="0" w:color="000000"/>
              <w:right w:val="single" w:sz="4" w:space="0" w:color="000000"/>
            </w:tcBorders>
            <w:shd w:val="clear" w:color="auto" w:fill="auto"/>
          </w:tcPr>
          <w:p w:rsidR="00CF7C1C" w:rsidRPr="00831A61" w:rsidRDefault="00CF7C1C" w:rsidP="00CF7C1C">
            <w:pPr>
              <w:pStyle w:val="Normltblzatban"/>
              <w:spacing w:after="0"/>
              <w:jc w:val="right"/>
              <w:rPr>
                <w:sz w:val="20"/>
                <w:szCs w:val="20"/>
                <w:lang w:bidi="sa-IN"/>
              </w:rPr>
            </w:pPr>
            <w:r w:rsidRPr="00831A61">
              <w:rPr>
                <w:sz w:val="20"/>
                <w:szCs w:val="20"/>
                <w:lang w:bidi="sa-IN"/>
              </w:rPr>
              <w:t>-</w:t>
            </w:r>
          </w:p>
        </w:tc>
      </w:tr>
      <w:tr w:rsidR="00CF7C1C" w:rsidRPr="00831A61" w:rsidTr="00831A61">
        <w:trPr>
          <w:jc w:val="center"/>
        </w:trPr>
        <w:tc>
          <w:tcPr>
            <w:tcW w:w="490" w:type="dxa"/>
            <w:vMerge/>
            <w:tcBorders>
              <w:left w:val="single" w:sz="4" w:space="0" w:color="000000"/>
              <w:bottom w:val="single" w:sz="4" w:space="0" w:color="000000"/>
            </w:tcBorders>
            <w:shd w:val="clear" w:color="auto" w:fill="auto"/>
          </w:tcPr>
          <w:p w:rsidR="00CF7C1C" w:rsidRPr="00831A61" w:rsidRDefault="00CF7C1C" w:rsidP="00CF7C1C">
            <w:pPr>
              <w:pStyle w:val="Normltblzatban"/>
              <w:spacing w:after="0"/>
              <w:jc w:val="center"/>
              <w:rPr>
                <w:sz w:val="20"/>
                <w:szCs w:val="20"/>
                <w:lang w:bidi="sa-IN"/>
              </w:rPr>
            </w:pPr>
          </w:p>
        </w:tc>
        <w:tc>
          <w:tcPr>
            <w:tcW w:w="5843" w:type="dxa"/>
            <w:tcBorders>
              <w:left w:val="single" w:sz="4" w:space="0" w:color="000000"/>
              <w:bottom w:val="single" w:sz="4" w:space="0" w:color="000000"/>
            </w:tcBorders>
            <w:shd w:val="clear" w:color="auto" w:fill="auto"/>
          </w:tcPr>
          <w:p w:rsidR="00CF7C1C" w:rsidRPr="00831A61" w:rsidRDefault="00CF7C1C" w:rsidP="00CF7C1C">
            <w:pPr>
              <w:pStyle w:val="Normltblzatban"/>
              <w:spacing w:after="0"/>
              <w:rPr>
                <w:sz w:val="20"/>
                <w:szCs w:val="20"/>
                <w:lang w:bidi="sa-IN"/>
              </w:rPr>
            </w:pPr>
            <w:r w:rsidRPr="00831A61">
              <w:rPr>
                <w:sz w:val="20"/>
                <w:szCs w:val="20"/>
                <w:lang w:bidi="sa-IN"/>
              </w:rPr>
              <w:t>Megújulóenergia-termelés növekedése (ásványolaj-egyenérték)</w:t>
            </w:r>
          </w:p>
        </w:tc>
        <w:tc>
          <w:tcPr>
            <w:tcW w:w="1800" w:type="dxa"/>
            <w:tcBorders>
              <w:left w:val="single" w:sz="4" w:space="0" w:color="000000"/>
              <w:bottom w:val="single" w:sz="4" w:space="0" w:color="000000"/>
              <w:right w:val="single" w:sz="4" w:space="0" w:color="000000"/>
            </w:tcBorders>
            <w:shd w:val="clear" w:color="auto" w:fill="auto"/>
            <w:vAlign w:val="center"/>
          </w:tcPr>
          <w:p w:rsidR="00CF7C1C" w:rsidRPr="00831A61" w:rsidRDefault="00CF7C1C" w:rsidP="00CF7C1C">
            <w:pPr>
              <w:pStyle w:val="Normltblzatban"/>
              <w:spacing w:after="0"/>
              <w:jc w:val="right"/>
              <w:rPr>
                <w:sz w:val="20"/>
                <w:szCs w:val="20"/>
                <w:lang w:val="en-GB"/>
              </w:rPr>
            </w:pPr>
            <w:r w:rsidRPr="00831A61">
              <w:rPr>
                <w:sz w:val="20"/>
                <w:szCs w:val="20"/>
                <w:lang w:val="en-GB"/>
              </w:rPr>
              <w:t>850 kT</w:t>
            </w:r>
          </w:p>
        </w:tc>
        <w:tc>
          <w:tcPr>
            <w:tcW w:w="1532" w:type="dxa"/>
            <w:tcBorders>
              <w:left w:val="single" w:sz="4" w:space="0" w:color="000000"/>
              <w:bottom w:val="single" w:sz="4" w:space="0" w:color="000000"/>
              <w:right w:val="single" w:sz="4" w:space="0" w:color="000000"/>
            </w:tcBorders>
            <w:shd w:val="clear" w:color="auto" w:fill="auto"/>
          </w:tcPr>
          <w:p w:rsidR="00CF7C1C" w:rsidRPr="00831A61" w:rsidRDefault="00CF7C1C" w:rsidP="00CF7C1C">
            <w:pPr>
              <w:pStyle w:val="Normltblzatban"/>
              <w:spacing w:after="0"/>
              <w:jc w:val="right"/>
              <w:rPr>
                <w:sz w:val="20"/>
                <w:szCs w:val="20"/>
                <w:lang w:val="en-GB"/>
              </w:rPr>
            </w:pPr>
            <w:r w:rsidRPr="00831A61">
              <w:rPr>
                <w:sz w:val="20"/>
                <w:szCs w:val="20"/>
                <w:lang w:val="en-GB"/>
              </w:rPr>
              <w:t>-</w:t>
            </w:r>
          </w:p>
        </w:tc>
      </w:tr>
    </w:tbl>
    <w:p w:rsidR="00CF7C1C" w:rsidRDefault="00CF7C1C" w:rsidP="00CF7C1C">
      <w:pPr>
        <w:pStyle w:val="Normlforrs"/>
      </w:pPr>
      <w:r w:rsidRPr="00831A61">
        <w:t>Forrás: MVH</w:t>
      </w:r>
    </w:p>
    <w:p w:rsidR="009E1782" w:rsidRPr="00831A61" w:rsidRDefault="009E1782" w:rsidP="00831A61">
      <w:pPr>
        <w:pStyle w:val="Normlforrs"/>
        <w:jc w:val="both"/>
        <w:rPr>
          <w:i w:val="0"/>
        </w:rPr>
      </w:pPr>
      <w:r w:rsidRPr="00831A61">
        <w:rPr>
          <w:i w:val="0"/>
        </w:rPr>
        <w:t xml:space="preserve">A jogcím forráskeretéről több alkalommal került sor forrásátcsoportosításra a jogcím indikátor értékeinek módosítása nélkül. </w:t>
      </w:r>
    </w:p>
    <w:p w:rsidR="00CF7C1C" w:rsidRPr="00F35797" w:rsidRDefault="00CF7C1C" w:rsidP="00715E86">
      <w:pPr>
        <w:pStyle w:val="Cmsor4"/>
      </w:pPr>
      <w:r w:rsidRPr="00F35797">
        <w:t>Erdő-környezetvédelmi intézkedésekhez nyújtandó támogatások jogcím megvalósulása</w:t>
      </w:r>
      <w:bookmarkEnd w:id="301"/>
    </w:p>
    <w:p w:rsidR="00AA0C90" w:rsidRDefault="00CF7C1C" w:rsidP="004869BB">
      <w:pPr>
        <w:rPr>
          <w:rFonts w:cs="Times New Roman"/>
          <w:sz w:val="24"/>
        </w:rPr>
      </w:pPr>
      <w:r w:rsidRPr="002B4681">
        <w:t xml:space="preserve">Az intézkedés 2009-ben </w:t>
      </w:r>
      <w:r w:rsidR="00AA0C90">
        <w:t>került</w:t>
      </w:r>
      <w:r w:rsidRPr="002B4681">
        <w:t xml:space="preserve"> először </w:t>
      </w:r>
      <w:r w:rsidR="00AA0C90">
        <w:t xml:space="preserve">meghirdetésre </w:t>
      </w:r>
      <w:r w:rsidRPr="002B4681">
        <w:t>és minden évben lehetett rá támogatási kérelmet benyújtani.</w:t>
      </w:r>
      <w:r w:rsidRPr="002B4681">
        <w:rPr>
          <w:rFonts w:cs="Times New Roman"/>
          <w:sz w:val="24"/>
        </w:rPr>
        <w:t xml:space="preserve"> </w:t>
      </w:r>
    </w:p>
    <w:p w:rsidR="00AA0C90" w:rsidRDefault="00AA0C90" w:rsidP="004869BB">
      <w:pPr>
        <w:rPr>
          <w:strike/>
          <w:szCs w:val="26"/>
        </w:rPr>
      </w:pPr>
      <w:r w:rsidRPr="002B4681">
        <w:t>Támogatási kérelmet a 2012. évben október 1 - november 30. között lehetett benyújtani</w:t>
      </w:r>
      <w:r w:rsidRPr="002B4681">
        <w:rPr>
          <w:strike/>
          <w:szCs w:val="26"/>
        </w:rPr>
        <w:t>.</w:t>
      </w:r>
    </w:p>
    <w:p w:rsidR="00CF7C1C" w:rsidRPr="002B4681" w:rsidRDefault="00CF7C1C" w:rsidP="004869BB">
      <w:r w:rsidRPr="002B4681">
        <w:rPr>
          <w:szCs w:val="22"/>
        </w:rPr>
        <w:t xml:space="preserve">A jogcímet meghirdető 124/2009. (IX.24.) FVM </w:t>
      </w:r>
      <w:r w:rsidRPr="00D90F4C">
        <w:t>rendelet</w:t>
      </w:r>
      <w:r w:rsidRPr="002B4681">
        <w:rPr>
          <w:szCs w:val="22"/>
        </w:rPr>
        <w:t xml:space="preserve"> 2012-ben kétszer módosult. </w:t>
      </w:r>
    </w:p>
    <w:p w:rsidR="00CF7C1C" w:rsidRPr="002B4681" w:rsidRDefault="00CF7C1C" w:rsidP="00D90F4C">
      <w:pPr>
        <w:rPr>
          <w:rFonts w:cs="Times New Roman"/>
          <w:sz w:val="24"/>
        </w:rPr>
      </w:pPr>
      <w:r w:rsidRPr="002B4681">
        <w:t xml:space="preserve">A 44/2012 (V.3.) VM rendelet többek között a </w:t>
      </w:r>
      <w:r w:rsidRPr="009C0043">
        <w:t xml:space="preserve">vidékfejlesztési program </w:t>
      </w:r>
      <w:r w:rsidR="00AA0C90" w:rsidRPr="009C0043">
        <w:t xml:space="preserve">9. verziószámú </w:t>
      </w:r>
      <w:r w:rsidRPr="009C0043">
        <w:t>módosításának megfelelő támogatási</w:t>
      </w:r>
      <w:r w:rsidRPr="002B4681">
        <w:t xml:space="preserve"> összegek megemelését, a „szálaló erdőgazdálkodás” és a „mikroélőhelyek kialakítása, fenntartása” célprogram együttes </w:t>
      </w:r>
      <w:r w:rsidRPr="00D90F4C">
        <w:t>támogathatóságának</w:t>
      </w:r>
      <w:r w:rsidRPr="002B4681">
        <w:t xml:space="preserve"> bevezetését, továbbá a „közjóléti célú erdők fenntartása” célprogramnál a rendelet melléklete szerint támogatható célállományokon kívüli állományok támogathatóságának bevezetését tartalmazza, így például az </w:t>
      </w:r>
      <w:r w:rsidRPr="002B4681">
        <w:lastRenderedPageBreak/>
        <w:t xml:space="preserve">akácerdők is támogathatók lettek az intézkedés keretében, ha ott szabadon látogatható közjóléti létesítmények vannak és a rendelet egyéb feltételei teljesülnek. A módosítással a támogatási összegek 40%-os megemelésére került sor, amelyeket a 2011-ben támogatási kérelmeket benyújtó erdőgazdálkodók is megkaphatnak, ha a támogatandó intézkedéseket saját felelősségükre a rendelet hatálybalépéséig még nem kezdték meg. </w:t>
      </w:r>
    </w:p>
    <w:p w:rsidR="00CF7C1C" w:rsidRPr="002B4681" w:rsidRDefault="00CF7C1C" w:rsidP="004869BB">
      <w:r w:rsidRPr="002B4681">
        <w:t>A 104/2012. (X.1). VM rendelet</w:t>
      </w:r>
      <w:r w:rsidR="00AA0C90">
        <w:t xml:space="preserve"> keretében megjelent</w:t>
      </w:r>
      <w:r w:rsidRPr="002B4681">
        <w:t xml:space="preserve"> módosítás következtében </w:t>
      </w:r>
      <w:r w:rsidR="00831A61">
        <w:t xml:space="preserve">– a 224. intézkedéssel történő kettős finanszírozás elkerülés céljából - </w:t>
      </w:r>
      <w:r w:rsidRPr="002B4681">
        <w:t>a szálaló erdőgazdálkodás célprogramnál is bevezetésre került a holtfa meghagyási kötelezettség. Az erdőállományok kézimunka-igényes ápolása célprogramnál a támogatási kérelem benyújtási időszakot október 1. és november 30. közötti időtartamban határozta meg.</w:t>
      </w:r>
    </w:p>
    <w:p w:rsidR="00CF7C1C" w:rsidRPr="00F92037" w:rsidRDefault="007E5FDF" w:rsidP="00F92037">
      <w:pPr>
        <w:pStyle w:val="bra-cmetbla"/>
      </w:pPr>
      <w:fldSimple w:instr=" SEQ táblázat \* ARABIC ">
        <w:r w:rsidR="00E5031F">
          <w:rPr>
            <w:noProof/>
          </w:rPr>
          <w:t>76</w:t>
        </w:r>
      </w:fldSimple>
      <w:r w:rsidR="00673DDE">
        <w:t xml:space="preserve">. táblázat: </w:t>
      </w:r>
      <w:r w:rsidR="00CF7C1C" w:rsidRPr="00F92037">
        <w:t>Erdő-környezetvédelmi intézkedésekhez nyújtandó támogatások jogcím 2012. évi eredményei</w:t>
      </w:r>
    </w:p>
    <w:p w:rsidR="002B7BF5" w:rsidRPr="00F92037" w:rsidRDefault="002B7BF5" w:rsidP="00F92037">
      <w:pPr>
        <w:pStyle w:val="bra-cmetbla"/>
      </w:pPr>
      <w:r w:rsidRPr="00F92037">
        <w:rPr>
          <w:noProof/>
        </w:rPr>
        <w:drawing>
          <wp:inline distT="0" distB="0" distL="0" distR="0" wp14:anchorId="023E7A8B" wp14:editId="31EFDE3E">
            <wp:extent cx="5175885" cy="1889125"/>
            <wp:effectExtent l="0" t="0" r="571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75885" cy="1889125"/>
                    </a:xfrm>
                    <a:prstGeom prst="rect">
                      <a:avLst/>
                    </a:prstGeom>
                    <a:noFill/>
                    <a:ln>
                      <a:noFill/>
                    </a:ln>
                  </pic:spPr>
                </pic:pic>
              </a:graphicData>
            </a:graphic>
          </wp:inline>
        </w:drawing>
      </w:r>
    </w:p>
    <w:p w:rsidR="00CF7C1C" w:rsidRPr="00F92037" w:rsidRDefault="00CF7C1C" w:rsidP="00F92037">
      <w:pPr>
        <w:pStyle w:val="bra-cmetbla"/>
      </w:pPr>
    </w:p>
    <w:p w:rsidR="00CF7C1C" w:rsidRPr="00F35797" w:rsidRDefault="00CF7C1C" w:rsidP="00CF7C1C">
      <w:pPr>
        <w:pStyle w:val="Normlforrs"/>
      </w:pPr>
      <w:r w:rsidRPr="00F35797">
        <w:t>Forrás: MVH</w:t>
      </w:r>
    </w:p>
    <w:p w:rsidR="00CF7C1C" w:rsidRDefault="00CF7C1C" w:rsidP="004869BB">
      <w:r w:rsidRPr="002B4681">
        <w:t>A 166 kifizetési kérelemre</w:t>
      </w:r>
      <w:r w:rsidR="00227EF5">
        <w:t>,</w:t>
      </w:r>
      <w:r w:rsidRPr="002B4681">
        <w:t xml:space="preserve"> 2012-ben 1,1 M euró (323,1 M Ft) kifizetése történt meg. </w:t>
      </w:r>
    </w:p>
    <w:p w:rsidR="00CF7C1C" w:rsidRPr="002B4681" w:rsidRDefault="00CF7C1C" w:rsidP="004869BB">
      <w:r w:rsidRPr="002B4681">
        <w:t xml:space="preserve">A kifizetéseket tekintve </w:t>
      </w:r>
      <w:r w:rsidR="001A0512">
        <w:t>Veszprém és Borsod-Abaúj-Zemplén</w:t>
      </w:r>
      <w:r w:rsidRPr="002B4681">
        <w:t xml:space="preserve"> megyében volt messze a legmagasabb az arány.</w:t>
      </w:r>
    </w:p>
    <w:p w:rsidR="00CF7C1C" w:rsidRPr="00896E03" w:rsidRDefault="00CF7C1C" w:rsidP="00DB48A3">
      <w:pPr>
        <w:pStyle w:val="Cmsor3"/>
      </w:pPr>
      <w:bookmarkStart w:id="302" w:name="_Toc260212722"/>
      <w:bookmarkStart w:id="303" w:name="_Toc261596943"/>
      <w:bookmarkStart w:id="304" w:name="_Toc328638722"/>
      <w:bookmarkStart w:id="305" w:name="_Toc360176813"/>
      <w:r w:rsidRPr="00896E03">
        <w:t>Erdészeti potenciál helyreállítása és megelőző intézkedések (226) rövid bemutatása</w:t>
      </w:r>
      <w:bookmarkEnd w:id="302"/>
      <w:bookmarkEnd w:id="303"/>
      <w:bookmarkEnd w:id="304"/>
      <w:bookmarkEnd w:id="305"/>
    </w:p>
    <w:p w:rsidR="00CF7C1C" w:rsidRPr="00F35797" w:rsidRDefault="00CF7C1C" w:rsidP="004869BB">
      <w:pPr>
        <w:rPr>
          <w:lang w:bidi="sa-IN"/>
        </w:rPr>
      </w:pPr>
      <w:r w:rsidRPr="00F35797">
        <w:rPr>
          <w:lang w:bidi="sa-IN"/>
        </w:rPr>
        <w:t>Az intézkedés célja az olyan tényezők hatásainak enyhítése vagy megszüntetése, melyek a társadalmi jóléti, szabadidős és környezetvédelmi szükségletek kielégítését fenyegetik, továbbá az abiotikus károk megelőzése és megakadályozása. Egy másik célkitűzés az erdőgazdálkodással kapcsolatos kockázatok csökkentése, az olyan károk megelőzése és megakadályozása, melyek az erdők ökológiai és jóléti funkcióit veszélyeztetik. Erdő-környezetvédelmi kifizetésekben</w:t>
      </w:r>
      <w:r w:rsidR="00227EF5">
        <w:rPr>
          <w:lang w:bidi="sa-IN"/>
        </w:rPr>
        <w:t>,</w:t>
      </w:r>
      <w:r w:rsidRPr="00F35797">
        <w:rPr>
          <w:lang w:bidi="sa-IN"/>
        </w:rPr>
        <w:t xml:space="preserve"> erdőterület-hektáronként</w:t>
      </w:r>
      <w:r w:rsidR="00227EF5">
        <w:rPr>
          <w:lang w:bidi="sa-IN"/>
        </w:rPr>
        <w:t>,</w:t>
      </w:r>
      <w:r w:rsidRPr="00F35797">
        <w:rPr>
          <w:lang w:bidi="sa-IN"/>
        </w:rPr>
        <w:t xml:space="preserve"> azok a kedvezményezettek részesülnek, akik önkéntes alapon a jogszabályokban, valamint a szakmai irányelvek figyelembe vételével kialakított erdőtervekben foglalt előírásokon túlmutató erdő-környezetvédelmi kötelezettségeket vállalnak.</w:t>
      </w:r>
    </w:p>
    <w:p w:rsidR="00227EF5" w:rsidRDefault="00CF7C1C" w:rsidP="004869BB">
      <w:pPr>
        <w:rPr>
          <w:lang w:bidi="sa-IN"/>
        </w:rPr>
      </w:pPr>
      <w:r w:rsidRPr="00F35797">
        <w:rPr>
          <w:lang w:bidi="sa-IN"/>
        </w:rPr>
        <w:t xml:space="preserve">Az intézkedés két alintézkedést foglal magában: 1. erdészeti potenciál helyreállítása és 2. megelőző intézkedések. </w:t>
      </w:r>
    </w:p>
    <w:p w:rsidR="00CF7C1C" w:rsidRPr="006D3FF6" w:rsidRDefault="00227EF5" w:rsidP="004869BB">
      <w:pPr>
        <w:rPr>
          <w:strike/>
          <w:lang w:bidi="sa-IN"/>
        </w:rPr>
      </w:pPr>
      <w:r>
        <w:rPr>
          <w:lang w:bidi="sa-IN"/>
        </w:rPr>
        <w:t>A programozási időszakban eddig a</w:t>
      </w:r>
      <w:r w:rsidR="00CF7C1C" w:rsidRPr="00F35797">
        <w:rPr>
          <w:lang w:bidi="sa-IN"/>
        </w:rPr>
        <w:t xml:space="preserve">z 1. alintézkedés keretében az </w:t>
      </w:r>
      <w:r w:rsidR="00CF7C1C" w:rsidRPr="00F35797">
        <w:rPr>
          <w:i/>
          <w:lang w:bidi="sa-IN"/>
        </w:rPr>
        <w:t>Erdészeti potenciál helyreállítására nyújtandó támogatások</w:t>
      </w:r>
      <w:r w:rsidR="00CF7C1C" w:rsidRPr="00F35797">
        <w:rPr>
          <w:lang w:bidi="sa-IN"/>
        </w:rPr>
        <w:t xml:space="preserve"> jogcím</w:t>
      </w:r>
      <w:r w:rsidRPr="00227EF5">
        <w:rPr>
          <w:lang w:bidi="sa-IN"/>
        </w:rPr>
        <w:t xml:space="preserve"> </w:t>
      </w:r>
      <w:r w:rsidRPr="00F35797">
        <w:rPr>
          <w:lang w:bidi="sa-IN"/>
        </w:rPr>
        <w:t>került meghirdetésre</w:t>
      </w:r>
      <w:r w:rsidR="00CF7C1C" w:rsidRPr="00F35797">
        <w:rPr>
          <w:lang w:bidi="sa-IN"/>
        </w:rPr>
        <w:t xml:space="preserve">. </w:t>
      </w:r>
    </w:p>
    <w:p w:rsidR="00CF7C1C" w:rsidRPr="00F92037" w:rsidRDefault="007E5FDF" w:rsidP="00F92037">
      <w:pPr>
        <w:pStyle w:val="bra-cmetbla"/>
      </w:pPr>
      <w:fldSimple w:instr=" SEQ táblázat \* ARABIC ">
        <w:r w:rsidR="00E5031F">
          <w:rPr>
            <w:noProof/>
          </w:rPr>
          <w:t>77</w:t>
        </w:r>
      </w:fldSimple>
      <w:r w:rsidR="00673DDE">
        <w:t xml:space="preserve">. táblázat: </w:t>
      </w:r>
      <w:r w:rsidR="00CF7C1C" w:rsidRPr="00F92037">
        <w:t>Erdészeti potenciál helyreállítása és megelőző intézkedések (226) indikátorainak megvalósulása</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
        <w:gridCol w:w="5766"/>
        <w:gridCol w:w="1800"/>
        <w:gridCol w:w="1578"/>
      </w:tblGrid>
      <w:tr w:rsidR="00CF7C1C" w:rsidRPr="00E1404B" w:rsidTr="00CF7C1C">
        <w:trPr>
          <w:cantSplit/>
          <w:tblHeader/>
          <w:jc w:val="center"/>
        </w:trPr>
        <w:tc>
          <w:tcPr>
            <w:tcW w:w="488" w:type="dxa"/>
            <w:shd w:val="clear" w:color="auto" w:fill="B3B3B3"/>
          </w:tcPr>
          <w:p w:rsidR="00CF7C1C" w:rsidRPr="00E1404B" w:rsidRDefault="00CF7C1C" w:rsidP="006C2767">
            <w:pPr>
              <w:pStyle w:val="Tbla-cm"/>
              <w:rPr>
                <w:lang w:bidi="sa-IN"/>
              </w:rPr>
            </w:pPr>
            <w:bookmarkStart w:id="306" w:name="_Toc261596944"/>
          </w:p>
        </w:tc>
        <w:tc>
          <w:tcPr>
            <w:tcW w:w="5766" w:type="dxa"/>
            <w:shd w:val="clear" w:color="auto" w:fill="B3B3B3"/>
            <w:vAlign w:val="center"/>
          </w:tcPr>
          <w:p w:rsidR="00CF7C1C" w:rsidRPr="00E1404B" w:rsidRDefault="00CF7C1C" w:rsidP="006C2767">
            <w:pPr>
              <w:pStyle w:val="Tbla-cm"/>
              <w:rPr>
                <w:lang w:bidi="sa-IN"/>
              </w:rPr>
            </w:pPr>
            <w:r w:rsidRPr="00E1404B">
              <w:rPr>
                <w:lang w:bidi="sa-IN"/>
              </w:rPr>
              <w:t>Indikátor leírása</w:t>
            </w:r>
          </w:p>
        </w:tc>
        <w:tc>
          <w:tcPr>
            <w:tcW w:w="1800" w:type="dxa"/>
            <w:shd w:val="clear" w:color="auto" w:fill="B3B3B3"/>
            <w:vAlign w:val="center"/>
          </w:tcPr>
          <w:p w:rsidR="00CF7C1C" w:rsidRPr="00E1404B" w:rsidRDefault="00CF7C1C" w:rsidP="006C2767">
            <w:pPr>
              <w:pStyle w:val="Tbla-cm"/>
              <w:rPr>
                <w:lang w:bidi="sa-IN"/>
              </w:rPr>
            </w:pPr>
            <w:r w:rsidRPr="00E1404B">
              <w:t>Program szerinti tervadat</w:t>
            </w:r>
          </w:p>
        </w:tc>
        <w:tc>
          <w:tcPr>
            <w:tcW w:w="1578" w:type="dxa"/>
            <w:shd w:val="clear" w:color="auto" w:fill="B3B3B3"/>
          </w:tcPr>
          <w:p w:rsidR="00CF7C1C" w:rsidRPr="00E1404B" w:rsidRDefault="00CF7C1C" w:rsidP="006C2767">
            <w:pPr>
              <w:pStyle w:val="Tbla-cm"/>
              <w:rPr>
                <w:lang w:bidi="sa-IN"/>
              </w:rPr>
            </w:pPr>
            <w:r w:rsidRPr="00E1404B">
              <w:t>Indikátorok kumulált értéke</w:t>
            </w:r>
          </w:p>
        </w:tc>
      </w:tr>
      <w:tr w:rsidR="00CF7C1C" w:rsidRPr="00E1404B" w:rsidTr="00CF7C1C">
        <w:trPr>
          <w:cantSplit/>
          <w:jc w:val="center"/>
        </w:trPr>
        <w:tc>
          <w:tcPr>
            <w:tcW w:w="488" w:type="dxa"/>
            <w:vMerge w:val="restart"/>
          </w:tcPr>
          <w:p w:rsidR="00CF7C1C" w:rsidRPr="00E1404B" w:rsidRDefault="00CF7C1C" w:rsidP="00CF7C1C">
            <w:pPr>
              <w:pStyle w:val="Normltblzatban"/>
              <w:spacing w:after="0"/>
              <w:ind w:left="0" w:firstLine="0"/>
              <w:jc w:val="center"/>
              <w:rPr>
                <w:b/>
                <w:bCs/>
                <w:sz w:val="20"/>
                <w:szCs w:val="20"/>
                <w:lang w:bidi="sa-IN"/>
              </w:rPr>
            </w:pPr>
            <w:r w:rsidRPr="00E1404B">
              <w:rPr>
                <w:b/>
                <w:bCs/>
                <w:sz w:val="20"/>
                <w:szCs w:val="20"/>
                <w:lang w:bidi="sa-IN"/>
              </w:rPr>
              <w:t>O</w:t>
            </w:r>
          </w:p>
        </w:tc>
        <w:tc>
          <w:tcPr>
            <w:tcW w:w="5766" w:type="dxa"/>
            <w:shd w:val="clear" w:color="auto" w:fill="auto"/>
          </w:tcPr>
          <w:p w:rsidR="00CF7C1C" w:rsidRPr="00E1404B" w:rsidRDefault="00CF7C1C" w:rsidP="00CF7C1C">
            <w:pPr>
              <w:pStyle w:val="Normltblzatban"/>
              <w:spacing w:after="0"/>
              <w:rPr>
                <w:b/>
                <w:bCs/>
                <w:sz w:val="20"/>
                <w:szCs w:val="20"/>
                <w:lang w:bidi="sa-IN"/>
              </w:rPr>
            </w:pPr>
            <w:r w:rsidRPr="00E1404B">
              <w:rPr>
                <w:b/>
                <w:bCs/>
                <w:sz w:val="20"/>
                <w:szCs w:val="20"/>
                <w:lang w:bidi="sa-IN"/>
              </w:rPr>
              <w:t xml:space="preserve">Megelőző/helyreállító intézkedések száma </w:t>
            </w:r>
          </w:p>
          <w:p w:rsidR="00CF7C1C" w:rsidRPr="00E1404B" w:rsidRDefault="00CF7C1C" w:rsidP="00CF7C1C">
            <w:pPr>
              <w:keepNext/>
              <w:suppressAutoHyphens w:val="0"/>
              <w:spacing w:after="0"/>
              <w:jc w:val="left"/>
              <w:rPr>
                <w:sz w:val="20"/>
                <w:szCs w:val="20"/>
                <w:lang w:bidi="sa-IN"/>
              </w:rPr>
            </w:pPr>
            <w:r w:rsidRPr="00E1404B">
              <w:rPr>
                <w:sz w:val="20"/>
                <w:szCs w:val="20"/>
                <w:lang w:bidi="sa-IN"/>
              </w:rPr>
              <w:t>Az intézkedés típusa:</w:t>
            </w:r>
          </w:p>
          <w:p w:rsidR="00CF7C1C" w:rsidRPr="00E1404B" w:rsidRDefault="00CF7C1C" w:rsidP="0033390A">
            <w:pPr>
              <w:numPr>
                <w:ilvl w:val="0"/>
                <w:numId w:val="80"/>
              </w:numPr>
              <w:spacing w:after="0"/>
              <w:rPr>
                <w:sz w:val="20"/>
                <w:szCs w:val="20"/>
                <w:lang w:val="en-GB" w:bidi="sa-IN"/>
              </w:rPr>
            </w:pPr>
            <w:r w:rsidRPr="00E1404B">
              <w:rPr>
                <w:sz w:val="20"/>
                <w:szCs w:val="20"/>
              </w:rPr>
              <w:t>Megelőzés</w:t>
            </w:r>
          </w:p>
          <w:p w:rsidR="00CF7C1C" w:rsidRPr="00E1404B" w:rsidRDefault="00CF7C1C" w:rsidP="0033390A">
            <w:pPr>
              <w:numPr>
                <w:ilvl w:val="0"/>
                <w:numId w:val="80"/>
              </w:numPr>
              <w:spacing w:after="0"/>
              <w:rPr>
                <w:sz w:val="20"/>
                <w:szCs w:val="20"/>
              </w:rPr>
            </w:pPr>
            <w:r w:rsidRPr="00E1404B">
              <w:rPr>
                <w:sz w:val="20"/>
                <w:szCs w:val="20"/>
                <w:lang w:bidi="sa-IN"/>
              </w:rPr>
              <w:t xml:space="preserve">Tűzkár </w:t>
            </w:r>
            <w:r w:rsidRPr="00E1404B">
              <w:rPr>
                <w:sz w:val="20"/>
                <w:szCs w:val="20"/>
              </w:rPr>
              <w:t>kockázatával szemben</w:t>
            </w:r>
          </w:p>
          <w:p w:rsidR="00CF7C1C" w:rsidRPr="00E1404B" w:rsidRDefault="00CF7C1C" w:rsidP="0033390A">
            <w:pPr>
              <w:numPr>
                <w:ilvl w:val="0"/>
                <w:numId w:val="80"/>
              </w:numPr>
              <w:spacing w:after="0"/>
              <w:jc w:val="left"/>
              <w:rPr>
                <w:sz w:val="20"/>
                <w:szCs w:val="20"/>
                <w:lang w:bidi="sa-IN"/>
              </w:rPr>
            </w:pPr>
            <w:r w:rsidRPr="00E1404B">
              <w:rPr>
                <w:sz w:val="20"/>
                <w:szCs w:val="20"/>
              </w:rPr>
              <w:t xml:space="preserve"> Természeti katasztrófákkal szemben (árvíz, széllökések, betegség, fagy</w:t>
            </w:r>
            <w:r w:rsidRPr="00E1404B">
              <w:rPr>
                <w:sz w:val="20"/>
                <w:szCs w:val="20"/>
                <w:lang w:bidi="sa-IN"/>
              </w:rPr>
              <w:t>- és hókár stb.)</w:t>
            </w:r>
          </w:p>
          <w:p w:rsidR="00CF7C1C" w:rsidRPr="00E1404B" w:rsidRDefault="00CF7C1C" w:rsidP="0033390A">
            <w:pPr>
              <w:numPr>
                <w:ilvl w:val="0"/>
                <w:numId w:val="80"/>
              </w:numPr>
              <w:spacing w:after="0"/>
              <w:rPr>
                <w:sz w:val="20"/>
                <w:szCs w:val="20"/>
                <w:lang w:val="en-GB" w:bidi="sa-IN"/>
              </w:rPr>
            </w:pPr>
            <w:r w:rsidRPr="00E1404B">
              <w:rPr>
                <w:sz w:val="20"/>
                <w:szCs w:val="20"/>
              </w:rPr>
              <w:t>Helyreállítás</w:t>
            </w:r>
          </w:p>
          <w:p w:rsidR="00CF7C1C" w:rsidRPr="00E1404B" w:rsidRDefault="00CF7C1C" w:rsidP="0033390A">
            <w:pPr>
              <w:numPr>
                <w:ilvl w:val="0"/>
                <w:numId w:val="80"/>
              </w:numPr>
              <w:spacing w:after="0"/>
              <w:rPr>
                <w:sz w:val="20"/>
                <w:szCs w:val="20"/>
              </w:rPr>
            </w:pPr>
            <w:r w:rsidRPr="00E1404B">
              <w:rPr>
                <w:sz w:val="20"/>
                <w:szCs w:val="20"/>
              </w:rPr>
              <w:t>Tűzkárok után</w:t>
            </w:r>
          </w:p>
          <w:p w:rsidR="00CF7C1C" w:rsidRPr="00E1404B" w:rsidRDefault="00CF7C1C" w:rsidP="0033390A">
            <w:pPr>
              <w:numPr>
                <w:ilvl w:val="0"/>
                <w:numId w:val="80"/>
              </w:numPr>
              <w:spacing w:after="0"/>
              <w:rPr>
                <w:sz w:val="20"/>
                <w:szCs w:val="20"/>
                <w:lang w:val="en-GB" w:bidi="sa-IN"/>
              </w:rPr>
            </w:pPr>
            <w:r w:rsidRPr="00E1404B">
              <w:rPr>
                <w:sz w:val="20"/>
                <w:szCs w:val="20"/>
              </w:rPr>
              <w:t>Természe</w:t>
            </w:r>
            <w:r w:rsidRPr="00E1404B">
              <w:rPr>
                <w:sz w:val="20"/>
                <w:szCs w:val="20"/>
                <w:lang w:bidi="sa-IN"/>
              </w:rPr>
              <w:t>ti katasztrófák után</w:t>
            </w:r>
          </w:p>
          <w:p w:rsidR="00CF7C1C" w:rsidRPr="00E1404B" w:rsidRDefault="00CF7C1C" w:rsidP="00CF7C1C">
            <w:pPr>
              <w:pStyle w:val="Normltblateljes"/>
              <w:keepNext/>
              <w:suppressAutoHyphens w:val="0"/>
              <w:spacing w:after="0"/>
              <w:rPr>
                <w:sz w:val="20"/>
                <w:szCs w:val="20"/>
                <w:lang w:val="en-GB" w:bidi="sa-IN"/>
              </w:rPr>
            </w:pPr>
            <w:r w:rsidRPr="00E1404B">
              <w:rPr>
                <w:sz w:val="20"/>
                <w:szCs w:val="20"/>
                <w:lang w:bidi="sa-IN"/>
              </w:rPr>
              <w:t>A beavatkozás típusa</w:t>
            </w:r>
          </w:p>
          <w:p w:rsidR="00CF7C1C" w:rsidRPr="00E1404B" w:rsidRDefault="00CF7C1C" w:rsidP="0033390A">
            <w:pPr>
              <w:numPr>
                <w:ilvl w:val="0"/>
                <w:numId w:val="80"/>
              </w:numPr>
              <w:spacing w:after="0"/>
              <w:rPr>
                <w:sz w:val="20"/>
                <w:szCs w:val="20"/>
              </w:rPr>
            </w:pPr>
            <w:r w:rsidRPr="00E1404B">
              <w:rPr>
                <w:sz w:val="20"/>
                <w:szCs w:val="20"/>
              </w:rPr>
              <w:t>Infrastruktúra</w:t>
            </w:r>
          </w:p>
          <w:p w:rsidR="00CF7C1C" w:rsidRPr="00E1404B" w:rsidRDefault="00CF7C1C" w:rsidP="0033390A">
            <w:pPr>
              <w:numPr>
                <w:ilvl w:val="0"/>
                <w:numId w:val="80"/>
              </w:numPr>
              <w:spacing w:after="0"/>
              <w:rPr>
                <w:sz w:val="20"/>
                <w:szCs w:val="20"/>
              </w:rPr>
            </w:pPr>
            <w:r w:rsidRPr="00E1404B">
              <w:rPr>
                <w:sz w:val="20"/>
                <w:szCs w:val="20"/>
              </w:rPr>
              <w:t>Újratelepítés</w:t>
            </w:r>
          </w:p>
          <w:p w:rsidR="00CF7C1C" w:rsidRPr="00E1404B" w:rsidRDefault="00CF7C1C" w:rsidP="0033390A">
            <w:pPr>
              <w:numPr>
                <w:ilvl w:val="0"/>
                <w:numId w:val="80"/>
              </w:numPr>
              <w:spacing w:after="0"/>
              <w:rPr>
                <w:sz w:val="20"/>
                <w:szCs w:val="20"/>
              </w:rPr>
            </w:pPr>
            <w:r w:rsidRPr="00E1404B">
              <w:rPr>
                <w:sz w:val="20"/>
                <w:szCs w:val="20"/>
              </w:rPr>
              <w:t>Erdészeti helyreállítási beruházások</w:t>
            </w:r>
          </w:p>
          <w:p w:rsidR="00CF7C1C" w:rsidRPr="00E1404B" w:rsidRDefault="00CF7C1C" w:rsidP="0033390A">
            <w:pPr>
              <w:numPr>
                <w:ilvl w:val="0"/>
                <w:numId w:val="80"/>
              </w:numPr>
              <w:spacing w:after="0"/>
              <w:rPr>
                <w:sz w:val="20"/>
                <w:szCs w:val="20"/>
                <w:lang w:bidi="sa-IN"/>
              </w:rPr>
            </w:pPr>
            <w:r w:rsidRPr="00E1404B">
              <w:rPr>
                <w:sz w:val="20"/>
                <w:szCs w:val="20"/>
              </w:rPr>
              <w:t>Megelőző</w:t>
            </w:r>
            <w:r w:rsidRPr="00E1404B">
              <w:rPr>
                <w:sz w:val="20"/>
                <w:szCs w:val="20"/>
                <w:lang w:bidi="sa-IN"/>
              </w:rPr>
              <w:t xml:space="preserve"> intézkedések</w:t>
            </w:r>
          </w:p>
        </w:tc>
        <w:tc>
          <w:tcPr>
            <w:tcW w:w="1800" w:type="dxa"/>
            <w:shd w:val="clear" w:color="auto" w:fill="auto"/>
          </w:tcPr>
          <w:p w:rsidR="00CF7C1C" w:rsidRPr="00E1404B" w:rsidRDefault="00CF7C1C" w:rsidP="00CF7C1C">
            <w:pPr>
              <w:pStyle w:val="Normltblzatban"/>
              <w:spacing w:after="0"/>
              <w:jc w:val="right"/>
              <w:rPr>
                <w:sz w:val="20"/>
                <w:szCs w:val="20"/>
                <w:lang w:val="en-GB" w:bidi="sa-IN"/>
              </w:rPr>
            </w:pPr>
            <w:r w:rsidRPr="00E1404B">
              <w:rPr>
                <w:sz w:val="20"/>
                <w:szCs w:val="20"/>
                <w:lang w:bidi="sa-IN"/>
              </w:rPr>
              <w:t>28 700 db</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15 800 db</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9 480 db</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6 320 db</w:t>
            </w:r>
            <w:r w:rsidRPr="00E1404B">
              <w:rPr>
                <w:sz w:val="20"/>
                <w:szCs w:val="20"/>
                <w:lang w:bidi="sa-IN"/>
              </w:rPr>
              <w:br/>
            </w:r>
            <w:r w:rsidRPr="00E1404B">
              <w:rPr>
                <w:sz w:val="20"/>
                <w:szCs w:val="20"/>
                <w:lang w:bidi="sa-IN"/>
              </w:rPr>
              <w:br/>
              <w:t>12 900 db</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6 450 db</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6 450 db</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bidi="sa-IN"/>
              </w:rPr>
            </w:pPr>
            <w:r w:rsidRPr="00E1404B">
              <w:rPr>
                <w:sz w:val="20"/>
                <w:szCs w:val="20"/>
                <w:lang w:bidi="sa-IN"/>
              </w:rPr>
              <w:t>5 740 db</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8 600 db</w:t>
            </w:r>
          </w:p>
          <w:p w:rsidR="00CF7C1C" w:rsidRPr="00E1404B" w:rsidRDefault="00CF7C1C" w:rsidP="00CF7C1C">
            <w:pPr>
              <w:pStyle w:val="Normltblzatban"/>
              <w:spacing w:after="0"/>
              <w:jc w:val="right"/>
              <w:rPr>
                <w:sz w:val="20"/>
                <w:szCs w:val="20"/>
                <w:lang w:val="en-GB" w:bidi="sa-IN"/>
              </w:rPr>
            </w:pPr>
            <w:r w:rsidRPr="00E1404B">
              <w:rPr>
                <w:sz w:val="20"/>
                <w:szCs w:val="20"/>
                <w:lang w:bidi="sa-IN"/>
              </w:rPr>
              <w:t>1 460 db</w:t>
            </w:r>
          </w:p>
          <w:p w:rsidR="00CF7C1C" w:rsidRPr="00E1404B" w:rsidRDefault="00CF7C1C" w:rsidP="00CF7C1C">
            <w:pPr>
              <w:pStyle w:val="Normltblzatban"/>
              <w:spacing w:after="0"/>
              <w:jc w:val="right"/>
              <w:rPr>
                <w:sz w:val="20"/>
                <w:szCs w:val="20"/>
                <w:lang w:bidi="sa-IN"/>
              </w:rPr>
            </w:pPr>
            <w:r w:rsidRPr="00E1404B">
              <w:rPr>
                <w:sz w:val="20"/>
                <w:szCs w:val="20"/>
                <w:lang w:bidi="sa-IN"/>
              </w:rPr>
              <w:t>12 900 db</w:t>
            </w:r>
          </w:p>
        </w:tc>
        <w:tc>
          <w:tcPr>
            <w:tcW w:w="1578" w:type="dxa"/>
            <w:shd w:val="clear" w:color="auto" w:fill="auto"/>
          </w:tcPr>
          <w:p w:rsidR="00CF7C1C" w:rsidRPr="002B4681" w:rsidRDefault="00CF7C1C" w:rsidP="00CF7C1C">
            <w:pPr>
              <w:pStyle w:val="Normltblzatban"/>
              <w:spacing w:after="0"/>
              <w:jc w:val="right"/>
              <w:rPr>
                <w:sz w:val="20"/>
                <w:szCs w:val="20"/>
                <w:lang w:bidi="sa-IN"/>
              </w:rPr>
            </w:pPr>
            <w:r w:rsidRPr="002B4681">
              <w:rPr>
                <w:sz w:val="20"/>
                <w:szCs w:val="20"/>
                <w:lang w:bidi="sa-IN"/>
              </w:rPr>
              <w:t>4</w:t>
            </w:r>
            <w:r w:rsidR="00227EF5">
              <w:rPr>
                <w:sz w:val="20"/>
                <w:szCs w:val="20"/>
                <w:lang w:bidi="sa-IN"/>
              </w:rPr>
              <w:t xml:space="preserve"> </w:t>
            </w:r>
            <w:r w:rsidRPr="002B4681">
              <w:rPr>
                <w:sz w:val="20"/>
                <w:szCs w:val="20"/>
                <w:lang w:bidi="sa-IN"/>
              </w:rPr>
              <w:t xml:space="preserve">105 </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4</w:t>
            </w:r>
            <w:r w:rsidR="00173635">
              <w:rPr>
                <w:sz w:val="20"/>
                <w:szCs w:val="20"/>
                <w:lang w:bidi="sa-IN"/>
              </w:rPr>
              <w:t xml:space="preserve"> </w:t>
            </w:r>
            <w:r w:rsidRPr="002B4681">
              <w:rPr>
                <w:sz w:val="20"/>
                <w:szCs w:val="20"/>
                <w:lang w:bidi="sa-IN"/>
              </w:rPr>
              <w:t xml:space="preserve">105 </w:t>
            </w:r>
          </w:p>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638 </w:t>
            </w:r>
          </w:p>
          <w:p w:rsidR="00CF7C1C" w:rsidRPr="002B4681" w:rsidRDefault="00CF7C1C" w:rsidP="00CF7C1C">
            <w:pPr>
              <w:pStyle w:val="Normltblzatban"/>
              <w:spacing w:after="0"/>
              <w:jc w:val="right"/>
              <w:rPr>
                <w:sz w:val="20"/>
                <w:szCs w:val="20"/>
                <w:lang w:bidi="sa-IN"/>
              </w:rPr>
            </w:pPr>
            <w:r w:rsidRPr="002B4681">
              <w:rPr>
                <w:sz w:val="20"/>
                <w:szCs w:val="20"/>
                <w:lang w:bidi="sa-IN"/>
              </w:rPr>
              <w:t>3</w:t>
            </w:r>
            <w:r w:rsidR="00173635">
              <w:rPr>
                <w:sz w:val="20"/>
                <w:szCs w:val="20"/>
                <w:lang w:bidi="sa-IN"/>
              </w:rPr>
              <w:t xml:space="preserve"> </w:t>
            </w:r>
            <w:r w:rsidRPr="002B4681">
              <w:rPr>
                <w:sz w:val="20"/>
                <w:szCs w:val="20"/>
                <w:lang w:bidi="sa-IN"/>
              </w:rPr>
              <w:t xml:space="preserve">467 </w:t>
            </w: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CF7C1C" w:rsidP="00CF7C1C">
            <w:pPr>
              <w:pStyle w:val="Normltblzatban"/>
              <w:spacing w:after="0"/>
              <w:jc w:val="right"/>
              <w:rPr>
                <w:sz w:val="20"/>
                <w:szCs w:val="20"/>
                <w:lang w:bidi="sa-IN"/>
              </w:rPr>
            </w:pPr>
            <w:r w:rsidRPr="002B4681">
              <w:rPr>
                <w:sz w:val="20"/>
                <w:szCs w:val="20"/>
                <w:lang w:bidi="sa-IN"/>
              </w:rPr>
              <w:t>3</w:t>
            </w:r>
            <w:r w:rsidR="00173635">
              <w:rPr>
                <w:sz w:val="20"/>
                <w:szCs w:val="20"/>
                <w:lang w:bidi="sa-IN"/>
              </w:rPr>
              <w:t xml:space="preserve"> </w:t>
            </w:r>
            <w:r w:rsidRPr="002B4681">
              <w:rPr>
                <w:sz w:val="20"/>
                <w:szCs w:val="20"/>
                <w:lang w:bidi="sa-IN"/>
              </w:rPr>
              <w:t xml:space="preserve">384 </w:t>
            </w:r>
          </w:p>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721 </w:t>
            </w:r>
          </w:p>
          <w:p w:rsidR="00CF7C1C" w:rsidRPr="002B4681" w:rsidRDefault="00CF7C1C" w:rsidP="00CF7C1C">
            <w:pPr>
              <w:pStyle w:val="Normltblzatban"/>
              <w:spacing w:after="0"/>
              <w:jc w:val="right"/>
              <w:rPr>
                <w:sz w:val="20"/>
                <w:szCs w:val="20"/>
                <w:lang w:bidi="sa-IN"/>
              </w:rPr>
            </w:pPr>
            <w:r w:rsidRPr="002B4681">
              <w:rPr>
                <w:sz w:val="20"/>
                <w:szCs w:val="20"/>
                <w:lang w:bidi="sa-IN"/>
              </w:rPr>
              <w:t>0</w:t>
            </w:r>
          </w:p>
        </w:tc>
      </w:tr>
      <w:tr w:rsidR="00CF7C1C" w:rsidRPr="002F2731" w:rsidTr="00CF7C1C">
        <w:trPr>
          <w:cantSplit/>
          <w:jc w:val="center"/>
        </w:trPr>
        <w:tc>
          <w:tcPr>
            <w:tcW w:w="488" w:type="dxa"/>
            <w:vMerge/>
          </w:tcPr>
          <w:p w:rsidR="00CF7C1C" w:rsidRPr="00E1404B" w:rsidRDefault="00CF7C1C" w:rsidP="00CF7C1C">
            <w:pPr>
              <w:pStyle w:val="Normltblzatban"/>
              <w:spacing w:after="0"/>
              <w:ind w:left="0" w:firstLine="0"/>
              <w:jc w:val="center"/>
              <w:rPr>
                <w:b/>
                <w:bCs/>
                <w:sz w:val="20"/>
                <w:szCs w:val="20"/>
                <w:lang w:bidi="sa-IN"/>
              </w:rPr>
            </w:pPr>
          </w:p>
        </w:tc>
        <w:tc>
          <w:tcPr>
            <w:tcW w:w="5766" w:type="dxa"/>
            <w:shd w:val="clear" w:color="auto" w:fill="auto"/>
          </w:tcPr>
          <w:p w:rsidR="00CF7C1C" w:rsidRPr="00E1404B" w:rsidRDefault="00CF7C1C" w:rsidP="00CF7C1C">
            <w:pPr>
              <w:pStyle w:val="Normltblzatban"/>
              <w:spacing w:after="0"/>
              <w:rPr>
                <w:b/>
                <w:bCs/>
                <w:sz w:val="20"/>
                <w:szCs w:val="20"/>
                <w:lang w:val="en-GB" w:bidi="sa-IN"/>
              </w:rPr>
            </w:pPr>
            <w:r w:rsidRPr="00E1404B">
              <w:rPr>
                <w:b/>
                <w:bCs/>
                <w:sz w:val="20"/>
                <w:szCs w:val="20"/>
                <w:lang w:bidi="sa-IN"/>
              </w:rPr>
              <w:t>Támogatott károsított erdőterület</w:t>
            </w:r>
            <w:r w:rsidRPr="00E1404B">
              <w:rPr>
                <w:b/>
                <w:bCs/>
                <w:sz w:val="20"/>
                <w:szCs w:val="20"/>
                <w:lang w:val="en-GB" w:bidi="sa-IN"/>
              </w:rPr>
              <w:t xml:space="preserve"> </w:t>
            </w:r>
          </w:p>
          <w:p w:rsidR="00CF7C1C" w:rsidRPr="00E1404B" w:rsidRDefault="00CF7C1C" w:rsidP="00CF7C1C">
            <w:pPr>
              <w:suppressAutoHyphens w:val="0"/>
              <w:spacing w:after="0"/>
              <w:jc w:val="left"/>
              <w:rPr>
                <w:sz w:val="20"/>
                <w:szCs w:val="20"/>
                <w:lang w:val="en-GB" w:bidi="sa-IN"/>
              </w:rPr>
            </w:pPr>
            <w:r w:rsidRPr="00E1404B">
              <w:rPr>
                <w:sz w:val="20"/>
                <w:szCs w:val="20"/>
                <w:lang w:bidi="sa-IN"/>
              </w:rPr>
              <w:t>A kedvezményezett</w:t>
            </w:r>
          </w:p>
          <w:p w:rsidR="00CF7C1C" w:rsidRPr="00E1404B" w:rsidRDefault="00CF7C1C" w:rsidP="0033390A">
            <w:pPr>
              <w:numPr>
                <w:ilvl w:val="0"/>
                <w:numId w:val="80"/>
              </w:numPr>
              <w:spacing w:after="0"/>
              <w:rPr>
                <w:sz w:val="20"/>
                <w:szCs w:val="20"/>
                <w:lang w:val="en-GB" w:bidi="sa-IN"/>
              </w:rPr>
            </w:pPr>
            <w:r w:rsidRPr="00E1404B">
              <w:rPr>
                <w:sz w:val="20"/>
                <w:szCs w:val="20"/>
              </w:rPr>
              <w:t>Magán</w:t>
            </w:r>
          </w:p>
          <w:p w:rsidR="00CF7C1C" w:rsidRPr="00E1404B" w:rsidRDefault="00CF7C1C" w:rsidP="0033390A">
            <w:pPr>
              <w:numPr>
                <w:ilvl w:val="0"/>
                <w:numId w:val="80"/>
              </w:numPr>
              <w:spacing w:after="0"/>
              <w:rPr>
                <w:sz w:val="20"/>
                <w:szCs w:val="20"/>
                <w:lang w:val="en-GB" w:bidi="sa-IN"/>
              </w:rPr>
            </w:pPr>
            <w:r w:rsidRPr="00E1404B">
              <w:rPr>
                <w:sz w:val="20"/>
                <w:szCs w:val="20"/>
              </w:rPr>
              <w:t>Állami</w:t>
            </w:r>
          </w:p>
          <w:p w:rsidR="00CF7C1C" w:rsidRPr="00E1404B" w:rsidRDefault="00CF7C1C" w:rsidP="00CF7C1C">
            <w:pPr>
              <w:pStyle w:val="Normltblateljes"/>
              <w:suppressAutoHyphens w:val="0"/>
              <w:spacing w:after="0"/>
              <w:rPr>
                <w:sz w:val="20"/>
                <w:szCs w:val="20"/>
                <w:lang w:bidi="sa-IN"/>
              </w:rPr>
            </w:pPr>
            <w:r w:rsidRPr="00E1404B">
              <w:rPr>
                <w:sz w:val="20"/>
                <w:szCs w:val="20"/>
                <w:lang w:bidi="sa-IN"/>
              </w:rPr>
              <w:t>Az intézkedés típusa:</w:t>
            </w:r>
          </w:p>
          <w:p w:rsidR="00CF7C1C" w:rsidRPr="00E1404B" w:rsidRDefault="00CF7C1C" w:rsidP="0033390A">
            <w:pPr>
              <w:numPr>
                <w:ilvl w:val="0"/>
                <w:numId w:val="80"/>
              </w:numPr>
              <w:spacing w:after="0"/>
              <w:rPr>
                <w:sz w:val="20"/>
                <w:szCs w:val="20"/>
                <w:lang w:val="en-GB" w:bidi="sa-IN"/>
              </w:rPr>
            </w:pPr>
            <w:r w:rsidRPr="00E1404B">
              <w:rPr>
                <w:sz w:val="20"/>
                <w:szCs w:val="20"/>
                <w:lang w:bidi="sa-IN"/>
              </w:rPr>
              <w:t>-</w:t>
            </w:r>
            <w:r w:rsidRPr="00E1404B">
              <w:rPr>
                <w:sz w:val="20"/>
                <w:szCs w:val="20"/>
              </w:rPr>
              <w:t>Megelőzés</w:t>
            </w:r>
          </w:p>
          <w:p w:rsidR="00CF7C1C" w:rsidRPr="00E1404B" w:rsidRDefault="00CF7C1C" w:rsidP="0033390A">
            <w:pPr>
              <w:numPr>
                <w:ilvl w:val="0"/>
                <w:numId w:val="80"/>
              </w:numPr>
              <w:spacing w:after="0"/>
              <w:rPr>
                <w:sz w:val="20"/>
                <w:szCs w:val="20"/>
              </w:rPr>
            </w:pPr>
            <w:r w:rsidRPr="00E1404B">
              <w:rPr>
                <w:sz w:val="20"/>
                <w:szCs w:val="20"/>
                <w:lang w:bidi="sa-IN"/>
              </w:rPr>
              <w:t xml:space="preserve">Tűzkár </w:t>
            </w:r>
            <w:r w:rsidRPr="00E1404B">
              <w:rPr>
                <w:sz w:val="20"/>
                <w:szCs w:val="20"/>
              </w:rPr>
              <w:t>kockázatával szemben</w:t>
            </w:r>
          </w:p>
          <w:p w:rsidR="00CF7C1C" w:rsidRPr="00E1404B" w:rsidRDefault="00CF7C1C" w:rsidP="0033390A">
            <w:pPr>
              <w:numPr>
                <w:ilvl w:val="0"/>
                <w:numId w:val="80"/>
              </w:numPr>
              <w:spacing w:after="0"/>
              <w:rPr>
                <w:sz w:val="20"/>
                <w:szCs w:val="20"/>
                <w:lang w:bidi="sa-IN"/>
              </w:rPr>
            </w:pPr>
            <w:r w:rsidRPr="00E1404B">
              <w:rPr>
                <w:sz w:val="20"/>
                <w:szCs w:val="20"/>
              </w:rPr>
              <w:t xml:space="preserve"> Természeti katasztrófákkal szemben (árvíz, széllökések, betegség, fagy</w:t>
            </w:r>
            <w:r w:rsidRPr="00E1404B">
              <w:rPr>
                <w:sz w:val="20"/>
                <w:szCs w:val="20"/>
                <w:lang w:bidi="sa-IN"/>
              </w:rPr>
              <w:t>- és hókár stb.)</w:t>
            </w:r>
          </w:p>
          <w:p w:rsidR="00CF7C1C" w:rsidRPr="00E1404B" w:rsidRDefault="00CF7C1C" w:rsidP="0033390A">
            <w:pPr>
              <w:numPr>
                <w:ilvl w:val="0"/>
                <w:numId w:val="80"/>
              </w:numPr>
              <w:spacing w:after="0"/>
              <w:rPr>
                <w:sz w:val="20"/>
                <w:szCs w:val="20"/>
                <w:lang w:val="en-GB" w:bidi="sa-IN"/>
              </w:rPr>
            </w:pPr>
            <w:r w:rsidRPr="00E1404B">
              <w:rPr>
                <w:sz w:val="20"/>
                <w:szCs w:val="20"/>
              </w:rPr>
              <w:t>Helyreállítás</w:t>
            </w:r>
          </w:p>
          <w:p w:rsidR="00CF7C1C" w:rsidRPr="00E1404B" w:rsidRDefault="00CF7C1C" w:rsidP="0033390A">
            <w:pPr>
              <w:numPr>
                <w:ilvl w:val="0"/>
                <w:numId w:val="80"/>
              </w:numPr>
              <w:spacing w:after="0"/>
              <w:rPr>
                <w:sz w:val="20"/>
                <w:szCs w:val="20"/>
              </w:rPr>
            </w:pPr>
            <w:r w:rsidRPr="00E1404B">
              <w:rPr>
                <w:sz w:val="20"/>
                <w:szCs w:val="20"/>
                <w:lang w:bidi="sa-IN"/>
              </w:rPr>
              <w:t xml:space="preserve">Tűzkárok </w:t>
            </w:r>
            <w:r w:rsidRPr="00E1404B">
              <w:rPr>
                <w:sz w:val="20"/>
                <w:szCs w:val="20"/>
              </w:rPr>
              <w:t>után</w:t>
            </w:r>
          </w:p>
          <w:p w:rsidR="00CF7C1C" w:rsidRPr="00E1404B" w:rsidRDefault="00CF7C1C" w:rsidP="0033390A">
            <w:pPr>
              <w:numPr>
                <w:ilvl w:val="0"/>
                <w:numId w:val="80"/>
              </w:numPr>
              <w:spacing w:after="0"/>
              <w:rPr>
                <w:sz w:val="20"/>
                <w:szCs w:val="20"/>
                <w:lang w:val="en-GB" w:bidi="sa-IN"/>
              </w:rPr>
            </w:pPr>
            <w:r w:rsidRPr="00E1404B">
              <w:rPr>
                <w:sz w:val="20"/>
                <w:szCs w:val="20"/>
              </w:rPr>
              <w:t>Természeti</w:t>
            </w:r>
            <w:r w:rsidRPr="00E1404B">
              <w:rPr>
                <w:sz w:val="20"/>
                <w:szCs w:val="20"/>
                <w:lang w:bidi="sa-IN"/>
              </w:rPr>
              <w:t xml:space="preserve"> katasztrófák után</w:t>
            </w:r>
          </w:p>
          <w:p w:rsidR="00CF7C1C" w:rsidRPr="00E1404B" w:rsidRDefault="00CF7C1C" w:rsidP="00CF7C1C">
            <w:pPr>
              <w:suppressAutoHyphens w:val="0"/>
              <w:spacing w:after="0"/>
              <w:jc w:val="left"/>
              <w:rPr>
                <w:sz w:val="20"/>
                <w:szCs w:val="20"/>
                <w:lang w:val="en-GB" w:bidi="sa-IN"/>
              </w:rPr>
            </w:pPr>
            <w:r w:rsidRPr="00E1404B">
              <w:rPr>
                <w:sz w:val="20"/>
                <w:szCs w:val="20"/>
                <w:lang w:bidi="sa-IN"/>
              </w:rPr>
              <w:t>A beavatkozás típusa</w:t>
            </w:r>
          </w:p>
          <w:p w:rsidR="00CF7C1C" w:rsidRPr="00E1404B" w:rsidRDefault="00CF7C1C" w:rsidP="0033390A">
            <w:pPr>
              <w:numPr>
                <w:ilvl w:val="0"/>
                <w:numId w:val="80"/>
              </w:numPr>
              <w:spacing w:after="0"/>
              <w:rPr>
                <w:sz w:val="20"/>
                <w:szCs w:val="20"/>
              </w:rPr>
            </w:pPr>
            <w:r w:rsidRPr="00E1404B">
              <w:rPr>
                <w:sz w:val="20"/>
                <w:szCs w:val="20"/>
              </w:rPr>
              <w:t>Infrastruktúra</w:t>
            </w:r>
          </w:p>
          <w:p w:rsidR="00CF7C1C" w:rsidRPr="00E1404B" w:rsidRDefault="00CF7C1C" w:rsidP="0033390A">
            <w:pPr>
              <w:numPr>
                <w:ilvl w:val="0"/>
                <w:numId w:val="80"/>
              </w:numPr>
              <w:spacing w:after="0"/>
              <w:rPr>
                <w:sz w:val="20"/>
                <w:szCs w:val="20"/>
              </w:rPr>
            </w:pPr>
            <w:r w:rsidRPr="00E1404B">
              <w:rPr>
                <w:sz w:val="20"/>
                <w:szCs w:val="20"/>
              </w:rPr>
              <w:t>Újratelepítés</w:t>
            </w:r>
          </w:p>
          <w:p w:rsidR="00CF7C1C" w:rsidRPr="00E1404B" w:rsidRDefault="00CF7C1C" w:rsidP="0033390A">
            <w:pPr>
              <w:numPr>
                <w:ilvl w:val="0"/>
                <w:numId w:val="80"/>
              </w:numPr>
              <w:spacing w:after="0"/>
              <w:rPr>
                <w:sz w:val="20"/>
                <w:szCs w:val="20"/>
              </w:rPr>
            </w:pPr>
            <w:r w:rsidRPr="00E1404B">
              <w:rPr>
                <w:sz w:val="20"/>
                <w:szCs w:val="20"/>
              </w:rPr>
              <w:t>Erdészeti helyreállítási beruházások</w:t>
            </w:r>
          </w:p>
          <w:p w:rsidR="00CF7C1C" w:rsidRPr="00E1404B" w:rsidRDefault="00CF7C1C" w:rsidP="0033390A">
            <w:pPr>
              <w:numPr>
                <w:ilvl w:val="0"/>
                <w:numId w:val="80"/>
              </w:numPr>
              <w:spacing w:after="0"/>
              <w:rPr>
                <w:sz w:val="20"/>
                <w:szCs w:val="20"/>
                <w:lang w:bidi="sa-IN"/>
              </w:rPr>
            </w:pPr>
            <w:r w:rsidRPr="00E1404B">
              <w:rPr>
                <w:sz w:val="20"/>
                <w:szCs w:val="20"/>
              </w:rPr>
              <w:t>Megelőző intézkedések</w:t>
            </w:r>
          </w:p>
        </w:tc>
        <w:tc>
          <w:tcPr>
            <w:tcW w:w="1800" w:type="dxa"/>
            <w:shd w:val="clear" w:color="auto" w:fill="auto"/>
          </w:tcPr>
          <w:p w:rsidR="00CF7C1C" w:rsidRPr="00E1404B" w:rsidRDefault="00CF7C1C" w:rsidP="00CF7C1C">
            <w:pPr>
              <w:pStyle w:val="Normltblzatban"/>
              <w:spacing w:after="0"/>
              <w:jc w:val="right"/>
              <w:rPr>
                <w:sz w:val="20"/>
                <w:szCs w:val="20"/>
                <w:lang w:val="en-GB" w:bidi="sa-IN"/>
              </w:rPr>
            </w:pPr>
            <w:r w:rsidRPr="00E1404B">
              <w:rPr>
                <w:sz w:val="20"/>
                <w:szCs w:val="20"/>
                <w:lang w:val="en-GB" w:bidi="sa-IN"/>
              </w:rPr>
              <w:t>39 200 ha</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z w:val="20"/>
                <w:szCs w:val="20"/>
                <w:lang w:val="en-GB"/>
              </w:rPr>
              <w:t>27 500 ha</w:t>
            </w:r>
          </w:p>
          <w:p w:rsidR="00CF7C1C" w:rsidRPr="00E1404B" w:rsidRDefault="00CF7C1C" w:rsidP="00CF7C1C">
            <w:pPr>
              <w:pStyle w:val="Normltblzatban"/>
              <w:spacing w:after="0"/>
              <w:jc w:val="right"/>
              <w:rPr>
                <w:sz w:val="20"/>
                <w:szCs w:val="20"/>
                <w:lang w:val="en-GB"/>
              </w:rPr>
            </w:pPr>
            <w:r w:rsidRPr="00E1404B">
              <w:rPr>
                <w:sz w:val="20"/>
                <w:szCs w:val="20"/>
                <w:lang w:val="en-GB"/>
              </w:rPr>
              <w:t>11 700 ha</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z w:val="20"/>
                <w:szCs w:val="20"/>
                <w:lang w:val="en-GB"/>
              </w:rPr>
              <w:t>21 500 ha</w:t>
            </w:r>
          </w:p>
          <w:p w:rsidR="00CF7C1C" w:rsidRPr="00E1404B" w:rsidRDefault="00CF7C1C" w:rsidP="00CF7C1C">
            <w:pPr>
              <w:pStyle w:val="Normltblzatban"/>
              <w:spacing w:after="0"/>
              <w:jc w:val="right"/>
              <w:rPr>
                <w:sz w:val="20"/>
                <w:szCs w:val="20"/>
                <w:lang w:val="en-GB"/>
              </w:rPr>
            </w:pPr>
            <w:r w:rsidRPr="00E1404B">
              <w:rPr>
                <w:sz w:val="20"/>
                <w:szCs w:val="20"/>
                <w:lang w:val="en-GB"/>
              </w:rPr>
              <w:t>10 750 ha</w:t>
            </w:r>
          </w:p>
          <w:p w:rsidR="00CF7C1C" w:rsidRPr="00E1404B" w:rsidRDefault="00CF7C1C" w:rsidP="00CF7C1C">
            <w:pPr>
              <w:pStyle w:val="Normltblzatban"/>
              <w:spacing w:after="0"/>
              <w:jc w:val="right"/>
              <w:rPr>
                <w:sz w:val="20"/>
                <w:szCs w:val="20"/>
                <w:lang w:val="en-GB"/>
              </w:rPr>
            </w:pPr>
            <w:r w:rsidRPr="00E1404B">
              <w:rPr>
                <w:sz w:val="20"/>
                <w:szCs w:val="20"/>
                <w:lang w:val="en-GB"/>
              </w:rPr>
              <w:t>10 750 ha</w:t>
            </w:r>
            <w:r w:rsidRPr="00E1404B">
              <w:rPr>
                <w:sz w:val="20"/>
                <w:szCs w:val="20"/>
                <w:lang w:val="en-GB"/>
              </w:rPr>
              <w:br/>
            </w:r>
            <w:r w:rsidRPr="00E1404B">
              <w:rPr>
                <w:sz w:val="20"/>
                <w:szCs w:val="20"/>
                <w:lang w:val="en-GB"/>
              </w:rPr>
              <w:br/>
              <w:t>17 700 ha</w:t>
            </w:r>
          </w:p>
          <w:p w:rsidR="00CF7C1C" w:rsidRPr="00E1404B" w:rsidRDefault="00CF7C1C" w:rsidP="00CF7C1C">
            <w:pPr>
              <w:pStyle w:val="Normltblzatban"/>
              <w:spacing w:after="0"/>
              <w:jc w:val="right"/>
              <w:rPr>
                <w:sz w:val="20"/>
                <w:szCs w:val="20"/>
                <w:lang w:val="en-GB"/>
              </w:rPr>
            </w:pPr>
            <w:r w:rsidRPr="00E1404B">
              <w:rPr>
                <w:sz w:val="20"/>
                <w:szCs w:val="20"/>
                <w:lang w:val="en-GB"/>
              </w:rPr>
              <w:t>8 850 ha</w:t>
            </w:r>
          </w:p>
          <w:p w:rsidR="00CF7C1C" w:rsidRPr="00E1404B" w:rsidRDefault="00CF7C1C" w:rsidP="00CF7C1C">
            <w:pPr>
              <w:pStyle w:val="Normltblzatban"/>
              <w:spacing w:after="0"/>
              <w:jc w:val="right"/>
              <w:rPr>
                <w:sz w:val="20"/>
                <w:szCs w:val="20"/>
                <w:lang w:val="en-GB"/>
              </w:rPr>
            </w:pPr>
            <w:r w:rsidRPr="00E1404B">
              <w:rPr>
                <w:sz w:val="20"/>
                <w:szCs w:val="20"/>
                <w:lang w:val="en-GB"/>
              </w:rPr>
              <w:t>8 850 ha</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z w:val="20"/>
                <w:szCs w:val="20"/>
                <w:lang w:val="en-GB"/>
              </w:rPr>
              <w:t>7 800 ha</w:t>
            </w:r>
          </w:p>
          <w:p w:rsidR="00CF7C1C" w:rsidRPr="00E1404B" w:rsidRDefault="00CF7C1C" w:rsidP="00CF7C1C">
            <w:pPr>
              <w:pStyle w:val="Normltblzatban"/>
              <w:spacing w:after="0"/>
              <w:jc w:val="right"/>
              <w:rPr>
                <w:sz w:val="20"/>
                <w:szCs w:val="20"/>
                <w:lang w:val="en-GB"/>
              </w:rPr>
            </w:pPr>
            <w:r w:rsidRPr="00E1404B">
              <w:rPr>
                <w:sz w:val="20"/>
                <w:szCs w:val="20"/>
                <w:lang w:val="en-GB"/>
              </w:rPr>
              <w:t>11 700 ha</w:t>
            </w:r>
          </w:p>
          <w:p w:rsidR="00CF7C1C" w:rsidRPr="00E1404B" w:rsidRDefault="00CF7C1C" w:rsidP="00CF7C1C">
            <w:pPr>
              <w:pStyle w:val="Normltblzatban"/>
              <w:spacing w:after="0"/>
              <w:jc w:val="right"/>
              <w:rPr>
                <w:sz w:val="20"/>
                <w:szCs w:val="20"/>
                <w:lang w:val="en-GB"/>
              </w:rPr>
            </w:pPr>
            <w:r w:rsidRPr="00E1404B">
              <w:rPr>
                <w:sz w:val="20"/>
                <w:szCs w:val="20"/>
                <w:lang w:val="en-GB"/>
              </w:rPr>
              <w:t>2 100 ha</w:t>
            </w:r>
          </w:p>
          <w:p w:rsidR="00CF7C1C" w:rsidRPr="00E1404B" w:rsidRDefault="00CF7C1C" w:rsidP="00CF7C1C">
            <w:pPr>
              <w:pStyle w:val="Normltblzatban"/>
              <w:spacing w:after="0"/>
              <w:jc w:val="right"/>
              <w:rPr>
                <w:sz w:val="20"/>
                <w:szCs w:val="20"/>
                <w:lang w:val="en-GB"/>
              </w:rPr>
            </w:pPr>
            <w:r w:rsidRPr="00E1404B">
              <w:rPr>
                <w:sz w:val="20"/>
                <w:szCs w:val="20"/>
                <w:lang w:val="en-GB"/>
              </w:rPr>
              <w:t>17 600 ha</w:t>
            </w:r>
          </w:p>
        </w:tc>
        <w:tc>
          <w:tcPr>
            <w:tcW w:w="1578" w:type="dxa"/>
            <w:shd w:val="clear" w:color="auto" w:fill="auto"/>
          </w:tcPr>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7</w:t>
            </w:r>
            <w:r w:rsidR="00173635">
              <w:rPr>
                <w:sz w:val="20"/>
                <w:szCs w:val="20"/>
                <w:lang w:val="en-GB" w:bidi="sa-IN"/>
              </w:rPr>
              <w:t xml:space="preserve"> </w:t>
            </w:r>
            <w:r w:rsidRPr="002B4681">
              <w:rPr>
                <w:sz w:val="20"/>
                <w:szCs w:val="20"/>
                <w:lang w:val="en-GB" w:bidi="sa-IN"/>
              </w:rPr>
              <w:t xml:space="preserve">997,29 </w:t>
            </w:r>
          </w:p>
          <w:p w:rsidR="00CF7C1C" w:rsidRPr="002B4681" w:rsidRDefault="00CF7C1C" w:rsidP="00CF7C1C">
            <w:pPr>
              <w:pStyle w:val="Normltblzatban"/>
              <w:spacing w:after="0"/>
              <w:jc w:val="right"/>
              <w:rPr>
                <w:sz w:val="20"/>
                <w:szCs w:val="20"/>
                <w:lang w:val="en-GB" w:bidi="sa-IN"/>
              </w:rPr>
            </w:pP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6</w:t>
            </w:r>
            <w:r w:rsidR="00173635">
              <w:rPr>
                <w:sz w:val="20"/>
                <w:szCs w:val="20"/>
                <w:lang w:val="en-GB" w:bidi="sa-IN"/>
              </w:rPr>
              <w:t xml:space="preserve"> </w:t>
            </w:r>
            <w:r w:rsidRPr="002B4681">
              <w:rPr>
                <w:sz w:val="20"/>
                <w:szCs w:val="20"/>
                <w:lang w:val="en-GB" w:bidi="sa-IN"/>
              </w:rPr>
              <w:t xml:space="preserve">844,56 </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1</w:t>
            </w:r>
            <w:r w:rsidR="00173635">
              <w:rPr>
                <w:sz w:val="20"/>
                <w:szCs w:val="20"/>
                <w:lang w:val="en-GB" w:bidi="sa-IN"/>
              </w:rPr>
              <w:t xml:space="preserve"> </w:t>
            </w:r>
            <w:r w:rsidRPr="002B4681">
              <w:rPr>
                <w:sz w:val="20"/>
                <w:szCs w:val="20"/>
                <w:lang w:val="en-GB" w:bidi="sa-IN"/>
              </w:rPr>
              <w:t>152,73</w:t>
            </w:r>
          </w:p>
          <w:p w:rsidR="00CF7C1C" w:rsidRPr="002B4681" w:rsidRDefault="00CF7C1C" w:rsidP="00CF7C1C">
            <w:pPr>
              <w:pStyle w:val="Normltblzatban"/>
              <w:spacing w:after="0"/>
              <w:jc w:val="right"/>
              <w:rPr>
                <w:sz w:val="20"/>
                <w:szCs w:val="20"/>
                <w:lang w:val="en-GB" w:bidi="sa-IN"/>
              </w:rPr>
            </w:pP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0</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0</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0</w:t>
            </w:r>
          </w:p>
          <w:p w:rsidR="00CF7C1C" w:rsidRPr="002B4681" w:rsidRDefault="00CF7C1C" w:rsidP="00CF7C1C">
            <w:pPr>
              <w:pStyle w:val="Normltblzatban"/>
              <w:spacing w:after="0"/>
              <w:jc w:val="right"/>
              <w:rPr>
                <w:sz w:val="20"/>
                <w:szCs w:val="20"/>
                <w:lang w:val="en-GB" w:bidi="sa-IN"/>
              </w:rPr>
            </w:pP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7</w:t>
            </w:r>
            <w:r w:rsidR="00173635">
              <w:rPr>
                <w:sz w:val="20"/>
                <w:szCs w:val="20"/>
                <w:lang w:val="en-GB" w:bidi="sa-IN"/>
              </w:rPr>
              <w:t xml:space="preserve"> </w:t>
            </w:r>
            <w:r w:rsidRPr="002B4681">
              <w:rPr>
                <w:sz w:val="20"/>
                <w:szCs w:val="20"/>
                <w:lang w:val="en-GB" w:bidi="sa-IN"/>
              </w:rPr>
              <w:t xml:space="preserve">997,29 </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 xml:space="preserve">984,42 </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7</w:t>
            </w:r>
            <w:r w:rsidR="00173635">
              <w:rPr>
                <w:sz w:val="20"/>
                <w:szCs w:val="20"/>
                <w:lang w:val="en-GB" w:bidi="sa-IN"/>
              </w:rPr>
              <w:t xml:space="preserve"> </w:t>
            </w:r>
            <w:r w:rsidRPr="002B4681">
              <w:rPr>
                <w:sz w:val="20"/>
                <w:szCs w:val="20"/>
                <w:lang w:val="en-GB" w:bidi="sa-IN"/>
              </w:rPr>
              <w:t xml:space="preserve">012,87 </w:t>
            </w:r>
          </w:p>
          <w:p w:rsidR="00CF7C1C" w:rsidRPr="002B4681" w:rsidRDefault="00CF7C1C" w:rsidP="00CF7C1C">
            <w:pPr>
              <w:pStyle w:val="Normltblzatban"/>
              <w:spacing w:after="0"/>
              <w:jc w:val="right"/>
              <w:rPr>
                <w:sz w:val="20"/>
                <w:szCs w:val="20"/>
                <w:lang w:val="en-GB" w:bidi="sa-IN"/>
              </w:rPr>
            </w:pP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0</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7</w:t>
            </w:r>
            <w:r w:rsidR="00173635">
              <w:rPr>
                <w:sz w:val="20"/>
                <w:szCs w:val="20"/>
                <w:lang w:val="en-GB" w:bidi="sa-IN"/>
              </w:rPr>
              <w:t xml:space="preserve"> </w:t>
            </w:r>
            <w:r w:rsidRPr="002B4681">
              <w:rPr>
                <w:sz w:val="20"/>
                <w:szCs w:val="20"/>
                <w:lang w:val="en-GB" w:bidi="sa-IN"/>
              </w:rPr>
              <w:t xml:space="preserve">175,64 </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 xml:space="preserve">821,65 </w:t>
            </w:r>
          </w:p>
          <w:p w:rsidR="00CF7C1C" w:rsidRPr="002B4681" w:rsidRDefault="00CF7C1C" w:rsidP="00CF7C1C">
            <w:pPr>
              <w:pStyle w:val="Normltblzatban"/>
              <w:spacing w:after="0"/>
              <w:jc w:val="right"/>
              <w:rPr>
                <w:sz w:val="20"/>
                <w:szCs w:val="20"/>
                <w:lang w:val="en-GB" w:bidi="sa-IN"/>
              </w:rPr>
            </w:pPr>
            <w:r w:rsidRPr="002B4681">
              <w:rPr>
                <w:sz w:val="20"/>
                <w:szCs w:val="20"/>
                <w:lang w:val="en-GB" w:bidi="sa-IN"/>
              </w:rPr>
              <w:t>0</w:t>
            </w:r>
          </w:p>
        </w:tc>
      </w:tr>
      <w:tr w:rsidR="00CF7C1C" w:rsidRPr="00E1404B" w:rsidTr="00CF7C1C">
        <w:trPr>
          <w:cantSplit/>
          <w:jc w:val="center"/>
        </w:trPr>
        <w:tc>
          <w:tcPr>
            <w:tcW w:w="488" w:type="dxa"/>
            <w:vMerge/>
          </w:tcPr>
          <w:p w:rsidR="00CF7C1C" w:rsidRPr="00E1404B" w:rsidRDefault="00CF7C1C" w:rsidP="00CF7C1C">
            <w:pPr>
              <w:pStyle w:val="Normltblzatban"/>
              <w:spacing w:after="0"/>
              <w:ind w:left="0" w:firstLine="0"/>
              <w:jc w:val="center"/>
              <w:rPr>
                <w:sz w:val="20"/>
                <w:szCs w:val="20"/>
                <w:lang w:bidi="sa-IN"/>
              </w:rPr>
            </w:pPr>
          </w:p>
        </w:tc>
        <w:tc>
          <w:tcPr>
            <w:tcW w:w="5766" w:type="dxa"/>
            <w:shd w:val="clear" w:color="auto" w:fill="auto"/>
          </w:tcPr>
          <w:p w:rsidR="00CF7C1C" w:rsidRPr="00E1404B" w:rsidRDefault="00CF7C1C" w:rsidP="00CF7C1C">
            <w:pPr>
              <w:pStyle w:val="Normltblzatban"/>
              <w:spacing w:after="0"/>
              <w:rPr>
                <w:sz w:val="20"/>
                <w:szCs w:val="20"/>
                <w:lang w:val="en-GB" w:bidi="sa-IN"/>
              </w:rPr>
            </w:pPr>
            <w:r w:rsidRPr="00E1404B">
              <w:rPr>
                <w:sz w:val="20"/>
                <w:szCs w:val="20"/>
                <w:lang w:bidi="sa-IN"/>
              </w:rPr>
              <w:t>A beruházások teljes összege</w:t>
            </w:r>
            <w:r w:rsidRPr="00E1404B">
              <w:rPr>
                <w:b/>
                <w:bCs/>
                <w:sz w:val="20"/>
                <w:szCs w:val="20"/>
                <w:lang w:val="en-GB" w:bidi="sa-IN"/>
              </w:rPr>
              <w:t xml:space="preserve"> </w:t>
            </w:r>
          </w:p>
          <w:p w:rsidR="00CF7C1C" w:rsidRPr="00E1404B" w:rsidRDefault="00CF7C1C" w:rsidP="00CF7C1C">
            <w:pPr>
              <w:suppressAutoHyphens w:val="0"/>
              <w:spacing w:after="0"/>
              <w:jc w:val="left"/>
              <w:rPr>
                <w:sz w:val="20"/>
                <w:szCs w:val="20"/>
                <w:lang w:val="en-GB" w:bidi="sa-IN"/>
              </w:rPr>
            </w:pPr>
            <w:r w:rsidRPr="00E1404B">
              <w:rPr>
                <w:sz w:val="20"/>
                <w:szCs w:val="20"/>
                <w:lang w:bidi="sa-IN"/>
              </w:rPr>
              <w:t>A kedvezményezett</w:t>
            </w:r>
          </w:p>
          <w:p w:rsidR="00CF7C1C" w:rsidRPr="00E1404B" w:rsidRDefault="00CF7C1C" w:rsidP="0033390A">
            <w:pPr>
              <w:numPr>
                <w:ilvl w:val="0"/>
                <w:numId w:val="80"/>
              </w:numPr>
              <w:spacing w:after="0"/>
              <w:rPr>
                <w:sz w:val="20"/>
                <w:szCs w:val="20"/>
              </w:rPr>
            </w:pPr>
            <w:r w:rsidRPr="00E1404B">
              <w:rPr>
                <w:sz w:val="20"/>
                <w:szCs w:val="20"/>
              </w:rPr>
              <w:t>Magán</w:t>
            </w:r>
          </w:p>
          <w:p w:rsidR="00CF7C1C" w:rsidRPr="00E1404B" w:rsidRDefault="00CF7C1C" w:rsidP="0033390A">
            <w:pPr>
              <w:numPr>
                <w:ilvl w:val="0"/>
                <w:numId w:val="80"/>
              </w:numPr>
              <w:spacing w:after="0"/>
              <w:rPr>
                <w:sz w:val="20"/>
                <w:szCs w:val="20"/>
                <w:lang w:val="en-GB" w:bidi="sa-IN"/>
              </w:rPr>
            </w:pPr>
            <w:r w:rsidRPr="00E1404B">
              <w:rPr>
                <w:sz w:val="20"/>
                <w:szCs w:val="20"/>
              </w:rPr>
              <w:t>Álla</w:t>
            </w:r>
            <w:r w:rsidRPr="00E1404B">
              <w:rPr>
                <w:sz w:val="20"/>
                <w:szCs w:val="20"/>
                <w:lang w:bidi="sa-IN"/>
              </w:rPr>
              <w:t>mi</w:t>
            </w:r>
          </w:p>
          <w:p w:rsidR="00CF7C1C" w:rsidRPr="00E1404B" w:rsidRDefault="00CF7C1C" w:rsidP="00CF7C1C">
            <w:pPr>
              <w:suppressAutoHyphens w:val="0"/>
              <w:spacing w:after="0"/>
              <w:jc w:val="left"/>
              <w:rPr>
                <w:sz w:val="20"/>
                <w:szCs w:val="20"/>
                <w:lang w:val="en-GB" w:bidi="sa-IN"/>
              </w:rPr>
            </w:pPr>
            <w:r w:rsidRPr="00E1404B">
              <w:rPr>
                <w:sz w:val="20"/>
                <w:szCs w:val="20"/>
                <w:lang w:bidi="sa-IN"/>
              </w:rPr>
              <w:t>Az intézkedés típusa:</w:t>
            </w:r>
          </w:p>
          <w:p w:rsidR="00CF7C1C" w:rsidRPr="00E1404B" w:rsidRDefault="00CF7C1C" w:rsidP="0033390A">
            <w:pPr>
              <w:numPr>
                <w:ilvl w:val="0"/>
                <w:numId w:val="80"/>
              </w:numPr>
              <w:spacing w:after="0"/>
              <w:rPr>
                <w:sz w:val="20"/>
                <w:szCs w:val="20"/>
                <w:lang w:val="en-GB" w:bidi="sa-IN"/>
              </w:rPr>
            </w:pPr>
            <w:r w:rsidRPr="00E1404B">
              <w:rPr>
                <w:sz w:val="20"/>
                <w:szCs w:val="20"/>
              </w:rPr>
              <w:t>Megelőzés</w:t>
            </w:r>
          </w:p>
          <w:p w:rsidR="00CF7C1C" w:rsidRPr="00E1404B" w:rsidRDefault="00CF7C1C" w:rsidP="0033390A">
            <w:pPr>
              <w:numPr>
                <w:ilvl w:val="0"/>
                <w:numId w:val="80"/>
              </w:numPr>
              <w:spacing w:after="0"/>
              <w:rPr>
                <w:sz w:val="20"/>
                <w:szCs w:val="20"/>
              </w:rPr>
            </w:pPr>
            <w:r w:rsidRPr="00E1404B">
              <w:rPr>
                <w:sz w:val="20"/>
                <w:szCs w:val="20"/>
                <w:lang w:bidi="sa-IN"/>
              </w:rPr>
              <w:t xml:space="preserve">Tűzkár </w:t>
            </w:r>
            <w:r w:rsidRPr="00E1404B">
              <w:rPr>
                <w:sz w:val="20"/>
                <w:szCs w:val="20"/>
              </w:rPr>
              <w:t>kockázatával szemben</w:t>
            </w:r>
          </w:p>
          <w:p w:rsidR="00CF7C1C" w:rsidRPr="00E1404B" w:rsidRDefault="00CF7C1C" w:rsidP="0033390A">
            <w:pPr>
              <w:numPr>
                <w:ilvl w:val="0"/>
                <w:numId w:val="80"/>
              </w:numPr>
              <w:spacing w:after="0"/>
              <w:rPr>
                <w:sz w:val="20"/>
                <w:szCs w:val="20"/>
                <w:lang w:bidi="sa-IN"/>
              </w:rPr>
            </w:pPr>
            <w:r w:rsidRPr="00E1404B">
              <w:rPr>
                <w:sz w:val="20"/>
                <w:szCs w:val="20"/>
              </w:rPr>
              <w:t>Természet</w:t>
            </w:r>
            <w:r w:rsidRPr="00E1404B">
              <w:rPr>
                <w:sz w:val="20"/>
                <w:szCs w:val="20"/>
                <w:lang w:bidi="sa-IN"/>
              </w:rPr>
              <w:t>i katasztrófákkal szemben (árvíz, vihar, betegség)</w:t>
            </w:r>
          </w:p>
          <w:p w:rsidR="00CF7C1C" w:rsidRPr="00E1404B" w:rsidRDefault="00CF7C1C" w:rsidP="0033390A">
            <w:pPr>
              <w:numPr>
                <w:ilvl w:val="0"/>
                <w:numId w:val="80"/>
              </w:numPr>
              <w:spacing w:after="0"/>
              <w:rPr>
                <w:sz w:val="20"/>
                <w:szCs w:val="20"/>
                <w:lang w:val="en-GB" w:bidi="sa-IN"/>
              </w:rPr>
            </w:pPr>
            <w:r w:rsidRPr="00E1404B">
              <w:rPr>
                <w:sz w:val="20"/>
                <w:szCs w:val="20"/>
              </w:rPr>
              <w:t>Helyreállítás</w:t>
            </w:r>
          </w:p>
          <w:p w:rsidR="00CF7C1C" w:rsidRPr="00E1404B" w:rsidRDefault="00CF7C1C" w:rsidP="0033390A">
            <w:pPr>
              <w:numPr>
                <w:ilvl w:val="0"/>
                <w:numId w:val="80"/>
              </w:numPr>
              <w:spacing w:after="0"/>
              <w:rPr>
                <w:sz w:val="20"/>
                <w:szCs w:val="20"/>
              </w:rPr>
            </w:pPr>
            <w:r w:rsidRPr="00E1404B">
              <w:rPr>
                <w:sz w:val="20"/>
                <w:szCs w:val="20"/>
              </w:rPr>
              <w:t>Tűzkárok után</w:t>
            </w:r>
          </w:p>
          <w:p w:rsidR="00CF7C1C" w:rsidRPr="00E1404B" w:rsidRDefault="00CF7C1C" w:rsidP="0033390A">
            <w:pPr>
              <w:numPr>
                <w:ilvl w:val="0"/>
                <w:numId w:val="80"/>
              </w:numPr>
              <w:spacing w:after="0"/>
              <w:rPr>
                <w:sz w:val="20"/>
                <w:szCs w:val="20"/>
                <w:lang w:val="en-GB" w:bidi="sa-IN"/>
              </w:rPr>
            </w:pPr>
            <w:r w:rsidRPr="00E1404B">
              <w:rPr>
                <w:sz w:val="20"/>
                <w:szCs w:val="20"/>
              </w:rPr>
              <w:t>Termés</w:t>
            </w:r>
            <w:r w:rsidRPr="00E1404B">
              <w:rPr>
                <w:sz w:val="20"/>
                <w:szCs w:val="20"/>
                <w:lang w:bidi="sa-IN"/>
              </w:rPr>
              <w:t>zeti katasztrófák után</w:t>
            </w:r>
          </w:p>
          <w:p w:rsidR="00CF7C1C" w:rsidRPr="00E1404B" w:rsidRDefault="00CF7C1C" w:rsidP="00CF7C1C">
            <w:pPr>
              <w:suppressAutoHyphens w:val="0"/>
              <w:spacing w:after="0"/>
              <w:jc w:val="left"/>
              <w:rPr>
                <w:sz w:val="20"/>
                <w:szCs w:val="20"/>
                <w:lang w:val="en-GB" w:bidi="sa-IN"/>
              </w:rPr>
            </w:pPr>
            <w:r w:rsidRPr="00E1404B">
              <w:rPr>
                <w:sz w:val="20"/>
                <w:szCs w:val="20"/>
                <w:lang w:bidi="sa-IN"/>
              </w:rPr>
              <w:t>A beavatkozás típusa</w:t>
            </w:r>
          </w:p>
          <w:p w:rsidR="00CF7C1C" w:rsidRPr="00E1404B" w:rsidRDefault="00CF7C1C" w:rsidP="0033390A">
            <w:pPr>
              <w:numPr>
                <w:ilvl w:val="0"/>
                <w:numId w:val="80"/>
              </w:numPr>
              <w:spacing w:after="0"/>
              <w:rPr>
                <w:sz w:val="20"/>
                <w:szCs w:val="20"/>
              </w:rPr>
            </w:pPr>
            <w:r w:rsidRPr="00E1404B">
              <w:rPr>
                <w:sz w:val="20"/>
                <w:szCs w:val="20"/>
              </w:rPr>
              <w:t>Infrastruktúra</w:t>
            </w:r>
          </w:p>
          <w:p w:rsidR="00CF7C1C" w:rsidRPr="00E1404B" w:rsidRDefault="00CF7C1C" w:rsidP="0033390A">
            <w:pPr>
              <w:numPr>
                <w:ilvl w:val="0"/>
                <w:numId w:val="80"/>
              </w:numPr>
              <w:spacing w:after="0"/>
              <w:rPr>
                <w:sz w:val="20"/>
                <w:szCs w:val="20"/>
              </w:rPr>
            </w:pPr>
            <w:r w:rsidRPr="00E1404B">
              <w:rPr>
                <w:sz w:val="20"/>
                <w:szCs w:val="20"/>
              </w:rPr>
              <w:t>Újratelepítés</w:t>
            </w:r>
          </w:p>
          <w:p w:rsidR="00CF7C1C" w:rsidRPr="00E1404B" w:rsidRDefault="00CF7C1C" w:rsidP="0033390A">
            <w:pPr>
              <w:numPr>
                <w:ilvl w:val="0"/>
                <w:numId w:val="80"/>
              </w:numPr>
              <w:spacing w:after="0"/>
              <w:rPr>
                <w:sz w:val="20"/>
                <w:szCs w:val="20"/>
              </w:rPr>
            </w:pPr>
            <w:r w:rsidRPr="00E1404B">
              <w:rPr>
                <w:sz w:val="20"/>
                <w:szCs w:val="20"/>
              </w:rPr>
              <w:t>Erdészeti helyreállítási beruházások</w:t>
            </w:r>
          </w:p>
          <w:p w:rsidR="00CF7C1C" w:rsidRPr="00E1404B" w:rsidRDefault="00CF7C1C" w:rsidP="0033390A">
            <w:pPr>
              <w:numPr>
                <w:ilvl w:val="0"/>
                <w:numId w:val="80"/>
              </w:numPr>
              <w:spacing w:after="0"/>
              <w:rPr>
                <w:sz w:val="20"/>
                <w:szCs w:val="20"/>
                <w:lang w:bidi="sa-IN"/>
              </w:rPr>
            </w:pPr>
            <w:r w:rsidRPr="00E1404B">
              <w:rPr>
                <w:sz w:val="20"/>
                <w:szCs w:val="20"/>
              </w:rPr>
              <w:t>Megelőző</w:t>
            </w:r>
            <w:r w:rsidRPr="00E1404B">
              <w:rPr>
                <w:sz w:val="20"/>
                <w:szCs w:val="20"/>
                <w:lang w:bidi="sa-IN"/>
              </w:rPr>
              <w:t xml:space="preserve"> intézkedések</w:t>
            </w:r>
          </w:p>
        </w:tc>
        <w:tc>
          <w:tcPr>
            <w:tcW w:w="1800" w:type="dxa"/>
            <w:shd w:val="clear" w:color="auto" w:fill="auto"/>
          </w:tcPr>
          <w:p w:rsidR="00CF7C1C" w:rsidRPr="00E1404B" w:rsidRDefault="00CF7C1C" w:rsidP="00CF7C1C">
            <w:pPr>
              <w:pStyle w:val="Normltblzatban"/>
              <w:spacing w:after="0"/>
              <w:jc w:val="right"/>
              <w:rPr>
                <w:sz w:val="20"/>
                <w:szCs w:val="20"/>
                <w:lang w:val="en-GB" w:bidi="sa-IN"/>
              </w:rPr>
            </w:pPr>
            <w:r w:rsidRPr="00E1404B">
              <w:rPr>
                <w:sz w:val="20"/>
                <w:szCs w:val="20"/>
                <w:lang w:bidi="sa-IN"/>
              </w:rPr>
              <w:t>109 millió euró</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z w:val="20"/>
                <w:szCs w:val="20"/>
                <w:lang w:val="en-GB"/>
              </w:rPr>
              <w:t>87,2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21,8 millió euró</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z w:val="20"/>
                <w:szCs w:val="20"/>
                <w:lang w:val="en-GB"/>
              </w:rPr>
              <w:t>43,6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28,34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15,26 millió euró</w:t>
            </w:r>
            <w:r w:rsidRPr="00E1404B">
              <w:rPr>
                <w:sz w:val="20"/>
                <w:szCs w:val="20"/>
                <w:lang w:val="en-GB"/>
              </w:rPr>
              <w:br/>
            </w:r>
          </w:p>
          <w:p w:rsidR="00CF7C1C" w:rsidRPr="00E1404B" w:rsidRDefault="00CF7C1C" w:rsidP="00CF7C1C">
            <w:pPr>
              <w:pStyle w:val="Normltblzatban"/>
              <w:spacing w:after="0"/>
              <w:jc w:val="right"/>
              <w:rPr>
                <w:sz w:val="20"/>
                <w:szCs w:val="20"/>
                <w:lang w:val="en-GB"/>
              </w:rPr>
            </w:pPr>
            <w:r w:rsidRPr="00E1404B">
              <w:rPr>
                <w:sz w:val="20"/>
                <w:szCs w:val="20"/>
                <w:lang w:val="en-GB"/>
              </w:rPr>
              <w:t>65,4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42,51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22,89 millió euró</w:t>
            </w:r>
          </w:p>
          <w:p w:rsidR="00CF7C1C" w:rsidRPr="00E1404B" w:rsidRDefault="00CF7C1C" w:rsidP="00CF7C1C">
            <w:pPr>
              <w:pStyle w:val="Normltblzatban"/>
              <w:spacing w:after="0"/>
              <w:jc w:val="right"/>
              <w:rPr>
                <w:sz w:val="20"/>
                <w:szCs w:val="20"/>
                <w:lang w:val="en-GB"/>
              </w:rPr>
            </w:pPr>
          </w:p>
          <w:p w:rsidR="00CF7C1C" w:rsidRPr="00E1404B" w:rsidRDefault="00CF7C1C" w:rsidP="00CF7C1C">
            <w:pPr>
              <w:pStyle w:val="Normltblzatban"/>
              <w:spacing w:after="0"/>
              <w:jc w:val="right"/>
              <w:rPr>
                <w:sz w:val="20"/>
                <w:szCs w:val="20"/>
                <w:lang w:val="en-GB"/>
              </w:rPr>
            </w:pPr>
            <w:r w:rsidRPr="00E1404B">
              <w:rPr>
                <w:sz w:val="20"/>
                <w:szCs w:val="20"/>
                <w:lang w:val="en-GB"/>
              </w:rPr>
              <w:t>43,6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43,6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5,45 millió euró</w:t>
            </w:r>
          </w:p>
          <w:p w:rsidR="00CF7C1C" w:rsidRPr="00E1404B" w:rsidRDefault="00CF7C1C" w:rsidP="00CF7C1C">
            <w:pPr>
              <w:pStyle w:val="Normltblzatban"/>
              <w:spacing w:after="0"/>
              <w:jc w:val="right"/>
              <w:rPr>
                <w:sz w:val="20"/>
                <w:szCs w:val="20"/>
                <w:lang w:val="en-GB"/>
              </w:rPr>
            </w:pPr>
            <w:r w:rsidRPr="00E1404B">
              <w:rPr>
                <w:sz w:val="20"/>
                <w:szCs w:val="20"/>
                <w:lang w:val="en-GB"/>
              </w:rPr>
              <w:t>16,35 millió euró</w:t>
            </w:r>
          </w:p>
        </w:tc>
        <w:tc>
          <w:tcPr>
            <w:tcW w:w="1578" w:type="dxa"/>
            <w:shd w:val="clear" w:color="auto" w:fill="auto"/>
          </w:tcPr>
          <w:p w:rsidR="00CF7C1C" w:rsidRPr="002B4681" w:rsidRDefault="007F28E7" w:rsidP="00CF7C1C">
            <w:pPr>
              <w:pStyle w:val="Normltblzatban"/>
              <w:spacing w:after="0"/>
              <w:jc w:val="right"/>
              <w:rPr>
                <w:sz w:val="20"/>
                <w:szCs w:val="20"/>
                <w:lang w:bidi="sa-IN"/>
              </w:rPr>
            </w:pPr>
            <w:r>
              <w:rPr>
                <w:sz w:val="20"/>
                <w:szCs w:val="20"/>
                <w:lang w:bidi="sa-IN"/>
              </w:rPr>
              <w:t>3,37</w:t>
            </w:r>
            <w:r w:rsidR="00CF7C1C" w:rsidRPr="002B4681">
              <w:rPr>
                <w:sz w:val="20"/>
                <w:szCs w:val="20"/>
                <w:lang w:bidi="sa-IN"/>
              </w:rPr>
              <w:t xml:space="preserve"> </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2,91 </w:t>
            </w:r>
          </w:p>
          <w:p w:rsidR="00CF7C1C" w:rsidRPr="002B4681" w:rsidRDefault="007F28E7" w:rsidP="00CF7C1C">
            <w:pPr>
              <w:pStyle w:val="Normltblzatban"/>
              <w:spacing w:after="0"/>
              <w:jc w:val="right"/>
              <w:rPr>
                <w:sz w:val="20"/>
                <w:szCs w:val="20"/>
                <w:lang w:bidi="sa-IN"/>
              </w:rPr>
            </w:pPr>
            <w:r>
              <w:rPr>
                <w:sz w:val="20"/>
                <w:szCs w:val="20"/>
                <w:lang w:bidi="sa-IN"/>
              </w:rPr>
              <w:t>0,46</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CF7C1C" w:rsidP="00CF7C1C">
            <w:pPr>
              <w:pStyle w:val="Normltblzatban"/>
              <w:spacing w:after="0"/>
              <w:jc w:val="right"/>
              <w:rPr>
                <w:sz w:val="20"/>
                <w:szCs w:val="20"/>
                <w:lang w:bidi="sa-IN"/>
              </w:rPr>
            </w:pPr>
          </w:p>
          <w:p w:rsidR="00CF7C1C" w:rsidRPr="002B4681" w:rsidRDefault="007F28E7" w:rsidP="00CF7C1C">
            <w:pPr>
              <w:pStyle w:val="Normltblzatban"/>
              <w:spacing w:after="0"/>
              <w:jc w:val="right"/>
              <w:rPr>
                <w:sz w:val="20"/>
                <w:szCs w:val="20"/>
                <w:lang w:bidi="sa-IN"/>
              </w:rPr>
            </w:pPr>
            <w:r>
              <w:rPr>
                <w:sz w:val="20"/>
                <w:szCs w:val="20"/>
                <w:lang w:bidi="sa-IN"/>
              </w:rPr>
              <w:t>3,37</w:t>
            </w:r>
            <w:r w:rsidR="00CF7C1C" w:rsidRPr="002B4681">
              <w:rPr>
                <w:sz w:val="20"/>
                <w:szCs w:val="20"/>
                <w:lang w:bidi="sa-IN"/>
              </w:rPr>
              <w:t xml:space="preserve"> millió</w:t>
            </w:r>
          </w:p>
          <w:p w:rsidR="00CF7C1C" w:rsidRPr="002B4681" w:rsidRDefault="00CF7C1C" w:rsidP="00CF7C1C">
            <w:pPr>
              <w:pStyle w:val="Normltblzatban"/>
              <w:spacing w:after="0"/>
              <w:jc w:val="right"/>
              <w:rPr>
                <w:sz w:val="20"/>
                <w:szCs w:val="20"/>
                <w:lang w:bidi="sa-IN"/>
              </w:rPr>
            </w:pPr>
            <w:r w:rsidRPr="002B4681">
              <w:rPr>
                <w:sz w:val="20"/>
                <w:szCs w:val="20"/>
                <w:lang w:bidi="sa-IN"/>
              </w:rPr>
              <w:t>0,32 millió</w:t>
            </w:r>
          </w:p>
          <w:p w:rsidR="00CF7C1C" w:rsidRPr="002B4681" w:rsidRDefault="00CF7C1C" w:rsidP="00CF7C1C">
            <w:pPr>
              <w:pStyle w:val="Normltblzatban"/>
              <w:spacing w:after="0"/>
              <w:jc w:val="right"/>
              <w:rPr>
                <w:sz w:val="20"/>
                <w:szCs w:val="20"/>
                <w:lang w:bidi="sa-IN"/>
              </w:rPr>
            </w:pPr>
            <w:r w:rsidRPr="002B4681">
              <w:rPr>
                <w:sz w:val="20"/>
                <w:szCs w:val="20"/>
                <w:lang w:bidi="sa-IN"/>
              </w:rPr>
              <w:t>3,04 millió</w:t>
            </w:r>
          </w:p>
          <w:p w:rsidR="00CF7C1C" w:rsidRPr="002B4681" w:rsidRDefault="00CF7C1C" w:rsidP="00CF7C1C">
            <w:pPr>
              <w:pStyle w:val="Normltblzatban"/>
              <w:spacing w:after="0"/>
              <w:jc w:val="right"/>
              <w:rPr>
                <w:sz w:val="20"/>
                <w:szCs w:val="20"/>
                <w:lang w:bidi="sa-IN"/>
              </w:rPr>
            </w:pPr>
          </w:p>
          <w:p w:rsidR="00CF7C1C" w:rsidRPr="002B4681" w:rsidRDefault="00CF7C1C" w:rsidP="00CF7C1C">
            <w:pPr>
              <w:pStyle w:val="Normltblzatban"/>
              <w:spacing w:after="0"/>
              <w:jc w:val="right"/>
              <w:rPr>
                <w:sz w:val="20"/>
                <w:szCs w:val="20"/>
                <w:lang w:bidi="sa-IN"/>
              </w:rPr>
            </w:pPr>
            <w:r w:rsidRPr="002B4681">
              <w:rPr>
                <w:sz w:val="20"/>
                <w:szCs w:val="20"/>
                <w:lang w:bidi="sa-IN"/>
              </w:rPr>
              <w:t>0</w:t>
            </w:r>
          </w:p>
          <w:p w:rsidR="00CF7C1C" w:rsidRPr="002B4681" w:rsidRDefault="007F28E7" w:rsidP="00CF7C1C">
            <w:pPr>
              <w:pStyle w:val="Normltblzatban"/>
              <w:spacing w:after="0"/>
              <w:jc w:val="right"/>
              <w:rPr>
                <w:sz w:val="20"/>
                <w:szCs w:val="20"/>
                <w:lang w:bidi="sa-IN"/>
              </w:rPr>
            </w:pPr>
            <w:r>
              <w:rPr>
                <w:sz w:val="20"/>
                <w:szCs w:val="20"/>
                <w:lang w:bidi="sa-IN"/>
              </w:rPr>
              <w:t>3,13</w:t>
            </w:r>
            <w:r w:rsidR="00CF7C1C" w:rsidRPr="002B4681">
              <w:rPr>
                <w:sz w:val="20"/>
                <w:szCs w:val="20"/>
                <w:lang w:bidi="sa-IN"/>
              </w:rPr>
              <w:t xml:space="preserve"> </w:t>
            </w:r>
          </w:p>
          <w:p w:rsidR="00CF7C1C" w:rsidRPr="002B4681" w:rsidRDefault="00CF7C1C" w:rsidP="00CF7C1C">
            <w:pPr>
              <w:pStyle w:val="Normltblzatban"/>
              <w:spacing w:after="0"/>
              <w:jc w:val="right"/>
              <w:rPr>
                <w:sz w:val="20"/>
                <w:szCs w:val="20"/>
                <w:lang w:bidi="sa-IN"/>
              </w:rPr>
            </w:pPr>
            <w:r w:rsidRPr="002B4681">
              <w:rPr>
                <w:sz w:val="20"/>
                <w:szCs w:val="20"/>
                <w:lang w:bidi="sa-IN"/>
              </w:rPr>
              <w:t xml:space="preserve">0,24 </w:t>
            </w:r>
          </w:p>
          <w:p w:rsidR="00CF7C1C" w:rsidRPr="002B4681" w:rsidRDefault="00CF7C1C" w:rsidP="00CF7C1C">
            <w:pPr>
              <w:pStyle w:val="Normltblzatban"/>
              <w:spacing w:after="0"/>
              <w:jc w:val="right"/>
              <w:rPr>
                <w:sz w:val="20"/>
                <w:szCs w:val="20"/>
                <w:lang w:bidi="sa-IN"/>
              </w:rPr>
            </w:pPr>
            <w:r w:rsidRPr="002B4681">
              <w:rPr>
                <w:sz w:val="20"/>
                <w:szCs w:val="20"/>
                <w:lang w:bidi="sa-IN"/>
              </w:rPr>
              <w:t>0</w:t>
            </w:r>
          </w:p>
        </w:tc>
      </w:tr>
      <w:tr w:rsidR="00CF7C1C" w:rsidRPr="00831A61" w:rsidTr="00CF7C1C">
        <w:trPr>
          <w:cantSplit/>
          <w:jc w:val="center"/>
        </w:trPr>
        <w:tc>
          <w:tcPr>
            <w:tcW w:w="488" w:type="dxa"/>
          </w:tcPr>
          <w:p w:rsidR="00CF7C1C" w:rsidRPr="00831A61" w:rsidRDefault="00CF7C1C" w:rsidP="00CF7C1C">
            <w:pPr>
              <w:pStyle w:val="Normltblzatban"/>
              <w:spacing w:after="0"/>
              <w:ind w:left="0" w:firstLine="0"/>
              <w:jc w:val="center"/>
              <w:rPr>
                <w:b/>
                <w:bCs/>
                <w:sz w:val="20"/>
                <w:szCs w:val="20"/>
                <w:lang w:bidi="sa-IN"/>
              </w:rPr>
            </w:pPr>
            <w:r w:rsidRPr="00831A61">
              <w:rPr>
                <w:b/>
                <w:bCs/>
                <w:sz w:val="20"/>
                <w:szCs w:val="20"/>
                <w:lang w:bidi="sa-IN"/>
              </w:rPr>
              <w:lastRenderedPageBreak/>
              <w:t>R</w:t>
            </w:r>
          </w:p>
        </w:tc>
        <w:tc>
          <w:tcPr>
            <w:tcW w:w="5766" w:type="dxa"/>
            <w:shd w:val="clear" w:color="auto" w:fill="auto"/>
          </w:tcPr>
          <w:p w:rsidR="00CF7C1C" w:rsidRPr="00831A61" w:rsidRDefault="00CF7C1C" w:rsidP="00CF7C1C">
            <w:pPr>
              <w:pStyle w:val="Normltblzatban"/>
              <w:spacing w:after="0"/>
              <w:rPr>
                <w:b/>
                <w:bCs/>
                <w:sz w:val="20"/>
                <w:szCs w:val="20"/>
                <w:lang w:bidi="sa-IN"/>
              </w:rPr>
            </w:pPr>
            <w:r w:rsidRPr="00831A61">
              <w:rPr>
                <w:b/>
                <w:bCs/>
                <w:sz w:val="20"/>
                <w:szCs w:val="20"/>
                <w:lang w:bidi="sa-IN"/>
              </w:rPr>
              <w:t>Sikeres földhasználat alatt álló területek</w:t>
            </w:r>
          </w:p>
          <w:p w:rsidR="00CF7C1C" w:rsidRPr="00831A61" w:rsidRDefault="00CF7C1C" w:rsidP="00CF7C1C">
            <w:pPr>
              <w:suppressAutoHyphens w:val="0"/>
              <w:spacing w:after="0"/>
              <w:jc w:val="left"/>
              <w:rPr>
                <w:sz w:val="20"/>
                <w:szCs w:val="20"/>
                <w:lang w:bidi="sa-IN"/>
              </w:rPr>
            </w:pPr>
            <w:r w:rsidRPr="00831A61">
              <w:rPr>
                <w:sz w:val="20"/>
                <w:szCs w:val="20"/>
                <w:lang w:bidi="sa-IN"/>
              </w:rPr>
              <w:t>Intézkedés</w:t>
            </w:r>
          </w:p>
          <w:p w:rsidR="00CF7C1C" w:rsidRPr="00831A61" w:rsidRDefault="00CF7C1C" w:rsidP="00CF7C1C">
            <w:pPr>
              <w:suppressAutoHyphens w:val="0"/>
              <w:spacing w:after="0"/>
              <w:jc w:val="left"/>
              <w:rPr>
                <w:sz w:val="20"/>
                <w:szCs w:val="20"/>
                <w:lang w:val="en-GB" w:bidi="sa-IN"/>
              </w:rPr>
            </w:pPr>
            <w:r w:rsidRPr="00831A61">
              <w:rPr>
                <w:sz w:val="20"/>
                <w:szCs w:val="20"/>
                <w:lang w:bidi="sa-IN"/>
              </w:rPr>
              <w:t>A hozzájárulás típusa</w:t>
            </w:r>
            <w:r w:rsidRPr="00831A61">
              <w:rPr>
                <w:sz w:val="20"/>
                <w:szCs w:val="20"/>
                <w:lang w:val="en-GB" w:bidi="sa-IN"/>
              </w:rPr>
              <w:t xml:space="preserve"> </w:t>
            </w:r>
          </w:p>
          <w:p w:rsidR="00CF7C1C" w:rsidRPr="00831A61" w:rsidRDefault="00CF7C1C" w:rsidP="00495C8B">
            <w:pPr>
              <w:numPr>
                <w:ilvl w:val="0"/>
                <w:numId w:val="46"/>
              </w:numPr>
              <w:spacing w:after="0"/>
              <w:rPr>
                <w:sz w:val="20"/>
                <w:szCs w:val="20"/>
              </w:rPr>
            </w:pPr>
            <w:r w:rsidRPr="00831A61">
              <w:rPr>
                <w:sz w:val="20"/>
                <w:szCs w:val="20"/>
                <w:lang w:bidi="sa-IN"/>
              </w:rPr>
              <w:t xml:space="preserve">A </w:t>
            </w:r>
            <w:r w:rsidRPr="00831A61">
              <w:rPr>
                <w:sz w:val="20"/>
                <w:szCs w:val="20"/>
              </w:rPr>
              <w:t>biodiverzitás növelése</w:t>
            </w:r>
          </w:p>
          <w:p w:rsidR="00CF7C1C" w:rsidRPr="00831A61" w:rsidRDefault="00CF7C1C" w:rsidP="00495C8B">
            <w:pPr>
              <w:numPr>
                <w:ilvl w:val="0"/>
                <w:numId w:val="46"/>
              </w:numPr>
              <w:spacing w:after="0"/>
              <w:rPr>
                <w:sz w:val="20"/>
                <w:szCs w:val="20"/>
              </w:rPr>
            </w:pPr>
            <w:r w:rsidRPr="00831A61">
              <w:rPr>
                <w:sz w:val="20"/>
                <w:szCs w:val="20"/>
              </w:rPr>
              <w:t>A vízminőség javítása</w:t>
            </w:r>
          </w:p>
          <w:p w:rsidR="00CF7C1C" w:rsidRPr="00831A61" w:rsidRDefault="00CF7C1C" w:rsidP="00495C8B">
            <w:pPr>
              <w:numPr>
                <w:ilvl w:val="0"/>
                <w:numId w:val="46"/>
              </w:numPr>
              <w:spacing w:after="0"/>
              <w:rPr>
                <w:sz w:val="20"/>
                <w:szCs w:val="20"/>
                <w:lang w:val="en-GB" w:bidi="sa-IN"/>
              </w:rPr>
            </w:pPr>
            <w:r w:rsidRPr="00831A61">
              <w:rPr>
                <w:sz w:val="20"/>
                <w:szCs w:val="20"/>
              </w:rPr>
              <w:t>A klímaváltozás</w:t>
            </w:r>
            <w:r w:rsidRPr="00831A61">
              <w:rPr>
                <w:sz w:val="20"/>
                <w:szCs w:val="20"/>
                <w:lang w:bidi="sa-IN"/>
              </w:rPr>
              <w:t xml:space="preserve"> mérséklése</w:t>
            </w:r>
          </w:p>
          <w:p w:rsidR="00CF7C1C" w:rsidRPr="00831A61" w:rsidRDefault="00CF7C1C" w:rsidP="00495C8B">
            <w:pPr>
              <w:numPr>
                <w:ilvl w:val="0"/>
                <w:numId w:val="46"/>
              </w:numPr>
              <w:spacing w:after="0"/>
              <w:rPr>
                <w:sz w:val="20"/>
                <w:szCs w:val="20"/>
              </w:rPr>
            </w:pPr>
            <w:r w:rsidRPr="00831A61">
              <w:rPr>
                <w:sz w:val="20"/>
                <w:szCs w:val="20"/>
                <w:lang w:bidi="sa-IN"/>
              </w:rPr>
              <w:t xml:space="preserve">A </w:t>
            </w:r>
            <w:r w:rsidRPr="00831A61">
              <w:rPr>
                <w:sz w:val="20"/>
                <w:szCs w:val="20"/>
              </w:rPr>
              <w:t xml:space="preserve">talajminőség javítása </w:t>
            </w:r>
          </w:p>
          <w:p w:rsidR="00CF7C1C" w:rsidRPr="00831A61" w:rsidRDefault="00CF7C1C" w:rsidP="00495C8B">
            <w:pPr>
              <w:numPr>
                <w:ilvl w:val="0"/>
                <w:numId w:val="46"/>
              </w:numPr>
              <w:spacing w:after="0"/>
              <w:rPr>
                <w:sz w:val="20"/>
                <w:szCs w:val="20"/>
                <w:lang w:bidi="sa-IN"/>
              </w:rPr>
            </w:pPr>
            <w:r w:rsidRPr="00831A61">
              <w:rPr>
                <w:sz w:val="20"/>
                <w:szCs w:val="20"/>
              </w:rPr>
              <w:t>A ma</w:t>
            </w:r>
            <w:r w:rsidRPr="00831A61">
              <w:rPr>
                <w:sz w:val="20"/>
                <w:szCs w:val="20"/>
                <w:lang w:bidi="sa-IN"/>
              </w:rPr>
              <w:t>rginalizálódás és a föld felhagyásának elkerülése</w:t>
            </w:r>
            <w:r w:rsidRPr="00831A61">
              <w:rPr>
                <w:b/>
                <w:bCs/>
                <w:sz w:val="20"/>
                <w:szCs w:val="20"/>
                <w:lang w:bidi="sa-IN"/>
              </w:rPr>
              <w:t xml:space="preserve"> </w:t>
            </w:r>
          </w:p>
        </w:tc>
        <w:tc>
          <w:tcPr>
            <w:tcW w:w="1800" w:type="dxa"/>
            <w:shd w:val="clear" w:color="auto" w:fill="auto"/>
          </w:tcPr>
          <w:p w:rsidR="00CF7C1C" w:rsidRPr="00831A61" w:rsidRDefault="00CF7C1C" w:rsidP="00CF7C1C">
            <w:pPr>
              <w:pStyle w:val="Normltblzatban"/>
              <w:spacing w:after="0"/>
              <w:jc w:val="right"/>
              <w:rPr>
                <w:sz w:val="20"/>
                <w:szCs w:val="20"/>
                <w:lang w:bidi="sa-IN"/>
              </w:rPr>
            </w:pPr>
            <w:r w:rsidRPr="00831A61">
              <w:rPr>
                <w:sz w:val="20"/>
                <w:szCs w:val="20"/>
                <w:lang w:bidi="sa-IN"/>
              </w:rPr>
              <w:t>91 000 ha</w:t>
            </w:r>
          </w:p>
          <w:p w:rsidR="00CF7C1C" w:rsidRPr="00831A61" w:rsidRDefault="00CF7C1C" w:rsidP="00CF7C1C">
            <w:pPr>
              <w:pStyle w:val="Normltblzatban"/>
              <w:spacing w:after="0"/>
              <w:jc w:val="right"/>
              <w:rPr>
                <w:sz w:val="20"/>
                <w:szCs w:val="20"/>
              </w:rPr>
            </w:pPr>
          </w:p>
          <w:p w:rsidR="00CF7C1C" w:rsidRPr="00831A61" w:rsidRDefault="00CF7C1C" w:rsidP="00CF7C1C">
            <w:pPr>
              <w:pStyle w:val="Normltblzatban"/>
              <w:spacing w:after="0"/>
              <w:jc w:val="right"/>
              <w:rPr>
                <w:sz w:val="20"/>
                <w:szCs w:val="20"/>
              </w:rPr>
            </w:pPr>
          </w:p>
          <w:p w:rsidR="00CF7C1C" w:rsidRPr="00831A61" w:rsidRDefault="00CF7C1C" w:rsidP="00CF7C1C">
            <w:pPr>
              <w:pStyle w:val="Normltblzatban"/>
              <w:spacing w:after="0"/>
              <w:jc w:val="right"/>
              <w:rPr>
                <w:sz w:val="20"/>
                <w:szCs w:val="20"/>
                <w:lang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bidi="sa-IN"/>
              </w:rPr>
            </w:pPr>
            <w:r w:rsidRPr="00831A61">
              <w:rPr>
                <w:sz w:val="20"/>
                <w:szCs w:val="20"/>
                <w:lang w:bidi="sa-IN"/>
              </w:rPr>
              <w:t>Marginális</w:t>
            </w:r>
          </w:p>
          <w:p w:rsidR="00CF7C1C" w:rsidRPr="00831A61" w:rsidRDefault="00CF7C1C" w:rsidP="00CF7C1C">
            <w:pPr>
              <w:pStyle w:val="Normltblzatban"/>
              <w:spacing w:after="0"/>
              <w:jc w:val="right"/>
              <w:rPr>
                <w:sz w:val="20"/>
                <w:szCs w:val="20"/>
                <w:lang w:bidi="sa-IN"/>
              </w:rPr>
            </w:pPr>
            <w:r w:rsidRPr="00831A61">
              <w:rPr>
                <w:sz w:val="20"/>
                <w:szCs w:val="20"/>
                <w:lang w:bidi="sa-IN"/>
              </w:rPr>
              <w:t>Közvetlen, pozitív</w:t>
            </w:r>
          </w:p>
          <w:p w:rsidR="00CF7C1C" w:rsidRPr="00831A61" w:rsidRDefault="00CF7C1C" w:rsidP="00CF7C1C">
            <w:pPr>
              <w:pStyle w:val="Normltblzatban"/>
              <w:spacing w:after="0"/>
              <w:jc w:val="right"/>
              <w:rPr>
                <w:sz w:val="20"/>
                <w:szCs w:val="20"/>
                <w:lang w:val="en-GB" w:bidi="sa-IN"/>
              </w:rPr>
            </w:pPr>
            <w:r w:rsidRPr="00831A61">
              <w:rPr>
                <w:sz w:val="20"/>
                <w:szCs w:val="20"/>
                <w:lang w:bidi="sa-IN"/>
              </w:rPr>
              <w:t>Marginális</w:t>
            </w:r>
          </w:p>
          <w:p w:rsidR="00CF7C1C" w:rsidRPr="00831A61" w:rsidRDefault="00CF7C1C" w:rsidP="00CF7C1C">
            <w:pPr>
              <w:pStyle w:val="Normltblzatban"/>
              <w:spacing w:after="0"/>
              <w:jc w:val="right"/>
              <w:rPr>
                <w:sz w:val="20"/>
                <w:szCs w:val="20"/>
                <w:lang w:bidi="sa-IN"/>
              </w:rPr>
            </w:pPr>
            <w:r w:rsidRPr="00831A61">
              <w:rPr>
                <w:sz w:val="20"/>
                <w:szCs w:val="20"/>
                <w:lang w:bidi="sa-IN"/>
              </w:rPr>
              <w:t>Közvetlen, pozitív</w:t>
            </w:r>
          </w:p>
        </w:tc>
        <w:tc>
          <w:tcPr>
            <w:tcW w:w="1578" w:type="dxa"/>
            <w:tcBorders>
              <w:bottom w:val="single" w:sz="4" w:space="0" w:color="auto"/>
            </w:tcBorders>
            <w:shd w:val="clear" w:color="auto" w:fill="auto"/>
          </w:tcPr>
          <w:p w:rsidR="00CF7C1C" w:rsidRPr="00831A61" w:rsidRDefault="00CF7C1C" w:rsidP="00CF7C1C">
            <w:pPr>
              <w:pStyle w:val="Normltblzatban"/>
              <w:spacing w:after="0"/>
              <w:jc w:val="right"/>
              <w:rPr>
                <w:sz w:val="20"/>
                <w:szCs w:val="20"/>
                <w:lang w:bidi="sa-IN"/>
              </w:rPr>
            </w:pPr>
            <w:r w:rsidRPr="00831A61">
              <w:rPr>
                <w:sz w:val="20"/>
                <w:szCs w:val="20"/>
                <w:lang w:bidi="sa-IN"/>
              </w:rPr>
              <w:t>3209,61</w:t>
            </w: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p>
          <w:p w:rsidR="00CF7C1C" w:rsidRPr="00831A61" w:rsidRDefault="00CF7C1C" w:rsidP="00CF7C1C">
            <w:pPr>
              <w:pStyle w:val="Normltblzatban"/>
              <w:spacing w:after="0"/>
              <w:jc w:val="right"/>
              <w:rPr>
                <w:sz w:val="20"/>
                <w:szCs w:val="20"/>
                <w:lang w:bidi="sa-IN"/>
              </w:rPr>
            </w:pPr>
            <w:r w:rsidRPr="00831A61">
              <w:rPr>
                <w:sz w:val="20"/>
                <w:szCs w:val="20"/>
                <w:lang w:bidi="sa-IN"/>
              </w:rPr>
              <w:t>3209,61</w:t>
            </w:r>
          </w:p>
        </w:tc>
      </w:tr>
      <w:tr w:rsidR="00CF7C1C" w:rsidRPr="00831A61" w:rsidTr="00CF7C1C">
        <w:trPr>
          <w:cantSplit/>
          <w:jc w:val="center"/>
        </w:trPr>
        <w:tc>
          <w:tcPr>
            <w:tcW w:w="488" w:type="dxa"/>
            <w:vMerge w:val="restart"/>
          </w:tcPr>
          <w:p w:rsidR="00CF7C1C" w:rsidRPr="00831A61" w:rsidRDefault="00CF7C1C" w:rsidP="00CF7C1C">
            <w:pPr>
              <w:pStyle w:val="Normltblzatban"/>
              <w:spacing w:after="0"/>
              <w:ind w:left="0" w:firstLine="0"/>
              <w:jc w:val="center"/>
              <w:rPr>
                <w:b/>
                <w:bCs/>
                <w:sz w:val="20"/>
                <w:szCs w:val="20"/>
                <w:lang w:bidi="sa-IN"/>
              </w:rPr>
            </w:pPr>
            <w:r w:rsidRPr="00831A61">
              <w:rPr>
                <w:b/>
                <w:bCs/>
                <w:sz w:val="20"/>
                <w:szCs w:val="20"/>
                <w:lang w:bidi="sa-IN"/>
              </w:rPr>
              <w:t>I</w:t>
            </w:r>
          </w:p>
        </w:tc>
        <w:tc>
          <w:tcPr>
            <w:tcW w:w="5766" w:type="dxa"/>
            <w:shd w:val="clear" w:color="auto" w:fill="auto"/>
          </w:tcPr>
          <w:p w:rsidR="00CF7C1C" w:rsidRPr="00831A61" w:rsidRDefault="00CF7C1C" w:rsidP="00CF7C1C">
            <w:pPr>
              <w:pStyle w:val="Normltblzatban"/>
              <w:spacing w:after="0"/>
              <w:rPr>
                <w:b/>
                <w:bCs/>
                <w:sz w:val="20"/>
                <w:szCs w:val="20"/>
                <w:lang w:bidi="sa-IN"/>
              </w:rPr>
            </w:pPr>
            <w:r w:rsidRPr="00831A61">
              <w:rPr>
                <w:b/>
                <w:bCs/>
                <w:sz w:val="20"/>
                <w:szCs w:val="20"/>
                <w:lang w:bidi="sa-IN"/>
              </w:rPr>
              <w:t xml:space="preserve">Magas természeti értékű területek növekedése </w:t>
            </w:r>
          </w:p>
        </w:tc>
        <w:tc>
          <w:tcPr>
            <w:tcW w:w="1800" w:type="dxa"/>
            <w:shd w:val="clear" w:color="auto" w:fill="auto"/>
            <w:vAlign w:val="center"/>
          </w:tcPr>
          <w:p w:rsidR="00CF7C1C" w:rsidRPr="00831A61" w:rsidRDefault="00CF7C1C" w:rsidP="00CF7C1C">
            <w:pPr>
              <w:pStyle w:val="Normltblzatban"/>
              <w:spacing w:after="0"/>
              <w:jc w:val="right"/>
              <w:rPr>
                <w:sz w:val="20"/>
                <w:szCs w:val="20"/>
                <w:lang w:val="en-GB"/>
              </w:rPr>
            </w:pPr>
            <w:r w:rsidRPr="00831A61">
              <w:rPr>
                <w:sz w:val="20"/>
                <w:szCs w:val="20"/>
                <w:lang w:val="en-GB"/>
              </w:rPr>
              <w:t>60 000 ha</w:t>
            </w:r>
          </w:p>
        </w:tc>
        <w:tc>
          <w:tcPr>
            <w:tcW w:w="1578" w:type="dxa"/>
            <w:shd w:val="clear" w:color="auto" w:fill="auto"/>
          </w:tcPr>
          <w:p w:rsidR="00CF7C1C" w:rsidRPr="00831A61" w:rsidRDefault="00CF7C1C" w:rsidP="00CF7C1C">
            <w:pPr>
              <w:pStyle w:val="Normltblzatban"/>
              <w:spacing w:after="0"/>
              <w:jc w:val="right"/>
              <w:rPr>
                <w:sz w:val="20"/>
                <w:szCs w:val="20"/>
                <w:lang w:val="en-GB"/>
              </w:rPr>
            </w:pPr>
            <w:r w:rsidRPr="00831A61">
              <w:rPr>
                <w:sz w:val="20"/>
                <w:szCs w:val="20"/>
                <w:lang w:val="en-GB"/>
              </w:rPr>
              <w:t>-</w:t>
            </w:r>
          </w:p>
        </w:tc>
      </w:tr>
      <w:tr w:rsidR="00CF7C1C" w:rsidRPr="00831A61" w:rsidTr="00CF7C1C">
        <w:trPr>
          <w:cantSplit/>
          <w:jc w:val="center"/>
        </w:trPr>
        <w:tc>
          <w:tcPr>
            <w:tcW w:w="488" w:type="dxa"/>
            <w:vMerge/>
          </w:tcPr>
          <w:p w:rsidR="00CF7C1C" w:rsidRPr="00831A61" w:rsidRDefault="00CF7C1C" w:rsidP="00CF7C1C">
            <w:pPr>
              <w:pStyle w:val="Normltblzatban"/>
              <w:spacing w:after="0"/>
              <w:ind w:left="0" w:firstLine="0"/>
              <w:jc w:val="center"/>
              <w:rPr>
                <w:b/>
                <w:bCs/>
                <w:sz w:val="20"/>
                <w:szCs w:val="20"/>
                <w:lang w:bidi="sa-IN"/>
              </w:rPr>
            </w:pPr>
          </w:p>
        </w:tc>
        <w:tc>
          <w:tcPr>
            <w:tcW w:w="5766" w:type="dxa"/>
            <w:shd w:val="clear" w:color="auto" w:fill="auto"/>
          </w:tcPr>
          <w:p w:rsidR="00CF7C1C" w:rsidRPr="00831A61" w:rsidRDefault="00CF7C1C" w:rsidP="00CF7C1C">
            <w:pPr>
              <w:pStyle w:val="Normltblzatban"/>
              <w:spacing w:after="0"/>
              <w:rPr>
                <w:b/>
                <w:bCs/>
                <w:sz w:val="20"/>
                <w:szCs w:val="20"/>
                <w:lang w:bidi="sa-IN"/>
              </w:rPr>
            </w:pPr>
            <w:r w:rsidRPr="00831A61">
              <w:rPr>
                <w:b/>
                <w:bCs/>
                <w:sz w:val="20"/>
                <w:szCs w:val="20"/>
                <w:lang w:bidi="sa-IN"/>
              </w:rPr>
              <w:t>Bruttó tápanyagmérleg (nitrogéntöbblet) változása</w:t>
            </w:r>
          </w:p>
        </w:tc>
        <w:tc>
          <w:tcPr>
            <w:tcW w:w="1800" w:type="dxa"/>
            <w:shd w:val="clear" w:color="auto" w:fill="auto"/>
            <w:vAlign w:val="center"/>
          </w:tcPr>
          <w:p w:rsidR="00CF7C1C" w:rsidRPr="00831A61" w:rsidRDefault="00CF7C1C" w:rsidP="00CF7C1C">
            <w:pPr>
              <w:pStyle w:val="Normltblzatban"/>
              <w:spacing w:after="0"/>
              <w:jc w:val="right"/>
              <w:rPr>
                <w:sz w:val="20"/>
                <w:szCs w:val="20"/>
                <w:lang w:val="en-GB"/>
              </w:rPr>
            </w:pPr>
            <w:r w:rsidRPr="00831A61">
              <w:rPr>
                <w:sz w:val="20"/>
                <w:szCs w:val="20"/>
                <w:lang w:val="en-GB"/>
              </w:rPr>
              <w:t>0 kT</w:t>
            </w:r>
          </w:p>
        </w:tc>
        <w:tc>
          <w:tcPr>
            <w:tcW w:w="1578" w:type="dxa"/>
            <w:shd w:val="clear" w:color="auto" w:fill="auto"/>
          </w:tcPr>
          <w:p w:rsidR="00CF7C1C" w:rsidRPr="00831A61" w:rsidRDefault="00CF7C1C" w:rsidP="00CF7C1C">
            <w:pPr>
              <w:pStyle w:val="Normltblzatban"/>
              <w:spacing w:after="0"/>
              <w:jc w:val="right"/>
              <w:rPr>
                <w:sz w:val="20"/>
                <w:szCs w:val="20"/>
                <w:lang w:val="en-GB"/>
              </w:rPr>
            </w:pPr>
            <w:r w:rsidRPr="00831A61">
              <w:rPr>
                <w:sz w:val="20"/>
                <w:szCs w:val="20"/>
                <w:lang w:val="en-GB"/>
              </w:rPr>
              <w:t>-</w:t>
            </w:r>
          </w:p>
        </w:tc>
      </w:tr>
      <w:tr w:rsidR="00CF7C1C" w:rsidRPr="00831A61" w:rsidTr="00CF7C1C">
        <w:trPr>
          <w:cantSplit/>
          <w:jc w:val="center"/>
        </w:trPr>
        <w:tc>
          <w:tcPr>
            <w:tcW w:w="488" w:type="dxa"/>
            <w:vMerge/>
          </w:tcPr>
          <w:p w:rsidR="00CF7C1C" w:rsidRPr="00831A61" w:rsidRDefault="00CF7C1C" w:rsidP="00CF7C1C">
            <w:pPr>
              <w:pStyle w:val="Normltblzatban"/>
              <w:spacing w:after="0"/>
              <w:ind w:left="0" w:firstLine="0"/>
              <w:jc w:val="center"/>
              <w:rPr>
                <w:b/>
                <w:bCs/>
                <w:sz w:val="20"/>
                <w:szCs w:val="20"/>
                <w:lang w:bidi="sa-IN"/>
              </w:rPr>
            </w:pPr>
          </w:p>
        </w:tc>
        <w:tc>
          <w:tcPr>
            <w:tcW w:w="5766" w:type="dxa"/>
            <w:shd w:val="clear" w:color="auto" w:fill="auto"/>
          </w:tcPr>
          <w:p w:rsidR="00CF7C1C" w:rsidRPr="00831A61" w:rsidRDefault="00CF7C1C" w:rsidP="00CF7C1C">
            <w:pPr>
              <w:pStyle w:val="Normltblzatban"/>
              <w:spacing w:after="0"/>
              <w:ind w:left="50" w:hanging="50"/>
              <w:rPr>
                <w:b/>
                <w:bCs/>
                <w:sz w:val="20"/>
                <w:szCs w:val="20"/>
                <w:lang w:bidi="sa-IN"/>
              </w:rPr>
            </w:pPr>
            <w:r w:rsidRPr="00831A61">
              <w:rPr>
                <w:b/>
                <w:bCs/>
                <w:sz w:val="20"/>
                <w:szCs w:val="20"/>
                <w:lang w:bidi="sa-IN"/>
              </w:rPr>
              <w:t>Megújulóenergia-termelés növekedése (ásványolaj-egyenérték)</w:t>
            </w:r>
          </w:p>
        </w:tc>
        <w:tc>
          <w:tcPr>
            <w:tcW w:w="1800" w:type="dxa"/>
            <w:shd w:val="clear" w:color="auto" w:fill="auto"/>
            <w:vAlign w:val="center"/>
          </w:tcPr>
          <w:p w:rsidR="00CF7C1C" w:rsidRPr="00831A61" w:rsidRDefault="00CF7C1C" w:rsidP="00CF7C1C">
            <w:pPr>
              <w:pStyle w:val="Normltblzatban"/>
              <w:spacing w:after="0"/>
              <w:jc w:val="right"/>
              <w:rPr>
                <w:sz w:val="20"/>
                <w:szCs w:val="20"/>
                <w:lang w:val="en-GB"/>
              </w:rPr>
            </w:pPr>
            <w:r w:rsidRPr="00831A61">
              <w:rPr>
                <w:sz w:val="20"/>
                <w:szCs w:val="20"/>
                <w:lang w:val="en-GB"/>
              </w:rPr>
              <w:t>0 kT</w:t>
            </w:r>
          </w:p>
        </w:tc>
        <w:tc>
          <w:tcPr>
            <w:tcW w:w="1578" w:type="dxa"/>
            <w:shd w:val="clear" w:color="auto" w:fill="auto"/>
          </w:tcPr>
          <w:p w:rsidR="00CF7C1C" w:rsidRPr="00831A61" w:rsidRDefault="00CF7C1C" w:rsidP="00CF7C1C">
            <w:pPr>
              <w:pStyle w:val="Normltblzatban"/>
              <w:spacing w:after="0"/>
              <w:jc w:val="right"/>
              <w:rPr>
                <w:sz w:val="20"/>
                <w:szCs w:val="20"/>
                <w:lang w:val="en-GB"/>
              </w:rPr>
            </w:pPr>
            <w:r w:rsidRPr="00831A61">
              <w:rPr>
                <w:sz w:val="20"/>
                <w:szCs w:val="20"/>
                <w:lang w:val="en-GB"/>
              </w:rPr>
              <w:t>-</w:t>
            </w:r>
          </w:p>
        </w:tc>
      </w:tr>
    </w:tbl>
    <w:p w:rsidR="00CF7C1C" w:rsidRPr="00831A61" w:rsidRDefault="00CF7C1C" w:rsidP="00CF7C1C">
      <w:pPr>
        <w:pStyle w:val="Normlforrs"/>
      </w:pPr>
      <w:r w:rsidRPr="00831A61">
        <w:t>Forrás: MVH</w:t>
      </w:r>
    </w:p>
    <w:p w:rsidR="009E1782" w:rsidRPr="00A35D13" w:rsidRDefault="009E1782" w:rsidP="00A35D13">
      <w:r w:rsidRPr="00831A61">
        <w:t>A</w:t>
      </w:r>
      <w:r w:rsidR="009C0043" w:rsidRPr="00831A61">
        <w:t>z intézkedés</w:t>
      </w:r>
      <w:r w:rsidRPr="00831A61">
        <w:t xml:space="preserve"> két alintézkedése körül az egyik (megelőző intézkedések bevezetése) 2012-ig nem indult el a programban, ezért látható a nagymértékű különbség a tervadat</w:t>
      </w:r>
      <w:r w:rsidRPr="00A35D13">
        <w:t xml:space="preserve"> és a tényleges adatok között. Az alintézkedés várhatóan 2013 folyamán megnyitásra kerül, így növekedés várható az értékekben.</w:t>
      </w:r>
    </w:p>
    <w:p w:rsidR="00CF7C1C" w:rsidRPr="00F35797" w:rsidRDefault="00CF7C1C" w:rsidP="00715E86">
      <w:pPr>
        <w:pStyle w:val="Cmsor4"/>
      </w:pPr>
      <w:r w:rsidRPr="00F35797">
        <w:t>Erdészeti potenciál helyreállítására nyújtandó támogatások jogcím megvalósulása</w:t>
      </w:r>
      <w:bookmarkEnd w:id="306"/>
    </w:p>
    <w:p w:rsidR="00CF7C1C" w:rsidRPr="00F35797" w:rsidRDefault="00CF7C1C" w:rsidP="004869BB">
      <w:r w:rsidRPr="00F35797">
        <w:t>A</w:t>
      </w:r>
      <w:r w:rsidRPr="00F35797">
        <w:rPr>
          <w:b/>
        </w:rPr>
        <w:t xml:space="preserve"> </w:t>
      </w:r>
      <w:r w:rsidRPr="00F35797">
        <w:t>megelőző esztendők időjárási viszontagságainak következtében hatalmas károk sújtották a hazai erdőket. Az ezt célzó erdészeti potenciál helyreállítását szolgáló intézkedés az abiotikus kárt elszenvedett erdők felújítását támogatja, hogy a terület egészséges erdővel történő borítottsága minél hamarabb megvalósulhasson, megelőzve ezzel a további környezeti károkat, pl. az erózió megjelenését is.</w:t>
      </w:r>
    </w:p>
    <w:p w:rsidR="00227EF5" w:rsidRDefault="00CF7C1C" w:rsidP="00CF7C1C">
      <w:pPr>
        <w:rPr>
          <w:iCs/>
        </w:rPr>
      </w:pPr>
      <w:r w:rsidRPr="002B4681">
        <w:rPr>
          <w:szCs w:val="22"/>
          <w:lang w:bidi="sa-IN"/>
        </w:rPr>
        <w:t>A 2008-ban megjelent 32/2008. (III.27.) FVM rendelet</w:t>
      </w:r>
      <w:r w:rsidR="00227EF5">
        <w:rPr>
          <w:szCs w:val="22"/>
          <w:lang w:bidi="sa-IN"/>
        </w:rPr>
        <w:t>, mely</w:t>
      </w:r>
      <w:r w:rsidRPr="002B4681">
        <w:rPr>
          <w:szCs w:val="22"/>
          <w:lang w:bidi="sa-IN"/>
        </w:rPr>
        <w:t xml:space="preserve"> </w:t>
      </w:r>
      <w:r w:rsidRPr="002B4681">
        <w:rPr>
          <w:iCs/>
        </w:rPr>
        <w:t xml:space="preserve">2012-ben egyszer módosult. </w:t>
      </w:r>
    </w:p>
    <w:p w:rsidR="00CF7C1C" w:rsidRPr="002B4681" w:rsidRDefault="00CF7C1C" w:rsidP="00CF7C1C">
      <w:r w:rsidRPr="002B4681">
        <w:t xml:space="preserve">A 32/2008. (III. 27.) FVM rendelet módosítását is tartalmazó 44/2012 (V.3.) VM rendelet a vidékfejlesztési </w:t>
      </w:r>
      <w:r w:rsidRPr="009C0043">
        <w:t xml:space="preserve">program </w:t>
      </w:r>
      <w:r w:rsidR="00227EF5" w:rsidRPr="009C0043">
        <w:t xml:space="preserve">9. verziószámú </w:t>
      </w:r>
      <w:r w:rsidRPr="009C0043">
        <w:t>módosításának megfelelő</w:t>
      </w:r>
      <w:r w:rsidRPr="002B4681">
        <w:t xml:space="preserve"> támogatási összegek megemelését tartalmazza, továbbá technikai és értelmezésjavító módosításokat is magába foglal.</w:t>
      </w:r>
    </w:p>
    <w:p w:rsidR="00CF7C1C" w:rsidRPr="00F35797" w:rsidRDefault="00CF7C1C" w:rsidP="004869BB">
      <w:r w:rsidRPr="002B4681">
        <w:t xml:space="preserve">Támogatási kérelem benyújtási időszak 2012-ben október 1-november 30. között volt, a kérelmeket a természeti katasztrófával sújtott erdőrészlet szerinti területileg illetékes </w:t>
      </w:r>
      <w:r w:rsidR="00831A61">
        <w:t>NÉBIH</w:t>
      </w:r>
      <w:r w:rsidRPr="002B4681">
        <w:t xml:space="preserve"> Erdészeti </w:t>
      </w:r>
      <w:r w:rsidRPr="00F35797">
        <w:t>Igazgatóságához kellett benyújtani, a természeti katasztrófa bekövetkeztének éve utáni két éven belül.</w:t>
      </w:r>
    </w:p>
    <w:p w:rsidR="00CF7C1C" w:rsidRPr="00F92037" w:rsidRDefault="007E5FDF" w:rsidP="00F92037">
      <w:pPr>
        <w:pStyle w:val="bra-cmetbla"/>
      </w:pPr>
      <w:fldSimple w:instr=" SEQ táblázat \* ARABIC ">
        <w:r w:rsidR="00E5031F">
          <w:rPr>
            <w:noProof/>
          </w:rPr>
          <w:t>78</w:t>
        </w:r>
      </w:fldSimple>
      <w:r w:rsidR="00673DDE">
        <w:t xml:space="preserve">. táblázat: </w:t>
      </w:r>
      <w:r w:rsidR="00CF7C1C" w:rsidRPr="00F92037">
        <w:t>Erdészeti potenciál helyreállítására nyújtandó támogatások jogcím 2012. évi eredményei</w:t>
      </w:r>
    </w:p>
    <w:p w:rsidR="00CF7C1C" w:rsidRPr="00F92037" w:rsidRDefault="00B452BF" w:rsidP="00F92037">
      <w:pPr>
        <w:pStyle w:val="bra-cmetbla"/>
      </w:pPr>
      <w:r w:rsidRPr="00F92037">
        <w:rPr>
          <w:noProof/>
        </w:rPr>
        <w:drawing>
          <wp:inline distT="0" distB="0" distL="0" distR="0" wp14:anchorId="5A2DCFC2" wp14:editId="2A883126">
            <wp:extent cx="5156835" cy="1882140"/>
            <wp:effectExtent l="0" t="0" r="5715" b="381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6835" cy="1882140"/>
                    </a:xfrm>
                    <a:prstGeom prst="rect">
                      <a:avLst/>
                    </a:prstGeom>
                    <a:noFill/>
                    <a:ln>
                      <a:noFill/>
                    </a:ln>
                  </pic:spPr>
                </pic:pic>
              </a:graphicData>
            </a:graphic>
          </wp:inline>
        </w:drawing>
      </w:r>
    </w:p>
    <w:p w:rsidR="00CF7C1C" w:rsidRPr="00F35797" w:rsidRDefault="00CF7C1C" w:rsidP="00CF7C1C">
      <w:pPr>
        <w:pStyle w:val="Normlforrs"/>
      </w:pPr>
      <w:r w:rsidRPr="00F35797">
        <w:t>Forrás: MVH</w:t>
      </w:r>
    </w:p>
    <w:p w:rsidR="00227EF5" w:rsidRDefault="00CF7C1C" w:rsidP="004869BB">
      <w:r w:rsidRPr="002B4681">
        <w:t xml:space="preserve">2012-ben 242 db támogatási kérelem beadására került sor. </w:t>
      </w:r>
    </w:p>
    <w:p w:rsidR="00CF7C1C" w:rsidRDefault="00CF7C1C" w:rsidP="004869BB">
      <w:r w:rsidRPr="002B4681">
        <w:lastRenderedPageBreak/>
        <w:t xml:space="preserve">A 2012 évben a 40 támogatott kifizetési kérelem kapcsán az összes kifizetés 622 ezer euró (181 M Ft) volt. </w:t>
      </w:r>
    </w:p>
    <w:p w:rsidR="00CF7C1C" w:rsidRPr="002B4681" w:rsidRDefault="00CF7C1C" w:rsidP="004869BB">
      <w:pPr>
        <w:rPr>
          <w:strike/>
        </w:rPr>
      </w:pPr>
      <w:bookmarkStart w:id="307" w:name="_Toc297033311"/>
      <w:bookmarkStart w:id="308" w:name="_Toc297033925"/>
      <w:bookmarkStart w:id="309" w:name="_Toc297548963"/>
      <w:bookmarkStart w:id="310" w:name="_Toc297549754"/>
      <w:bookmarkStart w:id="311" w:name="_Toc261596945"/>
      <w:bookmarkEnd w:id="307"/>
      <w:bookmarkEnd w:id="308"/>
      <w:bookmarkEnd w:id="309"/>
      <w:bookmarkEnd w:id="310"/>
      <w:r w:rsidRPr="002B4681">
        <w:t>A beérkezett támogatási kérelmek regionális megoszlását tekintve Szabolcs-Szatmár-Bereg megyében volt messze a legnagyobb érdeklődés a jogcím iránt (27,7 %), emellett Bács-Kiskun (12%)</w:t>
      </w:r>
      <w:r w:rsidR="00831A61">
        <w:t>, Somogy és Borsod-Abaúj-Zemplén</w:t>
      </w:r>
      <w:r w:rsidRPr="002B4681">
        <w:t xml:space="preserve"> megyéből érkezett a legtöbb kérelem. A legkevesebb kérelem – azonos mennyiségben (0,41%) – Heves megyéből, Komárom-Esztergom megyéből, Nógrád megyéből, valamint Vas megyéből érkezett be.</w:t>
      </w:r>
    </w:p>
    <w:p w:rsidR="00CF7C1C" w:rsidRPr="00896E03" w:rsidRDefault="00CF7C1C" w:rsidP="00DB48A3">
      <w:pPr>
        <w:pStyle w:val="Cmsor3"/>
      </w:pPr>
      <w:bookmarkStart w:id="312" w:name="_Toc328638723"/>
      <w:bookmarkStart w:id="313" w:name="_Toc360176814"/>
      <w:r w:rsidRPr="00896E03">
        <w:t>Erdőterületeket érintő, nem termelő jellegű beruházások intézkedés (227) rövid bemutatása</w:t>
      </w:r>
      <w:bookmarkEnd w:id="311"/>
      <w:bookmarkEnd w:id="312"/>
      <w:bookmarkEnd w:id="313"/>
    </w:p>
    <w:p w:rsidR="00CF7C1C" w:rsidRPr="002B4681" w:rsidRDefault="00CF7C1C" w:rsidP="004869BB">
      <w:pPr>
        <w:rPr>
          <w:lang w:bidi="sa-IN"/>
        </w:rPr>
      </w:pPr>
      <w:r w:rsidRPr="002B4681">
        <w:rPr>
          <w:lang w:bidi="sa-IN"/>
        </w:rPr>
        <w:t>Az intézkedés célja a megfelelő szintű elegyesség, több szintes állományszerkezet kialakítása az erdőkben, az erdők természetességének javítása, biológiai sokféleségének megőrzése és növelése, valamint egészségi állapotának javítása. Nagyon fontos ugyanakkor, hogy a rendelkezésünkre álló termőhelyi adottságokat kihasználva az erdőből, annak károsítása nélkül, az ember számára legtöbb hasznot tudjuk megtermelni. Az erdők közjóléti szolgáltatásait biztosító beruházások pedig az erdő és a társadalom kapcsolatának erősödését szolgálják. A nem termelő beruházások olyan beruházások, amelyek az erdők gazdasági értékét, jövedelemtermelő képességét jelentősen nem befolyásolják.</w:t>
      </w:r>
    </w:p>
    <w:p w:rsidR="00227EF5" w:rsidRDefault="00CF7C1C" w:rsidP="004869BB">
      <w:r w:rsidRPr="002B4681">
        <w:t xml:space="preserve">Az intézkedés két alintézkedést foglal magában, ezek: 1. erdészeti potenciál növelése (erdőszerkezet átalakítás) és 2. közjóléti és idegenforgalmi létesítmények kialakítása. </w:t>
      </w:r>
    </w:p>
    <w:p w:rsidR="00227EF5" w:rsidRDefault="00CF7C1C" w:rsidP="004869BB">
      <w:r w:rsidRPr="002B4681">
        <w:t xml:space="preserve">2009-ben az 1. alintézkedés keretében került meghirdetésre </w:t>
      </w:r>
      <w:r w:rsidRPr="002B4681">
        <w:rPr>
          <w:i/>
        </w:rPr>
        <w:t>Az erdőszerkezet átalakításához nyújtandó támogatások</w:t>
      </w:r>
      <w:r w:rsidRPr="002B4681">
        <w:t xml:space="preserve"> jogcímrendelet. </w:t>
      </w:r>
    </w:p>
    <w:p w:rsidR="00CF7C1C" w:rsidRPr="002B4681" w:rsidRDefault="00CF7C1C" w:rsidP="004869BB">
      <w:pPr>
        <w:rPr>
          <w:strike/>
        </w:rPr>
      </w:pPr>
      <w:r w:rsidRPr="002B4681">
        <w:t xml:space="preserve">A 2. alintézkedést lefedő jogcímrendelet </w:t>
      </w:r>
      <w:r w:rsidR="00227EF5">
        <w:t xml:space="preserve">a jelentés készítésének időpontjában </w:t>
      </w:r>
      <w:r w:rsidRPr="002B4681">
        <w:t xml:space="preserve">kidolgozás alatt </w:t>
      </w:r>
      <w:r w:rsidR="00227EF5" w:rsidRPr="002B4681">
        <w:t>v</w:t>
      </w:r>
      <w:r w:rsidR="00227EF5">
        <w:t>olt</w:t>
      </w:r>
      <w:r w:rsidRPr="002B4681">
        <w:t>, megjelenése 2013-ban várható.</w:t>
      </w:r>
    </w:p>
    <w:p w:rsidR="00CF7C1C" w:rsidRPr="00F92037" w:rsidRDefault="007E5FDF" w:rsidP="00F92037">
      <w:pPr>
        <w:pStyle w:val="bra-cmetbla"/>
      </w:pPr>
      <w:fldSimple w:instr=" SEQ táblázat \* ARABIC ">
        <w:r w:rsidR="00E5031F">
          <w:rPr>
            <w:noProof/>
          </w:rPr>
          <w:t>79</w:t>
        </w:r>
      </w:fldSimple>
      <w:r w:rsidR="00673DDE">
        <w:t xml:space="preserve">. táblázat: </w:t>
      </w:r>
      <w:r w:rsidR="00CF7C1C" w:rsidRPr="00F92037">
        <w:t>Erdőterületeket érintő, nem termelő jellegű beruházások intézkedés (227) indikátorainak megvalósulása</w:t>
      </w:r>
    </w:p>
    <w:tbl>
      <w:tblPr>
        <w:tblW w:w="9821" w:type="dxa"/>
        <w:jc w:val="center"/>
        <w:tblLayout w:type="fixed"/>
        <w:tblCellMar>
          <w:left w:w="70" w:type="dxa"/>
          <w:right w:w="70" w:type="dxa"/>
        </w:tblCellMar>
        <w:tblLook w:val="0000" w:firstRow="0" w:lastRow="0" w:firstColumn="0" w:lastColumn="0" w:noHBand="0" w:noVBand="0"/>
      </w:tblPr>
      <w:tblGrid>
        <w:gridCol w:w="394"/>
        <w:gridCol w:w="6019"/>
        <w:gridCol w:w="1820"/>
        <w:gridCol w:w="1588"/>
      </w:tblGrid>
      <w:tr w:rsidR="00CF7C1C" w:rsidRPr="00E1404B" w:rsidTr="00CF7C1C">
        <w:trPr>
          <w:jc w:val="center"/>
        </w:trPr>
        <w:tc>
          <w:tcPr>
            <w:tcW w:w="394" w:type="dxa"/>
            <w:tcBorders>
              <w:top w:val="single" w:sz="4" w:space="0" w:color="000000"/>
              <w:left w:val="single" w:sz="4" w:space="0" w:color="000000"/>
              <w:bottom w:val="single" w:sz="4" w:space="0" w:color="000000"/>
            </w:tcBorders>
            <w:shd w:val="clear" w:color="auto" w:fill="B3B3B3"/>
          </w:tcPr>
          <w:p w:rsidR="00CF7C1C" w:rsidRPr="00E1404B" w:rsidRDefault="00CF7C1C" w:rsidP="0058781B">
            <w:pPr>
              <w:pStyle w:val="Normltblzatban"/>
              <w:keepNext/>
              <w:spacing w:after="0"/>
              <w:ind w:left="10" w:hanging="10"/>
              <w:jc w:val="center"/>
              <w:rPr>
                <w:b/>
                <w:bCs/>
                <w:sz w:val="20"/>
                <w:szCs w:val="20"/>
                <w:lang w:bidi="sa-IN"/>
              </w:rPr>
            </w:pPr>
            <w:bookmarkStart w:id="314" w:name="_Toc261596946"/>
          </w:p>
        </w:tc>
        <w:tc>
          <w:tcPr>
            <w:tcW w:w="6019" w:type="dxa"/>
            <w:tcBorders>
              <w:top w:val="single" w:sz="4" w:space="0" w:color="000000"/>
              <w:left w:val="single" w:sz="4" w:space="0" w:color="000000"/>
              <w:bottom w:val="single" w:sz="4" w:space="0" w:color="000000"/>
            </w:tcBorders>
            <w:shd w:val="clear" w:color="auto" w:fill="B3B3B3"/>
            <w:vAlign w:val="center"/>
          </w:tcPr>
          <w:p w:rsidR="00CF7C1C" w:rsidRPr="00E1404B" w:rsidRDefault="00CF7C1C" w:rsidP="0058781B">
            <w:pPr>
              <w:pStyle w:val="Normltblzatban"/>
              <w:keepNext/>
              <w:spacing w:after="0"/>
              <w:ind w:left="10" w:hanging="10"/>
              <w:jc w:val="center"/>
              <w:rPr>
                <w:sz w:val="20"/>
                <w:szCs w:val="20"/>
                <w:lang w:bidi="sa-IN"/>
              </w:rPr>
            </w:pPr>
            <w:r w:rsidRPr="00E1404B">
              <w:rPr>
                <w:b/>
                <w:bCs/>
                <w:sz w:val="20"/>
                <w:szCs w:val="20"/>
                <w:lang w:bidi="sa-IN"/>
              </w:rPr>
              <w:t>Indikátor leírása</w:t>
            </w:r>
          </w:p>
        </w:tc>
        <w:tc>
          <w:tcPr>
            <w:tcW w:w="1820" w:type="dxa"/>
            <w:tcBorders>
              <w:top w:val="single" w:sz="4" w:space="0" w:color="000000"/>
              <w:left w:val="single" w:sz="4" w:space="0" w:color="000000"/>
              <w:bottom w:val="single" w:sz="4" w:space="0" w:color="auto"/>
              <w:right w:val="single" w:sz="4" w:space="0" w:color="000000"/>
            </w:tcBorders>
            <w:shd w:val="clear" w:color="auto" w:fill="B3B3B3"/>
            <w:vAlign w:val="center"/>
          </w:tcPr>
          <w:p w:rsidR="00CF7C1C" w:rsidRPr="00E1404B" w:rsidRDefault="00CF7C1C" w:rsidP="0058781B">
            <w:pPr>
              <w:pStyle w:val="Normltblzatban"/>
              <w:keepNext/>
              <w:spacing w:after="0"/>
              <w:ind w:left="0" w:firstLine="0"/>
              <w:jc w:val="center"/>
              <w:rPr>
                <w:sz w:val="20"/>
                <w:szCs w:val="20"/>
                <w:lang w:bidi="sa-IN"/>
              </w:rPr>
            </w:pPr>
            <w:r w:rsidRPr="00E1404B">
              <w:rPr>
                <w:b/>
                <w:sz w:val="20"/>
                <w:szCs w:val="20"/>
              </w:rPr>
              <w:t>Program szerinti tervadat</w:t>
            </w:r>
          </w:p>
        </w:tc>
        <w:tc>
          <w:tcPr>
            <w:tcW w:w="1588" w:type="dxa"/>
            <w:tcBorders>
              <w:top w:val="single" w:sz="4" w:space="0" w:color="000000"/>
              <w:left w:val="single" w:sz="4" w:space="0" w:color="000000"/>
              <w:bottom w:val="single" w:sz="4" w:space="0" w:color="auto"/>
              <w:right w:val="single" w:sz="4" w:space="0" w:color="000000"/>
            </w:tcBorders>
            <w:shd w:val="clear" w:color="auto" w:fill="B3B3B3"/>
          </w:tcPr>
          <w:p w:rsidR="00CF7C1C" w:rsidRPr="00E1404B" w:rsidRDefault="00CF7C1C" w:rsidP="0058781B">
            <w:pPr>
              <w:pStyle w:val="Normltblzatban"/>
              <w:keepNext/>
              <w:spacing w:after="0"/>
              <w:ind w:left="0" w:firstLine="0"/>
              <w:jc w:val="center"/>
              <w:rPr>
                <w:b/>
                <w:bCs/>
                <w:sz w:val="20"/>
                <w:szCs w:val="20"/>
                <w:lang w:bidi="sa-IN"/>
              </w:rPr>
            </w:pPr>
            <w:r w:rsidRPr="00E1404B">
              <w:rPr>
                <w:b/>
                <w:sz w:val="20"/>
                <w:szCs w:val="20"/>
              </w:rPr>
              <w:t>Indikátorok kumulált értéke</w:t>
            </w:r>
          </w:p>
        </w:tc>
      </w:tr>
      <w:tr w:rsidR="00CF7C1C" w:rsidRPr="00E1404B" w:rsidTr="0058781B">
        <w:trPr>
          <w:cantSplit/>
          <w:jc w:val="center"/>
        </w:trPr>
        <w:tc>
          <w:tcPr>
            <w:tcW w:w="394" w:type="dxa"/>
            <w:vMerge w:val="restart"/>
            <w:tcBorders>
              <w:left w:val="single" w:sz="4" w:space="0" w:color="000000"/>
              <w:right w:val="single" w:sz="4" w:space="0" w:color="auto"/>
            </w:tcBorders>
          </w:tcPr>
          <w:p w:rsidR="00CF7C1C" w:rsidRPr="00E1404B" w:rsidRDefault="00CF7C1C" w:rsidP="0058781B">
            <w:pPr>
              <w:pStyle w:val="Normltblzatban"/>
              <w:keepNext/>
              <w:rPr>
                <w:b/>
                <w:bCs/>
                <w:sz w:val="20"/>
                <w:szCs w:val="20"/>
                <w:lang w:bidi="sa-IN"/>
              </w:rPr>
            </w:pPr>
            <w:r w:rsidRPr="00E1404B">
              <w:rPr>
                <w:b/>
                <w:bCs/>
                <w:sz w:val="20"/>
                <w:szCs w:val="20"/>
                <w:lang w:bidi="sa-IN"/>
              </w:rPr>
              <w:t>O</w:t>
            </w:r>
          </w:p>
        </w:tc>
        <w:tc>
          <w:tcPr>
            <w:tcW w:w="6019" w:type="dxa"/>
            <w:tcBorders>
              <w:left w:val="single" w:sz="4" w:space="0" w:color="000000"/>
              <w:bottom w:val="single" w:sz="4" w:space="0" w:color="auto"/>
              <w:right w:val="single" w:sz="4" w:space="0" w:color="auto"/>
            </w:tcBorders>
          </w:tcPr>
          <w:p w:rsidR="00CF7C1C" w:rsidRPr="00E1404B" w:rsidRDefault="00CF7C1C" w:rsidP="0058781B">
            <w:pPr>
              <w:pStyle w:val="Normltblzatban"/>
              <w:keepNext/>
              <w:rPr>
                <w:b/>
                <w:bCs/>
                <w:sz w:val="20"/>
                <w:szCs w:val="20"/>
                <w:lang w:val="en-GB" w:bidi="sa-IN"/>
              </w:rPr>
            </w:pPr>
            <w:r w:rsidRPr="00E1404B">
              <w:rPr>
                <w:b/>
                <w:bCs/>
                <w:sz w:val="20"/>
                <w:szCs w:val="20"/>
                <w:lang w:bidi="sa-IN"/>
              </w:rPr>
              <w:t>A támogatott erdőgazdálkodók száma</w:t>
            </w:r>
          </w:p>
        </w:tc>
        <w:tc>
          <w:tcPr>
            <w:tcW w:w="1820" w:type="dxa"/>
            <w:tcBorders>
              <w:top w:val="single" w:sz="4" w:space="0" w:color="auto"/>
              <w:left w:val="single" w:sz="4" w:space="0" w:color="auto"/>
              <w:bottom w:val="single" w:sz="4" w:space="0" w:color="auto"/>
              <w:right w:val="single" w:sz="4" w:space="0" w:color="auto"/>
            </w:tcBorders>
            <w:vAlign w:val="center"/>
          </w:tcPr>
          <w:p w:rsidR="00CF7C1C" w:rsidRPr="0058781B" w:rsidRDefault="00CF7C1C" w:rsidP="0058781B">
            <w:pPr>
              <w:pStyle w:val="Tbla-jobb"/>
            </w:pPr>
            <w:r w:rsidRPr="0058781B">
              <w:t>10 000 db</w:t>
            </w:r>
          </w:p>
        </w:tc>
        <w:tc>
          <w:tcPr>
            <w:tcW w:w="1588" w:type="dxa"/>
            <w:tcBorders>
              <w:top w:val="single" w:sz="4" w:space="0" w:color="auto"/>
              <w:left w:val="single" w:sz="4" w:space="0" w:color="auto"/>
              <w:bottom w:val="single" w:sz="4" w:space="0" w:color="auto"/>
              <w:right w:val="single" w:sz="4" w:space="0" w:color="auto"/>
            </w:tcBorders>
          </w:tcPr>
          <w:p w:rsidR="00CF7C1C" w:rsidRPr="0058781B" w:rsidRDefault="00CF7C1C" w:rsidP="0058781B">
            <w:pPr>
              <w:pStyle w:val="Tbla-jobb"/>
            </w:pPr>
            <w:r w:rsidRPr="0058781B">
              <w:t xml:space="preserve">115 </w:t>
            </w:r>
          </w:p>
        </w:tc>
      </w:tr>
      <w:tr w:rsidR="00CF7C1C" w:rsidRPr="00E1404B" w:rsidTr="00CF7C1C">
        <w:trPr>
          <w:trHeight w:val="1730"/>
          <w:jc w:val="center"/>
        </w:trPr>
        <w:tc>
          <w:tcPr>
            <w:tcW w:w="394" w:type="dxa"/>
            <w:vMerge/>
            <w:tcBorders>
              <w:left w:val="single" w:sz="4" w:space="0" w:color="000000"/>
              <w:right w:val="single" w:sz="4" w:space="0" w:color="auto"/>
            </w:tcBorders>
          </w:tcPr>
          <w:p w:rsidR="00CF7C1C" w:rsidRPr="00E1404B" w:rsidRDefault="00CF7C1C" w:rsidP="0058781B">
            <w:pPr>
              <w:rPr>
                <w:sz w:val="20"/>
                <w:szCs w:val="20"/>
                <w:lang w:bidi="sa-IN"/>
              </w:rPr>
            </w:pPr>
          </w:p>
        </w:tc>
        <w:tc>
          <w:tcPr>
            <w:tcW w:w="6019" w:type="dxa"/>
            <w:tcBorders>
              <w:top w:val="single" w:sz="4" w:space="0" w:color="auto"/>
              <w:left w:val="single" w:sz="4" w:space="0" w:color="auto"/>
              <w:bottom w:val="single" w:sz="4" w:space="0" w:color="auto"/>
              <w:right w:val="single" w:sz="4" w:space="0" w:color="auto"/>
            </w:tcBorders>
          </w:tcPr>
          <w:p w:rsidR="00CF7C1C" w:rsidRPr="00831A61" w:rsidRDefault="00CF7C1C" w:rsidP="0058781B">
            <w:pPr>
              <w:rPr>
                <w:sz w:val="20"/>
                <w:szCs w:val="20"/>
                <w:lang w:val="en-GB" w:bidi="sa-IN"/>
              </w:rPr>
            </w:pPr>
            <w:r w:rsidRPr="00831A61">
              <w:rPr>
                <w:sz w:val="20"/>
                <w:szCs w:val="20"/>
                <w:lang w:bidi="sa-IN"/>
              </w:rPr>
              <w:t>A beruházás típusa:</w:t>
            </w:r>
            <w:r w:rsidRPr="00831A61">
              <w:rPr>
                <w:sz w:val="20"/>
                <w:szCs w:val="20"/>
                <w:lang w:val="en-GB" w:bidi="sa-IN"/>
              </w:rPr>
              <w:t xml:space="preserve"> </w:t>
            </w:r>
          </w:p>
          <w:p w:rsidR="00CF7C1C" w:rsidRPr="00831A61" w:rsidRDefault="00CF7C1C" w:rsidP="0058781B">
            <w:pPr>
              <w:rPr>
                <w:sz w:val="20"/>
                <w:szCs w:val="20"/>
                <w:lang w:val="en-GB" w:bidi="sa-IN"/>
              </w:rPr>
            </w:pPr>
            <w:r w:rsidRPr="00831A61">
              <w:rPr>
                <w:sz w:val="20"/>
                <w:szCs w:val="20"/>
                <w:lang w:bidi="sa-IN"/>
              </w:rPr>
              <w:t>- Amihez a beruházások kapcsolódnak:</w:t>
            </w:r>
            <w:r w:rsidRPr="00831A61">
              <w:rPr>
                <w:sz w:val="20"/>
                <w:szCs w:val="20"/>
                <w:lang w:val="en-GB" w:bidi="sa-IN"/>
              </w:rPr>
              <w:t xml:space="preserve"> </w:t>
            </w:r>
          </w:p>
          <w:p w:rsidR="00CF7C1C" w:rsidRPr="00831A61" w:rsidRDefault="00CF7C1C" w:rsidP="0058781B">
            <w:pPr>
              <w:rPr>
                <w:sz w:val="20"/>
                <w:szCs w:val="20"/>
              </w:rPr>
            </w:pPr>
            <w:r w:rsidRPr="00831A61">
              <w:rPr>
                <w:sz w:val="20"/>
                <w:szCs w:val="20"/>
                <w:lang w:bidi="sa-IN"/>
              </w:rPr>
              <w:t xml:space="preserve">A 36. cikk b) </w:t>
            </w:r>
            <w:r w:rsidRPr="00831A61">
              <w:rPr>
                <w:sz w:val="20"/>
                <w:szCs w:val="20"/>
              </w:rPr>
              <w:t>pontjának iv. alpontjában előírt intézkedés alapján vállalt kötelezettség teljesítése</w:t>
            </w:r>
          </w:p>
          <w:p w:rsidR="00CF7C1C" w:rsidRPr="00831A61" w:rsidRDefault="00CF7C1C" w:rsidP="0058781B">
            <w:pPr>
              <w:rPr>
                <w:sz w:val="20"/>
                <w:szCs w:val="20"/>
                <w:lang w:bidi="sa-IN"/>
              </w:rPr>
            </w:pPr>
            <w:r w:rsidRPr="00831A61">
              <w:rPr>
                <w:sz w:val="20"/>
                <w:szCs w:val="20"/>
              </w:rPr>
              <w:t>Egyéb környezetvédelmi</w:t>
            </w:r>
            <w:r w:rsidRPr="00831A61">
              <w:rPr>
                <w:sz w:val="20"/>
                <w:szCs w:val="20"/>
                <w:lang w:bidi="sa-IN"/>
              </w:rPr>
              <w:t xml:space="preserve"> célkitűzések </w:t>
            </w:r>
          </w:p>
          <w:p w:rsidR="00CF7C1C" w:rsidRPr="00831A61" w:rsidRDefault="00CF7C1C" w:rsidP="0058781B">
            <w:pPr>
              <w:rPr>
                <w:sz w:val="20"/>
                <w:szCs w:val="20"/>
                <w:lang w:bidi="sa-IN"/>
              </w:rPr>
            </w:pPr>
            <w:r w:rsidRPr="00831A61">
              <w:rPr>
                <w:sz w:val="20"/>
                <w:szCs w:val="20"/>
                <w:lang w:bidi="sa-IN"/>
              </w:rPr>
              <w:t xml:space="preserve">- Az erdő és fás </w:t>
            </w:r>
            <w:r w:rsidRPr="00831A61">
              <w:rPr>
                <w:sz w:val="20"/>
                <w:szCs w:val="20"/>
              </w:rPr>
              <w:t>terület</w:t>
            </w:r>
            <w:r w:rsidRPr="00831A61">
              <w:rPr>
                <w:sz w:val="20"/>
                <w:szCs w:val="20"/>
                <w:lang w:bidi="sa-IN"/>
              </w:rPr>
              <w:t xml:space="preserve"> értékét a nagyközönség kényelme szempontjából fokozó beruházások az érintett területen</w:t>
            </w:r>
          </w:p>
        </w:tc>
        <w:tc>
          <w:tcPr>
            <w:tcW w:w="1820" w:type="dxa"/>
            <w:tcBorders>
              <w:top w:val="single" w:sz="4" w:space="0" w:color="auto"/>
              <w:left w:val="single" w:sz="4" w:space="0" w:color="auto"/>
              <w:bottom w:val="single" w:sz="4" w:space="0" w:color="auto"/>
              <w:right w:val="single" w:sz="4" w:space="0" w:color="auto"/>
            </w:tcBorders>
          </w:tcPr>
          <w:p w:rsidR="00CF7C1C" w:rsidRPr="00831A61" w:rsidRDefault="00CF7C1C" w:rsidP="0058781B">
            <w:pPr>
              <w:pStyle w:val="Tbla-jobb"/>
            </w:pPr>
          </w:p>
          <w:p w:rsidR="00CF7C1C" w:rsidRPr="00831A61" w:rsidRDefault="00CF7C1C" w:rsidP="0058781B">
            <w:pPr>
              <w:pStyle w:val="Tbla-jobb"/>
            </w:pPr>
          </w:p>
          <w:p w:rsidR="00CF7C1C" w:rsidRPr="00831A61" w:rsidRDefault="00CF7C1C" w:rsidP="0058781B">
            <w:pPr>
              <w:pStyle w:val="Tbla-jobb"/>
            </w:pPr>
            <w:r w:rsidRPr="00831A61">
              <w:t>5 000 db</w:t>
            </w:r>
          </w:p>
          <w:p w:rsidR="00CF7C1C" w:rsidRPr="00831A61" w:rsidRDefault="00CF7C1C" w:rsidP="0058781B">
            <w:pPr>
              <w:pStyle w:val="Tbla-jobb"/>
            </w:pPr>
          </w:p>
          <w:p w:rsidR="00CF7C1C" w:rsidRPr="00831A61" w:rsidRDefault="00CF7C1C" w:rsidP="0058781B">
            <w:pPr>
              <w:pStyle w:val="Tbla-jobb"/>
            </w:pPr>
            <w:r w:rsidRPr="00831A61">
              <w:t>2 500 db</w:t>
            </w:r>
          </w:p>
          <w:p w:rsidR="00CF7C1C" w:rsidRPr="00831A61" w:rsidRDefault="00CF7C1C" w:rsidP="0058781B">
            <w:pPr>
              <w:pStyle w:val="Tbla-jobb"/>
            </w:pPr>
            <w:r w:rsidRPr="00831A61">
              <w:t>2 500 db</w:t>
            </w:r>
          </w:p>
        </w:tc>
        <w:tc>
          <w:tcPr>
            <w:tcW w:w="1588" w:type="dxa"/>
            <w:tcBorders>
              <w:top w:val="single" w:sz="4" w:space="0" w:color="auto"/>
              <w:left w:val="single" w:sz="4" w:space="0" w:color="auto"/>
              <w:bottom w:val="single" w:sz="4" w:space="0" w:color="auto"/>
              <w:right w:val="single" w:sz="4" w:space="0" w:color="auto"/>
            </w:tcBorders>
          </w:tcPr>
          <w:p w:rsidR="00CF7C1C" w:rsidRPr="00831A61" w:rsidRDefault="00CF7C1C" w:rsidP="0058781B">
            <w:pPr>
              <w:pStyle w:val="Tbla-jobb"/>
            </w:pPr>
          </w:p>
          <w:p w:rsidR="00CF7C1C" w:rsidRPr="00831A61" w:rsidRDefault="00CF7C1C" w:rsidP="0058781B">
            <w:pPr>
              <w:pStyle w:val="Tbla-jobb"/>
            </w:pPr>
          </w:p>
          <w:p w:rsidR="00CF7C1C" w:rsidRPr="00831A61" w:rsidRDefault="00CF7C1C" w:rsidP="0058781B">
            <w:pPr>
              <w:pStyle w:val="Tbla-jobb"/>
            </w:pPr>
            <w:r w:rsidRPr="00831A61">
              <w:t>NA</w:t>
            </w:r>
          </w:p>
          <w:p w:rsidR="00CF7C1C" w:rsidRPr="00831A61" w:rsidRDefault="00CF7C1C" w:rsidP="0058781B">
            <w:pPr>
              <w:pStyle w:val="Tbla-jobb"/>
            </w:pPr>
          </w:p>
          <w:p w:rsidR="00CF7C1C" w:rsidRPr="00831A61" w:rsidRDefault="00CF7C1C" w:rsidP="0058781B">
            <w:pPr>
              <w:pStyle w:val="Tbla-jobb"/>
            </w:pPr>
            <w:r w:rsidRPr="00831A61">
              <w:t xml:space="preserve">115 </w:t>
            </w:r>
          </w:p>
          <w:p w:rsidR="00CF7C1C" w:rsidRPr="00831A61" w:rsidRDefault="00CF7C1C" w:rsidP="0058781B">
            <w:pPr>
              <w:pStyle w:val="Tbla-jobb"/>
            </w:pPr>
            <w:r w:rsidRPr="00831A61">
              <w:t>NA</w:t>
            </w:r>
          </w:p>
        </w:tc>
      </w:tr>
      <w:tr w:rsidR="00CF7C1C" w:rsidRPr="00E1404B" w:rsidTr="00CF7C1C">
        <w:trPr>
          <w:jc w:val="center"/>
        </w:trPr>
        <w:tc>
          <w:tcPr>
            <w:tcW w:w="394" w:type="dxa"/>
            <w:vMerge/>
            <w:tcBorders>
              <w:left w:val="single" w:sz="4" w:space="0" w:color="000000"/>
              <w:bottom w:val="single" w:sz="4" w:space="0" w:color="auto"/>
              <w:right w:val="single" w:sz="4" w:space="0" w:color="auto"/>
            </w:tcBorders>
          </w:tcPr>
          <w:p w:rsidR="00CF7C1C" w:rsidRPr="00E1404B" w:rsidRDefault="00CF7C1C" w:rsidP="0058781B">
            <w:pPr>
              <w:pStyle w:val="Normltblzatban"/>
              <w:rPr>
                <w:b/>
                <w:bCs/>
                <w:sz w:val="20"/>
                <w:szCs w:val="20"/>
                <w:lang w:bidi="sa-IN"/>
              </w:rPr>
            </w:pPr>
          </w:p>
        </w:tc>
        <w:tc>
          <w:tcPr>
            <w:tcW w:w="6019" w:type="dxa"/>
            <w:tcBorders>
              <w:top w:val="single" w:sz="4" w:space="0" w:color="auto"/>
              <w:left w:val="single" w:sz="4" w:space="0" w:color="auto"/>
              <w:bottom w:val="single" w:sz="4" w:space="0" w:color="auto"/>
              <w:right w:val="single" w:sz="4" w:space="0" w:color="auto"/>
            </w:tcBorders>
          </w:tcPr>
          <w:p w:rsidR="00CF7C1C" w:rsidRPr="00831A61" w:rsidRDefault="00CF7C1C" w:rsidP="0058781B">
            <w:pPr>
              <w:pStyle w:val="Normltblzatban"/>
              <w:rPr>
                <w:b/>
                <w:bCs/>
                <w:sz w:val="20"/>
                <w:szCs w:val="20"/>
                <w:lang w:bidi="sa-IN"/>
              </w:rPr>
            </w:pPr>
            <w:r w:rsidRPr="00831A61">
              <w:rPr>
                <w:b/>
                <w:bCs/>
                <w:sz w:val="20"/>
                <w:szCs w:val="20"/>
                <w:lang w:bidi="sa-IN"/>
              </w:rPr>
              <w:t>A beruházások teljes összege</w:t>
            </w:r>
          </w:p>
          <w:p w:rsidR="00CF7C1C" w:rsidRPr="00831A61" w:rsidRDefault="00CF7C1C" w:rsidP="0058781B">
            <w:pPr>
              <w:pStyle w:val="Normltblzatban"/>
              <w:rPr>
                <w:sz w:val="20"/>
                <w:szCs w:val="20"/>
                <w:lang w:bidi="sa-IN"/>
              </w:rPr>
            </w:pPr>
            <w:r w:rsidRPr="00831A61">
              <w:rPr>
                <w:sz w:val="20"/>
                <w:szCs w:val="20"/>
                <w:lang w:bidi="sa-IN"/>
              </w:rPr>
              <w:t xml:space="preserve">A beruházás típusa: </w:t>
            </w:r>
          </w:p>
          <w:p w:rsidR="00CF7C1C" w:rsidRPr="00831A61" w:rsidRDefault="00CF7C1C" w:rsidP="0058781B">
            <w:pPr>
              <w:rPr>
                <w:sz w:val="20"/>
                <w:szCs w:val="20"/>
                <w:lang w:val="en-GB" w:bidi="sa-IN"/>
              </w:rPr>
            </w:pPr>
            <w:r w:rsidRPr="00831A61">
              <w:rPr>
                <w:sz w:val="20"/>
                <w:szCs w:val="20"/>
                <w:lang w:bidi="sa-IN"/>
              </w:rPr>
              <w:t xml:space="preserve">- Amihez a </w:t>
            </w:r>
            <w:r w:rsidRPr="00831A61">
              <w:rPr>
                <w:sz w:val="20"/>
                <w:szCs w:val="20"/>
              </w:rPr>
              <w:t>beruházások</w:t>
            </w:r>
            <w:r w:rsidRPr="00831A61">
              <w:rPr>
                <w:sz w:val="20"/>
                <w:szCs w:val="20"/>
                <w:lang w:bidi="sa-IN"/>
              </w:rPr>
              <w:t xml:space="preserve"> kapcsolódnak:</w:t>
            </w:r>
            <w:r w:rsidRPr="00831A61">
              <w:rPr>
                <w:sz w:val="20"/>
                <w:szCs w:val="20"/>
                <w:lang w:val="en-GB" w:bidi="sa-IN"/>
              </w:rPr>
              <w:t xml:space="preserve"> </w:t>
            </w:r>
          </w:p>
          <w:p w:rsidR="00CF7C1C" w:rsidRPr="00831A61" w:rsidRDefault="00CF7C1C" w:rsidP="0058781B">
            <w:pPr>
              <w:rPr>
                <w:sz w:val="20"/>
                <w:szCs w:val="20"/>
              </w:rPr>
            </w:pPr>
            <w:r w:rsidRPr="00831A61">
              <w:rPr>
                <w:sz w:val="20"/>
                <w:szCs w:val="20"/>
                <w:lang w:bidi="sa-IN"/>
              </w:rPr>
              <w:t xml:space="preserve">A 36. cikk b) </w:t>
            </w:r>
            <w:r w:rsidRPr="00831A61">
              <w:rPr>
                <w:sz w:val="20"/>
                <w:szCs w:val="20"/>
              </w:rPr>
              <w:t>pontjának iv. alpontjában előírt intézkedés alapján vállalt kötelezettség teljesítése</w:t>
            </w:r>
          </w:p>
          <w:p w:rsidR="00CF7C1C" w:rsidRPr="00831A61" w:rsidRDefault="00CF7C1C" w:rsidP="0058781B">
            <w:pPr>
              <w:rPr>
                <w:sz w:val="20"/>
                <w:szCs w:val="20"/>
                <w:lang w:val="en-GB" w:bidi="sa-IN"/>
              </w:rPr>
            </w:pPr>
            <w:r w:rsidRPr="00831A61">
              <w:rPr>
                <w:sz w:val="20"/>
                <w:szCs w:val="20"/>
              </w:rPr>
              <w:t>Egyéb környezetvédelmi</w:t>
            </w:r>
            <w:r w:rsidRPr="00831A61">
              <w:rPr>
                <w:sz w:val="20"/>
                <w:szCs w:val="20"/>
                <w:lang w:bidi="sa-IN"/>
              </w:rPr>
              <w:t xml:space="preserve"> célkitűzések</w:t>
            </w:r>
            <w:r w:rsidRPr="00831A61">
              <w:rPr>
                <w:sz w:val="20"/>
                <w:szCs w:val="20"/>
                <w:lang w:val="en-GB" w:bidi="sa-IN"/>
              </w:rPr>
              <w:t xml:space="preserve"> </w:t>
            </w:r>
          </w:p>
          <w:p w:rsidR="00CF7C1C" w:rsidRPr="00831A61" w:rsidRDefault="00CF7C1C" w:rsidP="0058781B">
            <w:pPr>
              <w:rPr>
                <w:sz w:val="20"/>
                <w:szCs w:val="20"/>
                <w:lang w:bidi="sa-IN"/>
              </w:rPr>
            </w:pPr>
            <w:r w:rsidRPr="00831A61">
              <w:rPr>
                <w:sz w:val="20"/>
                <w:szCs w:val="20"/>
                <w:lang w:bidi="sa-IN"/>
              </w:rPr>
              <w:t>- Az erdő és fás terület értékét a nagyközönség kényelme szempontjából fokozó beruházások az érintett területen</w:t>
            </w:r>
          </w:p>
        </w:tc>
        <w:tc>
          <w:tcPr>
            <w:tcW w:w="1820" w:type="dxa"/>
            <w:tcBorders>
              <w:top w:val="single" w:sz="4" w:space="0" w:color="auto"/>
              <w:left w:val="single" w:sz="4" w:space="0" w:color="auto"/>
              <w:bottom w:val="single" w:sz="4" w:space="0" w:color="auto"/>
              <w:right w:val="single" w:sz="4" w:space="0" w:color="auto"/>
            </w:tcBorders>
          </w:tcPr>
          <w:p w:rsidR="00CF7C1C" w:rsidRPr="00831A61" w:rsidRDefault="00CF7C1C" w:rsidP="0058781B">
            <w:pPr>
              <w:pStyle w:val="Tbla-jobb"/>
            </w:pPr>
            <w:r w:rsidRPr="00831A61">
              <w:t>45,9 millió euró</w:t>
            </w:r>
          </w:p>
          <w:p w:rsidR="00CF7C1C" w:rsidRPr="00831A61" w:rsidRDefault="00CF7C1C" w:rsidP="0058781B">
            <w:pPr>
              <w:pStyle w:val="Tbla-jobb"/>
            </w:pPr>
          </w:p>
          <w:p w:rsidR="00CF7C1C" w:rsidRPr="00831A61" w:rsidRDefault="00CF7C1C" w:rsidP="0058781B">
            <w:pPr>
              <w:pStyle w:val="Tbla-jobb"/>
            </w:pPr>
          </w:p>
          <w:p w:rsidR="00CF7C1C" w:rsidRPr="00831A61" w:rsidRDefault="00CF7C1C" w:rsidP="0058781B">
            <w:pPr>
              <w:pStyle w:val="Tbla-jobb"/>
            </w:pPr>
            <w:r w:rsidRPr="00831A61">
              <w:t>34,4 millió euró</w:t>
            </w:r>
          </w:p>
          <w:p w:rsidR="00CF7C1C" w:rsidRPr="00831A61" w:rsidRDefault="00CF7C1C" w:rsidP="0058781B">
            <w:pPr>
              <w:pStyle w:val="Tbla-jobb"/>
            </w:pPr>
          </w:p>
          <w:p w:rsidR="00CF7C1C" w:rsidRPr="00831A61" w:rsidRDefault="00CF7C1C" w:rsidP="0058781B">
            <w:pPr>
              <w:pStyle w:val="Tbla-jobb"/>
            </w:pPr>
            <w:r w:rsidRPr="00831A61">
              <w:t>5,0 millió euró</w:t>
            </w:r>
          </w:p>
          <w:p w:rsidR="00CF7C1C" w:rsidRPr="00831A61" w:rsidRDefault="00CF7C1C" w:rsidP="0058781B">
            <w:pPr>
              <w:pStyle w:val="Tbla-jobb"/>
            </w:pPr>
          </w:p>
          <w:p w:rsidR="00CF7C1C" w:rsidRPr="00831A61" w:rsidRDefault="00CF7C1C" w:rsidP="0058781B">
            <w:pPr>
              <w:pStyle w:val="Tbla-jobb"/>
            </w:pPr>
            <w:r w:rsidRPr="00831A61">
              <w:t>6,5 millió euró</w:t>
            </w:r>
          </w:p>
        </w:tc>
        <w:tc>
          <w:tcPr>
            <w:tcW w:w="1588" w:type="dxa"/>
            <w:tcBorders>
              <w:top w:val="single" w:sz="4" w:space="0" w:color="auto"/>
              <w:left w:val="single" w:sz="4" w:space="0" w:color="auto"/>
              <w:bottom w:val="single" w:sz="4" w:space="0" w:color="auto"/>
              <w:right w:val="single" w:sz="4" w:space="0" w:color="auto"/>
            </w:tcBorders>
          </w:tcPr>
          <w:p w:rsidR="00CF7C1C" w:rsidRPr="00831A61" w:rsidRDefault="00CF7C1C" w:rsidP="0058781B">
            <w:pPr>
              <w:pStyle w:val="Tbla-jobb"/>
            </w:pPr>
            <w:r w:rsidRPr="00831A61">
              <w:t>3,57 millió</w:t>
            </w:r>
          </w:p>
          <w:p w:rsidR="00CF7C1C" w:rsidRPr="00831A61" w:rsidRDefault="00CF7C1C" w:rsidP="0058781B">
            <w:pPr>
              <w:pStyle w:val="Tbla-jobb"/>
            </w:pPr>
          </w:p>
          <w:p w:rsidR="00CF7C1C" w:rsidRPr="00831A61" w:rsidRDefault="00CF7C1C" w:rsidP="0058781B">
            <w:pPr>
              <w:pStyle w:val="Tbla-jobb"/>
            </w:pPr>
          </w:p>
          <w:p w:rsidR="00CF7C1C" w:rsidRPr="00831A61" w:rsidRDefault="00CF7C1C" w:rsidP="0058781B">
            <w:pPr>
              <w:pStyle w:val="Tbla-jobb"/>
            </w:pPr>
            <w:r w:rsidRPr="00831A61">
              <w:t>NA</w:t>
            </w:r>
          </w:p>
          <w:p w:rsidR="00CF7C1C" w:rsidRPr="00831A61" w:rsidRDefault="00CF7C1C" w:rsidP="0058781B">
            <w:pPr>
              <w:pStyle w:val="Tbla-jobb"/>
            </w:pPr>
          </w:p>
          <w:p w:rsidR="00CF7C1C" w:rsidRPr="00831A61" w:rsidRDefault="00CF7C1C" w:rsidP="0058781B">
            <w:pPr>
              <w:pStyle w:val="Tbla-jobb"/>
            </w:pPr>
            <w:r w:rsidRPr="00831A61">
              <w:t>3,57 millió</w:t>
            </w:r>
          </w:p>
          <w:p w:rsidR="00CF7C1C" w:rsidRPr="00831A61" w:rsidRDefault="00CF7C1C" w:rsidP="0058781B">
            <w:pPr>
              <w:pStyle w:val="Tbla-jobb"/>
            </w:pPr>
          </w:p>
          <w:p w:rsidR="00CF7C1C" w:rsidRPr="00831A61" w:rsidRDefault="00CF7C1C" w:rsidP="0058781B">
            <w:pPr>
              <w:pStyle w:val="Tbla-jobb"/>
            </w:pPr>
            <w:r w:rsidRPr="00831A61">
              <w:t>NA</w:t>
            </w:r>
          </w:p>
        </w:tc>
      </w:tr>
      <w:tr w:rsidR="00CF7C1C" w:rsidRPr="00831A61" w:rsidTr="00CF7C1C">
        <w:trPr>
          <w:jc w:val="center"/>
        </w:trPr>
        <w:tc>
          <w:tcPr>
            <w:tcW w:w="394" w:type="dxa"/>
            <w:tcBorders>
              <w:top w:val="single" w:sz="4" w:space="0" w:color="auto"/>
              <w:left w:val="single" w:sz="4" w:space="0" w:color="000000"/>
              <w:bottom w:val="single" w:sz="4" w:space="0" w:color="auto"/>
            </w:tcBorders>
          </w:tcPr>
          <w:p w:rsidR="00CF7C1C" w:rsidRPr="00E1404B" w:rsidRDefault="00CF7C1C" w:rsidP="0058781B">
            <w:pPr>
              <w:pStyle w:val="Normltblzatban"/>
              <w:rPr>
                <w:b/>
                <w:bCs/>
                <w:sz w:val="20"/>
                <w:szCs w:val="20"/>
                <w:lang w:bidi="sa-IN"/>
              </w:rPr>
            </w:pPr>
            <w:r w:rsidRPr="00E1404B">
              <w:rPr>
                <w:b/>
                <w:bCs/>
                <w:sz w:val="20"/>
                <w:szCs w:val="20"/>
                <w:lang w:bidi="sa-IN"/>
              </w:rPr>
              <w:t>R</w:t>
            </w:r>
          </w:p>
        </w:tc>
        <w:tc>
          <w:tcPr>
            <w:tcW w:w="6019" w:type="dxa"/>
            <w:tcBorders>
              <w:top w:val="single" w:sz="4" w:space="0" w:color="auto"/>
              <w:left w:val="single" w:sz="4" w:space="0" w:color="000000"/>
              <w:bottom w:val="single" w:sz="4" w:space="0" w:color="000000"/>
            </w:tcBorders>
          </w:tcPr>
          <w:p w:rsidR="00CF7C1C" w:rsidRPr="00831A61" w:rsidRDefault="00CF7C1C" w:rsidP="0058781B">
            <w:pPr>
              <w:pStyle w:val="Normltblzatban"/>
              <w:rPr>
                <w:b/>
                <w:bCs/>
                <w:sz w:val="20"/>
                <w:szCs w:val="20"/>
                <w:lang w:bidi="sa-IN"/>
              </w:rPr>
            </w:pPr>
            <w:r w:rsidRPr="00831A61">
              <w:rPr>
                <w:b/>
                <w:bCs/>
                <w:sz w:val="20"/>
                <w:szCs w:val="20"/>
                <w:lang w:bidi="sa-IN"/>
              </w:rPr>
              <w:t>Az erdőgazdálkodásba ténylegesen bevont terület</w:t>
            </w:r>
          </w:p>
          <w:p w:rsidR="00CF7C1C" w:rsidRPr="00831A61" w:rsidRDefault="00CF7C1C" w:rsidP="0058781B">
            <w:pPr>
              <w:rPr>
                <w:sz w:val="20"/>
                <w:szCs w:val="20"/>
                <w:lang w:bidi="sa-IN"/>
              </w:rPr>
            </w:pPr>
            <w:r w:rsidRPr="00831A61">
              <w:rPr>
                <w:sz w:val="20"/>
                <w:szCs w:val="20"/>
                <w:lang w:bidi="sa-IN"/>
              </w:rPr>
              <w:t>Intézkedés</w:t>
            </w:r>
          </w:p>
          <w:p w:rsidR="00CF7C1C" w:rsidRPr="00831A61" w:rsidRDefault="00CF7C1C" w:rsidP="0058781B">
            <w:pPr>
              <w:rPr>
                <w:sz w:val="20"/>
                <w:szCs w:val="20"/>
                <w:lang w:val="en-GB" w:bidi="sa-IN"/>
              </w:rPr>
            </w:pPr>
            <w:r w:rsidRPr="00831A61">
              <w:rPr>
                <w:sz w:val="20"/>
                <w:szCs w:val="20"/>
                <w:lang w:bidi="sa-IN"/>
              </w:rPr>
              <w:lastRenderedPageBreak/>
              <w:t>A hozzájárulás típusa</w:t>
            </w:r>
            <w:r w:rsidRPr="00831A61">
              <w:rPr>
                <w:sz w:val="20"/>
                <w:szCs w:val="20"/>
                <w:lang w:val="en-GB" w:bidi="sa-IN"/>
              </w:rPr>
              <w:t xml:space="preserve"> </w:t>
            </w:r>
          </w:p>
          <w:p w:rsidR="00CF7C1C" w:rsidRPr="00831A61" w:rsidRDefault="00CF7C1C" w:rsidP="0058781B">
            <w:pPr>
              <w:rPr>
                <w:sz w:val="20"/>
                <w:szCs w:val="20"/>
              </w:rPr>
            </w:pPr>
            <w:r w:rsidRPr="00831A61">
              <w:rPr>
                <w:sz w:val="20"/>
                <w:szCs w:val="20"/>
                <w:lang w:bidi="sa-IN"/>
              </w:rPr>
              <w:t xml:space="preserve">A </w:t>
            </w:r>
            <w:r w:rsidRPr="00831A61">
              <w:rPr>
                <w:sz w:val="20"/>
                <w:szCs w:val="20"/>
              </w:rPr>
              <w:t>biodiverzitás növelése</w:t>
            </w:r>
          </w:p>
          <w:p w:rsidR="00CF7C1C" w:rsidRPr="00831A61" w:rsidRDefault="00CF7C1C" w:rsidP="0058781B">
            <w:pPr>
              <w:rPr>
                <w:sz w:val="20"/>
                <w:szCs w:val="20"/>
              </w:rPr>
            </w:pPr>
            <w:r w:rsidRPr="00831A61">
              <w:rPr>
                <w:sz w:val="20"/>
                <w:szCs w:val="20"/>
              </w:rPr>
              <w:t>A vízminőség javítása</w:t>
            </w:r>
          </w:p>
          <w:p w:rsidR="00CF7C1C" w:rsidRPr="00831A61" w:rsidRDefault="00CF7C1C" w:rsidP="0058781B">
            <w:pPr>
              <w:rPr>
                <w:sz w:val="20"/>
                <w:szCs w:val="20"/>
              </w:rPr>
            </w:pPr>
            <w:r w:rsidRPr="00831A61">
              <w:rPr>
                <w:sz w:val="20"/>
                <w:szCs w:val="20"/>
              </w:rPr>
              <w:t>A klímaváltozás mérséklése</w:t>
            </w:r>
          </w:p>
          <w:p w:rsidR="00CF7C1C" w:rsidRPr="00831A61" w:rsidRDefault="00CF7C1C" w:rsidP="0058781B">
            <w:pPr>
              <w:rPr>
                <w:sz w:val="20"/>
                <w:szCs w:val="20"/>
              </w:rPr>
            </w:pPr>
            <w:r w:rsidRPr="00831A61">
              <w:rPr>
                <w:sz w:val="20"/>
                <w:szCs w:val="20"/>
              </w:rPr>
              <w:t xml:space="preserve">A talajminőség javítása </w:t>
            </w:r>
          </w:p>
          <w:p w:rsidR="00CF7C1C" w:rsidRPr="00831A61" w:rsidRDefault="00CF7C1C" w:rsidP="0058781B">
            <w:pPr>
              <w:rPr>
                <w:sz w:val="20"/>
                <w:szCs w:val="20"/>
                <w:lang w:bidi="sa-IN"/>
              </w:rPr>
            </w:pPr>
            <w:r w:rsidRPr="00831A61">
              <w:rPr>
                <w:sz w:val="20"/>
                <w:szCs w:val="20"/>
              </w:rPr>
              <w:t>A marginalizálódás</w:t>
            </w:r>
            <w:r w:rsidRPr="00831A61">
              <w:rPr>
                <w:sz w:val="20"/>
                <w:szCs w:val="20"/>
                <w:lang w:bidi="sa-IN"/>
              </w:rPr>
              <w:t xml:space="preserve"> és a föld felhagyásának elkerülése</w:t>
            </w:r>
          </w:p>
        </w:tc>
        <w:tc>
          <w:tcPr>
            <w:tcW w:w="1820" w:type="dxa"/>
            <w:tcBorders>
              <w:top w:val="single" w:sz="4" w:space="0" w:color="auto"/>
              <w:left w:val="single" w:sz="4" w:space="0" w:color="000000"/>
              <w:bottom w:val="single" w:sz="4" w:space="0" w:color="000000"/>
              <w:right w:val="single" w:sz="4" w:space="0" w:color="000000"/>
            </w:tcBorders>
          </w:tcPr>
          <w:p w:rsidR="00CF7C1C" w:rsidRPr="00831A61" w:rsidRDefault="00CF7C1C" w:rsidP="0058781B">
            <w:pPr>
              <w:pStyle w:val="Tbla-jobb"/>
            </w:pPr>
            <w:r w:rsidRPr="00831A61">
              <w:lastRenderedPageBreak/>
              <w:t>33 000 ha</w:t>
            </w:r>
          </w:p>
          <w:p w:rsidR="00CF7C1C" w:rsidRPr="00831A61" w:rsidRDefault="00CF7C1C" w:rsidP="0058781B">
            <w:pPr>
              <w:pStyle w:val="Tbla-jobb"/>
            </w:pPr>
          </w:p>
          <w:p w:rsidR="00CF7C1C" w:rsidRPr="00831A61" w:rsidRDefault="00CF7C1C" w:rsidP="0058781B">
            <w:pPr>
              <w:pStyle w:val="Tbla-jobb"/>
            </w:pPr>
          </w:p>
          <w:p w:rsidR="00CF7C1C" w:rsidRPr="00831A61" w:rsidRDefault="00CF7C1C" w:rsidP="0058781B">
            <w:pPr>
              <w:pStyle w:val="Tbla-jobb"/>
            </w:pPr>
            <w:r w:rsidRPr="00831A61">
              <w:lastRenderedPageBreak/>
              <w:t>Közvetlen, pozitív</w:t>
            </w:r>
          </w:p>
          <w:p w:rsidR="00CF7C1C" w:rsidRPr="00831A61" w:rsidRDefault="00CF7C1C" w:rsidP="0058781B">
            <w:pPr>
              <w:pStyle w:val="Tbla-jobb"/>
            </w:pPr>
            <w:r w:rsidRPr="00831A61">
              <w:t>Közvetlen, pozitív</w:t>
            </w:r>
          </w:p>
          <w:p w:rsidR="00CF7C1C" w:rsidRPr="00831A61" w:rsidRDefault="00CF7C1C" w:rsidP="0058781B">
            <w:pPr>
              <w:pStyle w:val="Tbla-jobb"/>
            </w:pPr>
            <w:r w:rsidRPr="00831A61">
              <w:t>Közvetlen, pozitív</w:t>
            </w:r>
          </w:p>
          <w:p w:rsidR="00CF7C1C" w:rsidRPr="00831A61" w:rsidRDefault="00CF7C1C" w:rsidP="0058781B">
            <w:pPr>
              <w:pStyle w:val="Tbla-jobb"/>
            </w:pPr>
            <w:r w:rsidRPr="00831A61">
              <w:t>Közvetlen, pozitív</w:t>
            </w:r>
          </w:p>
          <w:p w:rsidR="00CF7C1C" w:rsidRPr="00831A61" w:rsidRDefault="00CF7C1C" w:rsidP="0058781B">
            <w:pPr>
              <w:pStyle w:val="Tbla-jobb"/>
            </w:pPr>
            <w:r w:rsidRPr="00831A61">
              <w:t>Közvetlen, pozitív</w:t>
            </w:r>
          </w:p>
        </w:tc>
        <w:tc>
          <w:tcPr>
            <w:tcW w:w="1588" w:type="dxa"/>
            <w:tcBorders>
              <w:top w:val="single" w:sz="4" w:space="0" w:color="auto"/>
              <w:left w:val="single" w:sz="4" w:space="0" w:color="000000"/>
              <w:bottom w:val="single" w:sz="4" w:space="0" w:color="000000"/>
              <w:right w:val="single" w:sz="4" w:space="0" w:color="000000"/>
            </w:tcBorders>
            <w:shd w:val="clear" w:color="auto" w:fill="auto"/>
          </w:tcPr>
          <w:p w:rsidR="00CF7C1C" w:rsidRPr="00831A61" w:rsidRDefault="00CF7C1C" w:rsidP="0058781B">
            <w:pPr>
              <w:pStyle w:val="Tbla-jobb"/>
            </w:pPr>
            <w:r w:rsidRPr="00831A61">
              <w:lastRenderedPageBreak/>
              <w:t>NA</w:t>
            </w:r>
          </w:p>
          <w:p w:rsidR="00CF7C1C" w:rsidRPr="00831A61" w:rsidRDefault="00CF7C1C" w:rsidP="0058781B">
            <w:pPr>
              <w:pStyle w:val="Tbla-jobb"/>
            </w:pPr>
          </w:p>
          <w:p w:rsidR="00CF7C1C" w:rsidRPr="00831A61" w:rsidRDefault="00CF7C1C" w:rsidP="0058781B">
            <w:pPr>
              <w:pStyle w:val="Tbla-jobb"/>
            </w:pPr>
          </w:p>
          <w:p w:rsidR="00CF7C1C" w:rsidRPr="00831A61" w:rsidRDefault="00CF7C1C" w:rsidP="0058781B">
            <w:pPr>
              <w:pStyle w:val="Tbla-jobb"/>
            </w:pPr>
            <w:r w:rsidRPr="00831A61">
              <w:lastRenderedPageBreak/>
              <w:t>NA</w:t>
            </w:r>
          </w:p>
          <w:p w:rsidR="00CF7C1C" w:rsidRPr="00831A61" w:rsidRDefault="00CF7C1C" w:rsidP="0058781B">
            <w:pPr>
              <w:pStyle w:val="Tbla-jobb"/>
            </w:pPr>
            <w:r w:rsidRPr="00831A61">
              <w:t>NA</w:t>
            </w:r>
            <w:r w:rsidRPr="00831A61">
              <w:br/>
              <w:t>NA</w:t>
            </w:r>
          </w:p>
          <w:p w:rsidR="00CF7C1C" w:rsidRPr="00831A61" w:rsidRDefault="00CF7C1C" w:rsidP="0058781B">
            <w:pPr>
              <w:pStyle w:val="Tbla-jobb"/>
            </w:pPr>
            <w:r w:rsidRPr="00831A61">
              <w:t>NA</w:t>
            </w:r>
          </w:p>
          <w:p w:rsidR="00CF7C1C" w:rsidRPr="00831A61" w:rsidRDefault="00CF7C1C" w:rsidP="0058781B">
            <w:pPr>
              <w:pStyle w:val="Tbla-jobb"/>
            </w:pPr>
            <w:r w:rsidRPr="00831A61">
              <w:t>NA</w:t>
            </w:r>
          </w:p>
        </w:tc>
      </w:tr>
      <w:tr w:rsidR="00CF7C1C" w:rsidRPr="00831A61" w:rsidTr="00CF7C1C">
        <w:trPr>
          <w:jc w:val="center"/>
        </w:trPr>
        <w:tc>
          <w:tcPr>
            <w:tcW w:w="394" w:type="dxa"/>
            <w:vMerge w:val="restart"/>
            <w:tcBorders>
              <w:top w:val="single" w:sz="4" w:space="0" w:color="auto"/>
              <w:left w:val="single" w:sz="4" w:space="0" w:color="auto"/>
              <w:bottom w:val="single" w:sz="4" w:space="0" w:color="auto"/>
              <w:right w:val="single" w:sz="4" w:space="0" w:color="auto"/>
            </w:tcBorders>
          </w:tcPr>
          <w:p w:rsidR="00CF7C1C" w:rsidRPr="00E1404B" w:rsidRDefault="00CF7C1C" w:rsidP="0058781B">
            <w:pPr>
              <w:pStyle w:val="Normltblzatban"/>
              <w:rPr>
                <w:b/>
                <w:bCs/>
                <w:sz w:val="20"/>
                <w:szCs w:val="20"/>
                <w:lang w:bidi="sa-IN"/>
              </w:rPr>
            </w:pPr>
            <w:r w:rsidRPr="00E1404B">
              <w:rPr>
                <w:b/>
                <w:bCs/>
                <w:sz w:val="20"/>
                <w:szCs w:val="20"/>
                <w:lang w:bidi="sa-IN"/>
              </w:rPr>
              <w:lastRenderedPageBreak/>
              <w:t>I</w:t>
            </w:r>
          </w:p>
        </w:tc>
        <w:tc>
          <w:tcPr>
            <w:tcW w:w="6019" w:type="dxa"/>
            <w:tcBorders>
              <w:left w:val="single" w:sz="4" w:space="0" w:color="auto"/>
              <w:bottom w:val="single" w:sz="4" w:space="0" w:color="000000"/>
            </w:tcBorders>
          </w:tcPr>
          <w:p w:rsidR="00CF7C1C" w:rsidRPr="00831A61" w:rsidRDefault="00CF7C1C" w:rsidP="0058781B">
            <w:pPr>
              <w:pStyle w:val="Normltblzatban"/>
              <w:rPr>
                <w:b/>
                <w:bCs/>
                <w:sz w:val="20"/>
                <w:szCs w:val="20"/>
                <w:lang w:bidi="sa-IN"/>
              </w:rPr>
            </w:pPr>
            <w:r w:rsidRPr="00831A61">
              <w:rPr>
                <w:b/>
                <w:bCs/>
                <w:sz w:val="20"/>
                <w:szCs w:val="20"/>
                <w:lang w:bidi="sa-IN"/>
              </w:rPr>
              <w:t>Magas természeti értékű területek növekedése</w:t>
            </w:r>
          </w:p>
        </w:tc>
        <w:tc>
          <w:tcPr>
            <w:tcW w:w="1820" w:type="dxa"/>
            <w:tcBorders>
              <w:left w:val="single" w:sz="4" w:space="0" w:color="000000"/>
              <w:bottom w:val="single" w:sz="4" w:space="0" w:color="000000"/>
              <w:right w:val="single" w:sz="4" w:space="0" w:color="000000"/>
            </w:tcBorders>
            <w:vAlign w:val="center"/>
          </w:tcPr>
          <w:p w:rsidR="00CF7C1C" w:rsidRPr="00831A61" w:rsidRDefault="00CF7C1C" w:rsidP="0058781B">
            <w:pPr>
              <w:pStyle w:val="Tbla-jobb"/>
            </w:pPr>
            <w:r w:rsidRPr="00831A61">
              <w:t>33 000 ha</w:t>
            </w:r>
          </w:p>
        </w:tc>
        <w:tc>
          <w:tcPr>
            <w:tcW w:w="1588" w:type="dxa"/>
            <w:tcBorders>
              <w:left w:val="single" w:sz="4" w:space="0" w:color="000000"/>
              <w:bottom w:val="single" w:sz="4" w:space="0" w:color="000000"/>
              <w:right w:val="single" w:sz="4" w:space="0" w:color="000000"/>
            </w:tcBorders>
            <w:shd w:val="clear" w:color="auto" w:fill="auto"/>
          </w:tcPr>
          <w:p w:rsidR="00CF7C1C" w:rsidRPr="00831A61" w:rsidRDefault="00CF7C1C" w:rsidP="0058781B">
            <w:pPr>
              <w:pStyle w:val="Tbla-jobb"/>
            </w:pPr>
            <w:r w:rsidRPr="00831A61">
              <w:t>-</w:t>
            </w:r>
          </w:p>
        </w:tc>
      </w:tr>
      <w:tr w:rsidR="00CF7C1C" w:rsidRPr="00831A61" w:rsidTr="00CF7C1C">
        <w:trPr>
          <w:jc w:val="center"/>
        </w:trPr>
        <w:tc>
          <w:tcPr>
            <w:tcW w:w="394" w:type="dxa"/>
            <w:vMerge/>
            <w:tcBorders>
              <w:left w:val="single" w:sz="4" w:space="0" w:color="auto"/>
              <w:bottom w:val="single" w:sz="4" w:space="0" w:color="auto"/>
              <w:right w:val="single" w:sz="4" w:space="0" w:color="auto"/>
            </w:tcBorders>
          </w:tcPr>
          <w:p w:rsidR="00CF7C1C" w:rsidRPr="00E1404B" w:rsidRDefault="00CF7C1C" w:rsidP="0058781B">
            <w:pPr>
              <w:pStyle w:val="Normltblzatban"/>
              <w:rPr>
                <w:b/>
                <w:bCs/>
                <w:sz w:val="20"/>
                <w:szCs w:val="20"/>
                <w:lang w:bidi="sa-IN"/>
              </w:rPr>
            </w:pPr>
          </w:p>
        </w:tc>
        <w:tc>
          <w:tcPr>
            <w:tcW w:w="6019" w:type="dxa"/>
            <w:tcBorders>
              <w:left w:val="single" w:sz="4" w:space="0" w:color="auto"/>
              <w:bottom w:val="single" w:sz="4" w:space="0" w:color="000000"/>
            </w:tcBorders>
          </w:tcPr>
          <w:p w:rsidR="00CF7C1C" w:rsidRPr="00831A61" w:rsidRDefault="00CF7C1C" w:rsidP="0058781B">
            <w:pPr>
              <w:pStyle w:val="Normltblzatban"/>
              <w:rPr>
                <w:b/>
                <w:bCs/>
                <w:sz w:val="20"/>
                <w:szCs w:val="20"/>
                <w:lang w:bidi="sa-IN"/>
              </w:rPr>
            </w:pPr>
            <w:r w:rsidRPr="00831A61">
              <w:rPr>
                <w:b/>
                <w:bCs/>
                <w:sz w:val="20"/>
                <w:szCs w:val="20"/>
                <w:lang w:bidi="sa-IN"/>
              </w:rPr>
              <w:t>Bruttó tápanyagmérleg (nitrogéntöbblet) változása</w:t>
            </w:r>
          </w:p>
        </w:tc>
        <w:tc>
          <w:tcPr>
            <w:tcW w:w="1820" w:type="dxa"/>
            <w:tcBorders>
              <w:left w:val="single" w:sz="4" w:space="0" w:color="000000"/>
              <w:bottom w:val="single" w:sz="4" w:space="0" w:color="000000"/>
              <w:right w:val="single" w:sz="4" w:space="0" w:color="000000"/>
            </w:tcBorders>
            <w:vAlign w:val="center"/>
          </w:tcPr>
          <w:p w:rsidR="00CF7C1C" w:rsidRPr="00831A61" w:rsidRDefault="00CF7C1C" w:rsidP="0058781B">
            <w:pPr>
              <w:pStyle w:val="Tbla-jobb"/>
            </w:pPr>
            <w:r w:rsidRPr="00831A61">
              <w:t>0 kT</w:t>
            </w:r>
          </w:p>
        </w:tc>
        <w:tc>
          <w:tcPr>
            <w:tcW w:w="1588" w:type="dxa"/>
            <w:tcBorders>
              <w:left w:val="single" w:sz="4" w:space="0" w:color="000000"/>
              <w:bottom w:val="single" w:sz="4" w:space="0" w:color="000000"/>
              <w:right w:val="single" w:sz="4" w:space="0" w:color="000000"/>
            </w:tcBorders>
            <w:shd w:val="clear" w:color="auto" w:fill="auto"/>
          </w:tcPr>
          <w:p w:rsidR="00CF7C1C" w:rsidRPr="00831A61" w:rsidRDefault="00CF7C1C" w:rsidP="0058781B">
            <w:pPr>
              <w:pStyle w:val="Tbla-jobb"/>
            </w:pPr>
            <w:r w:rsidRPr="00831A61">
              <w:t>-</w:t>
            </w:r>
          </w:p>
        </w:tc>
      </w:tr>
      <w:tr w:rsidR="00CF7C1C" w:rsidRPr="00831A61" w:rsidTr="00CF7C1C">
        <w:trPr>
          <w:jc w:val="center"/>
        </w:trPr>
        <w:tc>
          <w:tcPr>
            <w:tcW w:w="394" w:type="dxa"/>
            <w:vMerge/>
            <w:tcBorders>
              <w:left w:val="single" w:sz="4" w:space="0" w:color="auto"/>
              <w:bottom w:val="single" w:sz="4" w:space="0" w:color="auto"/>
              <w:right w:val="single" w:sz="4" w:space="0" w:color="auto"/>
            </w:tcBorders>
          </w:tcPr>
          <w:p w:rsidR="00CF7C1C" w:rsidRPr="00E1404B" w:rsidRDefault="00CF7C1C" w:rsidP="0058781B">
            <w:pPr>
              <w:pStyle w:val="Normltblzatban"/>
              <w:rPr>
                <w:b/>
                <w:bCs/>
                <w:sz w:val="20"/>
                <w:szCs w:val="20"/>
                <w:lang w:bidi="sa-IN"/>
              </w:rPr>
            </w:pPr>
          </w:p>
        </w:tc>
        <w:tc>
          <w:tcPr>
            <w:tcW w:w="6019" w:type="dxa"/>
            <w:tcBorders>
              <w:left w:val="single" w:sz="4" w:space="0" w:color="auto"/>
              <w:bottom w:val="single" w:sz="4" w:space="0" w:color="000000"/>
            </w:tcBorders>
          </w:tcPr>
          <w:p w:rsidR="00CF7C1C" w:rsidRPr="00831A61" w:rsidRDefault="00CF7C1C" w:rsidP="0058781B">
            <w:pPr>
              <w:pStyle w:val="Normltblzatban"/>
              <w:rPr>
                <w:b/>
                <w:bCs/>
                <w:sz w:val="20"/>
                <w:szCs w:val="20"/>
                <w:lang w:bidi="sa-IN"/>
              </w:rPr>
            </w:pPr>
            <w:r w:rsidRPr="00831A61">
              <w:rPr>
                <w:b/>
                <w:bCs/>
                <w:sz w:val="20"/>
                <w:szCs w:val="20"/>
                <w:lang w:bidi="sa-IN"/>
              </w:rPr>
              <w:t>Megújulóenergia-termelés növekedése (ásványolaj-egyenérték)</w:t>
            </w:r>
          </w:p>
        </w:tc>
        <w:tc>
          <w:tcPr>
            <w:tcW w:w="1820" w:type="dxa"/>
            <w:tcBorders>
              <w:left w:val="single" w:sz="4" w:space="0" w:color="000000"/>
              <w:bottom w:val="single" w:sz="4" w:space="0" w:color="000000"/>
              <w:right w:val="single" w:sz="4" w:space="0" w:color="000000"/>
            </w:tcBorders>
            <w:vAlign w:val="center"/>
          </w:tcPr>
          <w:p w:rsidR="00CF7C1C" w:rsidRPr="00831A61" w:rsidRDefault="00CF7C1C" w:rsidP="0058781B">
            <w:pPr>
              <w:pStyle w:val="Tbla-jobb"/>
            </w:pPr>
            <w:r w:rsidRPr="00831A61">
              <w:t>230 kT</w:t>
            </w:r>
          </w:p>
        </w:tc>
        <w:tc>
          <w:tcPr>
            <w:tcW w:w="1588" w:type="dxa"/>
            <w:tcBorders>
              <w:left w:val="single" w:sz="4" w:space="0" w:color="000000"/>
              <w:bottom w:val="single" w:sz="4" w:space="0" w:color="000000"/>
              <w:right w:val="single" w:sz="4" w:space="0" w:color="000000"/>
            </w:tcBorders>
            <w:shd w:val="clear" w:color="auto" w:fill="auto"/>
          </w:tcPr>
          <w:p w:rsidR="00CF7C1C" w:rsidRPr="00831A61" w:rsidRDefault="00CF7C1C" w:rsidP="0058781B">
            <w:pPr>
              <w:pStyle w:val="Tbla-jobb"/>
            </w:pPr>
            <w:r w:rsidRPr="00831A61">
              <w:t>-</w:t>
            </w:r>
          </w:p>
        </w:tc>
      </w:tr>
    </w:tbl>
    <w:p w:rsidR="00CF7C1C" w:rsidRPr="00F35797" w:rsidRDefault="00CF7C1C" w:rsidP="00CF7C1C">
      <w:pPr>
        <w:pStyle w:val="Normlforrs"/>
      </w:pPr>
      <w:r w:rsidRPr="00F35797">
        <w:t>Forrás: MVH</w:t>
      </w:r>
    </w:p>
    <w:p w:rsidR="00CF7C1C" w:rsidRDefault="009E1782" w:rsidP="004869BB">
      <w:r w:rsidRPr="009E1782">
        <w:t>A</w:t>
      </w:r>
      <w:r w:rsidR="009C0043">
        <w:t xml:space="preserve">z intézkedés </w:t>
      </w:r>
      <w:r w:rsidRPr="009E1782">
        <w:t xml:space="preserve">két alintézkedése közül csak az egyik került megnyitásra 2012-ig. </w:t>
      </w:r>
      <w:r w:rsidR="00831A61">
        <w:t xml:space="preserve">A közjóléti és idegenforgalmi létesítmények kialakítása intézkedés </w:t>
      </w:r>
      <w:r w:rsidRPr="009E1782">
        <w:t>2013-ban nyílik meg, így várható még az értékek növekedése.</w:t>
      </w:r>
    </w:p>
    <w:p w:rsidR="00CF7C1C" w:rsidRPr="00F35797" w:rsidRDefault="00CF7C1C" w:rsidP="00715E86">
      <w:pPr>
        <w:pStyle w:val="Cmsor4"/>
      </w:pPr>
      <w:r w:rsidRPr="00F35797">
        <w:t>Az erdőszerkezet átalakításához nyújtandó támogatások jogcím megvalósulása</w:t>
      </w:r>
      <w:bookmarkEnd w:id="314"/>
    </w:p>
    <w:p w:rsidR="00227EF5" w:rsidRDefault="00CF7C1C" w:rsidP="00CF7C1C">
      <w:r w:rsidRPr="002B4681">
        <w:t>A 139/2009. (X.22.) FVM rendelet 2009-ben jelent meg, 2012-ben egy alkalommal módosult.</w:t>
      </w:r>
    </w:p>
    <w:p w:rsidR="00CF7C1C" w:rsidRPr="002B4681" w:rsidRDefault="00CF7C1C" w:rsidP="00CF7C1C">
      <w:r w:rsidRPr="002B4681">
        <w:t xml:space="preserve"> A 44/2012 (V.3.) VM rendelet értelmében a támogatásnak már nem feltétele, hogy a tarvágás a támogatási kérelem benyújtása előtt megtörténjen. Ez kedvező irányú módosítás, ugyanis így az erdőgazdálkodó megvárhatja a támogatási határozatot, amelynek birtokában kockázat nélkül dönthet a véghasználat elvégzése mellett. A jogszabály technikai és értelmezésjavító módosításokat is tartalmaz.</w:t>
      </w:r>
    </w:p>
    <w:p w:rsidR="00CF7C1C" w:rsidRPr="002B4681" w:rsidRDefault="00CF7C1C" w:rsidP="00CF7C1C">
      <w:r w:rsidRPr="002B4681">
        <w:t>A támogatási kérelem benyújtási időszak 2012-ben október 1-31. között volt.</w:t>
      </w:r>
    </w:p>
    <w:p w:rsidR="00CF7C1C" w:rsidRPr="00F92037" w:rsidRDefault="007E5FDF" w:rsidP="00F92037">
      <w:pPr>
        <w:pStyle w:val="bra-cmetbla"/>
      </w:pPr>
      <w:fldSimple w:instr=" SEQ táblázat \* ARABIC ">
        <w:r w:rsidR="00E5031F">
          <w:rPr>
            <w:noProof/>
          </w:rPr>
          <w:t>80</w:t>
        </w:r>
      </w:fldSimple>
      <w:r w:rsidR="00673DDE">
        <w:t xml:space="preserve">. táblázat: </w:t>
      </w:r>
      <w:r w:rsidR="00CF7C1C" w:rsidRPr="00F92037">
        <w:t>Az erdőszerkezet átalakításához nyújtandó támogatások jogcím 2012. évi eredményei</w:t>
      </w:r>
    </w:p>
    <w:p w:rsidR="002B7BF5" w:rsidRPr="00F92037" w:rsidRDefault="002B7BF5" w:rsidP="00F92037">
      <w:pPr>
        <w:pStyle w:val="bra-cmetbla"/>
      </w:pPr>
      <w:r w:rsidRPr="00F92037">
        <w:rPr>
          <w:noProof/>
        </w:rPr>
        <w:drawing>
          <wp:inline distT="0" distB="0" distL="0" distR="0" wp14:anchorId="45D25951" wp14:editId="31B96273">
            <wp:extent cx="5175885" cy="1889125"/>
            <wp:effectExtent l="0" t="0" r="5715"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75885" cy="1889125"/>
                    </a:xfrm>
                    <a:prstGeom prst="rect">
                      <a:avLst/>
                    </a:prstGeom>
                    <a:noFill/>
                    <a:ln>
                      <a:noFill/>
                    </a:ln>
                  </pic:spPr>
                </pic:pic>
              </a:graphicData>
            </a:graphic>
          </wp:inline>
        </w:drawing>
      </w:r>
    </w:p>
    <w:p w:rsidR="00CF7C1C" w:rsidRPr="002B4681" w:rsidRDefault="00CF7C1C" w:rsidP="00CF7C1C">
      <w:pPr>
        <w:pStyle w:val="Normlforrs"/>
      </w:pPr>
      <w:r w:rsidRPr="002B4681">
        <w:t>Forrás: MVH</w:t>
      </w:r>
    </w:p>
    <w:p w:rsidR="00CF7C1C" w:rsidRPr="002B4681" w:rsidRDefault="00CF7C1C" w:rsidP="004869BB">
      <w:r w:rsidRPr="002B4681">
        <w:t>2012-ben 640,4 ezer euró (187</w:t>
      </w:r>
      <w:r w:rsidR="00227EF5">
        <w:t>,2</w:t>
      </w:r>
      <w:r w:rsidRPr="002B4681">
        <w:t xml:space="preserve"> M Ft) kifizetése történt meg.</w:t>
      </w:r>
    </w:p>
    <w:p w:rsidR="00CF7C1C" w:rsidRPr="002B4681" w:rsidRDefault="00CF7C1C" w:rsidP="004869BB">
      <w:pPr>
        <w:rPr>
          <w:strike/>
          <w:highlight w:val="green"/>
        </w:rPr>
      </w:pPr>
      <w:r w:rsidRPr="002B4681">
        <w:t>A kifizetéseket tekintve Bács-Kiskun, Tolna, Borsod-Abaúj-Zemplé</w:t>
      </w:r>
      <w:r w:rsidR="00831A61">
        <w:t>n</w:t>
      </w:r>
      <w:r w:rsidRPr="002B4681">
        <w:t xml:space="preserve">, Békés és Somogy megyében volt a legnagyobb a kifizetett összeg. </w:t>
      </w:r>
    </w:p>
    <w:p w:rsidR="00011C3B" w:rsidRDefault="00011C3B" w:rsidP="00527629">
      <w:pPr>
        <w:pStyle w:val="Cmsor2"/>
      </w:pPr>
      <w:bookmarkStart w:id="315" w:name="_Toc360176815"/>
      <w:r w:rsidRPr="00EB658B">
        <w:lastRenderedPageBreak/>
        <w:t>III. tengely</w:t>
      </w:r>
      <w:bookmarkEnd w:id="259"/>
      <w:bookmarkEnd w:id="260"/>
      <w:bookmarkEnd w:id="315"/>
    </w:p>
    <w:p w:rsidR="00011C3B" w:rsidRPr="000917FD" w:rsidRDefault="00011C3B" w:rsidP="004869BB">
      <w:r w:rsidRPr="000917FD">
        <w:t>A III. tengely intézkedéscsoportjának fő célkitűzése az életminőség javítása a vidéki területeken, a gazdasági tevékenységek diverzifikálásának ösztönzése, illetve döntő súlyt képvisel a vidéki gazdaság fejlesztése. A fejlesztési elképzelések kivitelezése során alapvető fontossággal bír a LEADER megközelítés, ami a települési önkormányzatok, vállalkozások és civil szervezetek együttműködését, a részvételükkel megalakult helyi közösségek által stratégiába foglalt, alulról jövő kezdeményezések megvalósítását jelenti.</w:t>
      </w:r>
    </w:p>
    <w:p w:rsidR="00011C3B" w:rsidRPr="000917FD" w:rsidRDefault="00011C3B" w:rsidP="004869BB">
      <w:r w:rsidRPr="000917FD">
        <w:t>A III. tengely intézkedéseinek egy része horizontálisan, másik része pedig helyi vidékfejlesztési stratégiákon keresztül a LEADER helyi akciócsoportok (a továbbiakban: HACS) által kerül megvalósításra.</w:t>
      </w:r>
    </w:p>
    <w:p w:rsidR="00011C3B" w:rsidRPr="00673DDE" w:rsidRDefault="00673DDE" w:rsidP="00673DDE">
      <w:pPr>
        <w:pStyle w:val="bra-cmebra"/>
      </w:pPr>
      <w:r>
        <w:t xml:space="preserve">ábra: </w:t>
      </w:r>
      <w:r w:rsidR="00011C3B" w:rsidRPr="00673DDE">
        <w:t>III. tengely 2012. évi kifizetéseinek megyénkénti eloszlása</w:t>
      </w:r>
    </w:p>
    <w:p w:rsidR="009E1782" w:rsidRDefault="009E1782" w:rsidP="00011C3B">
      <w:pPr>
        <w:pStyle w:val="j-bracm"/>
      </w:pPr>
      <w:r w:rsidRPr="007B66C7">
        <w:rPr>
          <w:noProof/>
        </w:rPr>
        <w:drawing>
          <wp:inline distT="0" distB="0" distL="0" distR="0" wp14:anchorId="1BD9132D" wp14:editId="71C15A18">
            <wp:extent cx="5759450" cy="3603112"/>
            <wp:effectExtent l="0" t="0" r="0" b="0"/>
            <wp:docPr id="33" name="Kép 33" descr="C:\Users\HullaiB\AppData\Local\Microsoft\Windows\Temporary Internet Files\Content.Outlook\VXZSLSDC\kifiz 3 t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llaiB\AppData\Local\Microsoft\Windows\Temporary Internet Files\Content.Outlook\VXZSLSDC\kifiz 3 tg.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603112"/>
                    </a:xfrm>
                    <a:prstGeom prst="rect">
                      <a:avLst/>
                    </a:prstGeom>
                    <a:noFill/>
                    <a:ln>
                      <a:noFill/>
                    </a:ln>
                  </pic:spPr>
                </pic:pic>
              </a:graphicData>
            </a:graphic>
          </wp:inline>
        </w:drawing>
      </w:r>
    </w:p>
    <w:p w:rsidR="00011C3B" w:rsidRPr="00A07A0D" w:rsidRDefault="00011C3B" w:rsidP="00011C3B">
      <w:pPr>
        <w:pStyle w:val="Normlforrs"/>
      </w:pPr>
      <w:r w:rsidRPr="00A07A0D">
        <w:t>Forrás: MVH</w:t>
      </w:r>
    </w:p>
    <w:p w:rsidR="00011C3B" w:rsidRPr="00896E03" w:rsidRDefault="00011C3B" w:rsidP="00DB48A3">
      <w:pPr>
        <w:pStyle w:val="Cmsor3"/>
      </w:pPr>
      <w:bookmarkStart w:id="316" w:name="_Toc326748781"/>
      <w:bookmarkStart w:id="317" w:name="_Toc326762229"/>
      <w:bookmarkStart w:id="318" w:name="_Toc297560977"/>
      <w:bookmarkStart w:id="319" w:name="_Toc328638725"/>
      <w:bookmarkStart w:id="320" w:name="_Toc360176816"/>
      <w:bookmarkEnd w:id="316"/>
      <w:bookmarkEnd w:id="317"/>
      <w:r w:rsidRPr="00896E03">
        <w:t>Nem mezőgazdasági tevékenységgé történő diverzifikálás (311) intézkedés rövid bemutatása</w:t>
      </w:r>
      <w:bookmarkEnd w:id="320"/>
      <w:r w:rsidRPr="00896E03">
        <w:t xml:space="preserve"> </w:t>
      </w:r>
    </w:p>
    <w:p w:rsidR="00011C3B" w:rsidRDefault="00011C3B" w:rsidP="004869BB">
      <w:r w:rsidRPr="00A82249">
        <w:t xml:space="preserve">Az intézkedés célja a mezőgazdaságból élő vidéki lakosság keresőképességének javítása, valamint az olyan agrárágazaton kívüli munkahelyek megteremtése és megtartása, amelyek hozzájárulhatnak a vidéki területekről való elvándorlás visszaszorításához és a vidéki életkörülmények javításához. Ezen túl célja, hogy ösztönözze a mezőgazdaságból származó jövedelemmel rendelkező háztartások egyéb jövedelemtermelő, termelő és szolgáltató tevékenységeit, továbbá támogassa a helyben előállított termékek piacra vitelét. </w:t>
      </w:r>
    </w:p>
    <w:p w:rsidR="00011C3B" w:rsidRDefault="00011C3B" w:rsidP="004869BB">
      <w:r w:rsidRPr="00455873">
        <w:t xml:space="preserve">Az érintett területek: agroturizmus, kézműves tevékenység és műszaki szolgáltatások, szociális szolgáltatások, szabadidős tevékenységek, a </w:t>
      </w:r>
      <w:r w:rsidR="00D77625">
        <w:t>P</w:t>
      </w:r>
      <w:r w:rsidRPr="00455873">
        <w:t xml:space="preserve">rogram mellékletében szereplő non-Annex termékek feldolgozása, az erdészeti faiskola létrehozása, valamint a megújuló energiaforrások használatához kapcsolódó tevékenységek. </w:t>
      </w:r>
      <w:r>
        <w:t xml:space="preserve">Az intézkedés ügyfélköre a családi gazdálkodók, mezőgazdasági </w:t>
      </w:r>
      <w:r>
        <w:lastRenderedPageBreak/>
        <w:t xml:space="preserve">mikrovállalkozások, őstermelők, akik mezőgazdasági tevékenységük mellett más tevékenységet is szeretnének elindítani, fejleszteni, céljuk a tevékenységük diverzifikálása, a több lábon állás. </w:t>
      </w:r>
    </w:p>
    <w:p w:rsidR="00D77625" w:rsidRDefault="00D77625" w:rsidP="004869BB">
      <w:r>
        <w:t>Az intézkedés a központi meghirdetésű intézkedések közé tartozik.</w:t>
      </w:r>
    </w:p>
    <w:p w:rsidR="00011C3B" w:rsidRDefault="00011C3B" w:rsidP="004869BB">
      <w:r w:rsidRPr="009C0043">
        <w:t>Az intézkedés hatékony meghirdetésének érdekében a jogcímrendelet kialakítását megelőzően programmódosításra volt szükség 2012-ben</w:t>
      </w:r>
      <w:r w:rsidR="00D76C98" w:rsidRPr="009C0043">
        <w:t>, mely a 9. verziószám</w:t>
      </w:r>
      <w:r w:rsidR="00D77625" w:rsidRPr="009C0043">
        <w:t>ú</w:t>
      </w:r>
      <w:r w:rsidR="00D76C98" w:rsidRPr="009C0043">
        <w:t xml:space="preserve"> programmódosítás keretében került előterjesztésre az EU Bizottság részére</w:t>
      </w:r>
      <w:r w:rsidRPr="009C0043">
        <w:t>. A programmódosítás célja az intézkedés kereteinek lehető legszélesebbre szabása, a támogatható tevékenységek bővítése, a lehető legszélesebb célcsoport megcélzása volt, tekintettel természetese</w:t>
      </w:r>
      <w:r w:rsidR="00D76C98" w:rsidRPr="009C0043">
        <w:t>n</w:t>
      </w:r>
      <w:r w:rsidRPr="009C0043">
        <w:t xml:space="preserve"> a más jogcímekkel való lehatárolásokra.</w:t>
      </w:r>
    </w:p>
    <w:p w:rsidR="00011C3B" w:rsidRPr="00C003F8" w:rsidRDefault="00011C3B" w:rsidP="00715E86">
      <w:pPr>
        <w:pStyle w:val="Cmsor4"/>
      </w:pPr>
      <w:r>
        <w:t>Nem mezőgazdasági tevékenységgé történő diverzifikálás jogcím megvalósulása</w:t>
      </w:r>
    </w:p>
    <w:p w:rsidR="00011C3B" w:rsidRDefault="00011C3B" w:rsidP="004869BB">
      <w:r>
        <w:t xml:space="preserve">Az intézkedést a jogcím teljes egészében lefedi, és az Európai Mezőgazdasági Vidékfejlesztési Alapból a nem mezőgazdasági tevékenységgé történő diverzifikálásra nyújtandó támogatások részletes feltételeiről szóló 129/2012. (XII.17.) VM rendelet szabályozza. </w:t>
      </w:r>
      <w:r w:rsidR="00D77625">
        <w:t xml:space="preserve"> </w:t>
      </w:r>
    </w:p>
    <w:p w:rsidR="00011C3B" w:rsidRDefault="00011C3B" w:rsidP="004869BB">
      <w:r>
        <w:t>Támogatási kérelmet 2012-ben nem nyújthattak be az ügyfelek, a támogatási kérelem benyújtási időszak folyamatos benyújtással 2013. február 15-től indult.</w:t>
      </w:r>
      <w:r w:rsidRPr="00455873">
        <w:t xml:space="preserve"> A kérelmeket az MVH-hoz kizárólag elektronikus úton, ügyfélkapun keresztül lehetett benyújtani.</w:t>
      </w:r>
    </w:p>
    <w:p w:rsidR="00011C3B" w:rsidRPr="00896E03" w:rsidRDefault="00011C3B" w:rsidP="00DB48A3">
      <w:pPr>
        <w:pStyle w:val="Cmsor3"/>
      </w:pPr>
      <w:bookmarkStart w:id="321" w:name="_Toc360176817"/>
      <w:r w:rsidRPr="00896E03">
        <w:t>Mikrovállalkozások létrehozásának és fejlesztésének támogatása (312) intézkedés rövid bemutatása</w:t>
      </w:r>
      <w:bookmarkEnd w:id="318"/>
      <w:bookmarkEnd w:id="319"/>
      <w:bookmarkEnd w:id="321"/>
    </w:p>
    <w:p w:rsidR="00011C3B" w:rsidRPr="00C003F8" w:rsidRDefault="00011C3B" w:rsidP="004869BB">
      <w:pPr>
        <w:rPr>
          <w:b/>
          <w:bCs/>
        </w:rPr>
      </w:pPr>
      <w:r w:rsidRPr="00C003F8">
        <w:t>A támogatás célja a vidéki térségekben új mikrovállalkozások létrehozásának, illetve működő mikrovállalkozások beruházásainak, műszaki-technológiai fejlesztésének támogatása által a vállalkozói aktivitás, a versenyképesség, az innovációs képesség ösztönzése, munkahelyek megtartása és újak létrehozása, valamint a gazdasági szerkezet fejlesztése</w:t>
      </w:r>
      <w:r w:rsidRPr="00C003F8">
        <w:rPr>
          <w:b/>
          <w:bCs/>
        </w:rPr>
        <w:t>.</w:t>
      </w:r>
    </w:p>
    <w:p w:rsidR="00011C3B" w:rsidRPr="00C003F8" w:rsidRDefault="00011C3B" w:rsidP="004869BB">
      <w:r w:rsidRPr="00C003F8">
        <w:t xml:space="preserve">Az intézkedés keretén belül került meghirdetésre a </w:t>
      </w:r>
      <w:r w:rsidRPr="00C003F8">
        <w:rPr>
          <w:i/>
        </w:rPr>
        <w:t>Mikrovállalkozások létrehozására és fejlesztésére nyújtandó támogatások</w:t>
      </w:r>
      <w:r w:rsidRPr="00C003F8">
        <w:t xml:space="preserve"> jogcím, mely az intézkedés egészét lefedi.</w:t>
      </w:r>
    </w:p>
    <w:p w:rsidR="00011C3B" w:rsidRPr="00F92037" w:rsidRDefault="007E5FDF" w:rsidP="00F92037">
      <w:pPr>
        <w:pStyle w:val="bra-cmetbla"/>
      </w:pPr>
      <w:fldSimple w:instr=" SEQ táblázat \* ARABIC ">
        <w:r w:rsidR="00E5031F">
          <w:rPr>
            <w:noProof/>
          </w:rPr>
          <w:t>81</w:t>
        </w:r>
      </w:fldSimple>
      <w:r w:rsidR="00673DDE">
        <w:t xml:space="preserve">. táblázat: </w:t>
      </w:r>
      <w:r w:rsidR="00011C3B" w:rsidRPr="00F92037">
        <w:t>Mikrovállalkozások létrehozásának és fejlesztésének támogatása intézkedés (312) indikátorainak megvalósulása</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5768"/>
        <w:gridCol w:w="1806"/>
        <w:gridCol w:w="1588"/>
      </w:tblGrid>
      <w:tr w:rsidR="00011C3B" w:rsidRPr="008B76DD" w:rsidTr="00011C3B">
        <w:trPr>
          <w:jc w:val="center"/>
        </w:trPr>
        <w:tc>
          <w:tcPr>
            <w:tcW w:w="496" w:type="dxa"/>
            <w:tcBorders>
              <w:top w:val="single" w:sz="4" w:space="0" w:color="auto"/>
              <w:left w:val="single" w:sz="4" w:space="0" w:color="auto"/>
              <w:bottom w:val="single" w:sz="4" w:space="0" w:color="auto"/>
              <w:right w:val="single" w:sz="4" w:space="0" w:color="auto"/>
            </w:tcBorders>
            <w:shd w:val="clear" w:color="auto" w:fill="B3B3B3"/>
          </w:tcPr>
          <w:p w:rsidR="00011C3B" w:rsidRPr="00A51BCF" w:rsidRDefault="00011C3B" w:rsidP="00011C3B">
            <w:pPr>
              <w:pStyle w:val="Normltblateljes"/>
              <w:keepNext/>
              <w:suppressAutoHyphens w:val="0"/>
              <w:spacing w:after="0"/>
              <w:jc w:val="center"/>
              <w:rPr>
                <w:sz w:val="20"/>
                <w:szCs w:val="20"/>
                <w:lang w:bidi="sa-IN"/>
              </w:rPr>
            </w:pPr>
            <w:bookmarkStart w:id="322" w:name="_Toc261596949"/>
          </w:p>
        </w:tc>
        <w:tc>
          <w:tcPr>
            <w:tcW w:w="5768" w:type="dxa"/>
            <w:tcBorders>
              <w:top w:val="single" w:sz="4" w:space="0" w:color="auto"/>
              <w:left w:val="single" w:sz="4" w:space="0" w:color="auto"/>
              <w:bottom w:val="single" w:sz="4" w:space="0" w:color="auto"/>
              <w:right w:val="single" w:sz="4" w:space="0" w:color="auto"/>
            </w:tcBorders>
            <w:shd w:val="clear" w:color="auto" w:fill="B3B3B3"/>
            <w:vAlign w:val="center"/>
          </w:tcPr>
          <w:p w:rsidR="00011C3B" w:rsidRPr="008B76DD" w:rsidRDefault="00011C3B" w:rsidP="00011C3B">
            <w:pPr>
              <w:pStyle w:val="Normltblateljes"/>
              <w:keepNext/>
              <w:suppressAutoHyphens w:val="0"/>
              <w:spacing w:after="0"/>
              <w:jc w:val="center"/>
              <w:rPr>
                <w:b/>
                <w:bCs/>
                <w:sz w:val="20"/>
                <w:szCs w:val="20"/>
                <w:lang w:bidi="sa-IN"/>
              </w:rPr>
            </w:pPr>
            <w:r w:rsidRPr="008B76DD">
              <w:rPr>
                <w:b/>
                <w:bCs/>
                <w:sz w:val="20"/>
                <w:szCs w:val="20"/>
                <w:lang w:bidi="sa-IN"/>
              </w:rPr>
              <w:t>Indikátor leírása</w:t>
            </w:r>
          </w:p>
        </w:tc>
        <w:tc>
          <w:tcPr>
            <w:tcW w:w="1806" w:type="dxa"/>
            <w:tcBorders>
              <w:top w:val="single" w:sz="4" w:space="0" w:color="auto"/>
              <w:left w:val="single" w:sz="4" w:space="0" w:color="auto"/>
              <w:bottom w:val="single" w:sz="4" w:space="0" w:color="auto"/>
              <w:right w:val="single" w:sz="4" w:space="0" w:color="auto"/>
            </w:tcBorders>
            <w:shd w:val="clear" w:color="auto" w:fill="B3B3B3"/>
            <w:vAlign w:val="center"/>
          </w:tcPr>
          <w:p w:rsidR="00011C3B" w:rsidRPr="00A51BCF" w:rsidRDefault="00011C3B" w:rsidP="00011C3B">
            <w:pPr>
              <w:pStyle w:val="Normltblateljes"/>
              <w:keepNext/>
              <w:suppressAutoHyphens w:val="0"/>
              <w:spacing w:after="0"/>
              <w:jc w:val="center"/>
              <w:rPr>
                <w:b/>
                <w:bCs/>
                <w:sz w:val="20"/>
                <w:szCs w:val="20"/>
                <w:lang w:bidi="sa-IN"/>
              </w:rPr>
            </w:pPr>
            <w:r w:rsidRPr="00A51BCF">
              <w:rPr>
                <w:b/>
                <w:bCs/>
                <w:sz w:val="20"/>
                <w:szCs w:val="20"/>
                <w:lang w:bidi="sa-IN"/>
              </w:rPr>
              <w:t>Program szerinti tervadat</w:t>
            </w:r>
          </w:p>
        </w:tc>
        <w:tc>
          <w:tcPr>
            <w:tcW w:w="1588" w:type="dxa"/>
            <w:tcBorders>
              <w:top w:val="single" w:sz="4" w:space="0" w:color="auto"/>
              <w:left w:val="single" w:sz="4" w:space="0" w:color="auto"/>
              <w:bottom w:val="single" w:sz="4" w:space="0" w:color="auto"/>
              <w:right w:val="single" w:sz="4" w:space="0" w:color="auto"/>
            </w:tcBorders>
            <w:shd w:val="clear" w:color="auto" w:fill="B3B3B3"/>
            <w:vAlign w:val="center"/>
          </w:tcPr>
          <w:p w:rsidR="00011C3B" w:rsidRPr="008B76DD" w:rsidRDefault="00011C3B" w:rsidP="00011C3B">
            <w:pPr>
              <w:pStyle w:val="Normltblateljes"/>
              <w:keepNext/>
              <w:suppressAutoHyphens w:val="0"/>
              <w:spacing w:after="0"/>
              <w:jc w:val="center"/>
              <w:rPr>
                <w:b/>
                <w:bCs/>
                <w:sz w:val="20"/>
                <w:szCs w:val="20"/>
                <w:lang w:bidi="sa-IN"/>
              </w:rPr>
            </w:pPr>
            <w:r w:rsidRPr="008B76DD">
              <w:rPr>
                <w:b/>
                <w:sz w:val="20"/>
                <w:szCs w:val="20"/>
              </w:rPr>
              <w:t>Indikátorok kumulált értéke</w:t>
            </w:r>
          </w:p>
        </w:tc>
      </w:tr>
      <w:tr w:rsidR="00011C3B" w:rsidRPr="00170CB9" w:rsidTr="00011C3B">
        <w:trPr>
          <w:jc w:val="center"/>
        </w:trPr>
        <w:tc>
          <w:tcPr>
            <w:tcW w:w="496" w:type="dxa"/>
            <w:vMerge w:val="restart"/>
            <w:tcBorders>
              <w:top w:val="single" w:sz="4" w:space="0" w:color="auto"/>
              <w:left w:val="single" w:sz="4" w:space="0" w:color="auto"/>
              <w:right w:val="single" w:sz="4" w:space="0" w:color="auto"/>
            </w:tcBorders>
          </w:tcPr>
          <w:p w:rsidR="00011C3B" w:rsidRPr="00170CB9" w:rsidRDefault="00011C3B" w:rsidP="00011C3B">
            <w:pPr>
              <w:pStyle w:val="TableText"/>
              <w:spacing w:before="0" w:after="0"/>
              <w:jc w:val="center"/>
              <w:rPr>
                <w:rFonts w:eastAsia="Times New Roman"/>
                <w:lang w:bidi="sa-IN"/>
              </w:rPr>
            </w:pPr>
            <w:r w:rsidRPr="00170CB9">
              <w:rPr>
                <w:rFonts w:eastAsia="Times New Roman"/>
                <w:lang w:bidi="sa-IN"/>
              </w:rPr>
              <w:t>O</w:t>
            </w:r>
          </w:p>
        </w:tc>
        <w:tc>
          <w:tcPr>
            <w:tcW w:w="5768" w:type="dxa"/>
            <w:tcBorders>
              <w:top w:val="single" w:sz="4" w:space="0" w:color="auto"/>
              <w:left w:val="single" w:sz="4" w:space="0" w:color="auto"/>
              <w:bottom w:val="single" w:sz="4" w:space="0" w:color="auto"/>
              <w:right w:val="single" w:sz="4" w:space="0" w:color="auto"/>
            </w:tcBorders>
          </w:tcPr>
          <w:p w:rsidR="00011C3B" w:rsidRPr="00170CB9" w:rsidRDefault="00011C3B" w:rsidP="00011C3B">
            <w:pPr>
              <w:pStyle w:val="TableText"/>
              <w:spacing w:before="0" w:after="0"/>
              <w:rPr>
                <w:rFonts w:eastAsia="Times New Roman"/>
                <w:b/>
                <w:bCs/>
                <w:lang w:bidi="sa-IN"/>
              </w:rPr>
            </w:pPr>
            <w:r w:rsidRPr="00170CB9">
              <w:rPr>
                <w:rFonts w:eastAsia="Times New Roman"/>
                <w:b/>
                <w:bCs/>
                <w:lang w:bidi="sa-IN"/>
              </w:rPr>
              <w:t>A támogatott mikrovállalkozások száma (db)</w:t>
            </w:r>
          </w:p>
          <w:p w:rsidR="00011C3B" w:rsidRPr="00170CB9" w:rsidRDefault="00011C3B" w:rsidP="00011C3B">
            <w:pPr>
              <w:pStyle w:val="Normltblateljes"/>
              <w:spacing w:after="0"/>
              <w:rPr>
                <w:sz w:val="20"/>
                <w:szCs w:val="20"/>
                <w:lang w:bidi="sa-IN"/>
              </w:rPr>
            </w:pPr>
            <w:r w:rsidRPr="00170CB9">
              <w:rPr>
                <w:sz w:val="20"/>
                <w:szCs w:val="20"/>
                <w:lang w:bidi="sa-IN"/>
              </w:rPr>
              <w:t>Státusz</w:t>
            </w:r>
          </w:p>
          <w:p w:rsidR="00011C3B" w:rsidRPr="00170CB9" w:rsidRDefault="00011C3B" w:rsidP="0033390A">
            <w:pPr>
              <w:numPr>
                <w:ilvl w:val="0"/>
                <w:numId w:val="80"/>
              </w:numPr>
              <w:spacing w:after="0"/>
              <w:rPr>
                <w:sz w:val="20"/>
                <w:szCs w:val="20"/>
                <w:lang w:val="en-GB" w:bidi="sa-IN"/>
              </w:rPr>
            </w:pPr>
            <w:r w:rsidRPr="00170CB9">
              <w:rPr>
                <w:sz w:val="20"/>
                <w:szCs w:val="20"/>
                <w:lang w:bidi="sa-IN"/>
              </w:rPr>
              <w:t>Jogi személy</w:t>
            </w:r>
          </w:p>
          <w:p w:rsidR="00011C3B" w:rsidRPr="00170CB9" w:rsidRDefault="00011C3B" w:rsidP="0033390A">
            <w:pPr>
              <w:numPr>
                <w:ilvl w:val="0"/>
                <w:numId w:val="80"/>
              </w:numPr>
              <w:spacing w:after="0"/>
              <w:rPr>
                <w:sz w:val="20"/>
                <w:szCs w:val="20"/>
                <w:lang w:val="en-GB" w:bidi="sa-IN"/>
              </w:rPr>
            </w:pPr>
            <w:r w:rsidRPr="00170CB9">
              <w:rPr>
                <w:sz w:val="20"/>
                <w:szCs w:val="20"/>
              </w:rPr>
              <w:t>Természetes</w:t>
            </w:r>
            <w:r w:rsidRPr="00170CB9">
              <w:rPr>
                <w:sz w:val="20"/>
                <w:szCs w:val="20"/>
                <w:lang w:bidi="sa-IN"/>
              </w:rPr>
              <w:t xml:space="preserve"> személy</w:t>
            </w:r>
          </w:p>
          <w:p w:rsidR="00011C3B" w:rsidRPr="00170CB9" w:rsidRDefault="00011C3B" w:rsidP="00011C3B">
            <w:pPr>
              <w:pStyle w:val="Normltblateljes"/>
              <w:spacing w:after="0"/>
              <w:rPr>
                <w:sz w:val="20"/>
                <w:szCs w:val="20"/>
                <w:lang w:bidi="sa-IN"/>
              </w:rPr>
            </w:pPr>
            <w:r w:rsidRPr="00170CB9">
              <w:rPr>
                <w:sz w:val="20"/>
                <w:szCs w:val="20"/>
                <w:lang w:bidi="sa-IN"/>
              </w:rPr>
              <w:t>Korosztály</w:t>
            </w:r>
          </w:p>
          <w:p w:rsidR="00011C3B" w:rsidRPr="00170CB9" w:rsidRDefault="00011C3B" w:rsidP="0033390A">
            <w:pPr>
              <w:numPr>
                <w:ilvl w:val="0"/>
                <w:numId w:val="80"/>
              </w:numPr>
              <w:spacing w:after="0"/>
              <w:rPr>
                <w:sz w:val="20"/>
                <w:szCs w:val="20"/>
              </w:rPr>
            </w:pPr>
            <w:r w:rsidRPr="00170CB9">
              <w:rPr>
                <w:sz w:val="20"/>
                <w:szCs w:val="20"/>
                <w:lang w:bidi="sa-IN"/>
              </w:rPr>
              <w:t xml:space="preserve">25 év </w:t>
            </w:r>
            <w:r w:rsidRPr="00170CB9">
              <w:rPr>
                <w:sz w:val="20"/>
                <w:szCs w:val="20"/>
              </w:rPr>
              <w:t>alatt</w:t>
            </w:r>
          </w:p>
          <w:p w:rsidR="00011C3B" w:rsidRPr="00170CB9" w:rsidRDefault="00011C3B" w:rsidP="0033390A">
            <w:pPr>
              <w:numPr>
                <w:ilvl w:val="0"/>
                <w:numId w:val="80"/>
              </w:numPr>
              <w:spacing w:after="0"/>
              <w:rPr>
                <w:sz w:val="20"/>
                <w:szCs w:val="20"/>
                <w:lang w:val="en-GB" w:bidi="sa-IN"/>
              </w:rPr>
            </w:pPr>
            <w:r w:rsidRPr="00170CB9">
              <w:rPr>
                <w:sz w:val="20"/>
                <w:szCs w:val="20"/>
              </w:rPr>
              <w:t>25 éves vagy</w:t>
            </w:r>
            <w:r w:rsidRPr="00170CB9">
              <w:rPr>
                <w:sz w:val="20"/>
                <w:szCs w:val="20"/>
                <w:lang w:bidi="sa-IN"/>
              </w:rPr>
              <w:t xml:space="preserve"> idősebb</w:t>
            </w:r>
            <w:r w:rsidRPr="00170CB9">
              <w:rPr>
                <w:sz w:val="20"/>
                <w:szCs w:val="20"/>
                <w:lang w:val="en-GB" w:bidi="sa-IN"/>
              </w:rPr>
              <w:t xml:space="preserve"> </w:t>
            </w:r>
          </w:p>
          <w:p w:rsidR="00011C3B" w:rsidRPr="00170CB9" w:rsidRDefault="00011C3B" w:rsidP="00011C3B">
            <w:pPr>
              <w:pStyle w:val="Normltblateljes"/>
              <w:spacing w:after="0"/>
              <w:rPr>
                <w:sz w:val="20"/>
                <w:szCs w:val="20"/>
                <w:lang w:bidi="sa-IN"/>
              </w:rPr>
            </w:pPr>
            <w:r w:rsidRPr="00170CB9">
              <w:rPr>
                <w:sz w:val="20"/>
                <w:szCs w:val="20"/>
                <w:lang w:bidi="sa-IN"/>
              </w:rPr>
              <w:t>A mikrovállalkozás típusa</w:t>
            </w:r>
          </w:p>
          <w:p w:rsidR="00011C3B" w:rsidRPr="00170CB9" w:rsidRDefault="00011C3B" w:rsidP="0033390A">
            <w:pPr>
              <w:numPr>
                <w:ilvl w:val="0"/>
                <w:numId w:val="80"/>
              </w:numPr>
              <w:spacing w:after="0"/>
              <w:rPr>
                <w:sz w:val="20"/>
                <w:szCs w:val="20"/>
              </w:rPr>
            </w:pPr>
            <w:r w:rsidRPr="00170CB9">
              <w:rPr>
                <w:sz w:val="20"/>
                <w:szCs w:val="20"/>
                <w:lang w:bidi="sa-IN"/>
              </w:rPr>
              <w:t xml:space="preserve">Újonnan </w:t>
            </w:r>
            <w:r w:rsidRPr="00170CB9">
              <w:rPr>
                <w:sz w:val="20"/>
                <w:szCs w:val="20"/>
              </w:rPr>
              <w:t>létrehozott mikrovállalkozások</w:t>
            </w:r>
          </w:p>
          <w:p w:rsidR="00011C3B" w:rsidRPr="00170CB9" w:rsidRDefault="00011C3B" w:rsidP="0033390A">
            <w:pPr>
              <w:numPr>
                <w:ilvl w:val="0"/>
                <w:numId w:val="80"/>
              </w:numPr>
              <w:spacing w:after="0"/>
              <w:rPr>
                <w:rFonts w:eastAsia="MS Mincho"/>
                <w:sz w:val="20"/>
                <w:szCs w:val="20"/>
                <w:lang w:bidi="sa-IN"/>
              </w:rPr>
            </w:pPr>
            <w:r w:rsidRPr="00170CB9">
              <w:rPr>
                <w:sz w:val="20"/>
                <w:szCs w:val="20"/>
              </w:rPr>
              <w:t>Meglévő mi</w:t>
            </w:r>
            <w:r w:rsidRPr="00170CB9">
              <w:rPr>
                <w:sz w:val="20"/>
                <w:szCs w:val="20"/>
                <w:lang w:bidi="sa-IN"/>
              </w:rPr>
              <w:t>krovállalkozások</w:t>
            </w:r>
          </w:p>
        </w:tc>
        <w:tc>
          <w:tcPr>
            <w:tcW w:w="1806" w:type="dxa"/>
            <w:tcBorders>
              <w:top w:val="single" w:sz="4" w:space="0" w:color="auto"/>
              <w:left w:val="single" w:sz="4" w:space="0" w:color="auto"/>
              <w:bottom w:val="single" w:sz="4" w:space="0" w:color="auto"/>
              <w:right w:val="single" w:sz="4" w:space="0" w:color="auto"/>
            </w:tcBorders>
          </w:tcPr>
          <w:p w:rsidR="00011C3B" w:rsidRPr="00170CB9" w:rsidRDefault="00011C3B" w:rsidP="004869BB">
            <w:pPr>
              <w:pStyle w:val="Normltblajobb"/>
              <w:rPr>
                <w:lang w:bidi="sa-IN"/>
              </w:rPr>
            </w:pPr>
            <w:r w:rsidRPr="00170CB9">
              <w:rPr>
                <w:lang w:bidi="sa-IN"/>
              </w:rPr>
              <w:t>4</w:t>
            </w:r>
            <w:r w:rsidR="00D77625" w:rsidRPr="00170CB9">
              <w:rPr>
                <w:lang w:bidi="sa-IN"/>
              </w:rPr>
              <w:t xml:space="preserve"> </w:t>
            </w:r>
            <w:r w:rsidRPr="00170CB9">
              <w:rPr>
                <w:lang w:bidi="sa-IN"/>
              </w:rPr>
              <w:t>600</w:t>
            </w:r>
          </w:p>
          <w:p w:rsidR="00011C3B" w:rsidRPr="00170CB9" w:rsidRDefault="00011C3B" w:rsidP="004869BB">
            <w:pPr>
              <w:pStyle w:val="Normltblajobb"/>
              <w:rPr>
                <w:lang w:bidi="sa-IN"/>
              </w:rPr>
            </w:pPr>
          </w:p>
          <w:p w:rsidR="00011C3B" w:rsidRPr="00170CB9" w:rsidRDefault="00011C3B" w:rsidP="004869BB">
            <w:pPr>
              <w:pStyle w:val="Normltblajobb"/>
              <w:rPr>
                <w:lang w:bidi="sa-IN"/>
              </w:rPr>
            </w:pPr>
            <w:r w:rsidRPr="00170CB9">
              <w:rPr>
                <w:lang w:bidi="sa-IN"/>
              </w:rPr>
              <w:t>4</w:t>
            </w:r>
            <w:r w:rsidR="00D77625" w:rsidRPr="00170CB9">
              <w:rPr>
                <w:lang w:bidi="sa-IN"/>
              </w:rPr>
              <w:t xml:space="preserve"> </w:t>
            </w:r>
            <w:r w:rsidRPr="00170CB9">
              <w:rPr>
                <w:lang w:bidi="sa-IN"/>
              </w:rPr>
              <w:t>600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851B3C" w:rsidP="004869BB">
            <w:pPr>
              <w:pStyle w:val="Normltblajobb"/>
              <w:rPr>
                <w:lang w:bidi="sa-IN"/>
              </w:rPr>
            </w:pPr>
            <w:r w:rsidRPr="00170CB9">
              <w:rPr>
                <w:lang w:bidi="sa-IN"/>
              </w:rPr>
              <w:t>1645</w:t>
            </w:r>
          </w:p>
          <w:p w:rsidR="00011C3B" w:rsidRPr="00170CB9" w:rsidRDefault="00851B3C" w:rsidP="004869BB">
            <w:pPr>
              <w:pStyle w:val="Normltblajobb"/>
              <w:rPr>
                <w:lang w:bidi="sa-IN"/>
              </w:rPr>
            </w:pPr>
            <w:r w:rsidRPr="00170CB9">
              <w:rPr>
                <w:lang w:bidi="sa-IN"/>
              </w:rPr>
              <w:t>949</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4869BB">
            <w:pPr>
              <w:pStyle w:val="Normltblajobb"/>
            </w:pPr>
            <w:r w:rsidRPr="00170CB9">
              <w:t>2</w:t>
            </w:r>
            <w:r w:rsidR="00D77625" w:rsidRPr="00170CB9">
              <w:t xml:space="preserve"> </w:t>
            </w:r>
            <w:r w:rsidRPr="00170CB9">
              <w:t>594</w:t>
            </w:r>
          </w:p>
          <w:p w:rsidR="00011C3B" w:rsidRPr="00170CB9" w:rsidRDefault="00011C3B" w:rsidP="004869BB">
            <w:pPr>
              <w:pStyle w:val="Normltblajobb"/>
            </w:pPr>
          </w:p>
          <w:p w:rsidR="00011C3B" w:rsidRPr="00170CB9" w:rsidRDefault="00011C3B" w:rsidP="004869BB">
            <w:pPr>
              <w:pStyle w:val="Normltblajobb"/>
            </w:pPr>
            <w:r w:rsidRPr="00170CB9">
              <w:t>1</w:t>
            </w:r>
            <w:r w:rsidR="00D77625" w:rsidRPr="00170CB9">
              <w:t xml:space="preserve"> </w:t>
            </w:r>
            <w:r w:rsidRPr="00170CB9">
              <w:t>785</w:t>
            </w:r>
          </w:p>
          <w:p w:rsidR="00011C3B" w:rsidRPr="00170CB9" w:rsidRDefault="00011C3B" w:rsidP="004869BB">
            <w:pPr>
              <w:pStyle w:val="Normltblajobb"/>
            </w:pPr>
            <w:r w:rsidRPr="00170CB9">
              <w:t>809</w:t>
            </w:r>
          </w:p>
          <w:p w:rsidR="00011C3B" w:rsidRPr="00170CB9" w:rsidRDefault="00011C3B" w:rsidP="004869BB">
            <w:pPr>
              <w:pStyle w:val="Normltblajobb"/>
            </w:pPr>
          </w:p>
          <w:p w:rsidR="00011C3B" w:rsidRPr="00170CB9" w:rsidRDefault="00011C3B" w:rsidP="004869BB">
            <w:pPr>
              <w:pStyle w:val="Normltblajobb"/>
            </w:pPr>
            <w:r w:rsidRPr="00170CB9">
              <w:t>6</w:t>
            </w:r>
          </w:p>
          <w:p w:rsidR="00011C3B" w:rsidRPr="00170CB9" w:rsidRDefault="00011C3B" w:rsidP="004869BB">
            <w:pPr>
              <w:pStyle w:val="Normltblajobb"/>
            </w:pPr>
            <w:r w:rsidRPr="00170CB9">
              <w:t>803</w:t>
            </w:r>
          </w:p>
          <w:p w:rsidR="00011C3B" w:rsidRPr="00170CB9" w:rsidRDefault="00011C3B" w:rsidP="004869BB">
            <w:pPr>
              <w:pStyle w:val="Normltblajobb"/>
            </w:pPr>
          </w:p>
          <w:p w:rsidR="00011C3B" w:rsidRPr="00170CB9" w:rsidRDefault="00011C3B" w:rsidP="004869BB">
            <w:pPr>
              <w:pStyle w:val="Normltblajobb"/>
            </w:pPr>
            <w:r w:rsidRPr="00170CB9">
              <w:t>2</w:t>
            </w:r>
            <w:r w:rsidR="00D77625" w:rsidRPr="00170CB9">
              <w:t xml:space="preserve"> </w:t>
            </w:r>
            <w:r w:rsidRPr="00170CB9">
              <w:t>594</w:t>
            </w:r>
          </w:p>
          <w:p w:rsidR="00011C3B" w:rsidRPr="00170CB9" w:rsidRDefault="00E54170" w:rsidP="004869BB">
            <w:pPr>
              <w:pStyle w:val="Normltblajobb"/>
            </w:pPr>
            <w:r w:rsidRPr="00170CB9">
              <w:t>949</w:t>
            </w:r>
          </w:p>
        </w:tc>
      </w:tr>
      <w:tr w:rsidR="00011C3B" w:rsidRPr="00170CB9" w:rsidTr="00011C3B">
        <w:trPr>
          <w:jc w:val="center"/>
        </w:trPr>
        <w:tc>
          <w:tcPr>
            <w:tcW w:w="496" w:type="dxa"/>
            <w:vMerge/>
            <w:tcBorders>
              <w:left w:val="single" w:sz="4" w:space="0" w:color="auto"/>
              <w:bottom w:val="single" w:sz="4" w:space="0" w:color="auto"/>
              <w:right w:val="single" w:sz="4" w:space="0" w:color="auto"/>
            </w:tcBorders>
          </w:tcPr>
          <w:p w:rsidR="00011C3B" w:rsidRPr="00170CB9" w:rsidRDefault="00011C3B" w:rsidP="00011C3B">
            <w:pPr>
              <w:pStyle w:val="Exhibit"/>
              <w:spacing w:before="0" w:after="0"/>
              <w:jc w:val="center"/>
              <w:rPr>
                <w:b w:val="0"/>
                <w:bCs w:val="0"/>
                <w:lang w:bidi="sa-IN"/>
              </w:rPr>
            </w:pPr>
          </w:p>
        </w:tc>
        <w:tc>
          <w:tcPr>
            <w:tcW w:w="5768" w:type="dxa"/>
            <w:tcBorders>
              <w:top w:val="single" w:sz="4" w:space="0" w:color="auto"/>
              <w:left w:val="single" w:sz="4" w:space="0" w:color="auto"/>
              <w:bottom w:val="single" w:sz="4" w:space="0" w:color="auto"/>
              <w:right w:val="single" w:sz="4" w:space="0" w:color="auto"/>
            </w:tcBorders>
          </w:tcPr>
          <w:p w:rsidR="00011C3B" w:rsidRPr="00170CB9" w:rsidRDefault="00011C3B" w:rsidP="00011C3B">
            <w:pPr>
              <w:pStyle w:val="Exhibit"/>
              <w:spacing w:before="0" w:after="0"/>
              <w:rPr>
                <w:b w:val="0"/>
                <w:bCs w:val="0"/>
                <w:lang w:bidi="sa-IN"/>
              </w:rPr>
            </w:pPr>
            <w:r w:rsidRPr="00170CB9">
              <w:rPr>
                <w:b w:val="0"/>
                <w:bCs w:val="0"/>
                <w:lang w:bidi="sa-IN"/>
              </w:rPr>
              <w:t>A támogatott fejlesztések teljes összege (EUR)</w:t>
            </w:r>
          </w:p>
        </w:tc>
        <w:tc>
          <w:tcPr>
            <w:tcW w:w="1806" w:type="dxa"/>
            <w:tcBorders>
              <w:top w:val="single" w:sz="4" w:space="0" w:color="auto"/>
              <w:left w:val="single" w:sz="4" w:space="0" w:color="auto"/>
              <w:bottom w:val="single" w:sz="4" w:space="0" w:color="auto"/>
              <w:right w:val="single" w:sz="4" w:space="0" w:color="auto"/>
            </w:tcBorders>
          </w:tcPr>
          <w:p w:rsidR="00011C3B" w:rsidRPr="00170CB9" w:rsidRDefault="00851B3C" w:rsidP="004869BB">
            <w:pPr>
              <w:pStyle w:val="Normltblajobb"/>
              <w:rPr>
                <w:lang w:bidi="sa-IN"/>
              </w:rPr>
            </w:pPr>
            <w:r w:rsidRPr="00170CB9">
              <w:rPr>
                <w:lang w:bidi="sa-IN"/>
              </w:rPr>
              <w:t>42 538 990</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4869BB">
            <w:pPr>
              <w:pStyle w:val="Normltblajobb"/>
            </w:pPr>
            <w:r w:rsidRPr="00170CB9">
              <w:t>42 538 990</w:t>
            </w:r>
          </w:p>
        </w:tc>
      </w:tr>
      <w:tr w:rsidR="00011C3B" w:rsidRPr="00170CB9" w:rsidTr="00011C3B">
        <w:trPr>
          <w:jc w:val="center"/>
        </w:trPr>
        <w:tc>
          <w:tcPr>
            <w:tcW w:w="496" w:type="dxa"/>
            <w:vMerge w:val="restart"/>
            <w:tcBorders>
              <w:top w:val="single" w:sz="4" w:space="0" w:color="auto"/>
              <w:left w:val="single" w:sz="4" w:space="0" w:color="auto"/>
              <w:right w:val="single" w:sz="4" w:space="0" w:color="auto"/>
            </w:tcBorders>
          </w:tcPr>
          <w:p w:rsidR="00011C3B" w:rsidRPr="00170CB9" w:rsidRDefault="00011C3B" w:rsidP="00011C3B">
            <w:pPr>
              <w:pStyle w:val="TableText"/>
              <w:spacing w:before="0" w:after="0"/>
              <w:jc w:val="center"/>
              <w:rPr>
                <w:rFonts w:eastAsia="Times New Roman"/>
                <w:lang w:bidi="sa-IN"/>
              </w:rPr>
            </w:pPr>
            <w:r w:rsidRPr="00170CB9">
              <w:rPr>
                <w:rFonts w:eastAsia="Times New Roman"/>
                <w:lang w:bidi="sa-IN"/>
              </w:rPr>
              <w:t>R</w:t>
            </w:r>
          </w:p>
        </w:tc>
        <w:tc>
          <w:tcPr>
            <w:tcW w:w="576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011C3B">
            <w:pPr>
              <w:pStyle w:val="TableText"/>
              <w:spacing w:before="0" w:after="0"/>
              <w:ind w:left="244"/>
              <w:rPr>
                <w:rFonts w:eastAsia="Times New Roman"/>
                <w:b/>
                <w:bCs/>
                <w:lang w:bidi="sa-IN"/>
              </w:rPr>
            </w:pPr>
            <w:r w:rsidRPr="00170CB9">
              <w:rPr>
                <w:rFonts w:eastAsia="Times New Roman"/>
                <w:b/>
                <w:bCs/>
                <w:lang w:bidi="sa-IN"/>
              </w:rPr>
              <w:t>Létrehozott munkahelyek száma összesen (db)</w:t>
            </w:r>
          </w:p>
          <w:p w:rsidR="00011C3B" w:rsidRPr="00170CB9" w:rsidRDefault="00011C3B" w:rsidP="00011C3B">
            <w:pPr>
              <w:pStyle w:val="Normltblateljes"/>
              <w:suppressAutoHyphens w:val="0"/>
              <w:spacing w:after="0"/>
              <w:rPr>
                <w:sz w:val="20"/>
                <w:szCs w:val="20"/>
                <w:lang w:bidi="sa-IN"/>
              </w:rPr>
            </w:pPr>
            <w:r w:rsidRPr="00170CB9">
              <w:rPr>
                <w:sz w:val="20"/>
                <w:szCs w:val="20"/>
                <w:lang w:bidi="sa-IN"/>
              </w:rPr>
              <w:t>Létrehozott új munkahelyek száma az alábbiak szerint:</w:t>
            </w:r>
          </w:p>
          <w:p w:rsidR="00011C3B" w:rsidRPr="00170CB9" w:rsidRDefault="00011C3B" w:rsidP="00495C8B">
            <w:pPr>
              <w:numPr>
                <w:ilvl w:val="0"/>
                <w:numId w:val="46"/>
              </w:numPr>
              <w:spacing w:after="0"/>
              <w:rPr>
                <w:sz w:val="20"/>
                <w:szCs w:val="20"/>
              </w:rPr>
            </w:pPr>
            <w:r w:rsidRPr="00170CB9">
              <w:rPr>
                <w:sz w:val="20"/>
                <w:szCs w:val="20"/>
              </w:rPr>
              <w:t xml:space="preserve">üzemi és üzemen kívüli munkahelyek: </w:t>
            </w:r>
          </w:p>
          <w:p w:rsidR="00011C3B" w:rsidRPr="00170CB9" w:rsidRDefault="00011C3B" w:rsidP="00495C8B">
            <w:pPr>
              <w:numPr>
                <w:ilvl w:val="0"/>
                <w:numId w:val="46"/>
              </w:numPr>
              <w:spacing w:after="0"/>
              <w:rPr>
                <w:sz w:val="20"/>
                <w:szCs w:val="20"/>
                <w:lang w:bidi="sa-IN"/>
              </w:rPr>
            </w:pPr>
            <w:r w:rsidRPr="00170CB9">
              <w:rPr>
                <w:sz w:val="20"/>
                <w:szCs w:val="20"/>
              </w:rPr>
              <w:t>a tám</w:t>
            </w:r>
            <w:r w:rsidRPr="00170CB9">
              <w:rPr>
                <w:sz w:val="20"/>
                <w:szCs w:val="20"/>
                <w:lang w:bidi="sa-IN"/>
              </w:rPr>
              <w:t>ogatott tevékenység által létrehozott üzemi munkahely</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agroturizmus</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kézművesség</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kiskereskedelem</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megújulóenergia-termelés</w:t>
            </w:r>
          </w:p>
          <w:p w:rsidR="00011C3B" w:rsidRPr="00170CB9" w:rsidRDefault="00011C3B" w:rsidP="00495C8B">
            <w:pPr>
              <w:numPr>
                <w:ilvl w:val="0"/>
                <w:numId w:val="46"/>
              </w:numPr>
              <w:tabs>
                <w:tab w:val="clear" w:pos="1080"/>
                <w:tab w:val="num" w:pos="1620"/>
              </w:tabs>
              <w:spacing w:after="0"/>
              <w:ind w:left="1440" w:hanging="180"/>
              <w:rPr>
                <w:sz w:val="20"/>
                <w:szCs w:val="20"/>
                <w:lang w:val="en-GB" w:bidi="sa-IN"/>
              </w:rPr>
            </w:pPr>
            <w:r w:rsidRPr="00170CB9">
              <w:rPr>
                <w:sz w:val="20"/>
                <w:szCs w:val="20"/>
              </w:rPr>
              <w:t>egyéb</w:t>
            </w:r>
          </w:p>
          <w:p w:rsidR="00011C3B" w:rsidRPr="00170CB9" w:rsidRDefault="00011C3B" w:rsidP="00495C8B">
            <w:pPr>
              <w:numPr>
                <w:ilvl w:val="0"/>
                <w:numId w:val="46"/>
              </w:numPr>
              <w:spacing w:after="0"/>
              <w:rPr>
                <w:sz w:val="20"/>
                <w:szCs w:val="20"/>
                <w:lang w:val="en-GB" w:bidi="sa-IN"/>
              </w:rPr>
            </w:pPr>
            <w:r w:rsidRPr="00170CB9">
              <w:rPr>
                <w:sz w:val="20"/>
                <w:szCs w:val="20"/>
              </w:rPr>
              <w:lastRenderedPageBreak/>
              <w:t>támogatott</w:t>
            </w:r>
            <w:r w:rsidRPr="00170CB9">
              <w:rPr>
                <w:sz w:val="20"/>
                <w:szCs w:val="20"/>
                <w:lang w:bidi="sa-IN"/>
              </w:rPr>
              <w:t xml:space="preserve"> tevékenység által létrehozott üzemen kívüli munkahely</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turizmus</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kézművesség</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kiskereskedelem</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megújulóenergia-termelés</w:t>
            </w:r>
          </w:p>
          <w:p w:rsidR="00011C3B" w:rsidRPr="00170CB9" w:rsidRDefault="00011C3B" w:rsidP="00495C8B">
            <w:pPr>
              <w:numPr>
                <w:ilvl w:val="0"/>
                <w:numId w:val="46"/>
              </w:numPr>
              <w:tabs>
                <w:tab w:val="clear" w:pos="1080"/>
                <w:tab w:val="num" w:pos="1620"/>
              </w:tabs>
              <w:spacing w:after="0"/>
              <w:ind w:left="1440" w:hanging="180"/>
              <w:rPr>
                <w:sz w:val="20"/>
                <w:szCs w:val="20"/>
              </w:rPr>
            </w:pPr>
            <w:r w:rsidRPr="00170CB9">
              <w:rPr>
                <w:sz w:val="20"/>
                <w:szCs w:val="20"/>
              </w:rPr>
              <w:t>egyéb</w:t>
            </w:r>
          </w:p>
          <w:p w:rsidR="00011C3B" w:rsidRPr="00170CB9" w:rsidRDefault="00011C3B" w:rsidP="00011C3B">
            <w:pPr>
              <w:pStyle w:val="Normltblateljes"/>
              <w:spacing w:after="0"/>
              <w:rPr>
                <w:sz w:val="20"/>
                <w:szCs w:val="20"/>
                <w:lang w:bidi="sa-IN"/>
              </w:rPr>
            </w:pPr>
            <w:r w:rsidRPr="00170CB9">
              <w:rPr>
                <w:sz w:val="20"/>
                <w:szCs w:val="20"/>
                <w:lang w:bidi="sa-IN"/>
              </w:rPr>
              <w:t>Nem (férfi/nő)</w:t>
            </w:r>
          </w:p>
          <w:p w:rsidR="00011C3B" w:rsidRPr="00170CB9" w:rsidRDefault="00011C3B" w:rsidP="00011C3B">
            <w:pPr>
              <w:pStyle w:val="Normltblateljes"/>
              <w:spacing w:after="0"/>
              <w:rPr>
                <w:sz w:val="20"/>
                <w:szCs w:val="20"/>
                <w:lang w:bidi="sa-IN"/>
              </w:rPr>
            </w:pPr>
            <w:r w:rsidRPr="00170CB9">
              <w:rPr>
                <w:sz w:val="20"/>
                <w:szCs w:val="20"/>
                <w:lang w:bidi="sa-IN"/>
              </w:rPr>
              <w:t>Korosztály</w:t>
            </w:r>
          </w:p>
          <w:p w:rsidR="00011C3B" w:rsidRPr="00170CB9" w:rsidRDefault="00011C3B" w:rsidP="00495C8B">
            <w:pPr>
              <w:numPr>
                <w:ilvl w:val="0"/>
                <w:numId w:val="46"/>
              </w:numPr>
              <w:spacing w:after="0"/>
              <w:rPr>
                <w:sz w:val="20"/>
                <w:szCs w:val="20"/>
              </w:rPr>
            </w:pPr>
            <w:r w:rsidRPr="00170CB9">
              <w:rPr>
                <w:sz w:val="20"/>
                <w:szCs w:val="20"/>
                <w:lang w:bidi="sa-IN"/>
              </w:rPr>
              <w:t xml:space="preserve">25 év </w:t>
            </w:r>
            <w:r w:rsidRPr="00170CB9">
              <w:rPr>
                <w:sz w:val="20"/>
                <w:szCs w:val="20"/>
              </w:rPr>
              <w:t>alatt</w:t>
            </w:r>
          </w:p>
          <w:p w:rsidR="00011C3B" w:rsidRPr="00170CB9" w:rsidRDefault="00011C3B" w:rsidP="00495C8B">
            <w:pPr>
              <w:numPr>
                <w:ilvl w:val="0"/>
                <w:numId w:val="46"/>
              </w:numPr>
              <w:spacing w:after="0"/>
              <w:rPr>
                <w:sz w:val="20"/>
                <w:szCs w:val="20"/>
                <w:lang w:val="en-GB" w:bidi="sa-IN"/>
              </w:rPr>
            </w:pPr>
            <w:r w:rsidRPr="00170CB9">
              <w:rPr>
                <w:sz w:val="20"/>
                <w:szCs w:val="20"/>
              </w:rPr>
              <w:t>25 éves</w:t>
            </w:r>
            <w:r w:rsidRPr="00170CB9">
              <w:rPr>
                <w:sz w:val="20"/>
                <w:szCs w:val="20"/>
                <w:lang w:bidi="sa-IN"/>
              </w:rPr>
              <w:t xml:space="preserve"> vagy idősebb</w:t>
            </w:r>
          </w:p>
          <w:p w:rsidR="00011C3B" w:rsidRPr="00170CB9" w:rsidRDefault="00011C3B" w:rsidP="00011C3B">
            <w:pPr>
              <w:pStyle w:val="Normltblateljes"/>
              <w:spacing w:after="0"/>
              <w:rPr>
                <w:sz w:val="20"/>
                <w:szCs w:val="20"/>
                <w:lang w:bidi="sa-IN"/>
              </w:rPr>
            </w:pPr>
            <w:r w:rsidRPr="00170CB9">
              <w:rPr>
                <w:sz w:val="20"/>
                <w:szCs w:val="20"/>
                <w:lang w:bidi="sa-IN"/>
              </w:rPr>
              <w:t xml:space="preserve">Leader </w:t>
            </w:r>
          </w:p>
          <w:p w:rsidR="00011C3B" w:rsidRPr="00170CB9" w:rsidRDefault="00011C3B" w:rsidP="00495C8B">
            <w:pPr>
              <w:numPr>
                <w:ilvl w:val="0"/>
                <w:numId w:val="46"/>
              </w:numPr>
              <w:spacing w:after="0"/>
              <w:rPr>
                <w:sz w:val="20"/>
                <w:szCs w:val="20"/>
              </w:rPr>
            </w:pPr>
            <w:r w:rsidRPr="00170CB9">
              <w:rPr>
                <w:sz w:val="20"/>
                <w:szCs w:val="20"/>
                <w:lang w:bidi="sa-IN"/>
              </w:rPr>
              <w:t xml:space="preserve">I. </w:t>
            </w:r>
            <w:r w:rsidRPr="00170CB9">
              <w:rPr>
                <w:sz w:val="20"/>
                <w:szCs w:val="20"/>
              </w:rPr>
              <w:t>tengely</w:t>
            </w:r>
          </w:p>
          <w:p w:rsidR="00011C3B" w:rsidRPr="00170CB9" w:rsidRDefault="00011C3B" w:rsidP="00495C8B">
            <w:pPr>
              <w:numPr>
                <w:ilvl w:val="0"/>
                <w:numId w:val="46"/>
              </w:numPr>
              <w:spacing w:after="0"/>
              <w:rPr>
                <w:sz w:val="20"/>
                <w:szCs w:val="20"/>
              </w:rPr>
            </w:pPr>
            <w:r w:rsidRPr="00170CB9">
              <w:rPr>
                <w:sz w:val="20"/>
                <w:szCs w:val="20"/>
              </w:rPr>
              <w:t>II. tengely</w:t>
            </w:r>
          </w:p>
          <w:p w:rsidR="00011C3B" w:rsidRPr="00170CB9" w:rsidRDefault="00011C3B" w:rsidP="00495C8B">
            <w:pPr>
              <w:numPr>
                <w:ilvl w:val="0"/>
                <w:numId w:val="46"/>
              </w:numPr>
              <w:spacing w:after="0"/>
              <w:rPr>
                <w:sz w:val="20"/>
                <w:szCs w:val="20"/>
                <w:lang w:bidi="sa-IN"/>
              </w:rPr>
            </w:pPr>
            <w:r w:rsidRPr="00170CB9">
              <w:rPr>
                <w:sz w:val="20"/>
                <w:szCs w:val="20"/>
              </w:rPr>
              <w:t>III. tengely</w:t>
            </w:r>
          </w:p>
        </w:tc>
        <w:tc>
          <w:tcPr>
            <w:tcW w:w="1806" w:type="dxa"/>
            <w:tcBorders>
              <w:top w:val="single" w:sz="4" w:space="0" w:color="auto"/>
              <w:left w:val="single" w:sz="4" w:space="0" w:color="auto"/>
              <w:bottom w:val="single" w:sz="4" w:space="0" w:color="auto"/>
              <w:right w:val="single" w:sz="4" w:space="0" w:color="auto"/>
            </w:tcBorders>
          </w:tcPr>
          <w:p w:rsidR="00011C3B" w:rsidRPr="00170CB9" w:rsidRDefault="00011C3B" w:rsidP="004869BB">
            <w:pPr>
              <w:pStyle w:val="Normltblajobb"/>
              <w:ind w:left="244"/>
              <w:rPr>
                <w:lang w:bidi="sa-IN"/>
              </w:rPr>
            </w:pPr>
            <w:r w:rsidRPr="00170CB9">
              <w:rPr>
                <w:lang w:bidi="sa-IN"/>
              </w:rPr>
              <w:lastRenderedPageBreak/>
              <w:t>4 600</w:t>
            </w: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lastRenderedPageBreak/>
              <w:t>4</w:t>
            </w:r>
            <w:r w:rsidR="00D77625" w:rsidRPr="00170CB9">
              <w:rPr>
                <w:lang w:bidi="sa-IN"/>
              </w:rPr>
              <w:t xml:space="preserve"> </w:t>
            </w:r>
            <w:r w:rsidRPr="00170CB9">
              <w:rPr>
                <w:lang w:bidi="sa-IN"/>
              </w:rPr>
              <w:t>600</w:t>
            </w:r>
          </w:p>
          <w:p w:rsidR="00011C3B" w:rsidRPr="00170CB9" w:rsidRDefault="00011C3B" w:rsidP="004869BB">
            <w:pPr>
              <w:pStyle w:val="Normltblajobb"/>
              <w:rPr>
                <w:lang w:bidi="sa-IN"/>
              </w:rPr>
            </w:pP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100</w:t>
            </w:r>
          </w:p>
          <w:p w:rsidR="00011C3B" w:rsidRPr="00170CB9" w:rsidRDefault="00011C3B" w:rsidP="004869BB">
            <w:pPr>
              <w:pStyle w:val="Normltblajobb"/>
              <w:rPr>
                <w:lang w:bidi="sa-IN"/>
              </w:rPr>
            </w:pPr>
            <w:r w:rsidRPr="00170CB9">
              <w:rPr>
                <w:lang w:bidi="sa-IN"/>
              </w:rPr>
              <w:t>200</w:t>
            </w:r>
          </w:p>
          <w:p w:rsidR="00011C3B" w:rsidRPr="00170CB9" w:rsidRDefault="00011C3B" w:rsidP="004869BB">
            <w:pPr>
              <w:pStyle w:val="Normltblajobb"/>
              <w:rPr>
                <w:lang w:bidi="sa-IN"/>
              </w:rPr>
            </w:pPr>
            <w:r w:rsidRPr="00170CB9">
              <w:rPr>
                <w:lang w:bidi="sa-IN"/>
              </w:rPr>
              <w:t>4</w:t>
            </w:r>
            <w:r w:rsidR="00D77625" w:rsidRPr="00170CB9">
              <w:rPr>
                <w:lang w:bidi="sa-IN"/>
              </w:rPr>
              <w:t xml:space="preserve"> </w:t>
            </w:r>
            <w:r w:rsidRPr="00170CB9">
              <w:rPr>
                <w:lang w:bidi="sa-IN"/>
              </w:rPr>
              <w:t>300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3</w:t>
            </w:r>
            <w:r w:rsidR="00D77625" w:rsidRPr="00170CB9">
              <w:rPr>
                <w:lang w:bidi="sa-IN"/>
              </w:rPr>
              <w:t xml:space="preserve"> </w:t>
            </w:r>
            <w:r w:rsidRPr="00170CB9">
              <w:rPr>
                <w:lang w:bidi="sa-IN"/>
              </w:rPr>
              <w:t>840/960</w:t>
            </w:r>
          </w:p>
          <w:p w:rsidR="00011C3B" w:rsidRPr="00170CB9" w:rsidRDefault="00011C3B" w:rsidP="004869BB">
            <w:pPr>
              <w:pStyle w:val="Normltblajobb"/>
              <w:rPr>
                <w:lang w:bidi="sa-IN"/>
              </w:rPr>
            </w:pPr>
          </w:p>
          <w:p w:rsidR="00011C3B" w:rsidRPr="00170CB9" w:rsidRDefault="00011C3B" w:rsidP="004869BB">
            <w:pPr>
              <w:pStyle w:val="Normltblajobb"/>
              <w:rPr>
                <w:lang w:bidi="sa-IN"/>
              </w:rPr>
            </w:pPr>
            <w:r w:rsidRPr="00170CB9">
              <w:rPr>
                <w:lang w:bidi="sa-IN"/>
              </w:rPr>
              <w:t>900</w:t>
            </w:r>
          </w:p>
          <w:p w:rsidR="00011C3B" w:rsidRPr="00170CB9" w:rsidRDefault="00011C3B" w:rsidP="004869BB">
            <w:pPr>
              <w:pStyle w:val="Normltblajobb"/>
              <w:rPr>
                <w:lang w:bidi="sa-IN"/>
              </w:rPr>
            </w:pPr>
            <w:r w:rsidRPr="00170CB9">
              <w:rPr>
                <w:lang w:bidi="sa-IN"/>
              </w:rPr>
              <w:t>3900</w:t>
            </w:r>
          </w:p>
          <w:p w:rsidR="00011C3B" w:rsidRPr="00170CB9" w:rsidRDefault="00011C3B" w:rsidP="004869BB">
            <w:pPr>
              <w:pStyle w:val="Normltblajobb"/>
              <w:rPr>
                <w:lang w:bidi="sa-IN"/>
              </w:rPr>
            </w:pPr>
            <w:r w:rsidRPr="00170CB9">
              <w:rPr>
                <w:lang w:bidi="sa-IN"/>
              </w:rPr>
              <w:t>110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1B06E8" w:rsidP="004869BB">
            <w:pPr>
              <w:pStyle w:val="Normltblajobb"/>
              <w:ind w:left="244"/>
            </w:pPr>
            <w:r>
              <w:lastRenderedPageBreak/>
              <w:t>667,57</w:t>
            </w:r>
          </w:p>
          <w:p w:rsidR="00011C3B" w:rsidRPr="00170CB9" w:rsidRDefault="00011C3B" w:rsidP="004869BB">
            <w:pPr>
              <w:pStyle w:val="Normltblajobb"/>
            </w:pPr>
          </w:p>
          <w:p w:rsidR="00011C3B" w:rsidRPr="00170CB9" w:rsidRDefault="00011C3B" w:rsidP="004869BB">
            <w:pPr>
              <w:pStyle w:val="Normltblajobb"/>
            </w:pPr>
          </w:p>
          <w:p w:rsidR="00011C3B" w:rsidRPr="00170CB9" w:rsidRDefault="00011C3B" w:rsidP="004869BB">
            <w:pPr>
              <w:pStyle w:val="Normltblajobb"/>
              <w:rPr>
                <w:lang w:val="it-IT"/>
              </w:rPr>
            </w:pPr>
            <w:r w:rsidRPr="00170CB9">
              <w:rPr>
                <w:lang w:val="it-IT"/>
              </w:rPr>
              <w:t>0</w:t>
            </w:r>
          </w:p>
          <w:p w:rsidR="00011C3B" w:rsidRPr="00170CB9" w:rsidRDefault="00011C3B" w:rsidP="004869BB">
            <w:pPr>
              <w:pStyle w:val="Normltblajobb"/>
              <w:rPr>
                <w:lang w:val="it-IT"/>
              </w:rPr>
            </w:pPr>
            <w:r w:rsidRPr="00170CB9">
              <w:rPr>
                <w:lang w:val="it-IT"/>
              </w:rPr>
              <w:t>0</w:t>
            </w:r>
          </w:p>
          <w:p w:rsidR="00011C3B" w:rsidRPr="00170CB9" w:rsidRDefault="00011C3B" w:rsidP="004869BB">
            <w:pPr>
              <w:pStyle w:val="Normltblajobb"/>
              <w:rPr>
                <w:lang w:val="it-IT"/>
              </w:rPr>
            </w:pPr>
            <w:r w:rsidRPr="00170CB9">
              <w:rPr>
                <w:lang w:val="it-IT"/>
              </w:rPr>
              <w:t>15</w:t>
            </w:r>
          </w:p>
          <w:p w:rsidR="00011C3B" w:rsidRPr="00170CB9" w:rsidRDefault="00011C3B" w:rsidP="004869BB">
            <w:pPr>
              <w:pStyle w:val="Normltblajobb"/>
              <w:rPr>
                <w:lang w:val="it-IT"/>
              </w:rPr>
            </w:pPr>
            <w:r w:rsidRPr="00170CB9">
              <w:rPr>
                <w:lang w:val="it-IT"/>
              </w:rPr>
              <w:t>95,6</w:t>
            </w:r>
          </w:p>
          <w:p w:rsidR="00011C3B" w:rsidRPr="00170CB9" w:rsidRDefault="00011C3B" w:rsidP="004869BB">
            <w:pPr>
              <w:pStyle w:val="Normltblajobb"/>
              <w:rPr>
                <w:lang w:val="it-IT"/>
              </w:rPr>
            </w:pPr>
            <w:r w:rsidRPr="00170CB9">
              <w:rPr>
                <w:lang w:val="it-IT"/>
              </w:rPr>
              <w:t>10</w:t>
            </w:r>
          </w:p>
          <w:p w:rsidR="00011C3B" w:rsidRPr="00170CB9" w:rsidRDefault="00011C3B" w:rsidP="004869BB">
            <w:pPr>
              <w:pStyle w:val="Normltblajobb"/>
              <w:rPr>
                <w:lang w:val="it-IT"/>
              </w:rPr>
            </w:pPr>
            <w:r w:rsidRPr="00170CB9">
              <w:rPr>
                <w:lang w:val="it-IT"/>
              </w:rPr>
              <w:t>467,76</w:t>
            </w:r>
          </w:p>
          <w:p w:rsidR="00011C3B" w:rsidRPr="00170CB9" w:rsidRDefault="00011C3B" w:rsidP="004869BB">
            <w:pPr>
              <w:pStyle w:val="Normltblajobb"/>
              <w:rPr>
                <w:lang w:val="it-IT"/>
              </w:rPr>
            </w:pPr>
          </w:p>
          <w:p w:rsidR="00011C3B" w:rsidRPr="00170CB9" w:rsidRDefault="00011C3B" w:rsidP="004869BB">
            <w:pPr>
              <w:pStyle w:val="Normltblajobb"/>
              <w:rPr>
                <w:lang w:val="it-IT"/>
              </w:rPr>
            </w:pPr>
          </w:p>
          <w:p w:rsidR="00011C3B" w:rsidRPr="00170CB9" w:rsidRDefault="00BA0D6F" w:rsidP="004869BB">
            <w:pPr>
              <w:pStyle w:val="Normltblajobb"/>
              <w:rPr>
                <w:lang w:val="it-IT"/>
              </w:rPr>
            </w:pPr>
            <w:r>
              <w:rPr>
                <w:lang w:val="it-IT"/>
              </w:rPr>
              <w:t>5,33</w:t>
            </w:r>
          </w:p>
          <w:p w:rsidR="00011C3B" w:rsidRPr="00170CB9" w:rsidRDefault="00BA0D6F" w:rsidP="004869BB">
            <w:pPr>
              <w:pStyle w:val="Normltblajobb"/>
              <w:rPr>
                <w:lang w:val="it-IT"/>
              </w:rPr>
            </w:pPr>
            <w:r>
              <w:rPr>
                <w:lang w:val="it-IT"/>
              </w:rPr>
              <w:t>1,33</w:t>
            </w:r>
          </w:p>
          <w:p w:rsidR="00011C3B" w:rsidRPr="00170CB9" w:rsidRDefault="00BA0D6F" w:rsidP="004869BB">
            <w:pPr>
              <w:pStyle w:val="Normltblajobb"/>
              <w:rPr>
                <w:lang w:val="it-IT"/>
              </w:rPr>
            </w:pPr>
            <w:r>
              <w:rPr>
                <w:lang w:val="it-IT"/>
              </w:rPr>
              <w:t>154,33</w:t>
            </w:r>
          </w:p>
          <w:p w:rsidR="00011C3B" w:rsidRPr="00170CB9" w:rsidRDefault="00BA0D6F" w:rsidP="004869BB">
            <w:pPr>
              <w:pStyle w:val="Normltblajobb"/>
              <w:rPr>
                <w:lang w:val="it-IT"/>
              </w:rPr>
            </w:pPr>
            <w:r>
              <w:rPr>
                <w:lang w:val="it-IT"/>
              </w:rPr>
              <w:t>21,33</w:t>
            </w:r>
          </w:p>
          <w:p w:rsidR="00011C3B" w:rsidRPr="00170CB9" w:rsidRDefault="00BA0D6F" w:rsidP="004869BB">
            <w:pPr>
              <w:pStyle w:val="Normltblajobb"/>
              <w:rPr>
                <w:lang w:val="it-IT"/>
              </w:rPr>
            </w:pPr>
            <w:r>
              <w:rPr>
                <w:lang w:val="it-IT"/>
              </w:rPr>
              <w:t>485,24</w:t>
            </w:r>
          </w:p>
          <w:p w:rsidR="00011C3B" w:rsidRPr="00170CB9" w:rsidRDefault="00BA0D6F" w:rsidP="004869BB">
            <w:pPr>
              <w:pStyle w:val="Normltblajobb"/>
              <w:rPr>
                <w:lang w:val="it-IT"/>
              </w:rPr>
            </w:pPr>
            <w:r>
              <w:rPr>
                <w:lang w:val="it-IT"/>
              </w:rPr>
              <w:t>366,04</w:t>
            </w:r>
            <w:r w:rsidR="00011C3B" w:rsidRPr="00170CB9">
              <w:rPr>
                <w:lang w:val="it-IT"/>
              </w:rPr>
              <w:t>/</w:t>
            </w:r>
            <w:r>
              <w:rPr>
                <w:lang w:val="it-IT"/>
              </w:rPr>
              <w:t>301,53</w:t>
            </w:r>
          </w:p>
          <w:p w:rsidR="00011C3B" w:rsidRPr="00170CB9" w:rsidRDefault="00011C3B" w:rsidP="004869BB">
            <w:pPr>
              <w:pStyle w:val="Normltblajobb"/>
              <w:rPr>
                <w:lang w:val="it-IT"/>
              </w:rPr>
            </w:pPr>
          </w:p>
          <w:p w:rsidR="00011C3B" w:rsidRPr="00170CB9" w:rsidRDefault="00BA0D6F" w:rsidP="004869BB">
            <w:pPr>
              <w:pStyle w:val="Normltblajobb"/>
              <w:rPr>
                <w:lang w:val="it-IT"/>
              </w:rPr>
            </w:pPr>
            <w:r>
              <w:rPr>
                <w:lang w:val="it-IT"/>
              </w:rPr>
              <w:t>94,06</w:t>
            </w:r>
          </w:p>
          <w:p w:rsidR="00011C3B" w:rsidRPr="00170CB9" w:rsidRDefault="00BA0D6F" w:rsidP="004869BB">
            <w:pPr>
              <w:pStyle w:val="Normltblajobb"/>
              <w:rPr>
                <w:lang w:val="it-IT"/>
              </w:rPr>
            </w:pPr>
            <w:r>
              <w:rPr>
                <w:lang w:val="it-IT"/>
              </w:rPr>
              <w:t>573,51</w:t>
            </w:r>
          </w:p>
          <w:p w:rsidR="00011C3B" w:rsidRPr="00170CB9" w:rsidRDefault="00BA0D6F" w:rsidP="004869BB">
            <w:pPr>
              <w:pStyle w:val="Normltblajobb"/>
              <w:rPr>
                <w:lang w:val="it-IT"/>
              </w:rPr>
            </w:pPr>
            <w:r>
              <w:rPr>
                <w:lang w:val="it-IT"/>
              </w:rPr>
              <w:t>NA</w:t>
            </w:r>
          </w:p>
          <w:p w:rsidR="00011C3B" w:rsidRPr="00170CB9" w:rsidRDefault="00BA0D6F" w:rsidP="004869BB">
            <w:pPr>
              <w:pStyle w:val="Normltblajobb"/>
              <w:rPr>
                <w:lang w:val="it-IT"/>
              </w:rPr>
            </w:pPr>
            <w:r>
              <w:rPr>
                <w:lang w:val="it-IT"/>
              </w:rPr>
              <w:t>NA</w:t>
            </w:r>
          </w:p>
          <w:p w:rsidR="00011C3B" w:rsidRPr="00170CB9" w:rsidRDefault="00BA0D6F" w:rsidP="004869BB">
            <w:pPr>
              <w:pStyle w:val="Normltblajobb"/>
              <w:rPr>
                <w:lang w:val="it-IT"/>
              </w:rPr>
            </w:pPr>
            <w:r>
              <w:rPr>
                <w:lang w:val="it-IT"/>
              </w:rPr>
              <w:t>NA</w:t>
            </w:r>
          </w:p>
          <w:p w:rsidR="00011C3B" w:rsidRPr="00170CB9" w:rsidRDefault="00BA0D6F" w:rsidP="004869BB">
            <w:pPr>
              <w:pStyle w:val="Normltblajobb"/>
              <w:rPr>
                <w:lang w:val="it-IT"/>
              </w:rPr>
            </w:pPr>
            <w:r>
              <w:rPr>
                <w:lang w:val="it-IT"/>
              </w:rPr>
              <w:t>NA</w:t>
            </w:r>
          </w:p>
          <w:p w:rsidR="00011C3B" w:rsidRPr="00170CB9" w:rsidRDefault="00011C3B" w:rsidP="004869BB">
            <w:pPr>
              <w:pStyle w:val="Normltblajobb"/>
              <w:rPr>
                <w:lang w:val="it-IT"/>
              </w:rPr>
            </w:pPr>
          </w:p>
        </w:tc>
      </w:tr>
      <w:tr w:rsidR="00011C3B" w:rsidRPr="00170CB9" w:rsidTr="00011C3B">
        <w:trPr>
          <w:jc w:val="center"/>
        </w:trPr>
        <w:tc>
          <w:tcPr>
            <w:tcW w:w="496" w:type="dxa"/>
            <w:vMerge/>
            <w:tcBorders>
              <w:left w:val="single" w:sz="4" w:space="0" w:color="auto"/>
              <w:bottom w:val="single" w:sz="4" w:space="0" w:color="auto"/>
              <w:right w:val="single" w:sz="4" w:space="0" w:color="auto"/>
            </w:tcBorders>
          </w:tcPr>
          <w:p w:rsidR="00011C3B" w:rsidRPr="00170CB9" w:rsidRDefault="00011C3B" w:rsidP="00011C3B">
            <w:pPr>
              <w:pStyle w:val="TableText"/>
              <w:spacing w:before="0" w:after="0"/>
              <w:jc w:val="center"/>
              <w:rPr>
                <w:rFonts w:eastAsia="Times New Roman"/>
                <w:lang w:bidi="sa-IN"/>
              </w:rPr>
            </w:pPr>
          </w:p>
        </w:tc>
        <w:tc>
          <w:tcPr>
            <w:tcW w:w="5768" w:type="dxa"/>
            <w:tcBorders>
              <w:top w:val="single" w:sz="4" w:space="0" w:color="auto"/>
              <w:left w:val="single" w:sz="4" w:space="0" w:color="auto"/>
              <w:bottom w:val="single" w:sz="4" w:space="0" w:color="auto"/>
              <w:right w:val="single" w:sz="4" w:space="0" w:color="auto"/>
            </w:tcBorders>
          </w:tcPr>
          <w:p w:rsidR="00011C3B" w:rsidRPr="00170CB9" w:rsidRDefault="00011C3B" w:rsidP="00011C3B">
            <w:pPr>
              <w:pStyle w:val="TableText"/>
              <w:spacing w:before="0" w:after="0"/>
              <w:ind w:left="244"/>
              <w:rPr>
                <w:rFonts w:eastAsia="Times New Roman"/>
                <w:b/>
                <w:bCs/>
                <w:lang w:bidi="sa-IN"/>
              </w:rPr>
            </w:pPr>
            <w:r w:rsidRPr="00170CB9">
              <w:rPr>
                <w:rFonts w:eastAsia="Times New Roman"/>
                <w:b/>
                <w:bCs/>
                <w:lang w:bidi="sa-IN"/>
              </w:rPr>
              <w:t xml:space="preserve">A nem mezőgazdasági bruttó hozzáadott érték növekedése a támogatott vállalkozásokban (EUR) </w:t>
            </w:r>
          </w:p>
          <w:p w:rsidR="00011C3B" w:rsidRPr="00170CB9" w:rsidRDefault="00011C3B" w:rsidP="00011C3B">
            <w:pPr>
              <w:pStyle w:val="Normltblateljes"/>
              <w:spacing w:after="0"/>
              <w:rPr>
                <w:sz w:val="20"/>
                <w:szCs w:val="20"/>
                <w:lang w:bidi="sa-IN"/>
              </w:rPr>
            </w:pPr>
            <w:r w:rsidRPr="00170CB9">
              <w:rPr>
                <w:sz w:val="20"/>
                <w:szCs w:val="20"/>
                <w:lang w:bidi="sa-IN"/>
              </w:rPr>
              <w:t>intézkedésenként</w:t>
            </w:r>
          </w:p>
          <w:p w:rsidR="00011C3B" w:rsidRPr="00170CB9" w:rsidRDefault="00011C3B" w:rsidP="00011C3B">
            <w:pPr>
              <w:pStyle w:val="Normltblateljes"/>
              <w:spacing w:after="0"/>
              <w:rPr>
                <w:sz w:val="20"/>
                <w:szCs w:val="20"/>
                <w:lang w:bidi="sa-IN"/>
              </w:rPr>
            </w:pPr>
            <w:r w:rsidRPr="00170CB9">
              <w:rPr>
                <w:sz w:val="20"/>
                <w:szCs w:val="20"/>
                <w:lang w:bidi="sa-IN"/>
              </w:rPr>
              <w:t>az üzem típusa szerint:</w:t>
            </w:r>
          </w:p>
          <w:p w:rsidR="00011C3B" w:rsidRPr="00170CB9" w:rsidRDefault="00011C3B" w:rsidP="00495C8B">
            <w:pPr>
              <w:numPr>
                <w:ilvl w:val="0"/>
                <w:numId w:val="46"/>
              </w:numPr>
              <w:spacing w:after="0"/>
              <w:rPr>
                <w:sz w:val="20"/>
                <w:szCs w:val="20"/>
                <w:lang w:bidi="sa-IN"/>
              </w:rPr>
            </w:pPr>
            <w:r w:rsidRPr="00170CB9">
              <w:rPr>
                <w:sz w:val="20"/>
                <w:szCs w:val="20"/>
                <w:lang w:bidi="sa-IN"/>
              </w:rPr>
              <w:t>mezőgazdasági üzem</w:t>
            </w:r>
          </w:p>
          <w:p w:rsidR="00011C3B" w:rsidRPr="00170CB9" w:rsidRDefault="00011C3B" w:rsidP="00495C8B">
            <w:pPr>
              <w:numPr>
                <w:ilvl w:val="0"/>
                <w:numId w:val="46"/>
              </w:numPr>
              <w:spacing w:after="0"/>
              <w:rPr>
                <w:sz w:val="20"/>
                <w:szCs w:val="20"/>
                <w:lang w:bidi="sa-IN"/>
              </w:rPr>
            </w:pPr>
            <w:r w:rsidRPr="00170CB9">
              <w:rPr>
                <w:sz w:val="20"/>
                <w:szCs w:val="20"/>
                <w:lang w:bidi="sa-IN"/>
              </w:rPr>
              <w:t>egyéb vállalkozások</w:t>
            </w:r>
          </w:p>
        </w:tc>
        <w:tc>
          <w:tcPr>
            <w:tcW w:w="1806" w:type="dxa"/>
            <w:tcBorders>
              <w:top w:val="single" w:sz="4" w:space="0" w:color="auto"/>
              <w:left w:val="single" w:sz="4" w:space="0" w:color="auto"/>
              <w:bottom w:val="single" w:sz="4" w:space="0" w:color="auto"/>
              <w:right w:val="single" w:sz="4" w:space="0" w:color="auto"/>
            </w:tcBorders>
          </w:tcPr>
          <w:p w:rsidR="00011C3B" w:rsidRPr="00170CB9" w:rsidRDefault="00011C3B" w:rsidP="004869BB">
            <w:pPr>
              <w:pStyle w:val="Normltblajobb"/>
              <w:ind w:left="244"/>
              <w:rPr>
                <w:lang w:bidi="sa-IN"/>
              </w:rPr>
            </w:pPr>
            <w:r w:rsidRPr="00170CB9">
              <w:rPr>
                <w:lang w:bidi="sa-IN"/>
              </w:rPr>
              <w:t>131,4 millió</w:t>
            </w: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011C3B" w:rsidP="004869BB">
            <w:pPr>
              <w:pStyle w:val="Normltblajobb"/>
              <w:rPr>
                <w:lang w:bidi="sa-IN"/>
              </w:rPr>
            </w:pPr>
            <w:r w:rsidRPr="00170CB9">
              <w:rPr>
                <w:lang w:bidi="sa-IN"/>
              </w:rPr>
              <w:t>0</w:t>
            </w:r>
          </w:p>
          <w:p w:rsidR="00011C3B" w:rsidRPr="00170CB9" w:rsidRDefault="00011C3B" w:rsidP="004869BB">
            <w:pPr>
              <w:pStyle w:val="Normltblajobb"/>
              <w:rPr>
                <w:lang w:bidi="sa-IN"/>
              </w:rPr>
            </w:pPr>
            <w:r w:rsidRPr="00170CB9">
              <w:rPr>
                <w:lang w:bidi="sa-IN"/>
              </w:rPr>
              <w:t>131,4</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BA0D6F" w:rsidP="004869BB">
            <w:pPr>
              <w:pStyle w:val="Normltblajobb"/>
              <w:ind w:left="244"/>
              <w:rPr>
                <w:lang w:bidi="sa-IN"/>
              </w:rPr>
            </w:pPr>
            <w:r>
              <w:rPr>
                <w:lang w:bidi="sa-IN"/>
              </w:rPr>
              <w:t>3,743</w:t>
            </w:r>
            <w:r w:rsidR="00011C3B" w:rsidRPr="00170CB9">
              <w:rPr>
                <w:lang w:bidi="sa-IN"/>
              </w:rPr>
              <w:t xml:space="preserve"> millió</w:t>
            </w: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011C3B" w:rsidP="004869BB">
            <w:pPr>
              <w:pStyle w:val="Normltblajobb"/>
              <w:rPr>
                <w:lang w:bidi="sa-IN"/>
              </w:rPr>
            </w:pPr>
          </w:p>
          <w:p w:rsidR="00011C3B" w:rsidRPr="00170CB9" w:rsidRDefault="00011C3B" w:rsidP="004869BB">
            <w:pPr>
              <w:pStyle w:val="Normltblajobb"/>
              <w:rPr>
                <w:lang w:bidi="sa-IN"/>
              </w:rPr>
            </w:pPr>
            <w:r w:rsidRPr="00170CB9">
              <w:rPr>
                <w:lang w:bidi="sa-IN"/>
              </w:rPr>
              <w:t>0</w:t>
            </w:r>
          </w:p>
          <w:p w:rsidR="00011C3B" w:rsidRPr="00170CB9" w:rsidRDefault="00BA0D6F" w:rsidP="00BA0D6F">
            <w:pPr>
              <w:pStyle w:val="Normltblajobb"/>
              <w:rPr>
                <w:lang w:bidi="sa-IN"/>
              </w:rPr>
            </w:pPr>
            <w:r>
              <w:rPr>
                <w:lang w:bidi="sa-IN"/>
              </w:rPr>
              <w:t>3,743</w:t>
            </w:r>
            <w:r w:rsidR="00011C3B" w:rsidRPr="00170CB9">
              <w:rPr>
                <w:lang w:bidi="sa-IN"/>
              </w:rPr>
              <w:t xml:space="preserve"> millió</w:t>
            </w:r>
          </w:p>
        </w:tc>
      </w:tr>
      <w:tr w:rsidR="00011C3B" w:rsidRPr="00170CB9" w:rsidTr="00011C3B">
        <w:trPr>
          <w:jc w:val="center"/>
        </w:trPr>
        <w:tc>
          <w:tcPr>
            <w:tcW w:w="496" w:type="dxa"/>
            <w:vMerge w:val="restart"/>
            <w:tcBorders>
              <w:top w:val="single" w:sz="4" w:space="0" w:color="auto"/>
              <w:left w:val="single" w:sz="4" w:space="0" w:color="auto"/>
              <w:right w:val="single" w:sz="4" w:space="0" w:color="auto"/>
            </w:tcBorders>
          </w:tcPr>
          <w:p w:rsidR="00011C3B" w:rsidRPr="00170CB9" w:rsidRDefault="00011C3B" w:rsidP="00011C3B">
            <w:pPr>
              <w:pStyle w:val="TableText"/>
              <w:spacing w:before="0" w:after="0"/>
              <w:jc w:val="center"/>
              <w:rPr>
                <w:rFonts w:eastAsia="Times New Roman"/>
                <w:lang w:bidi="sa-IN"/>
              </w:rPr>
            </w:pPr>
            <w:r w:rsidRPr="00170CB9">
              <w:rPr>
                <w:rFonts w:eastAsia="Times New Roman"/>
                <w:lang w:bidi="sa-IN"/>
              </w:rPr>
              <w:t>I</w:t>
            </w:r>
          </w:p>
        </w:tc>
        <w:tc>
          <w:tcPr>
            <w:tcW w:w="5768" w:type="dxa"/>
            <w:tcBorders>
              <w:top w:val="single" w:sz="4" w:space="0" w:color="auto"/>
              <w:left w:val="single" w:sz="4" w:space="0" w:color="auto"/>
              <w:bottom w:val="single" w:sz="4" w:space="0" w:color="auto"/>
              <w:right w:val="single" w:sz="4" w:space="0" w:color="auto"/>
            </w:tcBorders>
          </w:tcPr>
          <w:p w:rsidR="00011C3B" w:rsidRPr="00170CB9" w:rsidRDefault="00011C3B" w:rsidP="00011C3B">
            <w:pPr>
              <w:pStyle w:val="TableText"/>
              <w:spacing w:before="0" w:after="0"/>
              <w:ind w:left="244"/>
              <w:rPr>
                <w:rFonts w:eastAsia="Times New Roman"/>
                <w:lang w:bidi="sa-IN"/>
              </w:rPr>
            </w:pPr>
            <w:r w:rsidRPr="00170CB9">
              <w:rPr>
                <w:rFonts w:eastAsia="Times New Roman"/>
                <w:lang w:bidi="sa-IN"/>
              </w:rPr>
              <w:t xml:space="preserve">Létrehozott munkahelyek teljes munkaidős egyenértéke (FTE) </w:t>
            </w:r>
          </w:p>
        </w:tc>
        <w:tc>
          <w:tcPr>
            <w:tcW w:w="1806" w:type="dxa"/>
            <w:tcBorders>
              <w:top w:val="single" w:sz="4" w:space="0" w:color="auto"/>
              <w:left w:val="single" w:sz="4" w:space="0" w:color="auto"/>
              <w:bottom w:val="single" w:sz="4" w:space="0" w:color="auto"/>
              <w:right w:val="single" w:sz="4" w:space="0" w:color="auto"/>
            </w:tcBorders>
          </w:tcPr>
          <w:p w:rsidR="00011C3B" w:rsidRPr="00170CB9" w:rsidRDefault="00B6645A" w:rsidP="004869BB">
            <w:pPr>
              <w:pStyle w:val="Normltblajobb"/>
              <w:ind w:left="244"/>
              <w:rPr>
                <w:lang w:bidi="sa-IN"/>
              </w:rPr>
            </w:pPr>
            <w:r>
              <w:rPr>
                <w:lang w:bidi="sa-IN"/>
              </w:rPr>
              <w:t>4133</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4869BB">
            <w:pPr>
              <w:pStyle w:val="Normltblajobb"/>
              <w:ind w:left="244"/>
            </w:pPr>
            <w:r w:rsidRPr="00170CB9">
              <w:t>NA</w:t>
            </w:r>
          </w:p>
        </w:tc>
      </w:tr>
      <w:tr w:rsidR="00011C3B" w:rsidRPr="00170CB9" w:rsidTr="00011C3B">
        <w:trPr>
          <w:jc w:val="center"/>
        </w:trPr>
        <w:tc>
          <w:tcPr>
            <w:tcW w:w="496" w:type="dxa"/>
            <w:vMerge/>
            <w:tcBorders>
              <w:left w:val="single" w:sz="4" w:space="0" w:color="auto"/>
              <w:bottom w:val="single" w:sz="4" w:space="0" w:color="auto"/>
              <w:right w:val="single" w:sz="4" w:space="0" w:color="auto"/>
            </w:tcBorders>
          </w:tcPr>
          <w:p w:rsidR="00011C3B" w:rsidRPr="00170CB9" w:rsidRDefault="00011C3B" w:rsidP="00011C3B">
            <w:pPr>
              <w:pStyle w:val="TableText"/>
              <w:spacing w:before="0" w:after="0"/>
              <w:jc w:val="center"/>
              <w:rPr>
                <w:rFonts w:eastAsia="Times New Roman"/>
                <w:lang w:bidi="sa-IN"/>
              </w:rPr>
            </w:pPr>
          </w:p>
        </w:tc>
        <w:tc>
          <w:tcPr>
            <w:tcW w:w="5768" w:type="dxa"/>
            <w:tcBorders>
              <w:top w:val="single" w:sz="4" w:space="0" w:color="auto"/>
              <w:left w:val="single" w:sz="4" w:space="0" w:color="auto"/>
              <w:bottom w:val="single" w:sz="4" w:space="0" w:color="auto"/>
              <w:right w:val="single" w:sz="4" w:space="0" w:color="auto"/>
            </w:tcBorders>
          </w:tcPr>
          <w:p w:rsidR="00011C3B" w:rsidRPr="00170CB9" w:rsidRDefault="00011C3B" w:rsidP="00011C3B">
            <w:pPr>
              <w:pStyle w:val="TableText"/>
              <w:spacing w:before="0" w:after="0"/>
              <w:ind w:left="244"/>
              <w:rPr>
                <w:rFonts w:eastAsia="Times New Roman"/>
                <w:lang w:bidi="sa-IN"/>
              </w:rPr>
            </w:pPr>
            <w:r w:rsidRPr="00170CB9">
              <w:rPr>
                <w:rFonts w:eastAsia="Times New Roman"/>
                <w:lang w:bidi="sa-IN"/>
              </w:rPr>
              <w:t xml:space="preserve">Vásárlóerő-paritáson (PPS) számolt nettó hozzáadott érték </w:t>
            </w:r>
          </w:p>
        </w:tc>
        <w:tc>
          <w:tcPr>
            <w:tcW w:w="1806" w:type="dxa"/>
            <w:tcBorders>
              <w:top w:val="single" w:sz="4" w:space="0" w:color="auto"/>
              <w:left w:val="single" w:sz="4" w:space="0" w:color="auto"/>
              <w:bottom w:val="single" w:sz="4" w:space="0" w:color="auto"/>
              <w:right w:val="single" w:sz="4" w:space="0" w:color="auto"/>
            </w:tcBorders>
          </w:tcPr>
          <w:p w:rsidR="00011C3B" w:rsidRPr="00170CB9" w:rsidRDefault="00011C3B" w:rsidP="004869BB">
            <w:pPr>
              <w:pStyle w:val="Normltblajobb"/>
              <w:ind w:left="244"/>
              <w:rPr>
                <w:lang w:bidi="sa-IN"/>
              </w:rPr>
            </w:pPr>
            <w:r w:rsidRPr="00170CB9">
              <w:rPr>
                <w:lang w:bidi="sa-IN"/>
              </w:rPr>
              <w:t>210,3 millió</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4869BB">
            <w:pPr>
              <w:pStyle w:val="Normltblajobb"/>
              <w:ind w:left="244"/>
              <w:rPr>
                <w:lang w:bidi="sa-IN"/>
              </w:rPr>
            </w:pPr>
            <w:r w:rsidRPr="00170CB9">
              <w:rPr>
                <w:lang w:bidi="sa-IN"/>
              </w:rPr>
              <w:t>NA</w:t>
            </w:r>
          </w:p>
        </w:tc>
      </w:tr>
    </w:tbl>
    <w:p w:rsidR="00011C3B" w:rsidRPr="00C003F8" w:rsidRDefault="00011C3B" w:rsidP="00011C3B">
      <w:pPr>
        <w:pStyle w:val="Normlforrs"/>
      </w:pPr>
      <w:r w:rsidRPr="00170CB9">
        <w:t>Forrás: MVH</w:t>
      </w:r>
    </w:p>
    <w:p w:rsidR="00C91980" w:rsidRDefault="00170CB9" w:rsidP="00C91980">
      <w:r>
        <w:t xml:space="preserve">A jogcím, tekintettel a források kimerülésére, </w:t>
      </w:r>
      <w:r w:rsidRPr="009C0043">
        <w:t>a 9. verziószámú programmódosítás keretében programszinten 2012-vel lezárásra került, többször n</w:t>
      </w:r>
      <w:r>
        <w:t>em nyitható meg a 2007-2013-as programozási időszakban az ÚMVP keretében, azonban a támogatás a GOP-ból megnyitásra kerül.</w:t>
      </w:r>
    </w:p>
    <w:p w:rsidR="00011C3B" w:rsidRPr="00C003F8" w:rsidRDefault="00011C3B" w:rsidP="00715E86">
      <w:pPr>
        <w:pStyle w:val="Cmsor4"/>
      </w:pPr>
      <w:r w:rsidRPr="00C003F8">
        <w:t>Mikrovállalkozások létrehozására és fejlesztésére nyújtandó támogatások jogcím megvalósulása</w:t>
      </w:r>
      <w:bookmarkEnd w:id="322"/>
    </w:p>
    <w:p w:rsidR="00011C3B" w:rsidRDefault="00011C3B" w:rsidP="004869BB">
      <w:r>
        <w:t xml:space="preserve">A LEADER HACS-okon keresztüli megvalósítással történő </w:t>
      </w:r>
      <w:r w:rsidR="00D77625">
        <w:t xml:space="preserve">megnyitás </w:t>
      </w:r>
      <w:r>
        <w:t xml:space="preserve">esetében a támogatási kérelem benyújtására első alkalommal 2008. november 16. – 2009. január 10. között, illetve 2009. november 16. – december 20. között nyílt lehetőség a 136/2008. (X.18.) FVM rendelet által meghatározott módon. </w:t>
      </w:r>
    </w:p>
    <w:p w:rsidR="00D77625" w:rsidRDefault="00011C3B" w:rsidP="004869BB">
      <w:r>
        <w:t xml:space="preserve">2010-ben támogatási kérelem benyújtására nem volt lehetőség, csak kifizetési kérelmek benyújtása történt meg. </w:t>
      </w:r>
    </w:p>
    <w:p w:rsidR="00011C3B" w:rsidRDefault="00011C3B" w:rsidP="004869BB">
      <w:r>
        <w:t xml:space="preserve">2011-ben a 136/2008. (X.18.) FVM rendelet egy alkalommal módosult, a támogatási kérelem benyújtási időszak törlésre került. </w:t>
      </w:r>
    </w:p>
    <w:p w:rsidR="00011C3B" w:rsidRDefault="00011C3B" w:rsidP="004869BB">
      <w:r>
        <w:t>2012-ben a rendelet két alkalommal módosult: az első módosítás értelmében az ügyfelek számára - a projektek sikeres megvalósítása érdekében - meghosszabbításra került az első kifizetési kérelem benyújtási határidő 2012. december 31-ig, a második módosításra pedig jogharmonizációs kötelezettség miatt került sor. Újabb támogatási kérelem benyújtására ezen jogszabály alapján nem volt lehetőség, az ügyfelek csak kifizetési kérelmeket nyújthattak be.</w:t>
      </w:r>
    </w:p>
    <w:p w:rsidR="00011C3B" w:rsidRDefault="00011C3B" w:rsidP="004869BB">
      <w:r>
        <w:t>Az intézkedés</w:t>
      </w:r>
      <w:r w:rsidR="00D77625">
        <w:t>/jogcím</w:t>
      </w:r>
      <w:r>
        <w:t xml:space="preserve"> a főszabályként LEADER HACS-okon keresztül valósul meg, azonban 2011-ben központi végrehajtással került megnyitásra. A 2011-es központi támogatási kérelem benyújtási időszak megnyitását programmódosítás tette lehetővé. A programmódosítás lényege az volt, hogy az intézkedés LEADER HACS-ok számára ki nem osztott forrását az Irányító Hatóság központi végrehajtással meghirdethesse. A LEADER HACS-okat nem érte érdeksérelem, a részükre kiosztott fejlesztési forrás felett ők rendelkeztek és rendelkeznek továbbra is. </w:t>
      </w:r>
    </w:p>
    <w:p w:rsidR="00011C3B" w:rsidRDefault="00011C3B" w:rsidP="004869BB">
      <w:r>
        <w:t>A</w:t>
      </w:r>
      <w:r w:rsidR="00D77625">
        <w:t xml:space="preserve"> 2011. évi </w:t>
      </w:r>
      <w:r w:rsidR="009C0043">
        <w:t>megnyitását</w:t>
      </w:r>
      <w:r>
        <w:t xml:space="preserve"> a 33/2011. (IV.28.) VM rendelet szabályoz</w:t>
      </w:r>
      <w:r w:rsidR="00D77625">
        <w:t>t</w:t>
      </w:r>
      <w:r>
        <w:t xml:space="preserve">a. A 2011-es támogatási kérelem benyújtási időszakra vonatkozó kötelezettség vállalás megtörtént 2011-ben, de a kifizetések </w:t>
      </w:r>
      <w:r>
        <w:lastRenderedPageBreak/>
        <w:t xml:space="preserve">csak 2012-ben kezdődtek meg ezen központi kör esetében. A jogszabály módosítására 2012-ben két </w:t>
      </w:r>
      <w:r w:rsidR="002A3FC6">
        <w:t>alkalommal került sor</w:t>
      </w:r>
      <w:r>
        <w:t xml:space="preserve">, </w:t>
      </w:r>
      <w:r w:rsidR="002A3FC6">
        <w:t xml:space="preserve">melyek keretében </w:t>
      </w:r>
      <w:r>
        <w:t xml:space="preserve">törlésre került a támogatási kérelem benyújtási időszak, valamint technikai módosításokra került sor. </w:t>
      </w:r>
    </w:p>
    <w:p w:rsidR="00011C3B" w:rsidRDefault="00011C3B" w:rsidP="004869BB">
      <w:r>
        <w:t>A LEADER HACS-oknál rendelkezésre álló fejlesztési források lehetővé tették, hogy 2012-ben ismételten sor kerüljön egy LEADER HACS-okon keresztül lebonyolított támogatási kérelem benyújtási körre. A korábbi tapasztalatok átvezetése érdekében ezt az összességében már negyedik benyújtási kört is új jogszabály szabályoz</w:t>
      </w:r>
      <w:r w:rsidR="002A3FC6">
        <w:t>t</w:t>
      </w:r>
      <w:r>
        <w:t>a, a 47/2012. (V.11.) VM rendelet. Az ügyfelek 2012. június 1. és 2012. július 1. között nyújthattak be támogatási kérelmet, amelyekre vonatkozóan a döntéshozatal és a kötelezettségvállalás is megkezdődött 2012 novemberében.</w:t>
      </w:r>
    </w:p>
    <w:p w:rsidR="00011C3B" w:rsidRPr="00F92037" w:rsidRDefault="007E5FDF" w:rsidP="00F92037">
      <w:pPr>
        <w:pStyle w:val="bra-cmetbla"/>
      </w:pPr>
      <w:fldSimple w:instr=" SEQ táblázat \* ARABIC ">
        <w:r w:rsidR="00E5031F">
          <w:rPr>
            <w:noProof/>
          </w:rPr>
          <w:t>82</w:t>
        </w:r>
      </w:fldSimple>
      <w:r w:rsidR="00673DDE">
        <w:t xml:space="preserve">. táblázat: </w:t>
      </w:r>
      <w:r w:rsidR="00011C3B" w:rsidRPr="00F92037">
        <w:t>Mikrovállalkozások létrehozására és fejlesztésére nyújtandó támogatások jogcím</w:t>
      </w:r>
      <w:r w:rsidR="00011C3B" w:rsidRPr="00F92037">
        <w:br/>
        <w:t>2012. évi eredményei</w:t>
      </w:r>
    </w:p>
    <w:p w:rsidR="00011C3B" w:rsidRPr="00F92037" w:rsidRDefault="00B452BF" w:rsidP="00F92037">
      <w:pPr>
        <w:pStyle w:val="bra-cmetbla"/>
      </w:pPr>
      <w:r w:rsidRPr="00F92037">
        <w:rPr>
          <w:noProof/>
        </w:rPr>
        <w:drawing>
          <wp:inline distT="0" distB="0" distL="0" distR="0" wp14:anchorId="07C7D55E" wp14:editId="18513E7C">
            <wp:extent cx="5167630" cy="1882140"/>
            <wp:effectExtent l="0" t="0" r="0" b="381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Default="00011C3B" w:rsidP="004869BB">
      <w:r>
        <w:t xml:space="preserve">2012-ben 945 db támogatási kérelem kapott jóváhagyó határozatot, és 924 db kifizetési kérelem került jóváhagyásra. A kifizetett összeg 20,1 M euró (5,9 Mrd Ft) volt. </w:t>
      </w:r>
    </w:p>
    <w:p w:rsidR="00011C3B" w:rsidRPr="00C003F8" w:rsidRDefault="00011C3B" w:rsidP="004869BB">
      <w:r w:rsidRPr="00150ABA">
        <w:t>A legtöbb támogatási kérelem (102 db) Szabolcs-Szatmár-Bereg megyéből, míg a legkevesebb támogatási kérelem (15 db) Csongrád megyéből érkezett be. A kifizetések regionális eloszlását tekintve elmondható, hogy a legtöbb kifizetés a jogcímre Szabolcs-Szatmár-Bereg megyében, míg a legkevesebb kifizetés Komárom-Esztergom megyében történt.</w:t>
      </w:r>
    </w:p>
    <w:p w:rsidR="00011C3B" w:rsidRPr="00896E03" w:rsidRDefault="00011C3B" w:rsidP="00DB48A3">
      <w:pPr>
        <w:pStyle w:val="Cmsor3"/>
      </w:pPr>
      <w:bookmarkStart w:id="323" w:name="_Toc297560978"/>
      <w:bookmarkStart w:id="324" w:name="_Toc328638726"/>
      <w:bookmarkStart w:id="325" w:name="_Toc360176818"/>
      <w:r w:rsidRPr="00896E03">
        <w:t>Turisztikai tevékenységek ösztönzése (313) intézkedés rövid bemutatása</w:t>
      </w:r>
      <w:bookmarkEnd w:id="323"/>
      <w:bookmarkEnd w:id="324"/>
      <w:bookmarkEnd w:id="325"/>
    </w:p>
    <w:p w:rsidR="00011C3B" w:rsidRPr="00C003F8" w:rsidRDefault="00011C3B" w:rsidP="004869BB">
      <w:r w:rsidRPr="00C003F8">
        <w:t>A támogatás célja a vidéki munkahelyek létrehozása vagy megőrzése érdekében a falusi szálláshely, gyermek- és ifjúsági turizmushoz kapcsolódó minőségi szálláshelyek fejlesztése, kialakítása, a hozzá kötődő szolgáltatások fejlesztése, kialakítása, valamint a szálláshelyhez nem feltétlenül kötött - a vidéki települések természeti erőforrásaira, mezőgazdasági, erdő-, vad- és halgazdálkodási adottságaira, közösségi-kulturális és gasztronómiai örökségére, nemzeti tájházakra, skanzenekre, borpincékre mint vonzerőre épülő - minőségi és komplex agro- és ökoturisztikai szolgáltatások kiépítése, a már működő szolgáltatások bővítése, korszerűsítése, marketingjének kialakítása, fejlesztése.</w:t>
      </w:r>
    </w:p>
    <w:p w:rsidR="00011C3B" w:rsidRPr="00F92037" w:rsidRDefault="007E5FDF" w:rsidP="00F92037">
      <w:pPr>
        <w:pStyle w:val="bra-cmetbla"/>
      </w:pPr>
      <w:fldSimple w:instr=" SEQ táblázat \* ARABIC ">
        <w:r w:rsidR="00E5031F">
          <w:rPr>
            <w:noProof/>
          </w:rPr>
          <w:t>83</w:t>
        </w:r>
      </w:fldSimple>
      <w:r w:rsidR="00673DDE">
        <w:t xml:space="preserve">. táblázat: </w:t>
      </w:r>
      <w:r w:rsidR="00011C3B" w:rsidRPr="00F92037">
        <w:t>Turisztikai tevékenységek ösztönzése (313) indikátorainak megvalósulása</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6252"/>
        <w:gridCol w:w="1806"/>
        <w:gridCol w:w="1544"/>
      </w:tblGrid>
      <w:tr w:rsidR="00011C3B" w:rsidRPr="008B76DD" w:rsidTr="00011C3B">
        <w:trPr>
          <w:cantSplit/>
          <w:tblHeader/>
          <w:jc w:val="center"/>
        </w:trPr>
        <w:tc>
          <w:tcPr>
            <w:tcW w:w="426" w:type="dxa"/>
            <w:shd w:val="clear" w:color="auto" w:fill="B3B3B3"/>
          </w:tcPr>
          <w:p w:rsidR="00011C3B" w:rsidRPr="00A51BCF" w:rsidRDefault="00011C3B" w:rsidP="007C60C4">
            <w:pPr>
              <w:pStyle w:val="Tbla-cm"/>
            </w:pPr>
            <w:bookmarkStart w:id="326" w:name="_Toc261596951"/>
          </w:p>
        </w:tc>
        <w:tc>
          <w:tcPr>
            <w:tcW w:w="6252" w:type="dxa"/>
            <w:shd w:val="clear" w:color="auto" w:fill="B3B3B3"/>
            <w:vAlign w:val="center"/>
          </w:tcPr>
          <w:p w:rsidR="00011C3B" w:rsidRPr="008B76DD" w:rsidRDefault="00011C3B" w:rsidP="007C60C4">
            <w:pPr>
              <w:pStyle w:val="Tbla-cm"/>
              <w:rPr>
                <w:rFonts w:eastAsia="Times New Roman"/>
                <w:lang w:bidi="sa-IN"/>
              </w:rPr>
            </w:pPr>
            <w:r w:rsidRPr="008B76DD">
              <w:rPr>
                <w:rFonts w:eastAsia="Times New Roman"/>
                <w:lang w:bidi="sa-IN"/>
              </w:rPr>
              <w:t>Indikátor leírása</w:t>
            </w:r>
          </w:p>
        </w:tc>
        <w:tc>
          <w:tcPr>
            <w:tcW w:w="1806" w:type="dxa"/>
            <w:shd w:val="clear" w:color="auto" w:fill="B3B3B3"/>
            <w:vAlign w:val="center"/>
          </w:tcPr>
          <w:p w:rsidR="00011C3B" w:rsidRPr="008B76DD" w:rsidRDefault="00011C3B" w:rsidP="007C60C4">
            <w:pPr>
              <w:pStyle w:val="Tbla-cm"/>
            </w:pPr>
            <w:r w:rsidRPr="008B76DD">
              <w:t>Program szerinti tervadat</w:t>
            </w:r>
          </w:p>
        </w:tc>
        <w:tc>
          <w:tcPr>
            <w:tcW w:w="1544" w:type="dxa"/>
            <w:shd w:val="clear" w:color="auto" w:fill="B3B3B3"/>
            <w:vAlign w:val="center"/>
          </w:tcPr>
          <w:p w:rsidR="00011C3B" w:rsidRPr="008B76DD" w:rsidRDefault="00011C3B" w:rsidP="007C60C4">
            <w:pPr>
              <w:pStyle w:val="Tbla-cm"/>
              <w:rPr>
                <w:rFonts w:eastAsia="Times New Roman"/>
                <w:lang w:bidi="sa-IN"/>
              </w:rPr>
            </w:pPr>
            <w:r w:rsidRPr="008B76DD">
              <w:t>Indikátorok kumulált értéke</w:t>
            </w:r>
          </w:p>
        </w:tc>
      </w:tr>
      <w:tr w:rsidR="00011C3B" w:rsidRPr="008B76DD" w:rsidTr="00011C3B">
        <w:trPr>
          <w:cantSplit/>
          <w:jc w:val="center"/>
        </w:trPr>
        <w:tc>
          <w:tcPr>
            <w:tcW w:w="426" w:type="dxa"/>
            <w:vMerge w:val="restart"/>
          </w:tcPr>
          <w:p w:rsidR="00011C3B" w:rsidRPr="00A51BCF" w:rsidRDefault="00011C3B" w:rsidP="0058781B">
            <w:pPr>
              <w:pStyle w:val="Tbla-kzp"/>
            </w:pPr>
            <w:r w:rsidRPr="00A51BCF">
              <w:t>O</w:t>
            </w:r>
          </w:p>
        </w:tc>
        <w:tc>
          <w:tcPr>
            <w:tcW w:w="6252" w:type="dxa"/>
          </w:tcPr>
          <w:p w:rsidR="00011C3B" w:rsidRPr="008B76DD" w:rsidRDefault="00011C3B" w:rsidP="00011C3B">
            <w:pPr>
              <w:pStyle w:val="TableText"/>
              <w:spacing w:before="0" w:after="0"/>
              <w:rPr>
                <w:rFonts w:eastAsia="Times New Roman"/>
                <w:b/>
                <w:bCs/>
                <w:lang w:bidi="sa-IN"/>
              </w:rPr>
            </w:pPr>
            <w:r w:rsidRPr="008B76DD">
              <w:rPr>
                <w:rFonts w:eastAsia="Times New Roman"/>
                <w:b/>
                <w:bCs/>
                <w:lang w:bidi="sa-IN"/>
              </w:rPr>
              <w:t>A támogatott új idegenforgalmi tevékenységek száma (db)</w:t>
            </w:r>
          </w:p>
          <w:p w:rsidR="00011C3B" w:rsidRPr="008B76DD" w:rsidRDefault="00011C3B" w:rsidP="00011C3B">
            <w:pPr>
              <w:pStyle w:val="TableText"/>
              <w:spacing w:before="0" w:after="0"/>
              <w:rPr>
                <w:rFonts w:eastAsia="Times New Roman"/>
                <w:lang w:val="en-GB" w:bidi="sa-IN"/>
              </w:rPr>
            </w:pPr>
            <w:r w:rsidRPr="008B76DD">
              <w:rPr>
                <w:rFonts w:eastAsia="Times New Roman"/>
                <w:lang w:bidi="sa-IN"/>
              </w:rPr>
              <w:t>A tevékenység típusa:</w:t>
            </w:r>
          </w:p>
          <w:p w:rsidR="00011C3B" w:rsidRPr="008B76DD" w:rsidRDefault="00011C3B" w:rsidP="0033390A">
            <w:pPr>
              <w:numPr>
                <w:ilvl w:val="0"/>
                <w:numId w:val="80"/>
              </w:numPr>
              <w:spacing w:after="0"/>
              <w:jc w:val="left"/>
              <w:rPr>
                <w:sz w:val="20"/>
                <w:szCs w:val="20"/>
                <w:lang w:bidi="sa-IN"/>
              </w:rPr>
            </w:pPr>
            <w:r w:rsidRPr="008B76DD">
              <w:rPr>
                <w:sz w:val="20"/>
                <w:szCs w:val="20"/>
                <w:lang w:bidi="sa-IN"/>
              </w:rPr>
              <w:t>Kisléptékű infrastruktúra (információs központok, turisztikai célpontok irányjelző táblái, …)</w:t>
            </w:r>
          </w:p>
          <w:p w:rsidR="00011C3B" w:rsidRPr="008B76DD" w:rsidRDefault="00011C3B" w:rsidP="0033390A">
            <w:pPr>
              <w:numPr>
                <w:ilvl w:val="0"/>
                <w:numId w:val="80"/>
              </w:numPr>
              <w:spacing w:after="0"/>
              <w:jc w:val="left"/>
              <w:rPr>
                <w:sz w:val="20"/>
                <w:szCs w:val="20"/>
                <w:lang w:bidi="sa-IN"/>
              </w:rPr>
            </w:pPr>
            <w:r w:rsidRPr="008B76DD">
              <w:rPr>
                <w:sz w:val="20"/>
                <w:szCs w:val="20"/>
                <w:lang w:bidi="sa-IN"/>
              </w:rPr>
              <w:t>Szabadidős infrastruktúra (természeti területek megközelítése, kis kapacitású szálláshelyek, …)</w:t>
            </w:r>
          </w:p>
          <w:p w:rsidR="00011C3B" w:rsidRPr="008B76DD" w:rsidRDefault="00011C3B" w:rsidP="0033390A">
            <w:pPr>
              <w:numPr>
                <w:ilvl w:val="0"/>
                <w:numId w:val="80"/>
              </w:numPr>
              <w:spacing w:after="0"/>
              <w:jc w:val="left"/>
              <w:rPr>
                <w:sz w:val="20"/>
                <w:szCs w:val="20"/>
                <w:lang w:bidi="sa-IN"/>
              </w:rPr>
            </w:pPr>
            <w:r w:rsidRPr="008B76DD">
              <w:rPr>
                <w:sz w:val="20"/>
                <w:szCs w:val="20"/>
                <w:lang w:bidi="sa-IN"/>
              </w:rPr>
              <w:t>Vidéki turisztikai szolgáltatások fejlesztése/marketingje</w:t>
            </w:r>
          </w:p>
        </w:tc>
        <w:tc>
          <w:tcPr>
            <w:tcW w:w="1806" w:type="dxa"/>
          </w:tcPr>
          <w:p w:rsidR="00011C3B" w:rsidRPr="008B76DD" w:rsidRDefault="00011C3B" w:rsidP="0058781B">
            <w:pPr>
              <w:pStyle w:val="Tbla-jobb"/>
              <w:rPr>
                <w:lang w:val="en-GB"/>
              </w:rPr>
            </w:pPr>
            <w:r w:rsidRPr="008B76DD">
              <w:rPr>
                <w:lang w:val="en-GB"/>
              </w:rPr>
              <w:t>3</w:t>
            </w:r>
            <w:r w:rsidR="002A3FC6">
              <w:rPr>
                <w:lang w:val="en-GB"/>
              </w:rPr>
              <w:t xml:space="preserve"> </w:t>
            </w:r>
            <w:r w:rsidRPr="008B76DD">
              <w:rPr>
                <w:lang w:val="en-GB"/>
              </w:rPr>
              <w:t>197</w:t>
            </w:r>
          </w:p>
          <w:p w:rsidR="00011C3B" w:rsidRPr="008B76DD" w:rsidRDefault="00011C3B" w:rsidP="0058781B">
            <w:pPr>
              <w:pStyle w:val="Tbla-jobb"/>
              <w:rPr>
                <w:lang w:val="en-GB"/>
              </w:rPr>
            </w:pPr>
          </w:p>
          <w:p w:rsidR="00011C3B" w:rsidRPr="008B76DD" w:rsidRDefault="00011C3B" w:rsidP="0058781B">
            <w:pPr>
              <w:pStyle w:val="Tbla-jobb"/>
              <w:rPr>
                <w:lang w:val="en-GB"/>
              </w:rPr>
            </w:pPr>
            <w:r w:rsidRPr="008B76DD">
              <w:rPr>
                <w:lang w:val="en-GB"/>
              </w:rPr>
              <w:t>0</w:t>
            </w:r>
            <w:r w:rsidRPr="008B76DD">
              <w:rPr>
                <w:lang w:val="en-GB"/>
              </w:rPr>
              <w:br/>
            </w:r>
            <w:r w:rsidRPr="008B76DD">
              <w:rPr>
                <w:lang w:val="en-GB"/>
              </w:rPr>
              <w:br/>
              <w:t>2 398</w:t>
            </w:r>
            <w:r w:rsidRPr="008B76DD">
              <w:rPr>
                <w:lang w:val="en-GB"/>
              </w:rPr>
              <w:br/>
            </w:r>
            <w:r w:rsidRPr="008B76DD">
              <w:rPr>
                <w:lang w:val="en-GB"/>
              </w:rPr>
              <w:br/>
              <w:t>799</w:t>
            </w:r>
          </w:p>
        </w:tc>
        <w:tc>
          <w:tcPr>
            <w:tcW w:w="1544" w:type="dxa"/>
          </w:tcPr>
          <w:p w:rsidR="00011C3B" w:rsidRPr="008B76DD" w:rsidRDefault="00011C3B" w:rsidP="0058781B">
            <w:pPr>
              <w:pStyle w:val="Tbla-jobb"/>
              <w:rPr>
                <w:lang w:val="en-GB"/>
              </w:rPr>
            </w:pPr>
            <w:r>
              <w:rPr>
                <w:lang w:val="en-GB"/>
              </w:rPr>
              <w:t>1</w:t>
            </w:r>
            <w:r w:rsidR="002A3FC6">
              <w:rPr>
                <w:lang w:val="en-GB"/>
              </w:rPr>
              <w:t xml:space="preserve"> </w:t>
            </w:r>
            <w:r>
              <w:rPr>
                <w:lang w:val="en-GB"/>
              </w:rPr>
              <w:t>398</w:t>
            </w:r>
          </w:p>
          <w:p w:rsidR="00011C3B" w:rsidRPr="008B76DD" w:rsidRDefault="00011C3B" w:rsidP="0058781B">
            <w:pPr>
              <w:pStyle w:val="Tbla-jobb"/>
              <w:rPr>
                <w:lang w:val="en-GB"/>
              </w:rPr>
            </w:pPr>
          </w:p>
          <w:p w:rsidR="00011C3B" w:rsidRPr="008B76DD" w:rsidRDefault="00011C3B" w:rsidP="0058781B">
            <w:pPr>
              <w:pStyle w:val="Tbla-jobb"/>
              <w:rPr>
                <w:lang w:val="en-GB"/>
              </w:rPr>
            </w:pPr>
            <w:r>
              <w:rPr>
                <w:lang w:val="en-GB"/>
              </w:rPr>
              <w:t>782</w:t>
            </w:r>
          </w:p>
          <w:p w:rsidR="00011C3B" w:rsidRPr="008B76DD" w:rsidRDefault="00011C3B" w:rsidP="0058781B">
            <w:pPr>
              <w:pStyle w:val="Tbla-jobb"/>
              <w:rPr>
                <w:lang w:val="en-GB"/>
              </w:rPr>
            </w:pPr>
          </w:p>
          <w:p w:rsidR="00011C3B" w:rsidRPr="008B76DD" w:rsidRDefault="00011C3B" w:rsidP="0058781B">
            <w:pPr>
              <w:pStyle w:val="Tbla-jobb"/>
              <w:rPr>
                <w:lang w:val="en-GB"/>
              </w:rPr>
            </w:pPr>
            <w:r w:rsidRPr="008B76DD">
              <w:rPr>
                <w:lang w:val="en-GB"/>
              </w:rPr>
              <w:t>0</w:t>
            </w:r>
          </w:p>
          <w:p w:rsidR="00011C3B" w:rsidRPr="008B76DD" w:rsidRDefault="00011C3B" w:rsidP="0058781B">
            <w:pPr>
              <w:pStyle w:val="Tbla-jobb"/>
              <w:rPr>
                <w:lang w:val="en-GB"/>
              </w:rPr>
            </w:pPr>
          </w:p>
          <w:p w:rsidR="00011C3B" w:rsidRPr="008B76DD" w:rsidRDefault="00011C3B" w:rsidP="0058781B">
            <w:pPr>
              <w:pStyle w:val="Tbla-jobb"/>
              <w:rPr>
                <w:lang w:val="en-GB"/>
              </w:rPr>
            </w:pPr>
            <w:r>
              <w:rPr>
                <w:lang w:val="en-GB"/>
              </w:rPr>
              <w:t>616</w:t>
            </w:r>
          </w:p>
        </w:tc>
      </w:tr>
      <w:tr w:rsidR="00011C3B" w:rsidRPr="008B76DD" w:rsidTr="00011C3B">
        <w:trPr>
          <w:cantSplit/>
          <w:jc w:val="center"/>
        </w:trPr>
        <w:tc>
          <w:tcPr>
            <w:tcW w:w="426" w:type="dxa"/>
            <w:vMerge/>
          </w:tcPr>
          <w:p w:rsidR="00011C3B" w:rsidRPr="00A51BCF" w:rsidRDefault="00011C3B" w:rsidP="0058781B">
            <w:pPr>
              <w:pStyle w:val="Tbla-kzp"/>
            </w:pPr>
          </w:p>
        </w:tc>
        <w:tc>
          <w:tcPr>
            <w:tcW w:w="6252" w:type="dxa"/>
          </w:tcPr>
          <w:p w:rsidR="00011C3B" w:rsidRPr="008B76DD" w:rsidRDefault="00011C3B" w:rsidP="00011C3B">
            <w:pPr>
              <w:pStyle w:val="TableText"/>
              <w:spacing w:before="0" w:after="0"/>
              <w:rPr>
                <w:rFonts w:eastAsia="Times New Roman"/>
                <w:b/>
                <w:bCs/>
                <w:lang w:val="es-ES" w:bidi="sa-IN"/>
              </w:rPr>
            </w:pPr>
            <w:r w:rsidRPr="008B76DD">
              <w:rPr>
                <w:rFonts w:eastAsia="Times New Roman"/>
                <w:b/>
                <w:bCs/>
                <w:lang w:bidi="sa-IN"/>
              </w:rPr>
              <w:t>A beruházás teljes összege (euró)</w:t>
            </w:r>
          </w:p>
          <w:p w:rsidR="00011C3B" w:rsidRPr="008B76DD" w:rsidRDefault="00011C3B" w:rsidP="00011C3B">
            <w:pPr>
              <w:spacing w:after="0"/>
              <w:jc w:val="left"/>
              <w:rPr>
                <w:sz w:val="20"/>
                <w:szCs w:val="20"/>
                <w:lang w:bidi="sa-IN"/>
              </w:rPr>
            </w:pPr>
            <w:r w:rsidRPr="008B76DD">
              <w:rPr>
                <w:sz w:val="20"/>
                <w:szCs w:val="20"/>
                <w:lang w:bidi="sa-IN"/>
              </w:rPr>
              <w:t>A tevékenység típusa:</w:t>
            </w:r>
          </w:p>
          <w:p w:rsidR="00011C3B" w:rsidRPr="008B76DD" w:rsidRDefault="00011C3B" w:rsidP="0033390A">
            <w:pPr>
              <w:numPr>
                <w:ilvl w:val="0"/>
                <w:numId w:val="80"/>
              </w:numPr>
              <w:spacing w:after="0"/>
              <w:rPr>
                <w:sz w:val="20"/>
                <w:szCs w:val="20"/>
                <w:lang w:bidi="sa-IN"/>
              </w:rPr>
            </w:pPr>
            <w:r w:rsidRPr="008B76DD">
              <w:rPr>
                <w:sz w:val="20"/>
                <w:szCs w:val="20"/>
                <w:lang w:bidi="sa-IN"/>
              </w:rPr>
              <w:t>Kisléptékű infrastruktúra (információs központok, turisztikai célpontok irányjelző táblái, …)</w:t>
            </w:r>
          </w:p>
          <w:p w:rsidR="00011C3B" w:rsidRPr="008B76DD" w:rsidRDefault="00011C3B" w:rsidP="0033390A">
            <w:pPr>
              <w:numPr>
                <w:ilvl w:val="0"/>
                <w:numId w:val="80"/>
              </w:numPr>
              <w:spacing w:after="0"/>
              <w:jc w:val="left"/>
              <w:rPr>
                <w:sz w:val="20"/>
                <w:szCs w:val="20"/>
                <w:lang w:bidi="sa-IN"/>
              </w:rPr>
            </w:pPr>
            <w:r w:rsidRPr="008B76DD">
              <w:rPr>
                <w:sz w:val="20"/>
                <w:szCs w:val="20"/>
                <w:lang w:bidi="sa-IN"/>
              </w:rPr>
              <w:t>Szabadidős infrastruktúra (természeti területek megközelítése, kis kapacitású szálláshelyek, …)</w:t>
            </w:r>
          </w:p>
          <w:p w:rsidR="00011C3B" w:rsidRPr="008B76DD" w:rsidRDefault="00011C3B" w:rsidP="0033390A">
            <w:pPr>
              <w:numPr>
                <w:ilvl w:val="0"/>
                <w:numId w:val="80"/>
              </w:numPr>
              <w:spacing w:after="0"/>
              <w:rPr>
                <w:sz w:val="20"/>
                <w:szCs w:val="20"/>
                <w:lang w:bidi="sa-IN"/>
              </w:rPr>
            </w:pPr>
            <w:r w:rsidRPr="008B76DD">
              <w:rPr>
                <w:sz w:val="20"/>
                <w:szCs w:val="20"/>
                <w:lang w:bidi="sa-IN"/>
              </w:rPr>
              <w:t>Vidéki turisztikai szolgáltatások fejlesztése/marketingje</w:t>
            </w:r>
          </w:p>
        </w:tc>
        <w:tc>
          <w:tcPr>
            <w:tcW w:w="1806" w:type="dxa"/>
          </w:tcPr>
          <w:p w:rsidR="00011C3B" w:rsidRPr="008B76DD" w:rsidRDefault="00011C3B" w:rsidP="0058781B">
            <w:pPr>
              <w:pStyle w:val="Tbla-jobb"/>
              <w:rPr>
                <w:rFonts w:eastAsia="Times New Roman"/>
                <w:lang w:val="en-GB"/>
              </w:rPr>
            </w:pPr>
            <w:r w:rsidRPr="008B76DD">
              <w:rPr>
                <w:rFonts w:eastAsia="Times New Roman"/>
                <w:lang w:bidi="sa-IN"/>
              </w:rPr>
              <w:t>297,4 millió</w:t>
            </w:r>
            <w:r w:rsidRPr="008B76DD">
              <w:rPr>
                <w:rFonts w:eastAsia="Times New Roman"/>
                <w:lang w:bidi="sa-IN"/>
              </w:rPr>
              <w:br/>
            </w:r>
          </w:p>
          <w:p w:rsidR="00011C3B" w:rsidRPr="008B76DD" w:rsidRDefault="00011C3B" w:rsidP="0058781B">
            <w:pPr>
              <w:pStyle w:val="Tbla-jobb"/>
              <w:rPr>
                <w:rFonts w:eastAsia="Times New Roman"/>
                <w:lang w:bidi="sa-IN"/>
              </w:rPr>
            </w:pPr>
            <w:r w:rsidRPr="008B76DD">
              <w:rPr>
                <w:rFonts w:eastAsia="Times New Roman"/>
                <w:lang w:val="en-GB"/>
              </w:rPr>
              <w:t>0</w:t>
            </w:r>
            <w:r w:rsidRPr="008B76DD">
              <w:rPr>
                <w:rFonts w:eastAsia="Times New Roman"/>
                <w:lang w:val="en-GB"/>
              </w:rPr>
              <w:br/>
            </w:r>
            <w:r w:rsidRPr="008B76DD">
              <w:rPr>
                <w:rFonts w:eastAsia="Times New Roman"/>
                <w:lang w:val="en-GB"/>
              </w:rPr>
              <w:br/>
            </w:r>
            <w:r w:rsidRPr="008B76DD">
              <w:rPr>
                <w:rFonts w:eastAsia="Times New Roman"/>
                <w:lang w:bidi="sa-IN"/>
              </w:rPr>
              <w:t>237,9 millió</w:t>
            </w:r>
            <w:r w:rsidRPr="008B76DD">
              <w:rPr>
                <w:rFonts w:eastAsia="Times New Roman"/>
                <w:lang w:bidi="sa-IN"/>
              </w:rPr>
              <w:br/>
            </w:r>
            <w:r w:rsidRPr="008B76DD">
              <w:rPr>
                <w:rFonts w:eastAsia="Times New Roman"/>
                <w:lang w:bidi="sa-IN"/>
              </w:rPr>
              <w:br/>
              <w:t>59,5 millió</w:t>
            </w:r>
          </w:p>
        </w:tc>
        <w:tc>
          <w:tcPr>
            <w:tcW w:w="1544" w:type="dxa"/>
            <w:tcBorders>
              <w:bottom w:val="single" w:sz="4" w:space="0" w:color="auto"/>
            </w:tcBorders>
          </w:tcPr>
          <w:p w:rsidR="00011C3B" w:rsidRPr="008B76DD" w:rsidRDefault="00011C3B" w:rsidP="0058781B">
            <w:pPr>
              <w:pStyle w:val="Tbla-jobb"/>
              <w:rPr>
                <w:rFonts w:eastAsia="Times New Roman"/>
                <w:lang w:bidi="sa-IN"/>
              </w:rPr>
            </w:pPr>
            <w:r>
              <w:rPr>
                <w:rFonts w:eastAsia="Times New Roman"/>
                <w:lang w:bidi="sa-IN"/>
              </w:rPr>
              <w:t>107,8</w:t>
            </w:r>
            <w:r w:rsidR="00B6645A">
              <w:rPr>
                <w:rFonts w:eastAsia="Times New Roman"/>
                <w:lang w:bidi="sa-IN"/>
              </w:rPr>
              <w:t>9</w:t>
            </w:r>
            <w:r w:rsidRPr="008B76DD">
              <w:rPr>
                <w:rFonts w:eastAsia="Times New Roman"/>
                <w:lang w:bidi="sa-IN"/>
              </w:rPr>
              <w:t xml:space="preserve"> millió</w:t>
            </w:r>
          </w:p>
          <w:p w:rsidR="00011C3B" w:rsidRPr="008B76DD" w:rsidRDefault="00011C3B" w:rsidP="0058781B">
            <w:pPr>
              <w:pStyle w:val="Tbla-jobb"/>
              <w:rPr>
                <w:rFonts w:eastAsia="Times New Roman"/>
                <w:lang w:bidi="sa-IN"/>
              </w:rPr>
            </w:pPr>
          </w:p>
          <w:p w:rsidR="00011C3B" w:rsidRPr="008B76DD" w:rsidRDefault="00011C3B" w:rsidP="0058781B">
            <w:pPr>
              <w:pStyle w:val="Tbla-jobb"/>
              <w:rPr>
                <w:rFonts w:eastAsia="Times New Roman"/>
                <w:lang w:bidi="sa-IN"/>
              </w:rPr>
            </w:pPr>
            <w:r>
              <w:rPr>
                <w:rFonts w:eastAsia="Times New Roman"/>
                <w:lang w:bidi="sa-IN"/>
              </w:rPr>
              <w:t>60,35</w:t>
            </w:r>
            <w:r w:rsidRPr="008B76DD">
              <w:rPr>
                <w:rFonts w:eastAsia="Times New Roman"/>
                <w:lang w:bidi="sa-IN"/>
              </w:rPr>
              <w:t xml:space="preserve"> millió</w:t>
            </w:r>
          </w:p>
          <w:p w:rsidR="00011C3B" w:rsidRPr="008B76DD" w:rsidRDefault="00011C3B" w:rsidP="0058781B">
            <w:pPr>
              <w:pStyle w:val="Tbla-jobb"/>
              <w:rPr>
                <w:rFonts w:eastAsia="Times New Roman"/>
                <w:lang w:bidi="sa-IN"/>
              </w:rPr>
            </w:pPr>
          </w:p>
          <w:p w:rsidR="00011C3B" w:rsidRPr="008B76DD" w:rsidRDefault="00011C3B" w:rsidP="0058781B">
            <w:pPr>
              <w:pStyle w:val="Tbla-jobb"/>
              <w:rPr>
                <w:rFonts w:eastAsia="Times New Roman"/>
                <w:lang w:bidi="sa-IN"/>
              </w:rPr>
            </w:pPr>
            <w:r w:rsidRPr="008B76DD">
              <w:rPr>
                <w:rFonts w:eastAsia="Times New Roman"/>
                <w:lang w:bidi="sa-IN"/>
              </w:rPr>
              <w:t>0</w:t>
            </w:r>
          </w:p>
          <w:p w:rsidR="00011C3B" w:rsidRPr="008B76DD" w:rsidRDefault="00011C3B" w:rsidP="0058781B">
            <w:pPr>
              <w:pStyle w:val="Tbla-jobb"/>
              <w:rPr>
                <w:rFonts w:eastAsia="Times New Roman"/>
                <w:lang w:bidi="sa-IN"/>
              </w:rPr>
            </w:pPr>
          </w:p>
          <w:p w:rsidR="00011C3B" w:rsidRPr="008B76DD" w:rsidRDefault="00B6645A" w:rsidP="0058781B">
            <w:pPr>
              <w:pStyle w:val="Tbla-jobb"/>
              <w:rPr>
                <w:rFonts w:eastAsia="Times New Roman"/>
                <w:highlight w:val="yellow"/>
                <w:lang w:bidi="sa-IN"/>
              </w:rPr>
            </w:pPr>
            <w:r>
              <w:rPr>
                <w:rFonts w:eastAsia="Times New Roman"/>
                <w:lang w:bidi="sa-IN"/>
              </w:rPr>
              <w:t>4</w:t>
            </w:r>
            <w:r w:rsidR="00011C3B">
              <w:rPr>
                <w:rFonts w:eastAsia="Times New Roman"/>
                <w:lang w:bidi="sa-IN"/>
              </w:rPr>
              <w:t>7,53</w:t>
            </w:r>
            <w:r w:rsidR="00011C3B" w:rsidRPr="008B76DD">
              <w:rPr>
                <w:rFonts w:eastAsia="Times New Roman"/>
                <w:lang w:bidi="sa-IN"/>
              </w:rPr>
              <w:t xml:space="preserve"> millió</w:t>
            </w:r>
          </w:p>
        </w:tc>
      </w:tr>
      <w:tr w:rsidR="00011C3B" w:rsidRPr="008B76DD" w:rsidTr="00011C3B">
        <w:trPr>
          <w:cantSplit/>
          <w:jc w:val="center"/>
        </w:trPr>
        <w:tc>
          <w:tcPr>
            <w:tcW w:w="426" w:type="dxa"/>
            <w:vMerge w:val="restart"/>
          </w:tcPr>
          <w:p w:rsidR="00011C3B" w:rsidRPr="00A51BCF" w:rsidRDefault="00011C3B" w:rsidP="0058781B">
            <w:pPr>
              <w:pStyle w:val="Tbla-kzp"/>
            </w:pPr>
            <w:r w:rsidRPr="00A51BCF">
              <w:t>R</w:t>
            </w:r>
          </w:p>
        </w:tc>
        <w:tc>
          <w:tcPr>
            <w:tcW w:w="6252" w:type="dxa"/>
          </w:tcPr>
          <w:p w:rsidR="00011C3B" w:rsidRPr="008B76DD" w:rsidRDefault="00011C3B" w:rsidP="00011C3B">
            <w:pPr>
              <w:pStyle w:val="TableText"/>
              <w:spacing w:before="0" w:after="0"/>
              <w:rPr>
                <w:rFonts w:eastAsia="Times New Roman"/>
                <w:b/>
                <w:bCs/>
                <w:lang w:bidi="sa-IN"/>
              </w:rPr>
            </w:pPr>
            <w:r w:rsidRPr="008B76DD">
              <w:rPr>
                <w:rFonts w:eastAsia="Times New Roman"/>
                <w:b/>
                <w:bCs/>
                <w:lang w:bidi="sa-IN"/>
              </w:rPr>
              <w:t xml:space="preserve">A nem mezőgazdasági bruttó hozzáadott érték növekedése a támogatott vállalkozásokban (EUR) </w:t>
            </w:r>
          </w:p>
          <w:p w:rsidR="00011C3B" w:rsidRPr="008B76DD" w:rsidRDefault="00011C3B" w:rsidP="00011C3B">
            <w:pPr>
              <w:suppressAutoHyphens w:val="0"/>
              <w:spacing w:after="0"/>
              <w:jc w:val="left"/>
              <w:rPr>
                <w:sz w:val="20"/>
                <w:szCs w:val="20"/>
                <w:lang w:bidi="sa-IN"/>
              </w:rPr>
            </w:pPr>
            <w:r w:rsidRPr="008B76DD">
              <w:rPr>
                <w:sz w:val="20"/>
                <w:szCs w:val="20"/>
                <w:lang w:bidi="sa-IN"/>
              </w:rPr>
              <w:t>intézkedésenként</w:t>
            </w:r>
          </w:p>
          <w:p w:rsidR="00011C3B" w:rsidRPr="008B76DD" w:rsidRDefault="00011C3B" w:rsidP="00011C3B">
            <w:pPr>
              <w:suppressAutoHyphens w:val="0"/>
              <w:spacing w:after="0"/>
              <w:jc w:val="left"/>
              <w:rPr>
                <w:sz w:val="20"/>
                <w:szCs w:val="20"/>
                <w:lang w:bidi="sa-IN"/>
              </w:rPr>
            </w:pPr>
            <w:r w:rsidRPr="008B76DD">
              <w:rPr>
                <w:sz w:val="20"/>
                <w:szCs w:val="20"/>
                <w:lang w:bidi="sa-IN"/>
              </w:rPr>
              <w:t>az üzem típusa szerint:</w:t>
            </w:r>
          </w:p>
          <w:p w:rsidR="00011C3B" w:rsidRPr="008B76DD" w:rsidRDefault="00011C3B" w:rsidP="0033390A">
            <w:pPr>
              <w:numPr>
                <w:ilvl w:val="0"/>
                <w:numId w:val="80"/>
              </w:numPr>
              <w:spacing w:after="0"/>
              <w:rPr>
                <w:sz w:val="20"/>
                <w:szCs w:val="20"/>
                <w:lang w:bidi="sa-IN"/>
              </w:rPr>
            </w:pPr>
            <w:r w:rsidRPr="008B76DD">
              <w:rPr>
                <w:sz w:val="20"/>
                <w:szCs w:val="20"/>
                <w:lang w:bidi="sa-IN"/>
              </w:rPr>
              <w:t>mezőgazdasági üzem</w:t>
            </w:r>
          </w:p>
          <w:p w:rsidR="00011C3B" w:rsidRPr="008B76DD" w:rsidRDefault="00011C3B" w:rsidP="0033390A">
            <w:pPr>
              <w:numPr>
                <w:ilvl w:val="0"/>
                <w:numId w:val="80"/>
              </w:numPr>
              <w:spacing w:after="0"/>
              <w:rPr>
                <w:sz w:val="20"/>
                <w:szCs w:val="20"/>
                <w:lang w:bidi="sa-IN"/>
              </w:rPr>
            </w:pPr>
            <w:r w:rsidRPr="008B76DD">
              <w:rPr>
                <w:sz w:val="20"/>
                <w:szCs w:val="20"/>
                <w:lang w:bidi="sa-IN"/>
              </w:rPr>
              <w:t xml:space="preserve"> egyéb vállalkozások</w:t>
            </w:r>
          </w:p>
        </w:tc>
        <w:tc>
          <w:tcPr>
            <w:tcW w:w="1806" w:type="dxa"/>
          </w:tcPr>
          <w:p w:rsidR="00011C3B" w:rsidRPr="008B76DD" w:rsidRDefault="00011C3B" w:rsidP="0058781B">
            <w:pPr>
              <w:pStyle w:val="Tbla-jobb"/>
              <w:rPr>
                <w:rFonts w:eastAsia="Times New Roman"/>
                <w:lang w:bidi="sa-IN"/>
              </w:rPr>
            </w:pPr>
            <w:r w:rsidRPr="008B76DD">
              <w:rPr>
                <w:rFonts w:eastAsia="Times New Roman"/>
                <w:lang w:bidi="sa-IN"/>
              </w:rPr>
              <w:t>14,4 millió</w:t>
            </w:r>
            <w:r w:rsidRPr="008B76DD">
              <w:rPr>
                <w:rFonts w:eastAsia="Times New Roman"/>
                <w:lang w:bidi="sa-IN"/>
              </w:rPr>
              <w:br/>
            </w:r>
            <w:r w:rsidRPr="008B76DD">
              <w:rPr>
                <w:rFonts w:eastAsia="Times New Roman"/>
                <w:lang w:bidi="sa-IN"/>
              </w:rPr>
              <w:br/>
            </w:r>
          </w:p>
          <w:p w:rsidR="00011C3B" w:rsidRPr="008B76DD" w:rsidRDefault="00011C3B" w:rsidP="0058781B">
            <w:pPr>
              <w:pStyle w:val="Tbla-jobb"/>
              <w:rPr>
                <w:rFonts w:eastAsia="Times New Roman"/>
                <w:lang w:bidi="sa-IN"/>
              </w:rPr>
            </w:pPr>
          </w:p>
          <w:p w:rsidR="00011C3B" w:rsidRPr="008B76DD" w:rsidRDefault="00011C3B" w:rsidP="0058781B">
            <w:pPr>
              <w:pStyle w:val="Tbla-jobb"/>
              <w:rPr>
                <w:lang w:val="en-GB"/>
              </w:rPr>
            </w:pPr>
            <w:r w:rsidRPr="008B76DD">
              <w:rPr>
                <w:lang w:val="en-GB"/>
              </w:rPr>
              <w:t>0</w:t>
            </w:r>
          </w:p>
          <w:p w:rsidR="00011C3B" w:rsidRPr="008B76DD" w:rsidRDefault="00011C3B" w:rsidP="0058781B">
            <w:pPr>
              <w:pStyle w:val="Tbla-jobb"/>
              <w:rPr>
                <w:rFonts w:eastAsia="Times New Roman"/>
                <w:lang w:bidi="sa-IN"/>
              </w:rPr>
            </w:pPr>
            <w:r w:rsidRPr="008B76DD">
              <w:rPr>
                <w:rFonts w:eastAsia="Times New Roman"/>
                <w:lang w:bidi="sa-IN"/>
              </w:rPr>
              <w:t>14,4 millió</w:t>
            </w:r>
          </w:p>
        </w:tc>
        <w:tc>
          <w:tcPr>
            <w:tcW w:w="1544" w:type="dxa"/>
            <w:shd w:val="clear" w:color="auto" w:fill="auto"/>
          </w:tcPr>
          <w:p w:rsidR="00011C3B" w:rsidRPr="00017030" w:rsidRDefault="00C91980" w:rsidP="0058781B">
            <w:pPr>
              <w:pStyle w:val="Tbla-jobb"/>
              <w:rPr>
                <w:rFonts w:eastAsia="Times New Roman"/>
                <w:lang w:bidi="sa-IN"/>
              </w:rPr>
            </w:pPr>
            <w:r>
              <w:rPr>
                <w:rFonts w:eastAsia="Times New Roman"/>
                <w:lang w:bidi="sa-IN"/>
              </w:rPr>
              <w:t>0,</w:t>
            </w:r>
            <w:r w:rsidR="00BA0D6F">
              <w:rPr>
                <w:rFonts w:eastAsia="Times New Roman"/>
                <w:lang w:bidi="sa-IN"/>
              </w:rPr>
              <w:t>32</w:t>
            </w:r>
            <w:r>
              <w:rPr>
                <w:rFonts w:eastAsia="Times New Roman"/>
                <w:lang w:bidi="sa-IN"/>
              </w:rPr>
              <w:t>8</w:t>
            </w:r>
            <w:r w:rsidR="00011C3B" w:rsidRPr="00017030">
              <w:rPr>
                <w:rFonts w:eastAsia="Times New Roman"/>
                <w:lang w:bidi="sa-IN"/>
              </w:rPr>
              <w:t xml:space="preserve"> millió</w:t>
            </w:r>
          </w:p>
          <w:p w:rsidR="00011C3B" w:rsidRPr="00017030" w:rsidRDefault="00011C3B" w:rsidP="0058781B">
            <w:pPr>
              <w:pStyle w:val="Tbla-jobb"/>
              <w:rPr>
                <w:rFonts w:eastAsia="Times New Roman"/>
                <w:lang w:bidi="sa-IN"/>
              </w:rPr>
            </w:pPr>
          </w:p>
          <w:p w:rsidR="00011C3B" w:rsidRPr="00017030" w:rsidRDefault="00011C3B" w:rsidP="0058781B">
            <w:pPr>
              <w:pStyle w:val="Tbla-jobb"/>
              <w:rPr>
                <w:rFonts w:eastAsia="Times New Roman"/>
                <w:lang w:bidi="sa-IN"/>
              </w:rPr>
            </w:pPr>
          </w:p>
          <w:p w:rsidR="00011C3B" w:rsidRPr="00017030" w:rsidRDefault="00011C3B" w:rsidP="0058781B">
            <w:pPr>
              <w:pStyle w:val="Tbla-jobb"/>
              <w:rPr>
                <w:rFonts w:eastAsia="Times New Roman"/>
                <w:lang w:bidi="sa-IN"/>
              </w:rPr>
            </w:pPr>
          </w:p>
          <w:p w:rsidR="00011C3B" w:rsidRPr="00017030" w:rsidRDefault="00011C3B" w:rsidP="0058781B">
            <w:pPr>
              <w:pStyle w:val="Tbla-jobb"/>
              <w:rPr>
                <w:rFonts w:eastAsia="Times New Roman"/>
                <w:lang w:bidi="sa-IN"/>
              </w:rPr>
            </w:pPr>
            <w:r w:rsidRPr="00017030">
              <w:rPr>
                <w:rFonts w:eastAsia="Times New Roman"/>
                <w:lang w:bidi="sa-IN"/>
              </w:rPr>
              <w:t>0</w:t>
            </w:r>
          </w:p>
          <w:p w:rsidR="00011C3B" w:rsidRPr="008B76DD" w:rsidRDefault="00C91980" w:rsidP="00C91980">
            <w:pPr>
              <w:pStyle w:val="Tbla-jobb"/>
              <w:rPr>
                <w:rFonts w:eastAsia="Times New Roman"/>
                <w:lang w:bidi="sa-IN"/>
              </w:rPr>
            </w:pPr>
            <w:r>
              <w:rPr>
                <w:rFonts w:eastAsia="Times New Roman"/>
                <w:lang w:bidi="sa-IN"/>
              </w:rPr>
              <w:t>0,</w:t>
            </w:r>
            <w:r w:rsidR="00BA0D6F">
              <w:rPr>
                <w:rFonts w:eastAsia="Times New Roman"/>
                <w:lang w:bidi="sa-IN"/>
              </w:rPr>
              <w:t>328</w:t>
            </w:r>
            <w:r w:rsidR="00011C3B" w:rsidRPr="00017030">
              <w:rPr>
                <w:rFonts w:eastAsia="Times New Roman"/>
                <w:lang w:bidi="sa-IN"/>
              </w:rPr>
              <w:t xml:space="preserve"> millió</w:t>
            </w:r>
          </w:p>
        </w:tc>
      </w:tr>
      <w:tr w:rsidR="00011C3B" w:rsidRPr="008B76DD" w:rsidTr="00011C3B">
        <w:trPr>
          <w:cantSplit/>
          <w:jc w:val="center"/>
        </w:trPr>
        <w:tc>
          <w:tcPr>
            <w:tcW w:w="426" w:type="dxa"/>
            <w:vMerge/>
          </w:tcPr>
          <w:p w:rsidR="00011C3B" w:rsidRPr="00A51BCF" w:rsidRDefault="00011C3B" w:rsidP="0058781B">
            <w:pPr>
              <w:pStyle w:val="Tbla-kzp"/>
            </w:pPr>
          </w:p>
        </w:tc>
        <w:tc>
          <w:tcPr>
            <w:tcW w:w="6252" w:type="dxa"/>
          </w:tcPr>
          <w:p w:rsidR="00011C3B" w:rsidRPr="008B76DD" w:rsidRDefault="00011C3B" w:rsidP="00011C3B">
            <w:pPr>
              <w:pStyle w:val="TableText"/>
              <w:spacing w:before="0" w:after="0"/>
              <w:rPr>
                <w:rFonts w:eastAsia="Times New Roman"/>
                <w:b/>
                <w:bCs/>
                <w:lang w:bidi="sa-IN"/>
              </w:rPr>
            </w:pPr>
            <w:r w:rsidRPr="008B76DD">
              <w:rPr>
                <w:rFonts w:eastAsia="Times New Roman"/>
                <w:b/>
                <w:bCs/>
                <w:lang w:bidi="sa-IN"/>
              </w:rPr>
              <w:t xml:space="preserve">Generált látogatások száma </w:t>
            </w:r>
          </w:p>
          <w:p w:rsidR="00011C3B" w:rsidRPr="008B76DD" w:rsidRDefault="00011C3B" w:rsidP="00011C3B">
            <w:pPr>
              <w:suppressAutoHyphens w:val="0"/>
              <w:spacing w:after="0"/>
              <w:jc w:val="left"/>
              <w:rPr>
                <w:sz w:val="20"/>
                <w:szCs w:val="20"/>
                <w:lang w:bidi="sa-IN"/>
              </w:rPr>
            </w:pPr>
            <w:r w:rsidRPr="008B76DD">
              <w:rPr>
                <w:sz w:val="20"/>
                <w:szCs w:val="20"/>
                <w:lang w:bidi="sa-IN"/>
              </w:rPr>
              <w:t>Vendégéjszakák száma (szállodák, …)</w:t>
            </w:r>
          </w:p>
          <w:p w:rsidR="00011C3B" w:rsidRPr="008B76DD" w:rsidRDefault="00011C3B" w:rsidP="00011C3B">
            <w:pPr>
              <w:pStyle w:val="TableText"/>
              <w:spacing w:before="0" w:after="0"/>
              <w:rPr>
                <w:rFonts w:eastAsia="Times New Roman"/>
                <w:lang w:bidi="sa-IN"/>
              </w:rPr>
            </w:pPr>
            <w:r w:rsidRPr="008B76DD">
              <w:rPr>
                <w:rFonts w:eastAsia="Times New Roman"/>
                <w:lang w:bidi="sa-IN"/>
              </w:rPr>
              <w:t>Nappali látogatók száma (turisztikai létesítmények, szabadidős tevékenységek, …)</w:t>
            </w:r>
          </w:p>
        </w:tc>
        <w:tc>
          <w:tcPr>
            <w:tcW w:w="1806" w:type="dxa"/>
          </w:tcPr>
          <w:p w:rsidR="00011C3B" w:rsidRPr="008B76DD" w:rsidRDefault="00011C3B" w:rsidP="0058781B">
            <w:pPr>
              <w:pStyle w:val="Tbla-jobb"/>
              <w:rPr>
                <w:lang w:val="en-GB"/>
              </w:rPr>
            </w:pPr>
            <w:r w:rsidRPr="008B76DD">
              <w:rPr>
                <w:lang w:val="en-GB"/>
              </w:rPr>
              <w:t>800</w:t>
            </w:r>
            <w:r>
              <w:rPr>
                <w:lang w:val="en-GB"/>
              </w:rPr>
              <w:t> </w:t>
            </w:r>
            <w:r w:rsidRPr="008B76DD">
              <w:rPr>
                <w:lang w:val="en-GB"/>
              </w:rPr>
              <w:t>000</w:t>
            </w:r>
          </w:p>
        </w:tc>
        <w:tc>
          <w:tcPr>
            <w:tcW w:w="1544" w:type="dxa"/>
          </w:tcPr>
          <w:p w:rsidR="00011C3B" w:rsidRDefault="00011C3B" w:rsidP="0058781B">
            <w:pPr>
              <w:pStyle w:val="Tbla-jobb"/>
              <w:rPr>
                <w:lang w:val="en-GB"/>
              </w:rPr>
            </w:pPr>
          </w:p>
          <w:p w:rsidR="00011C3B" w:rsidRPr="00017030" w:rsidRDefault="00011C3B" w:rsidP="0058781B">
            <w:pPr>
              <w:pStyle w:val="Tbla-jobb"/>
              <w:rPr>
                <w:lang w:val="en-GB"/>
              </w:rPr>
            </w:pPr>
            <w:r w:rsidRPr="00017030">
              <w:rPr>
                <w:lang w:val="en-GB"/>
              </w:rPr>
              <w:t>57</w:t>
            </w:r>
            <w:r w:rsidR="002A3FC6">
              <w:rPr>
                <w:lang w:val="en-GB"/>
              </w:rPr>
              <w:t xml:space="preserve"> </w:t>
            </w:r>
            <w:r w:rsidRPr="00017030">
              <w:rPr>
                <w:lang w:val="en-GB"/>
              </w:rPr>
              <w:t>839</w:t>
            </w:r>
          </w:p>
          <w:p w:rsidR="00011C3B" w:rsidRPr="008B76DD" w:rsidRDefault="00011C3B" w:rsidP="0058781B">
            <w:pPr>
              <w:pStyle w:val="Tbla-jobb"/>
              <w:rPr>
                <w:lang w:val="en-GB"/>
              </w:rPr>
            </w:pPr>
            <w:r w:rsidRPr="00017030">
              <w:rPr>
                <w:lang w:val="en-GB"/>
              </w:rPr>
              <w:t>57</w:t>
            </w:r>
            <w:r w:rsidR="002A3FC6">
              <w:rPr>
                <w:lang w:val="en-GB"/>
              </w:rPr>
              <w:t xml:space="preserve"> </w:t>
            </w:r>
            <w:r w:rsidRPr="00017030">
              <w:rPr>
                <w:lang w:val="en-GB"/>
              </w:rPr>
              <w:t>028</w:t>
            </w:r>
          </w:p>
        </w:tc>
      </w:tr>
      <w:tr w:rsidR="00011C3B" w:rsidRPr="00170CB9" w:rsidTr="00011C3B">
        <w:trPr>
          <w:cantSplit/>
          <w:jc w:val="center"/>
        </w:trPr>
        <w:tc>
          <w:tcPr>
            <w:tcW w:w="426" w:type="dxa"/>
            <w:vMerge/>
          </w:tcPr>
          <w:p w:rsidR="00011C3B" w:rsidRPr="00A51BCF" w:rsidRDefault="00011C3B" w:rsidP="0058781B">
            <w:pPr>
              <w:pStyle w:val="Tbla-kzp"/>
            </w:pPr>
          </w:p>
        </w:tc>
        <w:tc>
          <w:tcPr>
            <w:tcW w:w="6252" w:type="dxa"/>
          </w:tcPr>
          <w:p w:rsidR="00011C3B" w:rsidRPr="00170CB9" w:rsidRDefault="00011C3B" w:rsidP="00011C3B">
            <w:pPr>
              <w:pStyle w:val="TableText"/>
              <w:spacing w:before="0" w:after="0"/>
              <w:rPr>
                <w:rFonts w:eastAsia="Times New Roman"/>
                <w:b/>
                <w:bCs/>
                <w:lang w:bidi="sa-IN"/>
              </w:rPr>
            </w:pPr>
            <w:r w:rsidRPr="00170CB9">
              <w:rPr>
                <w:rFonts w:eastAsia="Times New Roman"/>
                <w:b/>
                <w:bCs/>
                <w:lang w:bidi="sa-IN"/>
              </w:rPr>
              <w:t>Létrehozott munkahelyek száma összesen (db)</w:t>
            </w:r>
          </w:p>
          <w:p w:rsidR="00011C3B" w:rsidRPr="00170CB9" w:rsidRDefault="00011C3B" w:rsidP="00011C3B">
            <w:pPr>
              <w:spacing w:after="0"/>
              <w:jc w:val="left"/>
              <w:rPr>
                <w:sz w:val="20"/>
                <w:szCs w:val="20"/>
                <w:lang w:bidi="sa-IN"/>
              </w:rPr>
            </w:pPr>
            <w:r w:rsidRPr="00170CB9">
              <w:rPr>
                <w:sz w:val="20"/>
                <w:szCs w:val="20"/>
                <w:lang w:bidi="sa-IN"/>
              </w:rPr>
              <w:t>Létrehozott új munkahelyek száma az alábbiak szerint:</w:t>
            </w:r>
          </w:p>
          <w:p w:rsidR="00011C3B" w:rsidRPr="00170CB9" w:rsidRDefault="00011C3B" w:rsidP="00011C3B">
            <w:pPr>
              <w:spacing w:after="0"/>
              <w:jc w:val="left"/>
              <w:rPr>
                <w:sz w:val="20"/>
                <w:szCs w:val="20"/>
                <w:lang w:bidi="sa-IN"/>
              </w:rPr>
            </w:pPr>
            <w:r w:rsidRPr="00170CB9">
              <w:rPr>
                <w:sz w:val="20"/>
                <w:szCs w:val="20"/>
                <w:lang w:bidi="sa-IN"/>
              </w:rPr>
              <w:t xml:space="preserve">üzemi és üzemen kívüli munkahelyek: </w:t>
            </w:r>
          </w:p>
          <w:p w:rsidR="00011C3B" w:rsidRPr="00170CB9" w:rsidRDefault="00011C3B" w:rsidP="0033390A">
            <w:pPr>
              <w:numPr>
                <w:ilvl w:val="0"/>
                <w:numId w:val="80"/>
              </w:numPr>
              <w:spacing w:after="0"/>
              <w:jc w:val="left"/>
              <w:rPr>
                <w:sz w:val="20"/>
                <w:szCs w:val="20"/>
                <w:lang w:bidi="sa-IN"/>
              </w:rPr>
            </w:pPr>
            <w:r w:rsidRPr="00170CB9">
              <w:rPr>
                <w:sz w:val="20"/>
                <w:szCs w:val="20"/>
                <w:lang w:bidi="sa-IN"/>
              </w:rPr>
              <w:t>a támogatott tevékenység által létrehozott üzemi munkahely</w:t>
            </w:r>
          </w:p>
          <w:p w:rsidR="00011C3B" w:rsidRPr="00170CB9" w:rsidRDefault="00011C3B" w:rsidP="0033390A">
            <w:pPr>
              <w:numPr>
                <w:ilvl w:val="0"/>
                <w:numId w:val="80"/>
              </w:numPr>
              <w:spacing w:after="0"/>
              <w:jc w:val="left"/>
              <w:rPr>
                <w:sz w:val="20"/>
                <w:szCs w:val="20"/>
              </w:rPr>
            </w:pPr>
            <w:r w:rsidRPr="00170CB9">
              <w:rPr>
                <w:sz w:val="20"/>
                <w:szCs w:val="20"/>
              </w:rPr>
              <w:t>agroturizmus</w:t>
            </w:r>
          </w:p>
          <w:p w:rsidR="00011C3B" w:rsidRPr="00170CB9" w:rsidRDefault="00011C3B" w:rsidP="0033390A">
            <w:pPr>
              <w:numPr>
                <w:ilvl w:val="0"/>
                <w:numId w:val="80"/>
              </w:numPr>
              <w:spacing w:after="0"/>
              <w:jc w:val="left"/>
              <w:rPr>
                <w:sz w:val="20"/>
                <w:szCs w:val="20"/>
              </w:rPr>
            </w:pPr>
            <w:r w:rsidRPr="00170CB9">
              <w:rPr>
                <w:sz w:val="20"/>
                <w:szCs w:val="20"/>
              </w:rPr>
              <w:t>kézművesség</w:t>
            </w:r>
          </w:p>
          <w:p w:rsidR="00011C3B" w:rsidRPr="00170CB9" w:rsidRDefault="00011C3B" w:rsidP="0033390A">
            <w:pPr>
              <w:numPr>
                <w:ilvl w:val="0"/>
                <w:numId w:val="80"/>
              </w:numPr>
              <w:spacing w:after="0"/>
              <w:jc w:val="left"/>
              <w:rPr>
                <w:sz w:val="20"/>
                <w:szCs w:val="20"/>
              </w:rPr>
            </w:pPr>
            <w:r w:rsidRPr="00170CB9">
              <w:rPr>
                <w:sz w:val="20"/>
                <w:szCs w:val="20"/>
              </w:rPr>
              <w:t>kiskereskedelem</w:t>
            </w:r>
          </w:p>
          <w:p w:rsidR="00011C3B" w:rsidRPr="00170CB9" w:rsidRDefault="00011C3B" w:rsidP="0033390A">
            <w:pPr>
              <w:numPr>
                <w:ilvl w:val="0"/>
                <w:numId w:val="80"/>
              </w:numPr>
              <w:spacing w:after="0"/>
              <w:jc w:val="left"/>
              <w:rPr>
                <w:sz w:val="20"/>
                <w:szCs w:val="20"/>
              </w:rPr>
            </w:pPr>
            <w:r w:rsidRPr="00170CB9">
              <w:rPr>
                <w:sz w:val="20"/>
                <w:szCs w:val="20"/>
              </w:rPr>
              <w:t>megújulóenergia-termelés</w:t>
            </w:r>
          </w:p>
          <w:p w:rsidR="00011C3B" w:rsidRPr="00170CB9" w:rsidRDefault="00011C3B" w:rsidP="0033390A">
            <w:pPr>
              <w:numPr>
                <w:ilvl w:val="0"/>
                <w:numId w:val="80"/>
              </w:numPr>
              <w:spacing w:after="0"/>
              <w:jc w:val="left"/>
              <w:rPr>
                <w:sz w:val="20"/>
                <w:szCs w:val="20"/>
              </w:rPr>
            </w:pPr>
            <w:r w:rsidRPr="00170CB9">
              <w:rPr>
                <w:sz w:val="20"/>
                <w:szCs w:val="20"/>
              </w:rPr>
              <w:t>egyéb</w:t>
            </w:r>
          </w:p>
          <w:p w:rsidR="00011C3B" w:rsidRPr="00170CB9" w:rsidRDefault="00011C3B" w:rsidP="0033390A">
            <w:pPr>
              <w:numPr>
                <w:ilvl w:val="0"/>
                <w:numId w:val="80"/>
              </w:numPr>
              <w:spacing w:after="0"/>
              <w:jc w:val="left"/>
              <w:rPr>
                <w:sz w:val="20"/>
                <w:szCs w:val="20"/>
                <w:lang w:bidi="sa-IN"/>
              </w:rPr>
            </w:pPr>
            <w:r w:rsidRPr="00170CB9">
              <w:rPr>
                <w:sz w:val="20"/>
                <w:szCs w:val="20"/>
                <w:lang w:bidi="sa-IN"/>
              </w:rPr>
              <w:t>támogatott tevékenység által létrehozott üzemen kívüli munkahely</w:t>
            </w:r>
          </w:p>
          <w:p w:rsidR="00011C3B" w:rsidRPr="00170CB9" w:rsidRDefault="00011C3B" w:rsidP="0033390A">
            <w:pPr>
              <w:numPr>
                <w:ilvl w:val="0"/>
                <w:numId w:val="80"/>
              </w:numPr>
              <w:spacing w:after="0"/>
              <w:jc w:val="left"/>
              <w:rPr>
                <w:sz w:val="20"/>
                <w:szCs w:val="20"/>
              </w:rPr>
            </w:pPr>
            <w:r w:rsidRPr="00170CB9">
              <w:rPr>
                <w:sz w:val="20"/>
                <w:szCs w:val="20"/>
              </w:rPr>
              <w:t>turizmus</w:t>
            </w:r>
          </w:p>
          <w:p w:rsidR="00011C3B" w:rsidRPr="00170CB9" w:rsidRDefault="00011C3B" w:rsidP="0033390A">
            <w:pPr>
              <w:numPr>
                <w:ilvl w:val="0"/>
                <w:numId w:val="80"/>
              </w:numPr>
              <w:spacing w:after="0"/>
              <w:jc w:val="left"/>
              <w:rPr>
                <w:sz w:val="20"/>
                <w:szCs w:val="20"/>
              </w:rPr>
            </w:pPr>
            <w:r w:rsidRPr="00170CB9">
              <w:rPr>
                <w:sz w:val="20"/>
                <w:szCs w:val="20"/>
              </w:rPr>
              <w:t>kézművesség</w:t>
            </w:r>
          </w:p>
          <w:p w:rsidR="00011C3B" w:rsidRPr="00170CB9" w:rsidRDefault="00011C3B" w:rsidP="0033390A">
            <w:pPr>
              <w:numPr>
                <w:ilvl w:val="0"/>
                <w:numId w:val="80"/>
              </w:numPr>
              <w:spacing w:after="0"/>
              <w:jc w:val="left"/>
              <w:rPr>
                <w:sz w:val="20"/>
                <w:szCs w:val="20"/>
              </w:rPr>
            </w:pPr>
            <w:r w:rsidRPr="00170CB9">
              <w:rPr>
                <w:sz w:val="20"/>
                <w:szCs w:val="20"/>
              </w:rPr>
              <w:t>kiskereskedelem</w:t>
            </w:r>
          </w:p>
          <w:p w:rsidR="00011C3B" w:rsidRPr="00170CB9" w:rsidRDefault="00011C3B" w:rsidP="0033390A">
            <w:pPr>
              <w:numPr>
                <w:ilvl w:val="0"/>
                <w:numId w:val="80"/>
              </w:numPr>
              <w:spacing w:after="0"/>
              <w:jc w:val="left"/>
              <w:rPr>
                <w:sz w:val="20"/>
                <w:szCs w:val="20"/>
              </w:rPr>
            </w:pPr>
            <w:r w:rsidRPr="00170CB9">
              <w:rPr>
                <w:sz w:val="20"/>
                <w:szCs w:val="20"/>
              </w:rPr>
              <w:t>megújulóenergia-termelés</w:t>
            </w:r>
          </w:p>
          <w:p w:rsidR="00011C3B" w:rsidRPr="00170CB9" w:rsidRDefault="00011C3B" w:rsidP="0033390A">
            <w:pPr>
              <w:numPr>
                <w:ilvl w:val="0"/>
                <w:numId w:val="80"/>
              </w:numPr>
              <w:spacing w:after="0"/>
              <w:jc w:val="left"/>
              <w:rPr>
                <w:sz w:val="20"/>
                <w:szCs w:val="20"/>
              </w:rPr>
            </w:pPr>
            <w:r w:rsidRPr="00170CB9">
              <w:rPr>
                <w:sz w:val="20"/>
                <w:szCs w:val="20"/>
              </w:rPr>
              <w:t>egyéb</w:t>
            </w:r>
          </w:p>
          <w:p w:rsidR="00011C3B" w:rsidRPr="00170CB9" w:rsidRDefault="00011C3B" w:rsidP="00011C3B">
            <w:pPr>
              <w:suppressAutoHyphens w:val="0"/>
              <w:spacing w:after="0"/>
              <w:jc w:val="left"/>
              <w:rPr>
                <w:sz w:val="20"/>
                <w:szCs w:val="20"/>
                <w:lang w:bidi="sa-IN"/>
              </w:rPr>
            </w:pPr>
            <w:r w:rsidRPr="00170CB9">
              <w:rPr>
                <w:sz w:val="20"/>
                <w:szCs w:val="20"/>
                <w:lang w:bidi="sa-IN"/>
              </w:rPr>
              <w:t>Nem (férfi/nő)</w:t>
            </w:r>
          </w:p>
          <w:p w:rsidR="00011C3B" w:rsidRPr="00170CB9" w:rsidRDefault="00011C3B" w:rsidP="00011C3B">
            <w:pPr>
              <w:suppressAutoHyphens w:val="0"/>
              <w:spacing w:after="0"/>
              <w:jc w:val="left"/>
              <w:rPr>
                <w:sz w:val="20"/>
                <w:szCs w:val="20"/>
                <w:lang w:bidi="sa-IN"/>
              </w:rPr>
            </w:pPr>
            <w:r w:rsidRPr="00170CB9">
              <w:rPr>
                <w:sz w:val="20"/>
                <w:szCs w:val="20"/>
                <w:lang w:bidi="sa-IN"/>
              </w:rPr>
              <w:t>Korosztály</w:t>
            </w:r>
          </w:p>
          <w:p w:rsidR="00011C3B" w:rsidRPr="00170CB9" w:rsidRDefault="00011C3B" w:rsidP="0033390A">
            <w:pPr>
              <w:numPr>
                <w:ilvl w:val="0"/>
                <w:numId w:val="80"/>
              </w:numPr>
              <w:spacing w:after="0"/>
              <w:jc w:val="left"/>
              <w:rPr>
                <w:sz w:val="20"/>
                <w:szCs w:val="20"/>
                <w:lang w:bidi="sa-IN"/>
              </w:rPr>
            </w:pPr>
            <w:r w:rsidRPr="00170CB9">
              <w:rPr>
                <w:sz w:val="20"/>
                <w:szCs w:val="20"/>
                <w:lang w:bidi="sa-IN"/>
              </w:rPr>
              <w:t>25 év alatt</w:t>
            </w:r>
          </w:p>
          <w:p w:rsidR="00011C3B" w:rsidRPr="00170CB9" w:rsidRDefault="00011C3B" w:rsidP="0033390A">
            <w:pPr>
              <w:numPr>
                <w:ilvl w:val="0"/>
                <w:numId w:val="80"/>
              </w:numPr>
              <w:spacing w:after="0"/>
              <w:jc w:val="left"/>
              <w:rPr>
                <w:sz w:val="20"/>
                <w:szCs w:val="20"/>
                <w:lang w:bidi="sa-IN"/>
              </w:rPr>
            </w:pPr>
            <w:r w:rsidRPr="00170CB9">
              <w:rPr>
                <w:sz w:val="20"/>
                <w:szCs w:val="20"/>
                <w:lang w:bidi="sa-IN"/>
              </w:rPr>
              <w:t>25 éves vagy idősebb</w:t>
            </w:r>
          </w:p>
          <w:p w:rsidR="00011C3B" w:rsidRPr="00170CB9" w:rsidRDefault="00011C3B" w:rsidP="00011C3B">
            <w:pPr>
              <w:suppressAutoHyphens w:val="0"/>
              <w:spacing w:after="0"/>
              <w:jc w:val="left"/>
              <w:rPr>
                <w:sz w:val="20"/>
                <w:szCs w:val="20"/>
                <w:lang w:bidi="sa-IN"/>
              </w:rPr>
            </w:pPr>
            <w:r w:rsidRPr="00170CB9">
              <w:rPr>
                <w:sz w:val="20"/>
                <w:szCs w:val="20"/>
                <w:lang w:bidi="sa-IN"/>
              </w:rPr>
              <w:t xml:space="preserve">Leader </w:t>
            </w:r>
          </w:p>
          <w:p w:rsidR="00011C3B" w:rsidRPr="00170CB9" w:rsidRDefault="00011C3B" w:rsidP="0033390A">
            <w:pPr>
              <w:numPr>
                <w:ilvl w:val="0"/>
                <w:numId w:val="80"/>
              </w:numPr>
              <w:spacing w:after="0"/>
              <w:jc w:val="left"/>
              <w:rPr>
                <w:sz w:val="20"/>
                <w:szCs w:val="20"/>
                <w:lang w:bidi="sa-IN"/>
              </w:rPr>
            </w:pPr>
            <w:r w:rsidRPr="00170CB9">
              <w:rPr>
                <w:sz w:val="20"/>
                <w:szCs w:val="20"/>
                <w:lang w:bidi="sa-IN"/>
              </w:rPr>
              <w:t>I. tengely</w:t>
            </w:r>
          </w:p>
          <w:p w:rsidR="00011C3B" w:rsidRPr="00170CB9" w:rsidRDefault="00011C3B" w:rsidP="0033390A">
            <w:pPr>
              <w:numPr>
                <w:ilvl w:val="0"/>
                <w:numId w:val="80"/>
              </w:numPr>
              <w:spacing w:after="0"/>
              <w:jc w:val="left"/>
              <w:rPr>
                <w:sz w:val="20"/>
                <w:szCs w:val="20"/>
                <w:lang w:bidi="sa-IN"/>
              </w:rPr>
            </w:pPr>
            <w:r w:rsidRPr="00170CB9">
              <w:rPr>
                <w:sz w:val="20"/>
                <w:szCs w:val="20"/>
                <w:lang w:bidi="sa-IN"/>
              </w:rPr>
              <w:t>II. tengely</w:t>
            </w:r>
          </w:p>
          <w:p w:rsidR="00011C3B" w:rsidRPr="00170CB9" w:rsidRDefault="00011C3B" w:rsidP="0033390A">
            <w:pPr>
              <w:numPr>
                <w:ilvl w:val="0"/>
                <w:numId w:val="80"/>
              </w:numPr>
              <w:spacing w:after="0"/>
              <w:jc w:val="left"/>
              <w:rPr>
                <w:sz w:val="20"/>
                <w:szCs w:val="20"/>
                <w:lang w:bidi="sa-IN"/>
              </w:rPr>
            </w:pPr>
            <w:r w:rsidRPr="00170CB9">
              <w:rPr>
                <w:sz w:val="20"/>
                <w:szCs w:val="20"/>
                <w:lang w:bidi="sa-IN"/>
              </w:rPr>
              <w:t>III. tengely</w:t>
            </w:r>
          </w:p>
        </w:tc>
        <w:tc>
          <w:tcPr>
            <w:tcW w:w="1806" w:type="dxa"/>
          </w:tcPr>
          <w:p w:rsidR="00011C3B" w:rsidRPr="00170CB9" w:rsidRDefault="00011C3B" w:rsidP="0058781B">
            <w:pPr>
              <w:pStyle w:val="Tbla-jobb"/>
              <w:rPr>
                <w:lang w:val="en-GB"/>
              </w:rPr>
            </w:pPr>
            <w:r w:rsidRPr="00170CB9">
              <w:rPr>
                <w:lang w:val="en-GB"/>
              </w:rPr>
              <w:t>600</w:t>
            </w:r>
          </w:p>
          <w:p w:rsidR="00011C3B" w:rsidRPr="00170CB9" w:rsidRDefault="00011C3B" w:rsidP="0058781B">
            <w:pPr>
              <w:pStyle w:val="Tbla-jobb"/>
              <w:rPr>
                <w:lang w:val="en-GB"/>
              </w:rPr>
            </w:pPr>
          </w:p>
          <w:p w:rsidR="00011C3B" w:rsidRPr="00170CB9" w:rsidRDefault="00011C3B" w:rsidP="0058781B">
            <w:pPr>
              <w:pStyle w:val="Tbla-jobb"/>
              <w:rPr>
                <w:lang w:val="en-GB"/>
              </w:rPr>
            </w:pPr>
          </w:p>
          <w:p w:rsidR="00011C3B" w:rsidRPr="00170CB9" w:rsidRDefault="00011C3B" w:rsidP="0058781B">
            <w:pPr>
              <w:pStyle w:val="Tbla-jobb"/>
              <w:rPr>
                <w:lang w:val="en-GB"/>
              </w:rPr>
            </w:pP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120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p>
          <w:p w:rsidR="00011C3B" w:rsidRPr="00170CB9" w:rsidRDefault="00011C3B" w:rsidP="0058781B">
            <w:pPr>
              <w:pStyle w:val="Tbla-jobb"/>
              <w:rPr>
                <w:lang w:val="en-GB"/>
              </w:rPr>
            </w:pPr>
            <w:r w:rsidRPr="00170CB9">
              <w:rPr>
                <w:lang w:val="en-GB"/>
              </w:rPr>
              <w:t>480</w:t>
            </w:r>
          </w:p>
          <w:p w:rsidR="00011C3B" w:rsidRPr="00170CB9" w:rsidRDefault="00011C3B" w:rsidP="0058781B">
            <w:pPr>
              <w:pStyle w:val="Tbla-jobb"/>
              <w:rPr>
                <w:lang w:val="en-GB"/>
              </w:rPr>
            </w:pPr>
            <w:r w:rsidRPr="00170CB9">
              <w:rPr>
                <w:lang w:val="en-GB"/>
              </w:rPr>
              <w:t>400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80</w:t>
            </w:r>
          </w:p>
          <w:p w:rsidR="00011C3B" w:rsidRPr="00170CB9" w:rsidRDefault="00011C3B" w:rsidP="0058781B">
            <w:pPr>
              <w:pStyle w:val="Tbla-jobb"/>
              <w:rPr>
                <w:lang w:val="en-GB"/>
              </w:rPr>
            </w:pPr>
            <w:r w:rsidRPr="00170CB9">
              <w:rPr>
                <w:lang w:val="en-GB"/>
              </w:rPr>
              <w:t>280/320</w:t>
            </w:r>
          </w:p>
          <w:p w:rsidR="00011C3B" w:rsidRPr="00170CB9" w:rsidRDefault="00011C3B" w:rsidP="0058781B">
            <w:pPr>
              <w:pStyle w:val="Tbla-jobb"/>
              <w:rPr>
                <w:lang w:val="en-GB"/>
              </w:rPr>
            </w:pPr>
          </w:p>
          <w:p w:rsidR="00011C3B" w:rsidRPr="00170CB9" w:rsidRDefault="00011C3B" w:rsidP="0058781B">
            <w:pPr>
              <w:pStyle w:val="Tbla-jobb"/>
              <w:rPr>
                <w:lang w:val="en-GB"/>
              </w:rPr>
            </w:pPr>
            <w:r w:rsidRPr="00170CB9">
              <w:rPr>
                <w:lang w:val="en-GB"/>
              </w:rPr>
              <w:t>200</w:t>
            </w:r>
          </w:p>
          <w:p w:rsidR="00011C3B" w:rsidRPr="00170CB9" w:rsidRDefault="00011C3B" w:rsidP="0058781B">
            <w:pPr>
              <w:pStyle w:val="Tbla-jobb"/>
              <w:rPr>
                <w:lang w:val="en-GB"/>
              </w:rPr>
            </w:pPr>
            <w:r w:rsidRPr="00170CB9">
              <w:rPr>
                <w:lang w:val="en-GB"/>
              </w:rPr>
              <w:t>400</w:t>
            </w:r>
          </w:p>
        </w:tc>
        <w:tc>
          <w:tcPr>
            <w:tcW w:w="1544" w:type="dxa"/>
            <w:tcBorders>
              <w:bottom w:val="single" w:sz="4" w:space="0" w:color="auto"/>
            </w:tcBorders>
          </w:tcPr>
          <w:p w:rsidR="00011C3B" w:rsidRPr="00170CB9" w:rsidRDefault="00011C3B" w:rsidP="0058781B">
            <w:pPr>
              <w:pStyle w:val="Tbla-jobb"/>
              <w:rPr>
                <w:lang w:val="en-GB"/>
              </w:rPr>
            </w:pPr>
            <w:r w:rsidRPr="00170CB9">
              <w:rPr>
                <w:lang w:val="en-GB"/>
              </w:rPr>
              <w:t>79</w:t>
            </w:r>
          </w:p>
          <w:p w:rsidR="00011C3B" w:rsidRPr="00170CB9" w:rsidRDefault="00011C3B" w:rsidP="0058781B">
            <w:pPr>
              <w:pStyle w:val="Tbla-jobb"/>
              <w:rPr>
                <w:lang w:val="en-GB"/>
              </w:rPr>
            </w:pPr>
          </w:p>
          <w:p w:rsidR="00011C3B" w:rsidRPr="00170CB9" w:rsidRDefault="00011C3B" w:rsidP="0058781B">
            <w:pPr>
              <w:pStyle w:val="Tbla-jobb"/>
              <w:rPr>
                <w:lang w:val="en-GB"/>
              </w:rPr>
            </w:pPr>
          </w:p>
          <w:p w:rsidR="00011C3B" w:rsidRPr="00170CB9" w:rsidRDefault="00011C3B" w:rsidP="0058781B">
            <w:pPr>
              <w:pStyle w:val="Tbla-jobb"/>
              <w:rPr>
                <w:lang w:val="en-GB"/>
              </w:rPr>
            </w:pPr>
          </w:p>
          <w:p w:rsidR="00011C3B" w:rsidRPr="00170CB9" w:rsidRDefault="00C91980" w:rsidP="0058781B">
            <w:pPr>
              <w:pStyle w:val="Tbla-jobb"/>
              <w:rPr>
                <w:lang w:val="en-GB"/>
              </w:rPr>
            </w:pPr>
            <w:r>
              <w:rPr>
                <w:lang w:val="en-GB"/>
              </w:rPr>
              <w:t>31,65</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r w:rsidRPr="00170CB9">
              <w:rPr>
                <w:lang w:val="en-GB"/>
              </w:rPr>
              <w:t>0</w:t>
            </w:r>
          </w:p>
          <w:p w:rsidR="00011C3B" w:rsidRPr="00170CB9" w:rsidRDefault="00011C3B" w:rsidP="0058781B">
            <w:pPr>
              <w:pStyle w:val="Tbla-jobb"/>
              <w:rPr>
                <w:lang w:val="en-GB"/>
              </w:rPr>
            </w:pPr>
          </w:p>
          <w:p w:rsidR="00011C3B" w:rsidRPr="00170CB9" w:rsidRDefault="00011C3B" w:rsidP="0058781B">
            <w:pPr>
              <w:pStyle w:val="Tbla-jobb"/>
              <w:rPr>
                <w:lang w:val="en-GB"/>
              </w:rPr>
            </w:pPr>
            <w:r w:rsidRPr="00170CB9">
              <w:rPr>
                <w:lang w:val="en-GB"/>
              </w:rPr>
              <w:t>-</w:t>
            </w:r>
          </w:p>
          <w:p w:rsidR="00011C3B" w:rsidRPr="00170CB9" w:rsidRDefault="00C91980" w:rsidP="0058781B">
            <w:pPr>
              <w:pStyle w:val="Tbla-jobb"/>
              <w:rPr>
                <w:lang w:val="en-GB"/>
              </w:rPr>
            </w:pPr>
            <w:r>
              <w:rPr>
                <w:lang w:val="en-GB"/>
              </w:rPr>
              <w:t>55,22</w:t>
            </w:r>
          </w:p>
          <w:p w:rsidR="00011C3B" w:rsidRPr="00170CB9" w:rsidRDefault="00011C3B" w:rsidP="0058781B">
            <w:pPr>
              <w:pStyle w:val="Tbla-jobb"/>
              <w:rPr>
                <w:lang w:val="en-GB"/>
              </w:rPr>
            </w:pPr>
          </w:p>
          <w:p w:rsidR="00011C3B" w:rsidRPr="00170CB9" w:rsidRDefault="00011C3B" w:rsidP="0058781B">
            <w:pPr>
              <w:pStyle w:val="Tbla-jobb"/>
              <w:rPr>
                <w:lang w:val="en-GB"/>
              </w:rPr>
            </w:pPr>
          </w:p>
          <w:p w:rsidR="00011C3B" w:rsidRPr="00170CB9" w:rsidRDefault="00011C3B" w:rsidP="0058781B">
            <w:pPr>
              <w:pStyle w:val="Tbla-jobb"/>
              <w:rPr>
                <w:lang w:val="en-GB"/>
              </w:rPr>
            </w:pPr>
          </w:p>
          <w:p w:rsidR="00011C3B" w:rsidRPr="00170CB9" w:rsidRDefault="00011C3B" w:rsidP="0058781B">
            <w:pPr>
              <w:pStyle w:val="Tbla-jobb"/>
              <w:rPr>
                <w:lang w:val="en-GB"/>
              </w:rPr>
            </w:pPr>
          </w:p>
          <w:p w:rsidR="00011C3B" w:rsidRPr="00170CB9" w:rsidRDefault="00C91980" w:rsidP="0058781B">
            <w:pPr>
              <w:pStyle w:val="Tbla-jobb"/>
              <w:rPr>
                <w:lang w:val="en-GB"/>
              </w:rPr>
            </w:pPr>
            <w:r>
              <w:rPr>
                <w:lang w:val="en-GB"/>
              </w:rPr>
              <w:t>50,36/36,24</w:t>
            </w:r>
          </w:p>
          <w:p w:rsidR="00011C3B" w:rsidRPr="00170CB9" w:rsidRDefault="00011C3B" w:rsidP="0058781B">
            <w:pPr>
              <w:pStyle w:val="Tbla-jobb"/>
              <w:rPr>
                <w:lang w:val="en-GB"/>
              </w:rPr>
            </w:pPr>
          </w:p>
          <w:p w:rsidR="00C91980" w:rsidRDefault="00C91980" w:rsidP="0058781B">
            <w:pPr>
              <w:pStyle w:val="Tbla-jobb"/>
              <w:rPr>
                <w:lang w:val="en-GB"/>
              </w:rPr>
            </w:pPr>
            <w:r>
              <w:rPr>
                <w:lang w:val="en-GB"/>
              </w:rPr>
              <w:t>6,43</w:t>
            </w:r>
          </w:p>
          <w:p w:rsidR="00011C3B" w:rsidRPr="00170CB9" w:rsidRDefault="00C91980" w:rsidP="0058781B">
            <w:pPr>
              <w:pStyle w:val="Tbla-jobb"/>
              <w:rPr>
                <w:lang w:val="en-GB"/>
              </w:rPr>
            </w:pPr>
            <w:r>
              <w:rPr>
                <w:lang w:val="en-GB"/>
              </w:rPr>
              <w:t>80,54</w:t>
            </w:r>
          </w:p>
          <w:p w:rsidR="00011C3B" w:rsidRPr="00170CB9" w:rsidRDefault="00C91980" w:rsidP="0058781B">
            <w:pPr>
              <w:pStyle w:val="Tbla-jobb"/>
              <w:rPr>
                <w:lang w:val="en-GB"/>
              </w:rPr>
            </w:pPr>
            <w:r>
              <w:rPr>
                <w:lang w:val="en-GB"/>
              </w:rPr>
              <w:t>NA</w:t>
            </w:r>
          </w:p>
          <w:p w:rsidR="00011C3B" w:rsidRPr="00170CB9" w:rsidRDefault="00C91980" w:rsidP="0058781B">
            <w:pPr>
              <w:pStyle w:val="Tbla-jobb"/>
              <w:rPr>
                <w:lang w:val="en-GB"/>
              </w:rPr>
            </w:pPr>
            <w:r>
              <w:rPr>
                <w:lang w:val="en-GB"/>
              </w:rPr>
              <w:t>NA</w:t>
            </w:r>
          </w:p>
          <w:p w:rsidR="00011C3B" w:rsidRPr="00170CB9" w:rsidRDefault="00C91980" w:rsidP="0058781B">
            <w:pPr>
              <w:pStyle w:val="Tbla-jobb"/>
              <w:rPr>
                <w:lang w:val="en-GB"/>
              </w:rPr>
            </w:pPr>
            <w:r>
              <w:rPr>
                <w:lang w:val="en-GB"/>
              </w:rPr>
              <w:t>NA</w:t>
            </w:r>
          </w:p>
          <w:p w:rsidR="00011C3B" w:rsidRPr="00170CB9" w:rsidRDefault="00C91980" w:rsidP="0058781B">
            <w:pPr>
              <w:pStyle w:val="Tbla-jobb"/>
              <w:rPr>
                <w:lang w:val="en-GB"/>
              </w:rPr>
            </w:pPr>
            <w:r>
              <w:rPr>
                <w:lang w:val="en-GB"/>
              </w:rPr>
              <w:t>Na</w:t>
            </w:r>
          </w:p>
        </w:tc>
      </w:tr>
      <w:tr w:rsidR="00011C3B" w:rsidRPr="00170CB9" w:rsidTr="00011C3B">
        <w:trPr>
          <w:cantSplit/>
          <w:jc w:val="center"/>
        </w:trPr>
        <w:tc>
          <w:tcPr>
            <w:tcW w:w="426" w:type="dxa"/>
            <w:vMerge w:val="restart"/>
          </w:tcPr>
          <w:p w:rsidR="00011C3B" w:rsidRPr="00170CB9" w:rsidRDefault="00011C3B" w:rsidP="0058781B">
            <w:pPr>
              <w:pStyle w:val="Tbla-kzp"/>
            </w:pPr>
            <w:r w:rsidRPr="00170CB9">
              <w:t>I</w:t>
            </w:r>
          </w:p>
        </w:tc>
        <w:tc>
          <w:tcPr>
            <w:tcW w:w="6252" w:type="dxa"/>
          </w:tcPr>
          <w:p w:rsidR="00011C3B" w:rsidRPr="00170CB9" w:rsidRDefault="00011C3B" w:rsidP="0058781B">
            <w:pPr>
              <w:pStyle w:val="Tbla-bal"/>
              <w:rPr>
                <w:b/>
                <w:lang w:bidi="sa-IN"/>
              </w:rPr>
            </w:pPr>
            <w:r w:rsidRPr="00170CB9">
              <w:rPr>
                <w:b/>
                <w:lang w:bidi="sa-IN"/>
              </w:rPr>
              <w:t xml:space="preserve">A főfoglalkozásnak megfelelő, újonnan létrehozott  munkahelyek nettó száma </w:t>
            </w:r>
          </w:p>
        </w:tc>
        <w:tc>
          <w:tcPr>
            <w:tcW w:w="1806" w:type="dxa"/>
          </w:tcPr>
          <w:p w:rsidR="00011C3B" w:rsidRPr="00170CB9" w:rsidRDefault="00011C3B" w:rsidP="00B6645A">
            <w:pPr>
              <w:pStyle w:val="Tbla-jobb"/>
            </w:pPr>
            <w:r w:rsidRPr="00170CB9">
              <w:t>1 7</w:t>
            </w:r>
            <w:r w:rsidR="00B6645A">
              <w:t>01</w:t>
            </w:r>
          </w:p>
        </w:tc>
        <w:tc>
          <w:tcPr>
            <w:tcW w:w="1544" w:type="dxa"/>
            <w:tcBorders>
              <w:bottom w:val="single" w:sz="4" w:space="0" w:color="auto"/>
            </w:tcBorders>
            <w:shd w:val="clear" w:color="auto" w:fill="auto"/>
          </w:tcPr>
          <w:p w:rsidR="00011C3B" w:rsidRPr="00170CB9" w:rsidRDefault="00011C3B" w:rsidP="0058781B">
            <w:pPr>
              <w:pStyle w:val="Tbla-jobb"/>
            </w:pPr>
            <w:r w:rsidRPr="00170CB9">
              <w:t>79</w:t>
            </w:r>
          </w:p>
        </w:tc>
      </w:tr>
      <w:tr w:rsidR="00011C3B" w:rsidRPr="00170CB9" w:rsidTr="00011C3B">
        <w:trPr>
          <w:cantSplit/>
          <w:jc w:val="center"/>
        </w:trPr>
        <w:tc>
          <w:tcPr>
            <w:tcW w:w="426" w:type="dxa"/>
            <w:vMerge/>
          </w:tcPr>
          <w:p w:rsidR="00011C3B" w:rsidRPr="00170CB9" w:rsidRDefault="00011C3B" w:rsidP="0058781B">
            <w:pPr>
              <w:pStyle w:val="TableText"/>
              <w:rPr>
                <w:rFonts w:eastAsia="Times New Roman"/>
                <w:bCs/>
                <w:lang w:bidi="sa-IN"/>
              </w:rPr>
            </w:pPr>
          </w:p>
        </w:tc>
        <w:tc>
          <w:tcPr>
            <w:tcW w:w="6252" w:type="dxa"/>
          </w:tcPr>
          <w:p w:rsidR="00011C3B" w:rsidRPr="00170CB9" w:rsidRDefault="00011C3B" w:rsidP="0058781B">
            <w:pPr>
              <w:pStyle w:val="Tbla-bal"/>
              <w:rPr>
                <w:b/>
                <w:lang w:bidi="sa-IN"/>
              </w:rPr>
            </w:pPr>
            <w:r w:rsidRPr="00170CB9">
              <w:rPr>
                <w:b/>
                <w:lang w:bidi="sa-IN"/>
              </w:rPr>
              <w:t xml:space="preserve">Nettó hozzáadott érték PPS-ben kifejezve </w:t>
            </w:r>
          </w:p>
        </w:tc>
        <w:tc>
          <w:tcPr>
            <w:tcW w:w="1806" w:type="dxa"/>
          </w:tcPr>
          <w:p w:rsidR="00011C3B" w:rsidRPr="00170CB9" w:rsidRDefault="00011C3B" w:rsidP="0058781B">
            <w:pPr>
              <w:pStyle w:val="Tbla-jobb"/>
            </w:pPr>
            <w:r w:rsidRPr="00170CB9">
              <w:t>23 millió</w:t>
            </w:r>
          </w:p>
        </w:tc>
        <w:tc>
          <w:tcPr>
            <w:tcW w:w="1544" w:type="dxa"/>
            <w:shd w:val="clear" w:color="auto" w:fill="auto"/>
          </w:tcPr>
          <w:p w:rsidR="00011C3B" w:rsidRPr="00170CB9" w:rsidRDefault="00011C3B" w:rsidP="0058781B">
            <w:pPr>
              <w:pStyle w:val="Tbla-jobb"/>
            </w:pPr>
            <w:r w:rsidRPr="00170CB9">
              <w:t>NA</w:t>
            </w:r>
          </w:p>
        </w:tc>
      </w:tr>
    </w:tbl>
    <w:p w:rsidR="00011C3B" w:rsidRPr="00C003F8" w:rsidRDefault="00011C3B" w:rsidP="00011C3B">
      <w:pPr>
        <w:pStyle w:val="Normlforrs"/>
      </w:pPr>
      <w:r w:rsidRPr="00170CB9">
        <w:t>Forrás: MVH</w:t>
      </w:r>
    </w:p>
    <w:p w:rsidR="00011C3B" w:rsidRDefault="00F966AB" w:rsidP="004869BB">
      <w:r>
        <w:t>Az intézkedés végrehajtása során a tervezettől eltérő kedvezményezetti igények mutatkoztak: a kisléptékű infrastruktúra fejlesztése jelentősen meghaladta a 2007 során kalkulált adatokat, ugyanakkor a sza</w:t>
      </w:r>
      <w:r w:rsidR="00F05CDE">
        <w:t xml:space="preserve">badidős infrastruktúra fejlesztése iránt nem mutatkozott érdeklődés. A turisztikai és </w:t>
      </w:r>
      <w:r w:rsidR="00F05CDE">
        <w:lastRenderedPageBreak/>
        <w:t xml:space="preserve">marketing fejlesztési célú támogatások megközelítik a célértéket. Az előző arányok megmutatkoznak a beruházási összegek vizsgálatakor is. </w:t>
      </w:r>
    </w:p>
    <w:p w:rsidR="00011C3B" w:rsidRPr="00C003F8" w:rsidRDefault="00011C3B" w:rsidP="00715E86">
      <w:pPr>
        <w:pStyle w:val="Cmsor4"/>
      </w:pPr>
      <w:r w:rsidRPr="00C003F8">
        <w:t>Turisztikai tevékenységek ösztönzéséhez nyújtandó támogatások jogcím megvalósulása</w:t>
      </w:r>
      <w:bookmarkEnd w:id="326"/>
    </w:p>
    <w:p w:rsidR="00011C3B" w:rsidRPr="00C003F8" w:rsidRDefault="00011C3B" w:rsidP="00011C3B">
      <w:pPr>
        <w:rPr>
          <w:bCs/>
          <w:iCs/>
          <w:szCs w:val="22"/>
        </w:rPr>
      </w:pPr>
      <w:r>
        <w:rPr>
          <w:bCs/>
          <w:iCs/>
          <w:szCs w:val="22"/>
        </w:rPr>
        <w:t>A jogcím tekintetében 4 benyújtási időszak volt 2012-ig bezáróan, 4 különböző jogszabály alapján.</w:t>
      </w:r>
    </w:p>
    <w:p w:rsidR="00011C3B" w:rsidRPr="00C003F8" w:rsidRDefault="002A3FC6" w:rsidP="00011C3B">
      <w:pPr>
        <w:rPr>
          <w:bCs/>
          <w:iCs/>
          <w:szCs w:val="22"/>
        </w:rPr>
      </w:pPr>
      <w:r>
        <w:rPr>
          <w:bCs/>
          <w:iCs/>
          <w:szCs w:val="22"/>
        </w:rPr>
        <w:t>A</w:t>
      </w:r>
      <w:r w:rsidR="00011C3B" w:rsidRPr="00C003F8">
        <w:rPr>
          <w:bCs/>
          <w:iCs/>
          <w:szCs w:val="22"/>
        </w:rPr>
        <w:t xml:space="preserve"> </w:t>
      </w:r>
      <w:r w:rsidR="00011C3B" w:rsidRPr="00C003F8">
        <w:rPr>
          <w:bCs/>
          <w:i/>
          <w:iCs/>
          <w:szCs w:val="22"/>
        </w:rPr>
        <w:t>Turisztikai tevékenységek ösztönzéséhez nyújtandó támogatások</w:t>
      </w:r>
      <w:r w:rsidR="00011C3B" w:rsidRPr="00C003F8">
        <w:rPr>
          <w:bCs/>
          <w:iCs/>
          <w:szCs w:val="22"/>
        </w:rPr>
        <w:t xml:space="preserve"> jogcím</w:t>
      </w:r>
      <w:r w:rsidRPr="002A3FC6">
        <w:rPr>
          <w:bCs/>
          <w:iCs/>
          <w:szCs w:val="22"/>
        </w:rPr>
        <w:t xml:space="preserve"> </w:t>
      </w:r>
      <w:r w:rsidRPr="00C003F8">
        <w:rPr>
          <w:bCs/>
          <w:iCs/>
          <w:szCs w:val="22"/>
        </w:rPr>
        <w:t>2008-ban került meghirdetésre</w:t>
      </w:r>
      <w:r w:rsidR="00011C3B" w:rsidRPr="00C003F8">
        <w:rPr>
          <w:bCs/>
          <w:iCs/>
          <w:szCs w:val="22"/>
        </w:rPr>
        <w:t xml:space="preserve">, </w:t>
      </w:r>
      <w:r>
        <w:rPr>
          <w:bCs/>
          <w:iCs/>
          <w:szCs w:val="22"/>
        </w:rPr>
        <w:t>és</w:t>
      </w:r>
      <w:r w:rsidR="00011C3B" w:rsidRPr="00C003F8">
        <w:rPr>
          <w:bCs/>
          <w:iCs/>
          <w:szCs w:val="22"/>
        </w:rPr>
        <w:t xml:space="preserve"> az intézkedés egészét lefedi. A turisztikai jogszabályok alapvető változásai miatt jogharmonizációs kötelezettség következtében a jogszabály 2009-ben átdolgozásra került</w:t>
      </w:r>
      <w:r w:rsidR="00011C3B">
        <w:rPr>
          <w:bCs/>
          <w:iCs/>
          <w:szCs w:val="22"/>
        </w:rPr>
        <w:t>.</w:t>
      </w:r>
      <w:r w:rsidR="00011C3B" w:rsidRPr="00C003F8">
        <w:rPr>
          <w:bCs/>
          <w:iCs/>
          <w:szCs w:val="22"/>
        </w:rPr>
        <w:t xml:space="preserve"> </w:t>
      </w:r>
      <w:r w:rsidR="00170CB9">
        <w:rPr>
          <w:bCs/>
          <w:iCs/>
          <w:szCs w:val="22"/>
        </w:rPr>
        <w:t>A 2009-es támogatási kérelmek benyújtására a</w:t>
      </w:r>
      <w:r w:rsidR="00011C3B" w:rsidRPr="00C003F8">
        <w:rPr>
          <w:bCs/>
          <w:iCs/>
          <w:szCs w:val="22"/>
        </w:rPr>
        <w:t xml:space="preserve"> 160/2009. (XI.19.) FVM rendelet</w:t>
      </w:r>
      <w:r w:rsidR="00170CB9">
        <w:rPr>
          <w:bCs/>
          <w:iCs/>
          <w:szCs w:val="22"/>
        </w:rPr>
        <w:t xml:space="preserve"> alapján volt lehetőségük az ügyfeleknek</w:t>
      </w:r>
      <w:r w:rsidR="00011C3B">
        <w:rPr>
          <w:bCs/>
          <w:iCs/>
          <w:szCs w:val="22"/>
        </w:rPr>
        <w:t>.</w:t>
      </w:r>
    </w:p>
    <w:p w:rsidR="00011C3B" w:rsidRDefault="00011C3B" w:rsidP="00011C3B">
      <w:r w:rsidRPr="00C003F8">
        <w:rPr>
          <w:bCs/>
          <w:iCs/>
          <w:szCs w:val="22"/>
        </w:rPr>
        <w:t>A jogcímet szabályozó 137/2008. (X.18.) FVM rendelet és a 160/2009. (XI.19.) FVM rendelet</w:t>
      </w:r>
      <w:r>
        <w:rPr>
          <w:bCs/>
          <w:iCs/>
          <w:szCs w:val="22"/>
        </w:rPr>
        <w:t xml:space="preserve"> keretében</w:t>
      </w:r>
      <w:r w:rsidRPr="00C003F8">
        <w:rPr>
          <w:bCs/>
          <w:iCs/>
          <w:szCs w:val="22"/>
        </w:rPr>
        <w:t xml:space="preserve"> 201</w:t>
      </w:r>
      <w:r>
        <w:rPr>
          <w:bCs/>
          <w:iCs/>
          <w:szCs w:val="22"/>
        </w:rPr>
        <w:t>2</w:t>
      </w:r>
      <w:r w:rsidRPr="00C003F8">
        <w:rPr>
          <w:bCs/>
          <w:iCs/>
          <w:szCs w:val="22"/>
        </w:rPr>
        <w:t xml:space="preserve">-ben </w:t>
      </w:r>
      <w:r>
        <w:rPr>
          <w:bCs/>
          <w:iCs/>
          <w:szCs w:val="22"/>
        </w:rPr>
        <w:t xml:space="preserve">nem volt támogatási kérelem benyújtási időszak, az ügyfelek csak kifizetési kérelmet nyújthattak be. A 137/2008. (X.18.) FVM rendelet 2012-ben kétszer </w:t>
      </w:r>
      <w:r w:rsidRPr="00C003F8">
        <w:rPr>
          <w:bCs/>
          <w:iCs/>
          <w:szCs w:val="22"/>
        </w:rPr>
        <w:t>módosult,</w:t>
      </w:r>
      <w:r w:rsidRPr="002E2415">
        <w:t xml:space="preserve"> </w:t>
      </w:r>
      <w:r>
        <w:t xml:space="preserve">az első módosítás értelmében az ügyfelek számára - a projektek sikeres megvalósítása érdekében - meghosszabbításra került az első kifizetési kérelem benyújtási határidő 2012. december 31-ig, a második módosításra pedig jogharmonizációs kötelezettség miatt került sor. </w:t>
      </w:r>
    </w:p>
    <w:p w:rsidR="003B1C9D" w:rsidRDefault="00011C3B" w:rsidP="00011C3B">
      <w:pPr>
        <w:pStyle w:val="Szvegtrzs"/>
      </w:pPr>
      <w:r>
        <w:t xml:space="preserve">Az intézkedés a főszabályként LEADER HACS-okon keresztül valósul meg, azonban 2011-ben központi végrehajtással került megnyitásra. A 2011-es központi támogatási kérelem benyújtási időszak megnyitását programmódosítás tette lehetővé. A programmódosítás lényege az volt, hogy az intézkedés LEADER HACS-ok számára ki nem osztott forrását az Irányító Hatóság központi végrehajtással meghirdethesse. A LEADER HACS-okat érdeksérelem nem érte, a részükre kiosztott fejlesztési forrás felett ők rendelkeztek és rendelkeznek továbbra is. </w:t>
      </w:r>
    </w:p>
    <w:p w:rsidR="00011C3B" w:rsidRDefault="00011C3B" w:rsidP="00011C3B">
      <w:pPr>
        <w:pStyle w:val="Szvegtrzs"/>
      </w:pPr>
      <w:r>
        <w:t>A</w:t>
      </w:r>
      <w:r w:rsidR="003B1C9D">
        <w:t xml:space="preserve"> jogcím 2011-e</w:t>
      </w:r>
      <w:r w:rsidR="00170CB9">
        <w:t>s</w:t>
      </w:r>
      <w:r w:rsidR="003B1C9D">
        <w:t xml:space="preserve"> megnyitását</w:t>
      </w:r>
      <w:r>
        <w:t xml:space="preserve"> a 44/2011. (V.26.) VM rendelet szabályozza. A 2011-es támogatási kérelem benyújtási időszakra vonatkozó kötelezettség vállalás 2012-ben történt meg, továbbá 2012-ben az ügyfelek már kifizetési kérelmet is nyújthattak be. A jogszabály 2012-ben két alkalommal módosult, az első módosítás a támogatási kérelem benyújtási időszakot helyezte hatályon kívül, tekintettel arra, hogy a központi meghirdetést követően az újabb benyújtási körre már ismételten a LEADER HACS-ok közreműködésével került sor, a második módosítás technikai jellegű, jogharmonizációs kötelezettségből eredt.</w:t>
      </w:r>
    </w:p>
    <w:p w:rsidR="00011C3B" w:rsidRDefault="00011C3B" w:rsidP="00011C3B">
      <w:pPr>
        <w:pStyle w:val="Szvegtrzs"/>
      </w:pPr>
      <w:r>
        <w:t>A LEADER HACS-oknál rendelkezésre álló fejlesztési források lehetővé tették, hogy 2012-ben ismételten sor kerüljön egy LEADER HACS-okon keresztül lebonyolított támogatási kérelem benyújtási körre. A korábbi tapasztalatok átvezetése érdekében ezt az összességében már negyedik benyújtási kört új jogszabály szabályozza, az 52/2012. (VI.8.) VM rendelet. Az ügyfelek 2012. július 1. és 2012. augusztus 1. között nyújthattak be támogatási kérelmet, amelyekre vonatkozóan a döntéshozatal és a kötelezettségvállalás is megkezdődött 2012 novemberében-decemberében. Az 52/2012. (VI.8.) VM rendelet 2012-ben még két alkalommal módosult, mindkét módosítás technikai jellegű, jogharmonizációs kötelezettségből eredt.</w:t>
      </w:r>
    </w:p>
    <w:p w:rsidR="00011C3B" w:rsidRPr="00F92037" w:rsidRDefault="007E5FDF" w:rsidP="00F92037">
      <w:pPr>
        <w:pStyle w:val="bra-cmetbla"/>
      </w:pPr>
      <w:fldSimple w:instr=" SEQ táblázat \* ARABIC ">
        <w:r w:rsidR="00E5031F">
          <w:rPr>
            <w:noProof/>
          </w:rPr>
          <w:t>84</w:t>
        </w:r>
      </w:fldSimple>
      <w:r w:rsidR="00673DDE">
        <w:t xml:space="preserve">. táblázat: </w:t>
      </w:r>
      <w:r w:rsidR="00011C3B" w:rsidRPr="00F92037">
        <w:t>Turisztikai tevékenységek ösztönzéséhez nyújtandó támogatások jogcím</w:t>
      </w:r>
      <w:r w:rsidR="00673DDE">
        <w:t xml:space="preserve"> </w:t>
      </w:r>
      <w:r w:rsidR="00011C3B" w:rsidRPr="00F92037">
        <w:t>2012.</w:t>
      </w:r>
      <w:r w:rsidR="00673DDE">
        <w:t> </w:t>
      </w:r>
      <w:r w:rsidR="00011C3B" w:rsidRPr="00F92037">
        <w:t>évi eredményei</w:t>
      </w:r>
    </w:p>
    <w:p w:rsidR="00011C3B" w:rsidRPr="00F92037" w:rsidRDefault="00B452BF" w:rsidP="00F92037">
      <w:pPr>
        <w:pStyle w:val="bra-cmetbla"/>
      </w:pPr>
      <w:r w:rsidRPr="00F92037">
        <w:rPr>
          <w:noProof/>
        </w:rPr>
        <w:drawing>
          <wp:inline distT="0" distB="0" distL="0" distR="0" wp14:anchorId="559E2246" wp14:editId="2E95B2FE">
            <wp:extent cx="5167630" cy="1882140"/>
            <wp:effectExtent l="0" t="0" r="0" b="3810"/>
            <wp:docPr id="54"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Default="00011C3B" w:rsidP="004869BB">
      <w:r w:rsidRPr="0087096E">
        <w:t xml:space="preserve">2012-ben 595 db támogatási kérelem kapott jóváhagyó határozatot, 698 db kifizetési kérelem került jóváhagyásra. A kifizetett összeg 15,7 M euró (4,58 Mrd forint) volt. </w:t>
      </w:r>
    </w:p>
    <w:p w:rsidR="00011C3B" w:rsidRDefault="00011C3B" w:rsidP="004869BB">
      <w:r w:rsidRPr="00150ABA">
        <w:t>A legtöbb támogatási kérelem (60 db) Szabolcs-Szatmár-Bereg megyéből, míg a legkevesebb támogatási kérelem (9 db) Nógrád megyéből érkezett be. A kifizetések regionális eloszlását tekintve elmondható, hogy a legtöbb kifizetés a jogcímre Szabolcs-Szatmár-Bereg megyében, míg a legkevesebb kifizetés Komárom-Esztergom megyében történt.</w:t>
      </w:r>
    </w:p>
    <w:p w:rsidR="00011C3B" w:rsidRPr="00896E03" w:rsidRDefault="00011C3B" w:rsidP="00DB48A3">
      <w:pPr>
        <w:pStyle w:val="Cmsor3"/>
      </w:pPr>
      <w:bookmarkStart w:id="327" w:name="_Toc326748784"/>
      <w:bookmarkStart w:id="328" w:name="_Toc326762232"/>
      <w:bookmarkStart w:id="329" w:name="_Toc297560979"/>
      <w:bookmarkStart w:id="330" w:name="_Toc328638727"/>
      <w:bookmarkStart w:id="331" w:name="_Toc360176819"/>
      <w:bookmarkEnd w:id="327"/>
      <w:bookmarkEnd w:id="328"/>
      <w:r w:rsidRPr="00896E03">
        <w:t>A vidéki gazdaság és lakosság számára nyújtott alapszolgáltatások intézkedés (321)</w:t>
      </w:r>
      <w:bookmarkEnd w:id="329"/>
      <w:bookmarkEnd w:id="330"/>
      <w:bookmarkEnd w:id="331"/>
    </w:p>
    <w:p w:rsidR="00011C3B" w:rsidRPr="00C003F8" w:rsidRDefault="00011C3B" w:rsidP="004869BB">
      <w:pPr>
        <w:rPr>
          <w:lang w:bidi="sa-IN"/>
        </w:rPr>
      </w:pPr>
      <w:r w:rsidRPr="00C003F8">
        <w:rPr>
          <w:lang w:bidi="sa-IN"/>
        </w:rPr>
        <w:t>Az intézkedés célja az alapszolgáltatások elérhetőségének javítása a vidéki területek településein, a szolgáltatások körének bővítése, minőségük javítása, ennélfogva a vidéki területek népességmegtartó erejének növelése, az életminőség javítása, továbbá a fenntarthatóság biztosítása.</w:t>
      </w:r>
    </w:p>
    <w:p w:rsidR="00011C3B" w:rsidRPr="00C003F8" w:rsidRDefault="00011C3B" w:rsidP="004869BB">
      <w:pPr>
        <w:rPr>
          <w:lang w:bidi="sa-IN"/>
        </w:rPr>
      </w:pPr>
      <w:r w:rsidRPr="00C003F8">
        <w:rPr>
          <w:lang w:bidi="sa-IN"/>
        </w:rPr>
        <w:t>Az intézkedés két részből áll: 1. Többfunkciós szolgáltató központok létrehozása (IKSZT) és 2. Kistérségi közlekedési szolgáltatások fejlesztése („tanyabusz” szolgáltatás).</w:t>
      </w:r>
    </w:p>
    <w:p w:rsidR="00011C3B" w:rsidRPr="00C003F8" w:rsidRDefault="00011C3B" w:rsidP="004869BB">
      <w:pPr>
        <w:rPr>
          <w:lang w:bidi="sa-IN"/>
        </w:rPr>
      </w:pPr>
      <w:r w:rsidRPr="00C003F8">
        <w:rPr>
          <w:lang w:bidi="sa-IN"/>
        </w:rPr>
        <w:t xml:space="preserve">Az intézkedés 1. részéhez kapcsolódóan A vidéki gazdaság és lakosság számára nyújtott alapszolgáltatások körében az integrált közösségi és szolgáltató tér kialakítására és működtetésére igénybe vehető támogatások </w:t>
      </w:r>
      <w:r w:rsidR="003B1C9D">
        <w:rPr>
          <w:lang w:bidi="sa-IN"/>
        </w:rPr>
        <w:t>jogcím</w:t>
      </w:r>
      <w:r w:rsidR="003B1C9D" w:rsidRPr="00C003F8">
        <w:rPr>
          <w:lang w:bidi="sa-IN"/>
        </w:rPr>
        <w:t xml:space="preserve"> </w:t>
      </w:r>
      <w:r w:rsidRPr="00C003F8">
        <w:rPr>
          <w:lang w:bidi="sa-IN"/>
        </w:rPr>
        <w:t>jelent meg. A 2. rész keretein belül A vidéki gazdaság és lakosság számára nyújtott alapszolgáltatások körében a kistérségi közlekedési szolgáltatások fejlesztésére igénybe vehető támogatások jogcím került meghirdetésre.</w:t>
      </w:r>
    </w:p>
    <w:p w:rsidR="00011C3B" w:rsidRPr="00F92037" w:rsidRDefault="007E5FDF" w:rsidP="00F92037">
      <w:pPr>
        <w:pStyle w:val="bra-cmetbla"/>
      </w:pPr>
      <w:fldSimple w:instr=" SEQ táblázat \* ARABIC ">
        <w:r w:rsidR="00E5031F">
          <w:rPr>
            <w:noProof/>
          </w:rPr>
          <w:t>85</w:t>
        </w:r>
      </w:fldSimple>
      <w:r w:rsidR="00673DDE">
        <w:t xml:space="preserve">. táblázat: </w:t>
      </w:r>
      <w:r w:rsidR="00011C3B" w:rsidRPr="00F92037">
        <w:t>A vidéki gazdaság és a lakosság számára nyújtott alapszolgáltatások intézkedés (321) indikátorainak megvalósulása</w:t>
      </w:r>
    </w:p>
    <w:tbl>
      <w:tblPr>
        <w:tblpPr w:leftFromText="141" w:rightFromText="141" w:vertAnchor="text" w:tblpXSpec="center" w:tblpY="1"/>
        <w:tblOverlap w:val="neve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
        <w:gridCol w:w="6019"/>
        <w:gridCol w:w="1409"/>
        <w:gridCol w:w="1320"/>
      </w:tblGrid>
      <w:tr w:rsidR="00011C3B" w:rsidRPr="008B76DD" w:rsidTr="00011C3B">
        <w:tc>
          <w:tcPr>
            <w:tcW w:w="672" w:type="dxa"/>
            <w:shd w:val="clear" w:color="auto" w:fill="B3B3B3"/>
          </w:tcPr>
          <w:p w:rsidR="00011C3B" w:rsidRPr="00A51BCF" w:rsidRDefault="00011C3B" w:rsidP="0058781B">
            <w:pPr>
              <w:pStyle w:val="Tbla-cm"/>
              <w:rPr>
                <w:lang w:bidi="sa-IN"/>
              </w:rPr>
            </w:pPr>
            <w:bookmarkStart w:id="332" w:name="_Toc261596953"/>
          </w:p>
        </w:tc>
        <w:tc>
          <w:tcPr>
            <w:tcW w:w="6019" w:type="dxa"/>
            <w:shd w:val="clear" w:color="auto" w:fill="B3B3B3"/>
            <w:vAlign w:val="center"/>
          </w:tcPr>
          <w:p w:rsidR="00011C3B" w:rsidRPr="008B76DD" w:rsidRDefault="00011C3B" w:rsidP="0058781B">
            <w:pPr>
              <w:pStyle w:val="Tbla-cm"/>
              <w:rPr>
                <w:lang w:bidi="sa-IN"/>
              </w:rPr>
            </w:pPr>
            <w:r w:rsidRPr="008B76DD">
              <w:rPr>
                <w:lang w:bidi="sa-IN"/>
              </w:rPr>
              <w:t>Indikátor leírása</w:t>
            </w:r>
          </w:p>
        </w:tc>
        <w:tc>
          <w:tcPr>
            <w:tcW w:w="1409" w:type="dxa"/>
            <w:shd w:val="clear" w:color="auto" w:fill="B3B3B3"/>
            <w:vAlign w:val="center"/>
          </w:tcPr>
          <w:p w:rsidR="00011C3B" w:rsidRPr="00BD037E" w:rsidRDefault="00011C3B" w:rsidP="0058781B">
            <w:pPr>
              <w:pStyle w:val="Tbla-cm"/>
            </w:pPr>
            <w:r w:rsidRPr="00BD037E">
              <w:t>Program szerinti tervadat</w:t>
            </w:r>
          </w:p>
        </w:tc>
        <w:tc>
          <w:tcPr>
            <w:tcW w:w="1320" w:type="dxa"/>
            <w:shd w:val="clear" w:color="auto" w:fill="B3B3B3"/>
            <w:vAlign w:val="center"/>
          </w:tcPr>
          <w:p w:rsidR="00011C3B" w:rsidRPr="008B76DD" w:rsidRDefault="00011C3B" w:rsidP="0058781B">
            <w:pPr>
              <w:pStyle w:val="Tbla-cm"/>
              <w:rPr>
                <w:lang w:bidi="sa-IN"/>
              </w:rPr>
            </w:pPr>
            <w:r w:rsidRPr="008B76DD">
              <w:t>Indikátorok kumulált értéke</w:t>
            </w:r>
          </w:p>
        </w:tc>
      </w:tr>
      <w:tr w:rsidR="00011C3B" w:rsidRPr="008B76DD" w:rsidTr="00011C3B">
        <w:trPr>
          <w:cantSplit/>
        </w:trPr>
        <w:tc>
          <w:tcPr>
            <w:tcW w:w="672" w:type="dxa"/>
            <w:vMerge w:val="restart"/>
          </w:tcPr>
          <w:p w:rsidR="00011C3B" w:rsidRPr="00A51BCF" w:rsidRDefault="00011C3B" w:rsidP="0058781B">
            <w:pPr>
              <w:pStyle w:val="Tbla-kzp"/>
            </w:pPr>
            <w:r w:rsidRPr="00A51BCF">
              <w:t>O</w:t>
            </w:r>
          </w:p>
        </w:tc>
        <w:tc>
          <w:tcPr>
            <w:tcW w:w="6019" w:type="dxa"/>
          </w:tcPr>
          <w:p w:rsidR="00011C3B" w:rsidRPr="008B76DD" w:rsidRDefault="00011C3B" w:rsidP="00011C3B">
            <w:pPr>
              <w:pStyle w:val="TableText"/>
              <w:spacing w:before="0" w:after="0"/>
              <w:rPr>
                <w:rFonts w:eastAsia="Times New Roman"/>
                <w:b/>
                <w:bCs/>
                <w:lang w:bidi="sa-IN"/>
              </w:rPr>
            </w:pPr>
            <w:r w:rsidRPr="008B76DD">
              <w:rPr>
                <w:rFonts w:eastAsia="Times New Roman"/>
                <w:b/>
                <w:bCs/>
                <w:lang w:bidi="sa-IN"/>
              </w:rPr>
              <w:t>A támogatott tevékenységek száma (db)</w:t>
            </w:r>
          </w:p>
          <w:p w:rsidR="00011C3B" w:rsidRPr="008B76DD" w:rsidRDefault="00011C3B" w:rsidP="00011C3B">
            <w:pPr>
              <w:widowControl w:val="0"/>
              <w:tabs>
                <w:tab w:val="left" w:pos="567"/>
              </w:tabs>
              <w:spacing w:after="0"/>
              <w:jc w:val="left"/>
              <w:rPr>
                <w:sz w:val="20"/>
                <w:szCs w:val="20"/>
                <w:lang w:bidi="sa-IN"/>
              </w:rPr>
            </w:pPr>
            <w:r w:rsidRPr="008B76DD">
              <w:rPr>
                <w:sz w:val="20"/>
                <w:szCs w:val="20"/>
                <w:lang w:bidi="sa-IN"/>
              </w:rPr>
              <w:t>A tevékenységek típusa:</w:t>
            </w:r>
          </w:p>
          <w:p w:rsidR="00011C3B" w:rsidRPr="008B76DD" w:rsidRDefault="00011C3B" w:rsidP="0033390A">
            <w:pPr>
              <w:numPr>
                <w:ilvl w:val="0"/>
                <w:numId w:val="80"/>
              </w:numPr>
              <w:spacing w:after="0"/>
              <w:rPr>
                <w:sz w:val="20"/>
                <w:szCs w:val="20"/>
              </w:rPr>
            </w:pPr>
            <w:r w:rsidRPr="008B76DD">
              <w:rPr>
                <w:sz w:val="20"/>
                <w:szCs w:val="20"/>
                <w:lang w:bidi="sa-IN"/>
              </w:rPr>
              <w:t xml:space="preserve">ICT </w:t>
            </w:r>
            <w:r w:rsidRPr="008B76DD">
              <w:rPr>
                <w:sz w:val="20"/>
                <w:szCs w:val="20"/>
              </w:rPr>
              <w:t>kezdeményezés (pl. infrastruktúra)</w:t>
            </w:r>
          </w:p>
          <w:p w:rsidR="00011C3B" w:rsidRPr="008B76DD" w:rsidRDefault="00011C3B" w:rsidP="0033390A">
            <w:pPr>
              <w:numPr>
                <w:ilvl w:val="0"/>
                <w:numId w:val="80"/>
              </w:numPr>
              <w:spacing w:after="0"/>
              <w:rPr>
                <w:sz w:val="20"/>
                <w:szCs w:val="20"/>
              </w:rPr>
            </w:pPr>
            <w:r w:rsidRPr="008B76DD">
              <w:rPr>
                <w:sz w:val="20"/>
                <w:szCs w:val="20"/>
              </w:rPr>
              <w:t>Mobilitás</w:t>
            </w:r>
          </w:p>
          <w:p w:rsidR="00011C3B" w:rsidRPr="008B76DD" w:rsidRDefault="00011C3B" w:rsidP="0033390A">
            <w:pPr>
              <w:numPr>
                <w:ilvl w:val="0"/>
                <w:numId w:val="80"/>
              </w:numPr>
              <w:spacing w:after="0"/>
              <w:rPr>
                <w:sz w:val="20"/>
                <w:szCs w:val="20"/>
              </w:rPr>
            </w:pPr>
            <w:r w:rsidRPr="008B76DD">
              <w:rPr>
                <w:sz w:val="20"/>
                <w:szCs w:val="20"/>
              </w:rPr>
              <w:t>Kulturális és szociális infrastruktúra</w:t>
            </w:r>
          </w:p>
          <w:p w:rsidR="00011C3B" w:rsidRPr="008B76DD" w:rsidRDefault="00011C3B" w:rsidP="0033390A">
            <w:pPr>
              <w:numPr>
                <w:ilvl w:val="0"/>
                <w:numId w:val="80"/>
              </w:numPr>
              <w:spacing w:after="0"/>
              <w:rPr>
                <w:sz w:val="20"/>
                <w:szCs w:val="20"/>
                <w:lang w:bidi="sa-IN"/>
              </w:rPr>
            </w:pPr>
            <w:r w:rsidRPr="008B76DD">
              <w:rPr>
                <w:sz w:val="20"/>
                <w:szCs w:val="20"/>
              </w:rPr>
              <w:t>Környezeti</w:t>
            </w:r>
            <w:r w:rsidRPr="008B76DD">
              <w:rPr>
                <w:sz w:val="20"/>
                <w:szCs w:val="20"/>
                <w:lang w:bidi="sa-IN"/>
              </w:rPr>
              <w:t xml:space="preserve"> infrastruktúra (csatornázás, szennyvízkezelés, …)/Energia</w:t>
            </w:r>
          </w:p>
          <w:p w:rsidR="00011C3B" w:rsidRPr="008B76DD" w:rsidRDefault="00011C3B" w:rsidP="0033390A">
            <w:pPr>
              <w:numPr>
                <w:ilvl w:val="0"/>
                <w:numId w:val="80"/>
              </w:numPr>
              <w:spacing w:after="0"/>
              <w:rPr>
                <w:sz w:val="20"/>
                <w:szCs w:val="20"/>
              </w:rPr>
            </w:pPr>
            <w:r w:rsidRPr="008B76DD">
              <w:rPr>
                <w:sz w:val="20"/>
                <w:szCs w:val="20"/>
              </w:rPr>
              <w:t>Képzések</w:t>
            </w:r>
          </w:p>
          <w:p w:rsidR="00011C3B" w:rsidRPr="008B76DD" w:rsidRDefault="00011C3B" w:rsidP="0033390A">
            <w:pPr>
              <w:numPr>
                <w:ilvl w:val="0"/>
                <w:numId w:val="80"/>
              </w:numPr>
              <w:spacing w:after="0"/>
              <w:rPr>
                <w:sz w:val="20"/>
                <w:szCs w:val="20"/>
              </w:rPr>
            </w:pPr>
            <w:r w:rsidRPr="008B76DD">
              <w:rPr>
                <w:sz w:val="20"/>
                <w:szCs w:val="20"/>
              </w:rPr>
              <w:t>Gyermekgondozás</w:t>
            </w:r>
          </w:p>
          <w:p w:rsidR="00011C3B" w:rsidRPr="008B76DD" w:rsidRDefault="00011C3B" w:rsidP="0033390A">
            <w:pPr>
              <w:numPr>
                <w:ilvl w:val="0"/>
                <w:numId w:val="80"/>
              </w:numPr>
              <w:spacing w:after="0"/>
              <w:rPr>
                <w:sz w:val="20"/>
                <w:szCs w:val="20"/>
              </w:rPr>
            </w:pPr>
            <w:r w:rsidRPr="008B76DD">
              <w:rPr>
                <w:sz w:val="20"/>
                <w:szCs w:val="20"/>
              </w:rPr>
              <w:t>Egyéb</w:t>
            </w:r>
          </w:p>
        </w:tc>
        <w:tc>
          <w:tcPr>
            <w:tcW w:w="1409" w:type="dxa"/>
          </w:tcPr>
          <w:p w:rsidR="00011C3B" w:rsidRPr="008B76DD" w:rsidRDefault="00011C3B" w:rsidP="00313ED5">
            <w:pPr>
              <w:pStyle w:val="Normltblajobb"/>
            </w:pPr>
            <w:r w:rsidRPr="008B76DD">
              <w:t>3 836</w:t>
            </w:r>
          </w:p>
        </w:tc>
        <w:tc>
          <w:tcPr>
            <w:tcW w:w="1320" w:type="dxa"/>
          </w:tcPr>
          <w:p w:rsidR="00011C3B" w:rsidRPr="008B76DD" w:rsidRDefault="00011C3B" w:rsidP="00313ED5">
            <w:pPr>
              <w:pStyle w:val="Normltblajobb"/>
            </w:pPr>
            <w:r w:rsidRPr="008B76DD">
              <w:t>1</w:t>
            </w:r>
            <w:r w:rsidR="003B1C9D">
              <w:t xml:space="preserve"> </w:t>
            </w:r>
            <w:r w:rsidRPr="008B76DD">
              <w:t>6</w:t>
            </w:r>
            <w:r>
              <w:t>54</w:t>
            </w:r>
          </w:p>
          <w:p w:rsidR="00011C3B" w:rsidRDefault="00011C3B" w:rsidP="00313ED5">
            <w:pPr>
              <w:pStyle w:val="Normltblajobb"/>
            </w:pPr>
          </w:p>
          <w:p w:rsidR="00011C3B" w:rsidRPr="008B76DD" w:rsidRDefault="00011C3B" w:rsidP="00313ED5">
            <w:pPr>
              <w:pStyle w:val="Normltblajobb"/>
            </w:pPr>
            <w:r>
              <w:t>1</w:t>
            </w:r>
            <w:r w:rsidR="003B1C9D">
              <w:t xml:space="preserve"> </w:t>
            </w:r>
            <w:r>
              <w:t>075</w:t>
            </w:r>
          </w:p>
          <w:p w:rsidR="00011C3B" w:rsidRPr="008B76DD" w:rsidRDefault="00011C3B" w:rsidP="00313ED5">
            <w:pPr>
              <w:pStyle w:val="Normltblajobb"/>
            </w:pPr>
            <w:r w:rsidRPr="00F35797">
              <w:t>5</w:t>
            </w:r>
            <w:r>
              <w:t>79</w:t>
            </w:r>
          </w:p>
          <w:p w:rsidR="00011C3B" w:rsidRDefault="00011C3B" w:rsidP="00313ED5">
            <w:pPr>
              <w:pStyle w:val="Normltblajobb"/>
            </w:pPr>
            <w:r>
              <w:t>0</w:t>
            </w:r>
          </w:p>
          <w:p w:rsidR="00011C3B" w:rsidRDefault="00011C3B" w:rsidP="00313ED5">
            <w:pPr>
              <w:pStyle w:val="Normltblajobb"/>
            </w:pPr>
          </w:p>
          <w:p w:rsidR="00011C3B" w:rsidRPr="008B76DD" w:rsidRDefault="00011C3B" w:rsidP="00313ED5">
            <w:pPr>
              <w:pStyle w:val="Normltblajobb"/>
            </w:pPr>
            <w:r>
              <w:t>0</w:t>
            </w:r>
          </w:p>
          <w:p w:rsidR="00011C3B" w:rsidRPr="008B76DD" w:rsidRDefault="00011C3B" w:rsidP="00313ED5">
            <w:pPr>
              <w:pStyle w:val="Normltblajobb"/>
            </w:pPr>
          </w:p>
          <w:p w:rsidR="00011C3B" w:rsidRPr="008B76DD" w:rsidRDefault="00011C3B" w:rsidP="00313ED5">
            <w:pPr>
              <w:pStyle w:val="Normltblajobb"/>
            </w:pPr>
            <w:r w:rsidRPr="008B76DD">
              <w:t>0</w:t>
            </w:r>
          </w:p>
          <w:p w:rsidR="00011C3B" w:rsidRPr="008B76DD" w:rsidRDefault="00011C3B" w:rsidP="00313ED5">
            <w:pPr>
              <w:pStyle w:val="Normltblajobb"/>
            </w:pPr>
            <w:r w:rsidRPr="008B76DD">
              <w:t>0</w:t>
            </w:r>
          </w:p>
          <w:p w:rsidR="00011C3B" w:rsidRPr="008B76DD" w:rsidRDefault="00011C3B" w:rsidP="00313ED5">
            <w:pPr>
              <w:pStyle w:val="Normltblajobb"/>
            </w:pPr>
            <w:r w:rsidRPr="008B76DD">
              <w:t>0</w:t>
            </w:r>
          </w:p>
        </w:tc>
      </w:tr>
      <w:tr w:rsidR="00011C3B" w:rsidRPr="00170CB9" w:rsidTr="00011C3B">
        <w:trPr>
          <w:cantSplit/>
        </w:trPr>
        <w:tc>
          <w:tcPr>
            <w:tcW w:w="672" w:type="dxa"/>
            <w:vMerge/>
          </w:tcPr>
          <w:p w:rsidR="00011C3B" w:rsidRPr="00A51BCF" w:rsidRDefault="00011C3B" w:rsidP="0058781B">
            <w:pPr>
              <w:pStyle w:val="Tbla-kzp"/>
            </w:pPr>
          </w:p>
        </w:tc>
        <w:tc>
          <w:tcPr>
            <w:tcW w:w="6019" w:type="dxa"/>
          </w:tcPr>
          <w:p w:rsidR="00011C3B" w:rsidRPr="00170CB9" w:rsidRDefault="00011C3B" w:rsidP="00011C3B">
            <w:pPr>
              <w:pStyle w:val="TableText"/>
              <w:spacing w:before="0" w:after="0"/>
              <w:rPr>
                <w:rFonts w:eastAsia="Times New Roman"/>
                <w:b/>
                <w:bCs/>
                <w:lang w:val="es-ES" w:bidi="sa-IN"/>
              </w:rPr>
            </w:pPr>
            <w:r w:rsidRPr="00170CB9">
              <w:rPr>
                <w:rFonts w:eastAsia="Times New Roman"/>
                <w:b/>
                <w:bCs/>
                <w:lang w:bidi="sa-IN"/>
              </w:rPr>
              <w:t>A beruházás teljes összege (euró)</w:t>
            </w:r>
          </w:p>
          <w:p w:rsidR="00011C3B" w:rsidRPr="00170CB9" w:rsidRDefault="00011C3B" w:rsidP="00011C3B">
            <w:pPr>
              <w:widowControl w:val="0"/>
              <w:tabs>
                <w:tab w:val="left" w:pos="567"/>
              </w:tabs>
              <w:spacing w:after="0"/>
              <w:jc w:val="left"/>
              <w:rPr>
                <w:sz w:val="20"/>
                <w:szCs w:val="20"/>
                <w:lang w:bidi="sa-IN"/>
              </w:rPr>
            </w:pPr>
            <w:r w:rsidRPr="00170CB9">
              <w:rPr>
                <w:sz w:val="20"/>
                <w:szCs w:val="20"/>
                <w:lang w:bidi="sa-IN"/>
              </w:rPr>
              <w:t>A tevékenységek típusa:</w:t>
            </w:r>
          </w:p>
          <w:p w:rsidR="00011C3B" w:rsidRPr="00170CB9" w:rsidRDefault="00011C3B" w:rsidP="0033390A">
            <w:pPr>
              <w:numPr>
                <w:ilvl w:val="0"/>
                <w:numId w:val="80"/>
              </w:numPr>
              <w:spacing w:after="0"/>
              <w:rPr>
                <w:sz w:val="20"/>
                <w:szCs w:val="20"/>
              </w:rPr>
            </w:pPr>
            <w:r w:rsidRPr="00170CB9">
              <w:rPr>
                <w:sz w:val="20"/>
                <w:szCs w:val="20"/>
                <w:lang w:bidi="sa-IN"/>
              </w:rPr>
              <w:t xml:space="preserve">ICT </w:t>
            </w:r>
            <w:r w:rsidRPr="00170CB9">
              <w:rPr>
                <w:sz w:val="20"/>
                <w:szCs w:val="20"/>
              </w:rPr>
              <w:t>kezdeményezés (pl. infrastruktúra)</w:t>
            </w:r>
          </w:p>
          <w:p w:rsidR="00011C3B" w:rsidRPr="00170CB9" w:rsidRDefault="00011C3B" w:rsidP="0033390A">
            <w:pPr>
              <w:numPr>
                <w:ilvl w:val="0"/>
                <w:numId w:val="80"/>
              </w:numPr>
              <w:spacing w:after="0"/>
              <w:rPr>
                <w:sz w:val="20"/>
                <w:szCs w:val="20"/>
              </w:rPr>
            </w:pPr>
            <w:r w:rsidRPr="00170CB9">
              <w:rPr>
                <w:sz w:val="20"/>
                <w:szCs w:val="20"/>
              </w:rPr>
              <w:t>Mobilitás</w:t>
            </w:r>
          </w:p>
          <w:p w:rsidR="00011C3B" w:rsidRPr="00170CB9" w:rsidRDefault="00011C3B" w:rsidP="0033390A">
            <w:pPr>
              <w:numPr>
                <w:ilvl w:val="0"/>
                <w:numId w:val="80"/>
              </w:numPr>
              <w:spacing w:after="0"/>
              <w:rPr>
                <w:sz w:val="20"/>
                <w:szCs w:val="20"/>
              </w:rPr>
            </w:pPr>
            <w:r w:rsidRPr="00170CB9">
              <w:rPr>
                <w:sz w:val="20"/>
                <w:szCs w:val="20"/>
              </w:rPr>
              <w:t>Kulturális és szociális infrastruktúra</w:t>
            </w:r>
          </w:p>
          <w:p w:rsidR="00011C3B" w:rsidRPr="00170CB9" w:rsidRDefault="00011C3B" w:rsidP="0033390A">
            <w:pPr>
              <w:numPr>
                <w:ilvl w:val="0"/>
                <w:numId w:val="80"/>
              </w:numPr>
              <w:spacing w:after="0"/>
              <w:rPr>
                <w:sz w:val="20"/>
                <w:szCs w:val="20"/>
              </w:rPr>
            </w:pPr>
            <w:r w:rsidRPr="00170CB9">
              <w:rPr>
                <w:sz w:val="20"/>
                <w:szCs w:val="20"/>
              </w:rPr>
              <w:t>Környezeti infrastruktúra (csatornázás, szennyvízkezelés, …)/Energia</w:t>
            </w:r>
          </w:p>
          <w:p w:rsidR="00011C3B" w:rsidRPr="00170CB9" w:rsidRDefault="00011C3B" w:rsidP="0033390A">
            <w:pPr>
              <w:numPr>
                <w:ilvl w:val="0"/>
                <w:numId w:val="80"/>
              </w:numPr>
              <w:spacing w:after="0"/>
              <w:rPr>
                <w:sz w:val="20"/>
                <w:szCs w:val="20"/>
              </w:rPr>
            </w:pPr>
            <w:r w:rsidRPr="00170CB9">
              <w:rPr>
                <w:sz w:val="20"/>
                <w:szCs w:val="20"/>
              </w:rPr>
              <w:t>Képzések</w:t>
            </w:r>
          </w:p>
          <w:p w:rsidR="00011C3B" w:rsidRPr="00170CB9" w:rsidRDefault="00011C3B" w:rsidP="0033390A">
            <w:pPr>
              <w:numPr>
                <w:ilvl w:val="0"/>
                <w:numId w:val="80"/>
              </w:numPr>
              <w:spacing w:after="0"/>
              <w:rPr>
                <w:sz w:val="20"/>
                <w:szCs w:val="20"/>
              </w:rPr>
            </w:pPr>
            <w:r w:rsidRPr="00170CB9">
              <w:rPr>
                <w:sz w:val="20"/>
                <w:szCs w:val="20"/>
              </w:rPr>
              <w:t>Gyermekgondozás</w:t>
            </w:r>
          </w:p>
          <w:p w:rsidR="00011C3B" w:rsidRPr="00170CB9" w:rsidRDefault="00011C3B" w:rsidP="0033390A">
            <w:pPr>
              <w:numPr>
                <w:ilvl w:val="0"/>
                <w:numId w:val="80"/>
              </w:numPr>
              <w:spacing w:after="0"/>
              <w:rPr>
                <w:sz w:val="20"/>
                <w:szCs w:val="20"/>
                <w:lang w:bidi="sa-IN"/>
              </w:rPr>
            </w:pPr>
            <w:r w:rsidRPr="00170CB9">
              <w:rPr>
                <w:sz w:val="20"/>
                <w:szCs w:val="20"/>
              </w:rPr>
              <w:t>Egyéb</w:t>
            </w:r>
          </w:p>
        </w:tc>
        <w:tc>
          <w:tcPr>
            <w:tcW w:w="1409" w:type="dxa"/>
          </w:tcPr>
          <w:p w:rsidR="00011C3B" w:rsidRPr="00170CB9" w:rsidRDefault="00011C3B" w:rsidP="00313ED5">
            <w:pPr>
              <w:pStyle w:val="Normltblajobb"/>
              <w:rPr>
                <w:lang w:bidi="sa-IN"/>
              </w:rPr>
            </w:pPr>
            <w:r w:rsidRPr="00170CB9">
              <w:rPr>
                <w:lang w:val="hu-HU" w:bidi="sa-IN"/>
              </w:rPr>
              <w:t>180,5 millió</w:t>
            </w:r>
            <w:r w:rsidRPr="00170CB9">
              <w:rPr>
                <w:lang w:bidi="sa-IN"/>
              </w:rPr>
              <w:t xml:space="preserve"> </w:t>
            </w:r>
          </w:p>
        </w:tc>
        <w:tc>
          <w:tcPr>
            <w:tcW w:w="1320" w:type="dxa"/>
          </w:tcPr>
          <w:p w:rsidR="00011C3B" w:rsidRPr="00170CB9" w:rsidRDefault="00011C3B" w:rsidP="00313ED5">
            <w:pPr>
              <w:pStyle w:val="Normltblajobb"/>
              <w:rPr>
                <w:lang w:val="hu-HU" w:bidi="sa-IN"/>
              </w:rPr>
            </w:pPr>
            <w:r w:rsidRPr="00170CB9">
              <w:rPr>
                <w:lang w:val="hu-HU" w:bidi="sa-IN"/>
              </w:rPr>
              <w:t>117,3 millió</w:t>
            </w:r>
          </w:p>
          <w:p w:rsidR="00011C3B" w:rsidRPr="00170CB9" w:rsidRDefault="00011C3B" w:rsidP="00313ED5">
            <w:pPr>
              <w:pStyle w:val="Normltblajobb"/>
              <w:rPr>
                <w:lang w:val="hu-HU" w:bidi="sa-IN"/>
              </w:rPr>
            </w:pPr>
          </w:p>
          <w:p w:rsidR="00011C3B" w:rsidRPr="00170CB9" w:rsidRDefault="00011C3B" w:rsidP="00313ED5">
            <w:pPr>
              <w:pStyle w:val="Normltblajobb"/>
              <w:rPr>
                <w:lang w:val="hu-HU" w:bidi="sa-IN"/>
              </w:rPr>
            </w:pPr>
            <w:r w:rsidRPr="00170CB9">
              <w:rPr>
                <w:lang w:val="hu-HU" w:bidi="sa-IN"/>
              </w:rPr>
              <w:t>28,44 millió</w:t>
            </w:r>
          </w:p>
          <w:p w:rsidR="00011C3B" w:rsidRPr="00170CB9" w:rsidRDefault="00B6645A" w:rsidP="00313ED5">
            <w:pPr>
              <w:pStyle w:val="Normltblajobb"/>
              <w:rPr>
                <w:lang w:val="hu-HU" w:bidi="sa-IN"/>
              </w:rPr>
            </w:pPr>
            <w:r>
              <w:rPr>
                <w:lang w:val="hu-HU" w:bidi="sa-IN"/>
              </w:rPr>
              <w:t>88,85</w:t>
            </w:r>
            <w:r w:rsidR="00011C3B" w:rsidRPr="00170CB9">
              <w:rPr>
                <w:lang w:val="hu-HU" w:bidi="sa-IN"/>
              </w:rPr>
              <w:t xml:space="preserve"> millió</w:t>
            </w:r>
          </w:p>
          <w:p w:rsidR="00011C3B" w:rsidRPr="00170CB9" w:rsidRDefault="00011C3B" w:rsidP="00313ED5">
            <w:pPr>
              <w:pStyle w:val="Normltblajobb"/>
              <w:rPr>
                <w:lang w:val="hu-HU" w:bidi="sa-IN"/>
              </w:rPr>
            </w:pPr>
            <w:r w:rsidRPr="00170CB9">
              <w:rPr>
                <w:lang w:val="hu-HU" w:bidi="sa-IN"/>
              </w:rPr>
              <w:t>0</w:t>
            </w:r>
          </w:p>
          <w:p w:rsidR="00011C3B" w:rsidRPr="00170CB9" w:rsidRDefault="00011C3B" w:rsidP="00313ED5">
            <w:pPr>
              <w:pStyle w:val="Normltblajobb"/>
              <w:rPr>
                <w:lang w:val="hu-HU" w:bidi="sa-IN"/>
              </w:rPr>
            </w:pPr>
          </w:p>
          <w:p w:rsidR="00011C3B" w:rsidRPr="00170CB9" w:rsidRDefault="00011C3B" w:rsidP="00313ED5">
            <w:pPr>
              <w:pStyle w:val="Normltblajobb"/>
              <w:rPr>
                <w:lang w:val="hu-HU" w:bidi="sa-IN"/>
              </w:rPr>
            </w:pPr>
            <w:r w:rsidRPr="00170CB9">
              <w:rPr>
                <w:lang w:val="hu-HU" w:bidi="sa-IN"/>
              </w:rPr>
              <w:t>0</w:t>
            </w:r>
          </w:p>
          <w:p w:rsidR="00011C3B" w:rsidRPr="00170CB9" w:rsidRDefault="00011C3B" w:rsidP="00313ED5">
            <w:pPr>
              <w:pStyle w:val="Normltblajobb"/>
              <w:rPr>
                <w:lang w:val="hu-HU" w:bidi="sa-IN"/>
              </w:rPr>
            </w:pPr>
            <w:r w:rsidRPr="00170CB9">
              <w:rPr>
                <w:lang w:val="hu-HU" w:bidi="sa-IN"/>
              </w:rPr>
              <w:t>0</w:t>
            </w:r>
          </w:p>
          <w:p w:rsidR="00011C3B" w:rsidRPr="00170CB9" w:rsidRDefault="00011C3B" w:rsidP="00313ED5">
            <w:pPr>
              <w:pStyle w:val="Normltblajobb"/>
              <w:rPr>
                <w:lang w:val="hu-HU" w:bidi="sa-IN"/>
              </w:rPr>
            </w:pPr>
            <w:r w:rsidRPr="00170CB9">
              <w:rPr>
                <w:lang w:val="hu-HU" w:bidi="sa-IN"/>
              </w:rPr>
              <w:t>0</w:t>
            </w:r>
          </w:p>
        </w:tc>
      </w:tr>
      <w:tr w:rsidR="00011C3B" w:rsidRPr="00170CB9" w:rsidTr="00011C3B">
        <w:trPr>
          <w:cantSplit/>
        </w:trPr>
        <w:tc>
          <w:tcPr>
            <w:tcW w:w="672" w:type="dxa"/>
            <w:vMerge w:val="restart"/>
          </w:tcPr>
          <w:p w:rsidR="00011C3B" w:rsidRPr="00170CB9" w:rsidRDefault="00011C3B" w:rsidP="0058781B">
            <w:pPr>
              <w:pStyle w:val="Tbla-kzp"/>
            </w:pPr>
            <w:r w:rsidRPr="00170CB9">
              <w:t>R</w:t>
            </w:r>
          </w:p>
        </w:tc>
        <w:tc>
          <w:tcPr>
            <w:tcW w:w="6019" w:type="dxa"/>
          </w:tcPr>
          <w:p w:rsidR="00011C3B" w:rsidRPr="00170CB9" w:rsidRDefault="00011C3B" w:rsidP="00011C3B">
            <w:pPr>
              <w:pStyle w:val="TableText"/>
              <w:spacing w:before="0" w:after="0"/>
              <w:ind w:left="244"/>
              <w:rPr>
                <w:rFonts w:eastAsia="Times New Roman"/>
                <w:bCs/>
                <w:lang w:bidi="sa-IN"/>
              </w:rPr>
            </w:pPr>
            <w:r w:rsidRPr="00170CB9">
              <w:rPr>
                <w:rFonts w:eastAsia="Times New Roman"/>
                <w:bCs/>
                <w:lang w:bidi="sa-IN"/>
              </w:rPr>
              <w:t>A fejlettebb szolgáltatásokat hasznosító vidéki területeken élők száma (ezer fő)</w:t>
            </w:r>
          </w:p>
        </w:tc>
        <w:tc>
          <w:tcPr>
            <w:tcW w:w="1409" w:type="dxa"/>
            <w:vAlign w:val="center"/>
          </w:tcPr>
          <w:p w:rsidR="00011C3B" w:rsidRPr="00170CB9" w:rsidRDefault="00011C3B" w:rsidP="00313ED5">
            <w:pPr>
              <w:pStyle w:val="Normltblajobb"/>
              <w:ind w:left="244"/>
            </w:pPr>
            <w:r w:rsidRPr="00170CB9">
              <w:t>3 500</w:t>
            </w:r>
          </w:p>
        </w:tc>
        <w:tc>
          <w:tcPr>
            <w:tcW w:w="1320" w:type="dxa"/>
          </w:tcPr>
          <w:p w:rsidR="00011C3B" w:rsidRPr="00170CB9" w:rsidRDefault="00C91980" w:rsidP="00C91980">
            <w:pPr>
              <w:pStyle w:val="Normltblajobb"/>
              <w:ind w:left="244"/>
              <w:rPr>
                <w:lang w:val="hu-HU"/>
              </w:rPr>
            </w:pPr>
            <w:r>
              <w:rPr>
                <w:lang w:val="hu-HU"/>
              </w:rPr>
              <w:t>3236,327</w:t>
            </w:r>
          </w:p>
        </w:tc>
      </w:tr>
      <w:tr w:rsidR="00011C3B" w:rsidRPr="00170CB9" w:rsidTr="00011C3B">
        <w:trPr>
          <w:cantSplit/>
        </w:trPr>
        <w:tc>
          <w:tcPr>
            <w:tcW w:w="672" w:type="dxa"/>
            <w:vMerge/>
          </w:tcPr>
          <w:p w:rsidR="00011C3B" w:rsidRPr="00170CB9" w:rsidRDefault="00011C3B" w:rsidP="0058781B">
            <w:pPr>
              <w:pStyle w:val="Tbla-kzp"/>
            </w:pPr>
          </w:p>
        </w:tc>
        <w:tc>
          <w:tcPr>
            <w:tcW w:w="6019" w:type="dxa"/>
          </w:tcPr>
          <w:p w:rsidR="00011C3B" w:rsidRPr="00170CB9" w:rsidRDefault="00011C3B" w:rsidP="00011C3B">
            <w:pPr>
              <w:pStyle w:val="TableText"/>
              <w:spacing w:before="0" w:after="0"/>
              <w:ind w:left="244"/>
              <w:rPr>
                <w:rFonts w:eastAsia="Times New Roman"/>
                <w:bCs/>
                <w:lang w:bidi="sa-IN"/>
              </w:rPr>
            </w:pPr>
            <w:r w:rsidRPr="00170CB9">
              <w:rPr>
                <w:rFonts w:eastAsia="Times New Roman"/>
                <w:bCs/>
                <w:lang w:bidi="sa-IN"/>
              </w:rPr>
              <w:t>Internet-ellátottság növekedése a vidéki térségekben (ezer fő)</w:t>
            </w:r>
          </w:p>
        </w:tc>
        <w:tc>
          <w:tcPr>
            <w:tcW w:w="1409" w:type="dxa"/>
            <w:vAlign w:val="center"/>
          </w:tcPr>
          <w:p w:rsidR="00011C3B" w:rsidRPr="00170CB9" w:rsidRDefault="00011C3B" w:rsidP="00313ED5">
            <w:pPr>
              <w:pStyle w:val="Normltblajobb"/>
              <w:ind w:left="244"/>
            </w:pPr>
            <w:r w:rsidRPr="00170CB9">
              <w:t>60</w:t>
            </w:r>
          </w:p>
        </w:tc>
        <w:tc>
          <w:tcPr>
            <w:tcW w:w="1320" w:type="dxa"/>
            <w:tcBorders>
              <w:bottom w:val="single" w:sz="4" w:space="0" w:color="auto"/>
            </w:tcBorders>
          </w:tcPr>
          <w:p w:rsidR="00011C3B" w:rsidRPr="00170CB9" w:rsidRDefault="00C91980" w:rsidP="00313ED5">
            <w:pPr>
              <w:pStyle w:val="Normltblajobb"/>
              <w:ind w:left="244"/>
            </w:pPr>
            <w:r>
              <w:t>390,804</w:t>
            </w:r>
          </w:p>
        </w:tc>
      </w:tr>
      <w:tr w:rsidR="00011C3B" w:rsidRPr="00170CB9" w:rsidTr="00011C3B">
        <w:trPr>
          <w:cantSplit/>
        </w:trPr>
        <w:tc>
          <w:tcPr>
            <w:tcW w:w="672" w:type="dxa"/>
            <w:vMerge w:val="restart"/>
          </w:tcPr>
          <w:p w:rsidR="00011C3B" w:rsidRPr="00170CB9" w:rsidRDefault="00011C3B" w:rsidP="0058781B">
            <w:pPr>
              <w:pStyle w:val="Tbla-kzp"/>
            </w:pPr>
            <w:r w:rsidRPr="00170CB9">
              <w:t>I</w:t>
            </w:r>
          </w:p>
        </w:tc>
        <w:tc>
          <w:tcPr>
            <w:tcW w:w="6019" w:type="dxa"/>
          </w:tcPr>
          <w:p w:rsidR="00011C3B" w:rsidRPr="00170CB9" w:rsidRDefault="00011C3B" w:rsidP="00011C3B">
            <w:pPr>
              <w:pStyle w:val="TableText"/>
              <w:spacing w:before="0" w:after="0"/>
              <w:ind w:left="244"/>
              <w:rPr>
                <w:rFonts w:eastAsia="Times New Roman"/>
                <w:bCs/>
                <w:lang w:bidi="sa-IN"/>
              </w:rPr>
            </w:pPr>
            <w:r w:rsidRPr="00170CB9">
              <w:rPr>
                <w:rFonts w:eastAsia="Times New Roman"/>
                <w:bCs/>
                <w:lang w:bidi="sa-IN"/>
              </w:rPr>
              <w:t xml:space="preserve">A főfoglalkozásnak megfelelő, újonnan létrehozott munkahelyek nettó száma </w:t>
            </w:r>
          </w:p>
        </w:tc>
        <w:tc>
          <w:tcPr>
            <w:tcW w:w="1409" w:type="dxa"/>
            <w:vAlign w:val="center"/>
          </w:tcPr>
          <w:p w:rsidR="00011C3B" w:rsidRPr="00170CB9" w:rsidRDefault="00011C3B" w:rsidP="00313ED5">
            <w:pPr>
              <w:pStyle w:val="Normltblajobb"/>
              <w:ind w:left="244"/>
            </w:pPr>
            <w:r w:rsidRPr="00170CB9">
              <w:t>2 110</w:t>
            </w:r>
          </w:p>
        </w:tc>
        <w:tc>
          <w:tcPr>
            <w:tcW w:w="1320" w:type="dxa"/>
            <w:shd w:val="clear" w:color="auto" w:fill="auto"/>
          </w:tcPr>
          <w:p w:rsidR="00011C3B" w:rsidRPr="00170CB9" w:rsidRDefault="00011C3B" w:rsidP="00313ED5">
            <w:pPr>
              <w:pStyle w:val="Normltblajobb"/>
              <w:ind w:left="244"/>
            </w:pPr>
            <w:r w:rsidRPr="00170CB9">
              <w:t>238</w:t>
            </w:r>
          </w:p>
        </w:tc>
      </w:tr>
      <w:tr w:rsidR="00011C3B" w:rsidRPr="00170CB9" w:rsidTr="00011C3B">
        <w:trPr>
          <w:cantSplit/>
        </w:trPr>
        <w:tc>
          <w:tcPr>
            <w:tcW w:w="672" w:type="dxa"/>
            <w:vMerge/>
          </w:tcPr>
          <w:p w:rsidR="00011C3B" w:rsidRPr="00170CB9" w:rsidRDefault="00011C3B" w:rsidP="0058781B">
            <w:pPr>
              <w:pStyle w:val="Tbla-kzp"/>
            </w:pPr>
          </w:p>
        </w:tc>
        <w:tc>
          <w:tcPr>
            <w:tcW w:w="6019" w:type="dxa"/>
          </w:tcPr>
          <w:p w:rsidR="00011C3B" w:rsidRPr="00170CB9" w:rsidRDefault="00011C3B" w:rsidP="00011C3B">
            <w:pPr>
              <w:pStyle w:val="TableText"/>
              <w:spacing w:before="0" w:after="0"/>
              <w:ind w:left="244"/>
              <w:rPr>
                <w:rFonts w:eastAsia="Times New Roman"/>
                <w:bCs/>
                <w:lang w:bidi="sa-IN"/>
              </w:rPr>
            </w:pPr>
            <w:r w:rsidRPr="00170CB9">
              <w:rPr>
                <w:rFonts w:eastAsia="Times New Roman"/>
                <w:bCs/>
                <w:lang w:bidi="sa-IN"/>
              </w:rPr>
              <w:t xml:space="preserve">Nettó hozzáadott érték PPS-ben kifejezve </w:t>
            </w:r>
          </w:p>
        </w:tc>
        <w:tc>
          <w:tcPr>
            <w:tcW w:w="1409" w:type="dxa"/>
            <w:vAlign w:val="center"/>
          </w:tcPr>
          <w:p w:rsidR="00011C3B" w:rsidRPr="00170CB9" w:rsidRDefault="00011C3B" w:rsidP="00313ED5">
            <w:pPr>
              <w:pStyle w:val="Normltblajobb"/>
              <w:rPr>
                <w:lang w:val="hu-HU"/>
              </w:rPr>
            </w:pPr>
          </w:p>
        </w:tc>
        <w:tc>
          <w:tcPr>
            <w:tcW w:w="1320" w:type="dxa"/>
            <w:shd w:val="clear" w:color="auto" w:fill="auto"/>
          </w:tcPr>
          <w:p w:rsidR="00011C3B" w:rsidRPr="00170CB9" w:rsidRDefault="00011C3B" w:rsidP="00313ED5">
            <w:pPr>
              <w:pStyle w:val="Normltblajobb"/>
              <w:ind w:left="244"/>
              <w:rPr>
                <w:lang w:val="hu-HU"/>
              </w:rPr>
            </w:pPr>
            <w:r w:rsidRPr="00170CB9">
              <w:t>NA</w:t>
            </w:r>
          </w:p>
        </w:tc>
      </w:tr>
      <w:tr w:rsidR="00011C3B" w:rsidRPr="00170CB9" w:rsidTr="00011C3B">
        <w:trPr>
          <w:cantSplit/>
          <w:trHeight w:val="158"/>
        </w:trPr>
        <w:tc>
          <w:tcPr>
            <w:tcW w:w="672" w:type="dxa"/>
            <w:vMerge w:val="restart"/>
          </w:tcPr>
          <w:p w:rsidR="00011C3B" w:rsidRPr="00170CB9" w:rsidRDefault="00011C3B" w:rsidP="0058781B">
            <w:pPr>
              <w:pStyle w:val="Tbla-kzp"/>
            </w:pPr>
            <w:r w:rsidRPr="00170CB9">
              <w:t>SPEC. O</w:t>
            </w:r>
          </w:p>
        </w:tc>
        <w:tc>
          <w:tcPr>
            <w:tcW w:w="6019" w:type="dxa"/>
          </w:tcPr>
          <w:p w:rsidR="00011C3B" w:rsidRPr="00170CB9" w:rsidRDefault="00011C3B" w:rsidP="00011C3B">
            <w:pPr>
              <w:pStyle w:val="TableText"/>
              <w:spacing w:before="0" w:after="0"/>
              <w:ind w:left="244"/>
              <w:rPr>
                <w:rFonts w:eastAsia="Times New Roman"/>
                <w:bCs/>
                <w:lang w:bidi="sa-IN"/>
              </w:rPr>
            </w:pPr>
            <w:r w:rsidRPr="00170CB9">
              <w:rPr>
                <w:rFonts w:eastAsia="Times New Roman"/>
                <w:bCs/>
                <w:lang w:bidi="sa-IN"/>
              </w:rPr>
              <w:t>Többfunkciós szolgáltató központok száma (db)</w:t>
            </w:r>
          </w:p>
        </w:tc>
        <w:tc>
          <w:tcPr>
            <w:tcW w:w="1409" w:type="dxa"/>
            <w:vAlign w:val="center"/>
          </w:tcPr>
          <w:p w:rsidR="00011C3B" w:rsidRPr="00170CB9" w:rsidRDefault="00011C3B" w:rsidP="00313ED5">
            <w:pPr>
              <w:pStyle w:val="Normltblajobb"/>
              <w:ind w:left="244"/>
            </w:pPr>
            <w:r w:rsidRPr="00170CB9">
              <w:t>1 800</w:t>
            </w:r>
          </w:p>
        </w:tc>
        <w:tc>
          <w:tcPr>
            <w:tcW w:w="1320" w:type="dxa"/>
            <w:shd w:val="clear" w:color="auto" w:fill="auto"/>
          </w:tcPr>
          <w:p w:rsidR="00011C3B" w:rsidRPr="00170CB9" w:rsidRDefault="00011C3B" w:rsidP="00313ED5">
            <w:pPr>
              <w:pStyle w:val="Normltblajobb"/>
              <w:ind w:left="244"/>
            </w:pPr>
            <w:r w:rsidRPr="00170CB9">
              <w:t>579</w:t>
            </w:r>
          </w:p>
        </w:tc>
      </w:tr>
      <w:tr w:rsidR="00011C3B" w:rsidRPr="00170CB9" w:rsidTr="00011C3B">
        <w:trPr>
          <w:cantSplit/>
        </w:trPr>
        <w:tc>
          <w:tcPr>
            <w:tcW w:w="672" w:type="dxa"/>
            <w:vMerge/>
          </w:tcPr>
          <w:p w:rsidR="00011C3B" w:rsidRPr="00170CB9" w:rsidRDefault="00011C3B" w:rsidP="00011C3B">
            <w:pPr>
              <w:pStyle w:val="TableText"/>
              <w:spacing w:before="0" w:after="0"/>
              <w:jc w:val="center"/>
              <w:rPr>
                <w:rFonts w:eastAsia="Times New Roman"/>
                <w:bCs/>
                <w:lang w:bidi="sa-IN"/>
              </w:rPr>
            </w:pPr>
          </w:p>
        </w:tc>
        <w:tc>
          <w:tcPr>
            <w:tcW w:w="6019" w:type="dxa"/>
          </w:tcPr>
          <w:p w:rsidR="00011C3B" w:rsidRPr="00170CB9" w:rsidRDefault="00011C3B" w:rsidP="00011C3B">
            <w:pPr>
              <w:pStyle w:val="TableText"/>
              <w:spacing w:before="0" w:after="0"/>
              <w:ind w:left="244"/>
              <w:rPr>
                <w:rFonts w:eastAsia="Times New Roman"/>
                <w:bCs/>
                <w:lang w:bidi="sa-IN"/>
              </w:rPr>
            </w:pPr>
            <w:r w:rsidRPr="00170CB9">
              <w:rPr>
                <w:rFonts w:eastAsia="Times New Roman"/>
                <w:bCs/>
                <w:lang w:bidi="sa-IN"/>
              </w:rPr>
              <w:t>A támogatott tanyabusz szolgáltatások száma</w:t>
            </w:r>
          </w:p>
        </w:tc>
        <w:tc>
          <w:tcPr>
            <w:tcW w:w="1409" w:type="dxa"/>
            <w:vAlign w:val="center"/>
          </w:tcPr>
          <w:p w:rsidR="00011C3B" w:rsidRPr="00170CB9" w:rsidRDefault="00011C3B" w:rsidP="00313ED5">
            <w:pPr>
              <w:pStyle w:val="Normltblajobb"/>
              <w:ind w:left="244"/>
            </w:pPr>
            <w:r w:rsidRPr="00170CB9">
              <w:t>200</w:t>
            </w:r>
          </w:p>
        </w:tc>
        <w:tc>
          <w:tcPr>
            <w:tcW w:w="1320" w:type="dxa"/>
            <w:shd w:val="clear" w:color="auto" w:fill="auto"/>
          </w:tcPr>
          <w:p w:rsidR="00011C3B" w:rsidRPr="00170CB9" w:rsidRDefault="00011C3B" w:rsidP="00313ED5">
            <w:pPr>
              <w:pStyle w:val="Normltblajobb"/>
              <w:ind w:left="244"/>
            </w:pPr>
            <w:r w:rsidRPr="00170CB9">
              <w:t>1075</w:t>
            </w:r>
          </w:p>
        </w:tc>
      </w:tr>
    </w:tbl>
    <w:p w:rsidR="00011C3B" w:rsidRPr="00C003F8" w:rsidRDefault="00011C3B" w:rsidP="00011C3B">
      <w:pPr>
        <w:pStyle w:val="Normlforrs"/>
        <w:widowControl w:val="0"/>
        <w:suppressAutoHyphens w:val="0"/>
      </w:pPr>
      <w:r w:rsidRPr="00170CB9">
        <w:t>Forrás: MVH</w:t>
      </w:r>
    </w:p>
    <w:p w:rsidR="00F05CDE" w:rsidRDefault="00F05CDE" w:rsidP="00F05CDE">
      <w:r>
        <w:t xml:space="preserve">Az intézkedés két alintézkedése közül egyik sem került megnyitásra 2012-ben, ezért jelentős előrehaladásról nem lehet beszámolni, ugyanakkor 2013 folyamán ismételten megnyitni tervezi az IH mindkét alintézkedést, ezért a programozási időszak végére várhatóan elérik a célértéket. </w:t>
      </w:r>
    </w:p>
    <w:p w:rsidR="00011C3B" w:rsidRPr="00EB658B" w:rsidRDefault="00011C3B" w:rsidP="00715E86">
      <w:pPr>
        <w:pStyle w:val="Cmsor4"/>
      </w:pPr>
      <w:r w:rsidRPr="00EB658B">
        <w:t>A vidéki gazdaság és lakosság számára nyújtott alapszolgáltatások körében az integrált közösségi és szolgáltató tér kialakítására és működtetésére igénybe vehető támogatások jogcím megvalósulása</w:t>
      </w:r>
      <w:bookmarkEnd w:id="332"/>
    </w:p>
    <w:p w:rsidR="00011C3B" w:rsidRPr="00C003F8" w:rsidRDefault="00011C3B" w:rsidP="0058781B">
      <w:r w:rsidRPr="00C003F8">
        <w:t>A támogatás alapvető célja, hogy a vidéki területeken megteremtse a feltételeket a közösségek, működéséhez, fejlesztéséhez. Az IKSZT egyben szolgáltatásszervezési modell is, mely lehetővé teszi a helyi lakosság számára fontos (köz)szolgáltatások egy épületben való működtetését és hozzáférhetőségét. Az IKSZT keretében megvalósítható tartalmak a foglalkoztatási, vállalkozásfejlesztéshez kötődő, gyermek és ifjúsági, oktatási, képzési, közművelődési programok, szociális és lakossági, ügyfélszolgálati jellegű szolgáltatások.</w:t>
      </w:r>
    </w:p>
    <w:p w:rsidR="00011C3B" w:rsidRPr="00C003F8" w:rsidRDefault="00011C3B" w:rsidP="0058781B">
      <w:r w:rsidRPr="00C003F8">
        <w:t>201</w:t>
      </w:r>
      <w:r>
        <w:t>2</w:t>
      </w:r>
      <w:r w:rsidRPr="00C003F8">
        <w:t xml:space="preserve">-ben a jogcímet szabályozó 112/2009. (VIII.29.) FVM rendelet </w:t>
      </w:r>
      <w:r>
        <w:t xml:space="preserve">négy alkalommal került </w:t>
      </w:r>
      <w:r w:rsidRPr="00C003F8">
        <w:t>módosításra.</w:t>
      </w:r>
      <w:r>
        <w:t xml:space="preserve"> A módosítások</w:t>
      </w:r>
      <w:r w:rsidR="00170CB9">
        <w:t>ra a végrehajtás szempontjából szükséges, az IKSZT-k működéséhez kapcsolódó technikai pontosítások miatt</w:t>
      </w:r>
      <w:r>
        <w:t>,</w:t>
      </w:r>
      <w:r w:rsidRPr="007D6369">
        <w:t xml:space="preserve"> </w:t>
      </w:r>
      <w:r>
        <w:t>valamint jogharmonizációs célból</w:t>
      </w:r>
      <w:r w:rsidR="003B1C9D">
        <w:t xml:space="preserve"> került sor</w:t>
      </w:r>
      <w:r>
        <w:t xml:space="preserve">. </w:t>
      </w:r>
    </w:p>
    <w:p w:rsidR="00011C3B" w:rsidRPr="00C003F8" w:rsidRDefault="00011C3B" w:rsidP="0058781B">
      <w:r w:rsidRPr="00C003F8">
        <w:t>Támogatási kérelem benyújtására összesen egy alkalommal, 2009. szeptember 1. és október 15. között nyílt lehetőség. 201</w:t>
      </w:r>
      <w:r>
        <w:t>2</w:t>
      </w:r>
      <w:r w:rsidRPr="00C003F8">
        <w:t xml:space="preserve">-ben </w:t>
      </w:r>
      <w:r>
        <w:t xml:space="preserve">támogatási </w:t>
      </w:r>
      <w:r w:rsidRPr="00C003F8">
        <w:t>kérelem benyújtási időszak nem vol</w:t>
      </w:r>
      <w:r>
        <w:t>t, kizárólag kifizetési kérelem benyújtásra került sor</w:t>
      </w:r>
      <w:r w:rsidRPr="00C003F8">
        <w:t>.</w:t>
      </w:r>
    </w:p>
    <w:p w:rsidR="00011C3B" w:rsidRDefault="00011C3B" w:rsidP="0058781B">
      <w:r w:rsidRPr="00C003F8">
        <w:t>Az Irányító Hatóság 2010 áprilisában</w:t>
      </w:r>
      <w:r>
        <w:t>, illetve 2011 márciusában</w:t>
      </w:r>
      <w:r w:rsidRPr="00C003F8">
        <w:t xml:space="preserve"> hozta meg a ponthatárokról szóló döntését, majd ezután a beruházások megvalósításának megkezdése. </w:t>
      </w:r>
      <w:r w:rsidRPr="00DA02FC">
        <w:rPr>
          <w:bCs/>
        </w:rPr>
        <w:t>A jo</w:t>
      </w:r>
      <w:r>
        <w:rPr>
          <w:bCs/>
        </w:rPr>
        <w:t xml:space="preserve">gcímmel összefüggő kifizetések már </w:t>
      </w:r>
      <w:r w:rsidRPr="00DA02FC">
        <w:rPr>
          <w:bCs/>
        </w:rPr>
        <w:t>2010-ben megkezdődtek, az első IKSZT beruházások 2011. év elejére készültek el.</w:t>
      </w:r>
      <w:r>
        <w:rPr>
          <w:bCs/>
        </w:rPr>
        <w:t xml:space="preserve"> </w:t>
      </w:r>
      <w:r w:rsidRPr="00C003F8">
        <w:t xml:space="preserve">A beruházások megvalósítására az ügyfeleknek három év áll rendelkezésére a támogatási határozat kézhezvételét követően. </w:t>
      </w:r>
    </w:p>
    <w:p w:rsidR="00011C3B" w:rsidRDefault="00011C3B" w:rsidP="0058781B">
      <w:r>
        <w:t>Kifizetési kérelem benyújtására 2012. január 1-31., április 1-30., július 1-31., október 1-31 közötti időszakokban volt lehetőség.</w:t>
      </w:r>
    </w:p>
    <w:p w:rsidR="00011C3B" w:rsidRDefault="00011C3B" w:rsidP="0058781B">
      <w:r>
        <w:t>Az Európai Mezőgazdasági Vidékfejlesztési Alapból az egyes beruházási jogcímek esetén nyújtandó támogatási előlegfizetésről szóló 118/2012. (XI.22.) VM rendelet alapján lehetőség nyílt támogatási előleg igénylésére.</w:t>
      </w:r>
    </w:p>
    <w:p w:rsidR="00011C3B" w:rsidRPr="00F92037" w:rsidRDefault="007E5FDF" w:rsidP="00F92037">
      <w:pPr>
        <w:pStyle w:val="bra-cmetbla"/>
      </w:pPr>
      <w:fldSimple w:instr=" SEQ táblázat \* ARABIC ">
        <w:r w:rsidR="00E5031F">
          <w:rPr>
            <w:noProof/>
          </w:rPr>
          <w:t>86</w:t>
        </w:r>
      </w:fldSimple>
      <w:r w:rsidR="00673DDE">
        <w:t xml:space="preserve">. táblázat: </w:t>
      </w:r>
      <w:r w:rsidR="00011C3B" w:rsidRPr="00F92037">
        <w:t>A vidéki gazdaság és lakosság számára nyújtott alapszolgáltatások körében az integrált közösségi és szolgáltató tér kialakítására és működtetésére igénybe vehető támogatások jogcím 2012. évi eredményei</w:t>
      </w:r>
    </w:p>
    <w:p w:rsidR="00011C3B" w:rsidRPr="00F92037" w:rsidRDefault="00B452BF" w:rsidP="00F92037">
      <w:pPr>
        <w:pStyle w:val="bra-cmetbla"/>
      </w:pPr>
      <w:r w:rsidRPr="00F92037">
        <w:rPr>
          <w:noProof/>
        </w:rPr>
        <w:drawing>
          <wp:inline distT="0" distB="0" distL="0" distR="0" wp14:anchorId="070F62FB" wp14:editId="7454E2DD">
            <wp:extent cx="5167630" cy="1882140"/>
            <wp:effectExtent l="0" t="0" r="0" b="3810"/>
            <wp:docPr id="55"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Pr="0058781B" w:rsidRDefault="00011C3B" w:rsidP="004869BB">
      <w:r w:rsidRPr="0058781B">
        <w:t xml:space="preserve">2012-ben 631 db kifizetési kérelem került jóváhagyásra, 27,8 M euró (8,1 Mrd </w:t>
      </w:r>
      <w:r w:rsidR="00AD6BA6" w:rsidRPr="0058781B">
        <w:t>Ft</w:t>
      </w:r>
      <w:r w:rsidRPr="0058781B">
        <w:t xml:space="preserve">) összegben. </w:t>
      </w:r>
    </w:p>
    <w:p w:rsidR="00AD6BA6" w:rsidRPr="0058781B" w:rsidRDefault="00AD6BA6" w:rsidP="0058781B">
      <w:r w:rsidRPr="0058781B">
        <w:t>A 2012. évi jóváhagyott támogatási összeg negatív összegét a következő tényezők idézték elő: egyrészt a lekötés összege csak minimális volt, másrészt a korábbi években lekötött források tekintetében jelentős összegű forrás-felszabadulás volt tapasztalható a támogatásról történő lemondás, visszavonás, illetve utolsó kifizetési kérelem lezárását követően keletkezett maradványösszegek felszabadítása okán.</w:t>
      </w:r>
    </w:p>
    <w:p w:rsidR="00011C3B" w:rsidRPr="0058781B" w:rsidRDefault="00011C3B" w:rsidP="004869BB">
      <w:r w:rsidRPr="0058781B">
        <w:t xml:space="preserve">Az IKSZT jogcímben 2012-ben forráslekötés gyakorlatilag csak azon ügyek esetében keletkezett, amelyek a fellebbezés vagy keresetlevél elbírálását követően a bíróságról, valamint a Jogorvoslati Főosztályról visszaérkeztek, és annak eredményeképpen új eljárás lefolytatása vált szükségessé. </w:t>
      </w:r>
    </w:p>
    <w:p w:rsidR="00011C3B" w:rsidRPr="0058781B" w:rsidRDefault="00011C3B" w:rsidP="004869BB">
      <w:r w:rsidRPr="0058781B">
        <w:t xml:space="preserve">A 2012. évben számos, az elnyert támogatás egészéről történő lemondást tartalmazó, valamint a beruházás műszaki tartalmának módosítására irányuló kérelem érkezett be, mely érintette a korábbi években lekötött kötelezettségvállalás összegét. A kérelmek ügyintézésének eredményeként részben vagy teljes egészben csökkent a támogatási döntéssel jóváhagyott összeg és az érintett kötelezettségvállalási összegek a 2012. évben szabadultak fel. </w:t>
      </w:r>
    </w:p>
    <w:p w:rsidR="00011C3B" w:rsidRPr="0058781B" w:rsidRDefault="00011C3B" w:rsidP="004869BB">
      <w:r w:rsidRPr="0058781B">
        <w:t>A kifizetések regionális eloszlását tekintve elmondható, hogy a legtöbb kifizetés a jogcímre Borsod-Abaúj-Zemplén és Szabolcs-Szatmár-Bereg megyében, míg a legkevesebb kifizetés Fejér megyében történt.</w:t>
      </w:r>
    </w:p>
    <w:p w:rsidR="00011C3B" w:rsidRPr="00C003F8" w:rsidRDefault="00011C3B" w:rsidP="00715E86">
      <w:pPr>
        <w:pStyle w:val="Cmsor4"/>
      </w:pPr>
      <w:bookmarkStart w:id="333" w:name="_Toc261596954"/>
      <w:r w:rsidRPr="00C003F8">
        <w:t xml:space="preserve">A vidéki gazdaság és </w:t>
      </w:r>
      <w:r w:rsidRPr="0058781B">
        <w:t>lakosság</w:t>
      </w:r>
      <w:r w:rsidRPr="00C003F8">
        <w:t xml:space="preserve"> számára nyújtott alapszolgáltatások körében a kistérségi közlekedési szolgáltatások fejlesztésére igénybe vehető támogatások jogcím megvalósulása</w:t>
      </w:r>
      <w:bookmarkEnd w:id="333"/>
    </w:p>
    <w:p w:rsidR="00011C3B" w:rsidRPr="00C003F8" w:rsidRDefault="00011C3B" w:rsidP="004869BB">
      <w:r w:rsidRPr="00C003F8">
        <w:t>A támogatás alapvető célja, hogy a vidéki területeken megteremtse a feltételeket a közösségek működéséhez, fejlesztéséhez.</w:t>
      </w:r>
      <w:r>
        <w:t xml:space="preserve"> Azokat a falvakat, amelyekben a szolgáltatások nem elérhetők, célszerű tanyabusz szolgáltatáson keresztül segíteni, mivel ezek elérhetővé teszik a közszolgáltatásokat, segítik az alapvető szociális szolgáltatások fejlesztését, bővítik a települési funkciókat, fejlesztik a közösséget, javítják az életminőséget és erősítik az ifjúság kötődését a vidékhez.</w:t>
      </w:r>
    </w:p>
    <w:p w:rsidR="00011C3B" w:rsidRPr="00CB0E92" w:rsidRDefault="00011C3B" w:rsidP="00011C3B">
      <w:r>
        <w:t>A j</w:t>
      </w:r>
      <w:r w:rsidRPr="00CB0E92">
        <w:t xml:space="preserve">ogcímrendelet keretében kizárólag gépbeszerzésre irányuló beruházás támogatható, </w:t>
      </w:r>
      <w:r w:rsidR="00170CB9">
        <w:t xml:space="preserve">a </w:t>
      </w:r>
      <w:r w:rsidRPr="00CB0E92">
        <w:t xml:space="preserve">megvalósítási idő két év, </w:t>
      </w:r>
      <w:r>
        <w:t>a</w:t>
      </w:r>
      <w:r w:rsidRPr="00CB0E92">
        <w:t>mely közbeszerzés esetén további fél évvel meghosszabbodik.</w:t>
      </w:r>
      <w:r>
        <w:t xml:space="preserve"> </w:t>
      </w:r>
    </w:p>
    <w:p w:rsidR="004A2637" w:rsidRDefault="004A2637" w:rsidP="00011C3B">
      <w:r w:rsidRPr="00C003F8">
        <w:t>A 9/2008. (I.24.) FVM alaprendelet 201</w:t>
      </w:r>
      <w:r>
        <w:t>2</w:t>
      </w:r>
      <w:r w:rsidRPr="00C003F8">
        <w:t xml:space="preserve">-ben </w:t>
      </w:r>
      <w:r>
        <w:t>egyszer</w:t>
      </w:r>
      <w:r w:rsidRPr="00C003F8">
        <w:t xml:space="preserve"> módosult</w:t>
      </w:r>
      <w:r>
        <w:t>, a támogatási kérelem benyújtási időszakra vonatkozó rendelkezést az Irányító Hatóság hatályon kívül helyezte.</w:t>
      </w:r>
    </w:p>
    <w:p w:rsidR="00011C3B" w:rsidRDefault="00011C3B" w:rsidP="004869BB">
      <w:r w:rsidRPr="003701EC">
        <w:t xml:space="preserve">2012. évben </w:t>
      </w:r>
      <w:r>
        <w:t>a jogcím megnyitására nem került sor</w:t>
      </w:r>
      <w:r w:rsidR="004A2637">
        <w:t xml:space="preserve"> és kifizetésekre sem</w:t>
      </w:r>
      <w:r>
        <w:t>.</w:t>
      </w:r>
    </w:p>
    <w:p w:rsidR="00011C3B" w:rsidRPr="00F92037" w:rsidRDefault="007E5FDF" w:rsidP="00F92037">
      <w:pPr>
        <w:pStyle w:val="bra-cmetbla"/>
      </w:pPr>
      <w:fldSimple w:instr=" SEQ táblázat \* ARABIC ">
        <w:r w:rsidR="00E5031F">
          <w:rPr>
            <w:noProof/>
          </w:rPr>
          <w:t>87</w:t>
        </w:r>
      </w:fldSimple>
      <w:r w:rsidR="00673DDE">
        <w:t xml:space="preserve">. táblázat: </w:t>
      </w:r>
      <w:r w:rsidR="00011C3B" w:rsidRPr="00F92037">
        <w:t>A vidéki gazdaság és lakosság számára nyújtott alapszolgáltatások körében a kistérségi közlekedési szolgáltatások fejlesztése támogatási jogcím 2012. évi eredményei</w:t>
      </w:r>
    </w:p>
    <w:p w:rsidR="00011C3B" w:rsidRPr="00F92037" w:rsidRDefault="00B452BF" w:rsidP="00F92037">
      <w:pPr>
        <w:pStyle w:val="bra-cmetbla"/>
      </w:pPr>
      <w:r w:rsidRPr="00F92037">
        <w:rPr>
          <w:noProof/>
        </w:rPr>
        <w:drawing>
          <wp:inline distT="0" distB="0" distL="0" distR="0" wp14:anchorId="77903483" wp14:editId="723B8BEF">
            <wp:extent cx="5167630" cy="1882140"/>
            <wp:effectExtent l="0" t="0" r="0" b="3810"/>
            <wp:docPr id="56"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4A2637" w:rsidRDefault="00011C3B" w:rsidP="009C0043">
      <w:r>
        <w:t xml:space="preserve">2012-ben </w:t>
      </w:r>
      <w:r w:rsidRPr="008E3B7A">
        <w:t>kifizetési kérelem</w:t>
      </w:r>
      <w:r>
        <w:t xml:space="preserve"> nem került jóváhagyásra, kizárólag forrás-felszabadítás történt, ezért negatív a kötelezettségvállalás összege. </w:t>
      </w:r>
    </w:p>
    <w:p w:rsidR="004A2637" w:rsidRDefault="004A2637" w:rsidP="004A2637">
      <w:pPr>
        <w:suppressAutoHyphens w:val="0"/>
      </w:pPr>
      <w:r>
        <w:t xml:space="preserve">A 2012. évi jóváhagyott támogatási és kifizetési összeg </w:t>
      </w:r>
      <w:r w:rsidRPr="008C309B">
        <w:t>negatív összeg</w:t>
      </w:r>
      <w:r>
        <w:t>ét</w:t>
      </w:r>
      <w:r w:rsidRPr="008C309B">
        <w:t xml:space="preserve"> a következő</w:t>
      </w:r>
      <w:r>
        <w:t xml:space="preserve"> tényező</w:t>
      </w:r>
      <w:r w:rsidRPr="008C309B">
        <w:t>k</w:t>
      </w:r>
      <w:r>
        <w:t xml:space="preserve"> idézték elő:</w:t>
      </w:r>
      <w:r w:rsidRPr="008C309B">
        <w:t xml:space="preserve"> </w:t>
      </w:r>
      <w:r>
        <w:t>egyrészt a lekötés összege csak minimális volt, másrészt a korábbi években lekötött források tekintetében jelentős összegű forrás-felszabadulás volt tapasztalható a támogatásról történő lemondás, visszavonás, illetve utolsó kifizetési kérelem lezárását követően keletkezett maradványösszegek felszabadítása, visszakövetelése okán.</w:t>
      </w:r>
    </w:p>
    <w:p w:rsidR="00011C3B" w:rsidRPr="00896E03" w:rsidRDefault="00011C3B" w:rsidP="00DB48A3">
      <w:pPr>
        <w:pStyle w:val="Cmsor3"/>
      </w:pPr>
      <w:bookmarkStart w:id="334" w:name="_Toc297560980"/>
      <w:bookmarkStart w:id="335" w:name="_Toc328638728"/>
      <w:bookmarkStart w:id="336" w:name="_Toc360176820"/>
      <w:r w:rsidRPr="00896E03">
        <w:t>A falumegújítás és -fejlesztés (322) intézkedés rövid bemutatása</w:t>
      </w:r>
      <w:bookmarkEnd w:id="334"/>
      <w:bookmarkEnd w:id="335"/>
      <w:bookmarkEnd w:id="336"/>
    </w:p>
    <w:p w:rsidR="00011C3B" w:rsidRPr="00C003F8" w:rsidRDefault="00011C3B" w:rsidP="004869BB">
      <w:r w:rsidRPr="00C003F8">
        <w:t>Az intézkedés a falu kö</w:t>
      </w:r>
      <w:r w:rsidRPr="007B58A8">
        <w:t>rnyezeté</w:t>
      </w:r>
      <w:r w:rsidRPr="00C003F8">
        <w:t xml:space="preserve">t és megjelenését javító kisléptékű infrastrukturális fejlesztések megvalósítását (parkok, sétányok kialakítása), a védelem alatt nem álló, közösségi és gazdasági célokat szolgáló, illetve a település megjelenésében jelentős szereppel bíró épületek külső felújítását, új piacterek megnyitását és a meglévők fejlesztését, valamint játszótér kialakítását támogatja. </w:t>
      </w:r>
    </w:p>
    <w:p w:rsidR="00011C3B" w:rsidRDefault="00E83A65" w:rsidP="004869BB">
      <w:r w:rsidRPr="00C003F8">
        <w:t xml:space="preserve">A támogatás négy célterülten </w:t>
      </w:r>
      <w:r>
        <w:t xml:space="preserve">volt 2012-ig igénybe </w:t>
      </w:r>
      <w:r w:rsidRPr="00C003F8">
        <w:t>vehető</w:t>
      </w:r>
      <w:r>
        <w:t>, de 2012-ben a célterületek köre eggyel bővült (sportpályák és kapcsolódó létesítményeik), továbbá a LEADER HACS-ok igényeinek megfelelően a Monitoring Bizottság támogatásával programmódosítást követően az első célterület keretében a belső felújítás is támogathatóvá vált a külső felújítás mellett.</w:t>
      </w:r>
    </w:p>
    <w:p w:rsidR="00E83A65" w:rsidRPr="00E83A65" w:rsidRDefault="00E83A65" w:rsidP="004869BB">
      <w:pPr>
        <w:rPr>
          <w:szCs w:val="22"/>
        </w:rPr>
      </w:pPr>
      <w:r w:rsidRPr="00E83A65">
        <w:rPr>
          <w:szCs w:val="22"/>
        </w:rPr>
        <w:t>A célterületek:</w:t>
      </w:r>
    </w:p>
    <w:p w:rsidR="00011C3B" w:rsidRPr="00E83A65" w:rsidRDefault="00011C3B" w:rsidP="00E83A65">
      <w:pPr>
        <w:pStyle w:val="Normltblabal3pckkel"/>
        <w:numPr>
          <w:ilvl w:val="0"/>
          <w:numId w:val="93"/>
        </w:numPr>
        <w:rPr>
          <w:sz w:val="22"/>
          <w:szCs w:val="22"/>
        </w:rPr>
      </w:pPr>
      <w:r w:rsidRPr="00E83A65">
        <w:rPr>
          <w:sz w:val="22"/>
          <w:szCs w:val="22"/>
        </w:rPr>
        <w:t>helyi vagy országos védelem alatt nem álló, a település megjelenésébe</w:t>
      </w:r>
      <w:r w:rsidR="00E83A65" w:rsidRPr="00E83A65">
        <w:rPr>
          <w:sz w:val="22"/>
          <w:szCs w:val="22"/>
        </w:rPr>
        <w:t xml:space="preserve">n szereppel bíró épületek külső-belső </w:t>
      </w:r>
      <w:r w:rsidRPr="00E83A65">
        <w:rPr>
          <w:sz w:val="22"/>
          <w:szCs w:val="22"/>
        </w:rPr>
        <w:t xml:space="preserve">felújítása; </w:t>
      </w:r>
    </w:p>
    <w:p w:rsidR="00011C3B" w:rsidRPr="00E83A65" w:rsidRDefault="00011C3B" w:rsidP="00E83A65">
      <w:pPr>
        <w:pStyle w:val="Normltblabal3pckkel"/>
        <w:numPr>
          <w:ilvl w:val="0"/>
          <w:numId w:val="93"/>
        </w:numPr>
        <w:rPr>
          <w:sz w:val="22"/>
          <w:szCs w:val="22"/>
        </w:rPr>
      </w:pPr>
      <w:r w:rsidRPr="00E83A65">
        <w:rPr>
          <w:sz w:val="22"/>
          <w:szCs w:val="22"/>
        </w:rPr>
        <w:t>a település környezetét és megjelenését javító kisléptékű infrastruktúra-fejlesztések támogatása;</w:t>
      </w:r>
    </w:p>
    <w:p w:rsidR="00011C3B" w:rsidRPr="00E83A65" w:rsidRDefault="00011C3B" w:rsidP="00E83A65">
      <w:pPr>
        <w:pStyle w:val="Normltblabal3pckkel"/>
        <w:numPr>
          <w:ilvl w:val="0"/>
          <w:numId w:val="93"/>
        </w:numPr>
        <w:rPr>
          <w:sz w:val="22"/>
          <w:szCs w:val="22"/>
        </w:rPr>
      </w:pPr>
      <w:r w:rsidRPr="00E83A65">
        <w:rPr>
          <w:sz w:val="22"/>
          <w:szCs w:val="22"/>
        </w:rPr>
        <w:t xml:space="preserve">új piacok létrehozása a helyben megtermelt mezőgazdasági termékek értékesítési feltételeinek javítása céljából, valamint a meglévők fejlesztése, bővítése, az előírásoknak történő megfeleltetése; </w:t>
      </w:r>
    </w:p>
    <w:p w:rsidR="00011C3B" w:rsidRPr="00E83A65" w:rsidRDefault="00011C3B" w:rsidP="00E83A65">
      <w:pPr>
        <w:pStyle w:val="Normltblabal3pckkel"/>
        <w:numPr>
          <w:ilvl w:val="0"/>
          <w:numId w:val="93"/>
        </w:numPr>
        <w:rPr>
          <w:sz w:val="22"/>
          <w:szCs w:val="22"/>
        </w:rPr>
      </w:pPr>
      <w:r w:rsidRPr="00E83A65">
        <w:rPr>
          <w:sz w:val="22"/>
          <w:szCs w:val="22"/>
        </w:rPr>
        <w:t>kültéri, közcélú feladatokat ellátó játszóterek kialakítása, val</w:t>
      </w:r>
      <w:r w:rsidR="00E83A65" w:rsidRPr="00E83A65">
        <w:rPr>
          <w:sz w:val="22"/>
          <w:szCs w:val="22"/>
        </w:rPr>
        <w:t>amint a meglévők korszerűsítése;</w:t>
      </w:r>
    </w:p>
    <w:p w:rsidR="00E83A65" w:rsidRPr="00E83A65" w:rsidRDefault="00E83A65" w:rsidP="00E83A65">
      <w:pPr>
        <w:pStyle w:val="Normllista2"/>
        <w:numPr>
          <w:ilvl w:val="0"/>
          <w:numId w:val="93"/>
        </w:numPr>
        <w:rPr>
          <w:szCs w:val="22"/>
        </w:rPr>
      </w:pPr>
      <w:r w:rsidRPr="00E83A65">
        <w:rPr>
          <w:szCs w:val="22"/>
        </w:rPr>
        <w:t>kültéri, közcélú feladatokat ellátó, nem fedett sport és atlétikai pálya, kerékpáros pálya, gördeszka pálya kialakítására, fejlesztésére, a hozzá kapcsolódó szociális és kiszolgáló helyiségek kialakítására, felújítására</w:t>
      </w:r>
    </w:p>
    <w:p w:rsidR="00011C3B" w:rsidRPr="00C003F8" w:rsidRDefault="00011C3B" w:rsidP="004869BB">
      <w:r w:rsidRPr="00E83A65">
        <w:rPr>
          <w:szCs w:val="22"/>
        </w:rPr>
        <w:t xml:space="preserve">Az intézkedéshez kapcsolódóan a </w:t>
      </w:r>
      <w:r w:rsidRPr="00E83A65">
        <w:rPr>
          <w:i/>
          <w:szCs w:val="22"/>
        </w:rPr>
        <w:t>Falumegújításra és –fejlesztésre igénybe vehető támogatások</w:t>
      </w:r>
      <w:r w:rsidRPr="00E83A65">
        <w:rPr>
          <w:szCs w:val="22"/>
        </w:rPr>
        <w:t xml:space="preserve"> </w:t>
      </w:r>
      <w:r w:rsidR="00C96387" w:rsidRPr="00E83A65">
        <w:rPr>
          <w:szCs w:val="22"/>
        </w:rPr>
        <w:t xml:space="preserve">c. </w:t>
      </w:r>
      <w:r w:rsidRPr="00E83A65">
        <w:rPr>
          <w:szCs w:val="22"/>
        </w:rPr>
        <w:t>jogcímrendelet került meghirdetésre, mely lefedi</w:t>
      </w:r>
      <w:r w:rsidRPr="00C003F8">
        <w:t xml:space="preserve"> az intézkedés egészét.</w:t>
      </w:r>
    </w:p>
    <w:p w:rsidR="00011C3B" w:rsidRPr="00F92037" w:rsidRDefault="007E5FDF" w:rsidP="00F92037">
      <w:pPr>
        <w:pStyle w:val="bra-cmetbla"/>
      </w:pPr>
      <w:fldSimple w:instr=" SEQ táblázat \* ARABIC ">
        <w:r w:rsidR="00E5031F">
          <w:rPr>
            <w:noProof/>
          </w:rPr>
          <w:t>88</w:t>
        </w:r>
      </w:fldSimple>
      <w:r w:rsidR="00673DDE">
        <w:t xml:space="preserve">. táblázat: </w:t>
      </w:r>
      <w:r w:rsidR="00011C3B" w:rsidRPr="00F92037">
        <w:t>A falumegújítás és –fejlesztés intézkedés (322) indikátorainak megvalósulása</w:t>
      </w:r>
    </w:p>
    <w:tbl>
      <w:tblPr>
        <w:tblW w:w="9326" w:type="dxa"/>
        <w:jc w:val="center"/>
        <w:tblLayout w:type="fixed"/>
        <w:tblCellMar>
          <w:left w:w="0" w:type="dxa"/>
          <w:right w:w="0" w:type="dxa"/>
        </w:tblCellMar>
        <w:tblLook w:val="0000" w:firstRow="0" w:lastRow="0" w:firstColumn="0" w:lastColumn="0" w:noHBand="0" w:noVBand="0"/>
      </w:tblPr>
      <w:tblGrid>
        <w:gridCol w:w="448"/>
        <w:gridCol w:w="5840"/>
        <w:gridCol w:w="1524"/>
        <w:gridCol w:w="1514"/>
      </w:tblGrid>
      <w:tr w:rsidR="00011C3B" w:rsidRPr="008B76DD" w:rsidTr="00011C3B">
        <w:trPr>
          <w:trHeight w:val="418"/>
          <w:jc w:val="center"/>
        </w:trPr>
        <w:tc>
          <w:tcPr>
            <w:tcW w:w="448" w:type="dxa"/>
            <w:tcBorders>
              <w:top w:val="single" w:sz="4" w:space="0" w:color="000000"/>
              <w:left w:val="single" w:sz="4" w:space="0" w:color="000000"/>
              <w:bottom w:val="single" w:sz="4" w:space="0" w:color="000000"/>
            </w:tcBorders>
            <w:shd w:val="clear" w:color="auto" w:fill="B3B3B3"/>
          </w:tcPr>
          <w:p w:rsidR="00011C3B" w:rsidRPr="008B76DD" w:rsidRDefault="00011C3B" w:rsidP="00011C3B">
            <w:pPr>
              <w:pStyle w:val="Norml1"/>
              <w:keepNext/>
              <w:spacing w:after="0"/>
              <w:ind w:left="-72"/>
              <w:jc w:val="center"/>
              <w:rPr>
                <w:b/>
                <w:bCs/>
                <w:sz w:val="20"/>
                <w:szCs w:val="20"/>
                <w:lang w:val="hu-HU" w:bidi="sa-IN"/>
              </w:rPr>
            </w:pPr>
            <w:bookmarkStart w:id="337" w:name="_Toc261596956"/>
          </w:p>
        </w:tc>
        <w:tc>
          <w:tcPr>
            <w:tcW w:w="5840" w:type="dxa"/>
            <w:tcBorders>
              <w:top w:val="single" w:sz="4" w:space="0" w:color="000000"/>
              <w:left w:val="single" w:sz="4" w:space="0" w:color="000000"/>
              <w:bottom w:val="single" w:sz="4" w:space="0" w:color="000000"/>
            </w:tcBorders>
            <w:shd w:val="clear" w:color="auto" w:fill="B3B3B3"/>
            <w:vAlign w:val="center"/>
          </w:tcPr>
          <w:p w:rsidR="00011C3B" w:rsidRPr="008B76DD" w:rsidRDefault="00011C3B" w:rsidP="00011C3B">
            <w:pPr>
              <w:pStyle w:val="Norml1"/>
              <w:keepNext/>
              <w:spacing w:after="0"/>
              <w:ind w:left="-72"/>
              <w:jc w:val="center"/>
              <w:rPr>
                <w:sz w:val="20"/>
                <w:szCs w:val="20"/>
                <w:lang w:bidi="sa-IN"/>
              </w:rPr>
            </w:pPr>
            <w:r w:rsidRPr="008B76DD">
              <w:rPr>
                <w:b/>
                <w:bCs/>
                <w:sz w:val="20"/>
                <w:szCs w:val="20"/>
                <w:lang w:val="hu-HU" w:bidi="sa-IN"/>
              </w:rPr>
              <w:t>Indikátor leírása</w:t>
            </w:r>
          </w:p>
        </w:tc>
        <w:tc>
          <w:tcPr>
            <w:tcW w:w="1524"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011C3B" w:rsidRPr="008B76DD" w:rsidRDefault="00011C3B" w:rsidP="00011C3B">
            <w:pPr>
              <w:pStyle w:val="Norml1"/>
              <w:keepNext/>
              <w:spacing w:after="0"/>
              <w:ind w:left="-72"/>
              <w:jc w:val="center"/>
              <w:rPr>
                <w:sz w:val="20"/>
                <w:szCs w:val="20"/>
                <w:lang w:bidi="sa-IN"/>
              </w:rPr>
            </w:pPr>
            <w:r w:rsidRPr="008B76DD">
              <w:rPr>
                <w:b/>
                <w:sz w:val="20"/>
                <w:szCs w:val="20"/>
              </w:rPr>
              <w:t>Program szerinti tervadat</w:t>
            </w:r>
          </w:p>
        </w:tc>
        <w:tc>
          <w:tcPr>
            <w:tcW w:w="1514" w:type="dxa"/>
            <w:tcBorders>
              <w:top w:val="single" w:sz="4" w:space="0" w:color="000000"/>
              <w:left w:val="single" w:sz="4" w:space="0" w:color="000000"/>
              <w:bottom w:val="single" w:sz="4" w:space="0" w:color="000000"/>
              <w:right w:val="single" w:sz="4" w:space="0" w:color="000000"/>
            </w:tcBorders>
            <w:shd w:val="clear" w:color="auto" w:fill="B3B3B3"/>
          </w:tcPr>
          <w:p w:rsidR="00011C3B" w:rsidRPr="008B76DD" w:rsidRDefault="00011C3B" w:rsidP="00011C3B">
            <w:pPr>
              <w:pStyle w:val="Norml1"/>
              <w:keepNext/>
              <w:spacing w:after="0"/>
              <w:ind w:left="-72"/>
              <w:jc w:val="center"/>
              <w:rPr>
                <w:b/>
                <w:bCs/>
                <w:sz w:val="20"/>
                <w:szCs w:val="20"/>
                <w:lang w:val="hu-HU" w:bidi="sa-IN"/>
              </w:rPr>
            </w:pPr>
            <w:r w:rsidRPr="008B76DD">
              <w:rPr>
                <w:b/>
                <w:sz w:val="20"/>
                <w:szCs w:val="20"/>
              </w:rPr>
              <w:t>Indikátorok kumulált értéke</w:t>
            </w:r>
          </w:p>
        </w:tc>
      </w:tr>
      <w:tr w:rsidR="00011C3B" w:rsidRPr="008B76DD" w:rsidTr="00011C3B">
        <w:trPr>
          <w:cantSplit/>
          <w:jc w:val="center"/>
        </w:trPr>
        <w:tc>
          <w:tcPr>
            <w:tcW w:w="448" w:type="dxa"/>
            <w:vMerge w:val="restart"/>
            <w:tcBorders>
              <w:left w:val="single" w:sz="4" w:space="0" w:color="000000"/>
            </w:tcBorders>
          </w:tcPr>
          <w:p w:rsidR="00011C3B" w:rsidRPr="008B76DD" w:rsidRDefault="00011C3B" w:rsidP="005B70A7">
            <w:pPr>
              <w:pStyle w:val="Norml1"/>
              <w:rPr>
                <w:b/>
                <w:bCs/>
                <w:sz w:val="20"/>
                <w:szCs w:val="20"/>
                <w:lang w:val="hu-HU" w:bidi="sa-IN"/>
              </w:rPr>
            </w:pPr>
            <w:r w:rsidRPr="008B76DD">
              <w:rPr>
                <w:b/>
                <w:bCs/>
                <w:sz w:val="20"/>
                <w:szCs w:val="20"/>
                <w:lang w:val="hu-HU" w:bidi="sa-IN"/>
              </w:rPr>
              <w:t>O</w:t>
            </w:r>
          </w:p>
        </w:tc>
        <w:tc>
          <w:tcPr>
            <w:tcW w:w="5840" w:type="dxa"/>
            <w:tcBorders>
              <w:left w:val="single" w:sz="4" w:space="0" w:color="000000"/>
              <w:bottom w:val="single" w:sz="4" w:space="0" w:color="000000"/>
            </w:tcBorders>
          </w:tcPr>
          <w:p w:rsidR="00011C3B" w:rsidRPr="008B76DD" w:rsidRDefault="00011C3B" w:rsidP="005B70A7">
            <w:pPr>
              <w:pStyle w:val="Norml1"/>
              <w:rPr>
                <w:b/>
                <w:bCs/>
                <w:sz w:val="20"/>
                <w:szCs w:val="20"/>
                <w:lang w:val="hu-HU" w:bidi="sa-IN"/>
              </w:rPr>
            </w:pPr>
            <w:r w:rsidRPr="008B76DD">
              <w:rPr>
                <w:b/>
                <w:bCs/>
                <w:sz w:val="20"/>
                <w:szCs w:val="20"/>
                <w:lang w:val="hu-HU" w:bidi="sa-IN"/>
              </w:rPr>
              <w:t>Támogatott falvak száma, ahol a tevékenységet végezték</w:t>
            </w:r>
          </w:p>
          <w:p w:rsidR="00011C3B" w:rsidRPr="00437753" w:rsidRDefault="00011C3B" w:rsidP="005B70A7">
            <w:pPr>
              <w:pStyle w:val="Tbla-bal"/>
              <w:rPr>
                <w:lang w:bidi="sa-IN"/>
              </w:rPr>
            </w:pPr>
            <w:r w:rsidRPr="008B76DD">
              <w:rPr>
                <w:lang w:bidi="sa-IN"/>
              </w:rPr>
              <w:t>A tevékenységek felosztása az élénkítés jellege szerint:</w:t>
            </w:r>
          </w:p>
          <w:p w:rsidR="00011C3B" w:rsidRPr="008B76DD" w:rsidRDefault="00011C3B" w:rsidP="005B70A7">
            <w:pPr>
              <w:pStyle w:val="Tbla-bal"/>
            </w:pPr>
            <w:r w:rsidRPr="008B76DD">
              <w:t xml:space="preserve">fizikai </w:t>
            </w:r>
          </w:p>
          <w:p w:rsidR="00011C3B" w:rsidRPr="008B76DD" w:rsidRDefault="00011C3B" w:rsidP="005B70A7">
            <w:pPr>
              <w:pStyle w:val="Tbla-bal"/>
            </w:pPr>
            <w:r w:rsidRPr="008B76DD">
              <w:t xml:space="preserve">társadalmi </w:t>
            </w:r>
          </w:p>
          <w:p w:rsidR="00011C3B" w:rsidRPr="008B76DD" w:rsidRDefault="00011C3B" w:rsidP="005B70A7">
            <w:pPr>
              <w:pStyle w:val="Tbla-bal"/>
              <w:rPr>
                <w:lang w:bidi="sa-IN"/>
              </w:rPr>
            </w:pPr>
            <w:r w:rsidRPr="008B76DD">
              <w:t>gazdasági</w:t>
            </w:r>
          </w:p>
        </w:tc>
        <w:tc>
          <w:tcPr>
            <w:tcW w:w="1524" w:type="dxa"/>
            <w:tcBorders>
              <w:left w:val="single" w:sz="4" w:space="0" w:color="000000"/>
              <w:bottom w:val="single" w:sz="4" w:space="0" w:color="000000"/>
              <w:right w:val="single" w:sz="4" w:space="0" w:color="000000"/>
            </w:tcBorders>
          </w:tcPr>
          <w:p w:rsidR="00011C3B" w:rsidRPr="005B70A7" w:rsidRDefault="00011C3B" w:rsidP="005B70A7">
            <w:pPr>
              <w:pStyle w:val="Tbla-jobb"/>
            </w:pPr>
            <w:r w:rsidRPr="005B70A7">
              <w:t>600</w:t>
            </w:r>
          </w:p>
          <w:p w:rsidR="00011C3B" w:rsidRPr="005B70A7" w:rsidRDefault="00011C3B" w:rsidP="005B70A7">
            <w:pPr>
              <w:pStyle w:val="Tbla-jobb"/>
            </w:pPr>
          </w:p>
          <w:p w:rsidR="00011C3B" w:rsidRPr="005B70A7" w:rsidRDefault="00011C3B" w:rsidP="005B70A7">
            <w:pPr>
              <w:pStyle w:val="Tbla-jobb"/>
            </w:pPr>
            <w:r w:rsidRPr="005B70A7">
              <w:t>360</w:t>
            </w:r>
          </w:p>
          <w:p w:rsidR="00011C3B" w:rsidRPr="005B70A7" w:rsidRDefault="00011C3B" w:rsidP="005B70A7">
            <w:pPr>
              <w:pStyle w:val="Tbla-jobb"/>
            </w:pPr>
            <w:r w:rsidRPr="005B70A7">
              <w:t>60</w:t>
            </w:r>
          </w:p>
          <w:p w:rsidR="00011C3B" w:rsidRPr="005B70A7" w:rsidRDefault="00011C3B" w:rsidP="005B70A7">
            <w:pPr>
              <w:pStyle w:val="Tbla-jobb"/>
            </w:pPr>
            <w:r w:rsidRPr="005B70A7">
              <w:t>180</w:t>
            </w:r>
          </w:p>
        </w:tc>
        <w:tc>
          <w:tcPr>
            <w:tcW w:w="1514" w:type="dxa"/>
            <w:tcBorders>
              <w:left w:val="single" w:sz="4" w:space="0" w:color="000000"/>
              <w:bottom w:val="single" w:sz="4" w:space="0" w:color="000000"/>
              <w:right w:val="single" w:sz="4" w:space="0" w:color="000000"/>
            </w:tcBorders>
          </w:tcPr>
          <w:p w:rsidR="00011C3B" w:rsidRPr="005B70A7" w:rsidRDefault="00011C3B" w:rsidP="005B70A7">
            <w:pPr>
              <w:pStyle w:val="Tbla-jobb"/>
            </w:pPr>
            <w:r w:rsidRPr="005B70A7">
              <w:t>1</w:t>
            </w:r>
            <w:r w:rsidR="00C96387" w:rsidRPr="005B70A7">
              <w:t xml:space="preserve"> </w:t>
            </w:r>
            <w:r w:rsidRPr="005B70A7">
              <w:t>738</w:t>
            </w:r>
          </w:p>
          <w:p w:rsidR="00011C3B" w:rsidRPr="005B70A7" w:rsidRDefault="00011C3B" w:rsidP="005B70A7">
            <w:pPr>
              <w:pStyle w:val="Tbla-jobb"/>
            </w:pPr>
          </w:p>
          <w:p w:rsidR="00011C3B" w:rsidRPr="005B70A7" w:rsidRDefault="00011C3B" w:rsidP="005B70A7">
            <w:pPr>
              <w:pStyle w:val="Tbla-jobb"/>
            </w:pPr>
            <w:r w:rsidRPr="005B70A7">
              <w:t>633</w:t>
            </w:r>
          </w:p>
          <w:p w:rsidR="00011C3B" w:rsidRPr="005B70A7" w:rsidRDefault="00011C3B" w:rsidP="005B70A7">
            <w:pPr>
              <w:pStyle w:val="Tbla-jobb"/>
            </w:pPr>
            <w:r w:rsidRPr="005B70A7">
              <w:t>779</w:t>
            </w:r>
          </w:p>
          <w:p w:rsidR="00011C3B" w:rsidRPr="005B70A7" w:rsidRDefault="00011C3B" w:rsidP="005B70A7">
            <w:pPr>
              <w:pStyle w:val="Tbla-jobb"/>
            </w:pPr>
            <w:r w:rsidRPr="005B70A7">
              <w:t>326</w:t>
            </w:r>
          </w:p>
        </w:tc>
      </w:tr>
      <w:tr w:rsidR="00011C3B" w:rsidRPr="008B76DD" w:rsidTr="00011C3B">
        <w:trPr>
          <w:cantSplit/>
          <w:jc w:val="center"/>
        </w:trPr>
        <w:tc>
          <w:tcPr>
            <w:tcW w:w="448" w:type="dxa"/>
            <w:vMerge/>
            <w:tcBorders>
              <w:left w:val="single" w:sz="4" w:space="0" w:color="000000"/>
              <w:bottom w:val="single" w:sz="4" w:space="0" w:color="000000"/>
            </w:tcBorders>
          </w:tcPr>
          <w:p w:rsidR="00011C3B" w:rsidRPr="008B76DD" w:rsidRDefault="00011C3B" w:rsidP="005B70A7">
            <w:pPr>
              <w:pStyle w:val="Norml1"/>
              <w:rPr>
                <w:b/>
                <w:bCs/>
                <w:sz w:val="20"/>
                <w:szCs w:val="20"/>
                <w:lang w:val="hu-HU" w:bidi="sa-IN"/>
              </w:rPr>
            </w:pPr>
          </w:p>
        </w:tc>
        <w:tc>
          <w:tcPr>
            <w:tcW w:w="5840" w:type="dxa"/>
            <w:tcBorders>
              <w:left w:val="single" w:sz="4" w:space="0" w:color="000000"/>
              <w:bottom w:val="single" w:sz="4" w:space="0" w:color="000000"/>
            </w:tcBorders>
          </w:tcPr>
          <w:p w:rsidR="00011C3B" w:rsidRPr="008B76DD" w:rsidRDefault="00011C3B" w:rsidP="005B70A7">
            <w:pPr>
              <w:pStyle w:val="Norml1"/>
              <w:rPr>
                <w:b/>
                <w:bCs/>
                <w:sz w:val="20"/>
                <w:szCs w:val="20"/>
                <w:lang w:val="pl-PL" w:bidi="sa-IN"/>
              </w:rPr>
            </w:pPr>
            <w:r w:rsidRPr="008B76DD">
              <w:rPr>
                <w:b/>
                <w:bCs/>
                <w:sz w:val="20"/>
                <w:szCs w:val="20"/>
                <w:lang w:val="hu-HU" w:bidi="sa-IN"/>
              </w:rPr>
              <w:t>A beruházások teljes összege (euró)</w:t>
            </w:r>
          </w:p>
          <w:p w:rsidR="00011C3B" w:rsidRPr="008B76DD" w:rsidRDefault="00011C3B" w:rsidP="005B70A7">
            <w:pPr>
              <w:pStyle w:val="Tbla-bal"/>
              <w:rPr>
                <w:lang w:val="pl-PL" w:bidi="sa-IN"/>
              </w:rPr>
            </w:pPr>
            <w:r w:rsidRPr="008B76DD">
              <w:rPr>
                <w:lang w:bidi="sa-IN"/>
              </w:rPr>
              <w:t>A tevékenységek felosztása az élénkítés jellege szerint:</w:t>
            </w:r>
          </w:p>
          <w:p w:rsidR="00011C3B" w:rsidRPr="008B76DD" w:rsidRDefault="00011C3B" w:rsidP="005B70A7">
            <w:pPr>
              <w:pStyle w:val="Tbla-bal"/>
            </w:pPr>
            <w:r w:rsidRPr="008B76DD">
              <w:t xml:space="preserve">fizikai </w:t>
            </w:r>
          </w:p>
          <w:p w:rsidR="00011C3B" w:rsidRPr="008B76DD" w:rsidRDefault="00011C3B" w:rsidP="005B70A7">
            <w:pPr>
              <w:pStyle w:val="Tbla-bal"/>
            </w:pPr>
            <w:r w:rsidRPr="008B76DD">
              <w:t xml:space="preserve">társadalmi </w:t>
            </w:r>
          </w:p>
          <w:p w:rsidR="00011C3B" w:rsidRPr="008B76DD" w:rsidRDefault="00011C3B" w:rsidP="005B70A7">
            <w:pPr>
              <w:pStyle w:val="Tbla-bal"/>
              <w:rPr>
                <w:lang w:bidi="sa-IN"/>
              </w:rPr>
            </w:pPr>
            <w:r w:rsidRPr="008B76DD">
              <w:t>gazdasági</w:t>
            </w:r>
          </w:p>
        </w:tc>
        <w:tc>
          <w:tcPr>
            <w:tcW w:w="1524" w:type="dxa"/>
            <w:tcBorders>
              <w:left w:val="single" w:sz="4" w:space="0" w:color="000000"/>
              <w:bottom w:val="single" w:sz="4" w:space="0" w:color="000000"/>
              <w:right w:val="single" w:sz="4" w:space="0" w:color="000000"/>
            </w:tcBorders>
          </w:tcPr>
          <w:p w:rsidR="00011C3B" w:rsidRPr="005B70A7" w:rsidRDefault="00011C3B" w:rsidP="005B70A7">
            <w:pPr>
              <w:pStyle w:val="Tbla-jobb"/>
            </w:pPr>
            <w:r w:rsidRPr="005B70A7">
              <w:t>140 millió</w:t>
            </w:r>
          </w:p>
          <w:p w:rsidR="00011C3B" w:rsidRPr="005B70A7" w:rsidRDefault="00011C3B" w:rsidP="005B70A7">
            <w:pPr>
              <w:pStyle w:val="Tbla-jobb"/>
            </w:pPr>
          </w:p>
          <w:p w:rsidR="00011C3B" w:rsidRPr="005B70A7" w:rsidRDefault="00011C3B" w:rsidP="005B70A7">
            <w:pPr>
              <w:pStyle w:val="Tbla-jobb"/>
            </w:pPr>
            <w:r w:rsidRPr="005B70A7">
              <w:t>83,5 millió</w:t>
            </w:r>
          </w:p>
          <w:p w:rsidR="00011C3B" w:rsidRPr="005B70A7" w:rsidRDefault="00011C3B" w:rsidP="005B70A7">
            <w:pPr>
              <w:pStyle w:val="Tbla-jobb"/>
            </w:pPr>
            <w:r w:rsidRPr="005B70A7">
              <w:t>14,5 millió</w:t>
            </w:r>
          </w:p>
          <w:p w:rsidR="00011C3B" w:rsidRPr="005B70A7" w:rsidRDefault="00011C3B" w:rsidP="005B70A7">
            <w:pPr>
              <w:pStyle w:val="Tbla-jobb"/>
            </w:pPr>
            <w:r w:rsidRPr="005B70A7">
              <w:t>42 millió</w:t>
            </w:r>
          </w:p>
        </w:tc>
        <w:tc>
          <w:tcPr>
            <w:tcW w:w="1514" w:type="dxa"/>
            <w:tcBorders>
              <w:left w:val="single" w:sz="4" w:space="0" w:color="000000"/>
              <w:bottom w:val="single" w:sz="4" w:space="0" w:color="000000"/>
              <w:right w:val="single" w:sz="4" w:space="0" w:color="000000"/>
            </w:tcBorders>
          </w:tcPr>
          <w:p w:rsidR="00011C3B" w:rsidRPr="005B70A7" w:rsidRDefault="00011C3B" w:rsidP="005B70A7">
            <w:pPr>
              <w:pStyle w:val="Tbla-jobb"/>
            </w:pPr>
            <w:r w:rsidRPr="005B70A7">
              <w:t>72,03 millió</w:t>
            </w:r>
          </w:p>
          <w:p w:rsidR="00011C3B" w:rsidRPr="005B70A7" w:rsidRDefault="00011C3B" w:rsidP="005B70A7">
            <w:pPr>
              <w:pStyle w:val="Tbla-jobb"/>
            </w:pPr>
          </w:p>
          <w:p w:rsidR="00011C3B" w:rsidRPr="005B70A7" w:rsidRDefault="00011C3B" w:rsidP="005B70A7">
            <w:pPr>
              <w:pStyle w:val="Tbla-jobb"/>
            </w:pPr>
            <w:r w:rsidRPr="005B70A7">
              <w:t>28,59 millió</w:t>
            </w:r>
          </w:p>
          <w:p w:rsidR="00011C3B" w:rsidRPr="005B70A7" w:rsidRDefault="00011C3B" w:rsidP="005B70A7">
            <w:pPr>
              <w:pStyle w:val="Tbla-jobb"/>
            </w:pPr>
            <w:r w:rsidRPr="005B70A7">
              <w:t>31,13 millió</w:t>
            </w:r>
          </w:p>
          <w:p w:rsidR="00011C3B" w:rsidRPr="005B70A7" w:rsidRDefault="00011C3B" w:rsidP="005B70A7">
            <w:pPr>
              <w:pStyle w:val="Tbla-jobb"/>
            </w:pPr>
            <w:r w:rsidRPr="005B70A7">
              <w:t>12,31 millió</w:t>
            </w:r>
          </w:p>
        </w:tc>
      </w:tr>
      <w:tr w:rsidR="00011C3B" w:rsidRPr="00170CB9" w:rsidTr="00011C3B">
        <w:trPr>
          <w:jc w:val="center"/>
        </w:trPr>
        <w:tc>
          <w:tcPr>
            <w:tcW w:w="448" w:type="dxa"/>
            <w:tcBorders>
              <w:left w:val="single" w:sz="4" w:space="0" w:color="000000"/>
              <w:bottom w:val="single" w:sz="4" w:space="0" w:color="000000"/>
            </w:tcBorders>
          </w:tcPr>
          <w:p w:rsidR="00011C3B" w:rsidRPr="008B76DD" w:rsidRDefault="00011C3B" w:rsidP="005B70A7">
            <w:pPr>
              <w:pStyle w:val="Norml1"/>
              <w:rPr>
                <w:b/>
                <w:bCs/>
                <w:sz w:val="20"/>
                <w:szCs w:val="20"/>
                <w:lang w:val="hu-HU" w:bidi="sa-IN"/>
              </w:rPr>
            </w:pPr>
            <w:r w:rsidRPr="008B76DD">
              <w:rPr>
                <w:b/>
                <w:bCs/>
                <w:sz w:val="20"/>
                <w:szCs w:val="20"/>
                <w:lang w:val="hu-HU" w:bidi="sa-IN"/>
              </w:rPr>
              <w:t>R</w:t>
            </w:r>
          </w:p>
        </w:tc>
        <w:tc>
          <w:tcPr>
            <w:tcW w:w="5840" w:type="dxa"/>
            <w:tcBorders>
              <w:left w:val="single" w:sz="4" w:space="0" w:color="000000"/>
              <w:bottom w:val="single" w:sz="4" w:space="0" w:color="000000"/>
            </w:tcBorders>
            <w:vAlign w:val="bottom"/>
          </w:tcPr>
          <w:p w:rsidR="00011C3B" w:rsidRPr="008B76DD" w:rsidRDefault="00011C3B" w:rsidP="005B70A7">
            <w:pPr>
              <w:pStyle w:val="Norml1"/>
              <w:rPr>
                <w:b/>
                <w:bCs/>
                <w:sz w:val="20"/>
                <w:szCs w:val="20"/>
                <w:lang w:val="hu-HU" w:bidi="sa-IN"/>
              </w:rPr>
            </w:pPr>
            <w:r w:rsidRPr="008B76DD">
              <w:rPr>
                <w:b/>
                <w:bCs/>
                <w:sz w:val="20"/>
                <w:szCs w:val="20"/>
                <w:lang w:val="hu-HU" w:bidi="sa-IN"/>
              </w:rPr>
              <w:t xml:space="preserve">A fejlettebb szolgáltatásokat hasznosító vidéki területeken élők száma </w:t>
            </w:r>
          </w:p>
        </w:tc>
        <w:tc>
          <w:tcPr>
            <w:tcW w:w="1524" w:type="dxa"/>
            <w:tcBorders>
              <w:left w:val="single" w:sz="4" w:space="0" w:color="000000"/>
              <w:bottom w:val="single" w:sz="4" w:space="0" w:color="000000"/>
              <w:right w:val="single" w:sz="4" w:space="0" w:color="000000"/>
            </w:tcBorders>
            <w:vAlign w:val="bottom"/>
          </w:tcPr>
          <w:p w:rsidR="00011C3B" w:rsidRPr="00170CB9" w:rsidRDefault="00011C3B" w:rsidP="005B70A7">
            <w:pPr>
              <w:pStyle w:val="Tbla-jobb"/>
            </w:pPr>
            <w:r w:rsidRPr="00170CB9">
              <w:t>1 415 700</w:t>
            </w:r>
          </w:p>
        </w:tc>
        <w:tc>
          <w:tcPr>
            <w:tcW w:w="1514" w:type="dxa"/>
            <w:tcBorders>
              <w:left w:val="single" w:sz="4" w:space="0" w:color="000000"/>
              <w:bottom w:val="single" w:sz="4" w:space="0" w:color="000000"/>
              <w:right w:val="single" w:sz="4" w:space="0" w:color="000000"/>
            </w:tcBorders>
            <w:shd w:val="clear" w:color="auto" w:fill="auto"/>
          </w:tcPr>
          <w:p w:rsidR="00011C3B" w:rsidRPr="00170CB9" w:rsidRDefault="00011C3B" w:rsidP="005B70A7">
            <w:pPr>
              <w:pStyle w:val="Tbla-jobb"/>
            </w:pPr>
          </w:p>
          <w:p w:rsidR="00011C3B" w:rsidRPr="00170CB9" w:rsidRDefault="00C91980" w:rsidP="005B70A7">
            <w:pPr>
              <w:pStyle w:val="Tbla-jobb"/>
            </w:pPr>
            <w:r>
              <w:t>3 236 327</w:t>
            </w:r>
          </w:p>
        </w:tc>
      </w:tr>
      <w:tr w:rsidR="00011C3B" w:rsidRPr="00170CB9" w:rsidTr="00011C3B">
        <w:trPr>
          <w:cantSplit/>
          <w:jc w:val="center"/>
        </w:trPr>
        <w:tc>
          <w:tcPr>
            <w:tcW w:w="448" w:type="dxa"/>
            <w:tcBorders>
              <w:left w:val="single" w:sz="4" w:space="0" w:color="000000"/>
              <w:bottom w:val="single" w:sz="4" w:space="0" w:color="000000"/>
            </w:tcBorders>
          </w:tcPr>
          <w:p w:rsidR="00011C3B" w:rsidRPr="008B76DD" w:rsidRDefault="00011C3B" w:rsidP="005B70A7">
            <w:pPr>
              <w:pStyle w:val="Norml1"/>
              <w:rPr>
                <w:b/>
                <w:bCs/>
                <w:sz w:val="20"/>
                <w:szCs w:val="20"/>
                <w:lang w:val="hu-HU" w:bidi="sa-IN"/>
              </w:rPr>
            </w:pPr>
            <w:r w:rsidRPr="008B76DD">
              <w:rPr>
                <w:b/>
                <w:bCs/>
                <w:sz w:val="20"/>
                <w:szCs w:val="20"/>
                <w:lang w:val="hu-HU" w:bidi="sa-IN"/>
              </w:rPr>
              <w:t>I</w:t>
            </w:r>
          </w:p>
        </w:tc>
        <w:tc>
          <w:tcPr>
            <w:tcW w:w="5840" w:type="dxa"/>
            <w:tcBorders>
              <w:left w:val="single" w:sz="4" w:space="0" w:color="000000"/>
              <w:bottom w:val="single" w:sz="4" w:space="0" w:color="000000"/>
            </w:tcBorders>
          </w:tcPr>
          <w:p w:rsidR="00011C3B" w:rsidRPr="008B76DD" w:rsidRDefault="00011C3B" w:rsidP="005B70A7">
            <w:pPr>
              <w:pStyle w:val="Norml1"/>
              <w:rPr>
                <w:b/>
                <w:bCs/>
                <w:sz w:val="20"/>
                <w:szCs w:val="20"/>
                <w:lang w:val="hu-HU" w:bidi="sa-IN"/>
              </w:rPr>
            </w:pPr>
            <w:r w:rsidRPr="008B76DD">
              <w:rPr>
                <w:b/>
                <w:bCs/>
                <w:sz w:val="20"/>
                <w:szCs w:val="20"/>
                <w:lang w:val="hu-HU" w:bidi="sa-IN"/>
              </w:rPr>
              <w:t xml:space="preserve">Nettó hozzáadott érték PPS-ben kifejezve </w:t>
            </w:r>
          </w:p>
          <w:p w:rsidR="00011C3B" w:rsidRPr="00437753" w:rsidRDefault="00011C3B" w:rsidP="005B70A7">
            <w:pPr>
              <w:pStyle w:val="Norml1"/>
              <w:rPr>
                <w:b/>
                <w:bCs/>
                <w:sz w:val="20"/>
                <w:szCs w:val="20"/>
                <w:lang w:val="hu-HU" w:bidi="sa-IN"/>
              </w:rPr>
            </w:pPr>
            <w:r w:rsidRPr="008B76DD">
              <w:rPr>
                <w:b/>
                <w:bCs/>
                <w:sz w:val="20"/>
                <w:szCs w:val="20"/>
                <w:lang w:val="hu-HU" w:bidi="sa-IN"/>
              </w:rPr>
              <w:t>A főfoglalkozásnak megfelelő, újonnan létrehozott  munkahelyek nettó száma</w:t>
            </w:r>
          </w:p>
          <w:p w:rsidR="00011C3B" w:rsidRPr="00437753" w:rsidRDefault="00011C3B" w:rsidP="005B70A7">
            <w:pPr>
              <w:pStyle w:val="Tbla-bal"/>
              <w:rPr>
                <w:lang w:bidi="sa-IN"/>
              </w:rPr>
            </w:pPr>
            <w:r w:rsidRPr="008B76DD">
              <w:rPr>
                <w:lang w:bidi="sa-IN"/>
              </w:rPr>
              <w:t>Nemek szerinti megoszlás (férfi/nő)</w:t>
            </w:r>
          </w:p>
          <w:p w:rsidR="00011C3B" w:rsidRPr="00437753" w:rsidRDefault="00011C3B" w:rsidP="005B70A7">
            <w:pPr>
              <w:pStyle w:val="Tbla-bal"/>
              <w:rPr>
                <w:b/>
                <w:bCs/>
                <w:lang w:bidi="sa-IN"/>
              </w:rPr>
            </w:pPr>
            <w:r w:rsidRPr="008B76DD">
              <w:rPr>
                <w:lang w:bidi="sa-IN"/>
              </w:rPr>
              <w:t>Életkor szerinti megoszlás (25 év alatt, illetve 25 és afelett)</w:t>
            </w:r>
          </w:p>
        </w:tc>
        <w:tc>
          <w:tcPr>
            <w:tcW w:w="1524" w:type="dxa"/>
            <w:tcBorders>
              <w:left w:val="single" w:sz="4" w:space="0" w:color="000000"/>
              <w:bottom w:val="single" w:sz="4" w:space="0" w:color="000000"/>
              <w:right w:val="single" w:sz="4" w:space="0" w:color="000000"/>
            </w:tcBorders>
          </w:tcPr>
          <w:p w:rsidR="00011C3B" w:rsidRPr="00170CB9" w:rsidRDefault="00011C3B" w:rsidP="005B70A7">
            <w:pPr>
              <w:pStyle w:val="Tbla-jobb"/>
            </w:pPr>
            <w:r w:rsidRPr="00170CB9">
              <w:t>-</w:t>
            </w:r>
          </w:p>
          <w:p w:rsidR="00011C3B" w:rsidRPr="00170CB9" w:rsidRDefault="00011C3B" w:rsidP="005B70A7">
            <w:pPr>
              <w:pStyle w:val="Tbla-jobb"/>
            </w:pPr>
            <w:r w:rsidRPr="00170CB9">
              <w:t>150</w:t>
            </w:r>
          </w:p>
          <w:p w:rsidR="00011C3B" w:rsidRPr="00170CB9" w:rsidRDefault="00011C3B" w:rsidP="005B70A7">
            <w:pPr>
              <w:pStyle w:val="Tbla-jobb"/>
            </w:pPr>
          </w:p>
          <w:p w:rsidR="00011C3B" w:rsidRPr="00170CB9" w:rsidRDefault="00011C3B" w:rsidP="005B70A7">
            <w:pPr>
              <w:pStyle w:val="Tbla-jobb"/>
            </w:pPr>
            <w:r w:rsidRPr="00170CB9">
              <w:t>50/100</w:t>
            </w:r>
          </w:p>
          <w:p w:rsidR="00011C3B" w:rsidRPr="00170CB9" w:rsidRDefault="00011C3B" w:rsidP="005B70A7">
            <w:pPr>
              <w:pStyle w:val="Tbla-jobb"/>
            </w:pPr>
            <w:r w:rsidRPr="00170CB9">
              <w:t>40/110</w:t>
            </w:r>
          </w:p>
        </w:tc>
        <w:tc>
          <w:tcPr>
            <w:tcW w:w="1514" w:type="dxa"/>
            <w:tcBorders>
              <w:left w:val="single" w:sz="4" w:space="0" w:color="000000"/>
              <w:bottom w:val="single" w:sz="4" w:space="0" w:color="000000"/>
              <w:right w:val="single" w:sz="4" w:space="0" w:color="000000"/>
            </w:tcBorders>
            <w:shd w:val="clear" w:color="auto" w:fill="auto"/>
          </w:tcPr>
          <w:p w:rsidR="00011C3B" w:rsidRPr="00170CB9" w:rsidRDefault="00011C3B" w:rsidP="005B70A7">
            <w:pPr>
              <w:pStyle w:val="Tbla-jobb"/>
            </w:pPr>
            <w:r w:rsidRPr="00170CB9">
              <w:t>-</w:t>
            </w:r>
          </w:p>
          <w:p w:rsidR="00011C3B" w:rsidRPr="00170CB9" w:rsidRDefault="00011C3B" w:rsidP="005B70A7">
            <w:pPr>
              <w:pStyle w:val="Tbla-jobb"/>
            </w:pPr>
            <w:r w:rsidRPr="00170CB9">
              <w:t>248,5</w:t>
            </w:r>
          </w:p>
          <w:p w:rsidR="00011C3B" w:rsidRPr="00170CB9" w:rsidRDefault="00011C3B" w:rsidP="005B70A7">
            <w:pPr>
              <w:pStyle w:val="Tbla-jobb"/>
            </w:pPr>
          </w:p>
          <w:p w:rsidR="00011C3B" w:rsidRPr="00170CB9" w:rsidRDefault="00011C3B" w:rsidP="005B70A7">
            <w:pPr>
              <w:pStyle w:val="Tbla-jobb"/>
            </w:pPr>
            <w:r w:rsidRPr="00170CB9">
              <w:t>133,5/115</w:t>
            </w:r>
          </w:p>
          <w:p w:rsidR="00011C3B" w:rsidRPr="00170CB9" w:rsidRDefault="00011C3B" w:rsidP="005B70A7">
            <w:pPr>
              <w:pStyle w:val="Tbla-jobb"/>
            </w:pPr>
            <w:r w:rsidRPr="00170CB9">
              <w:t>43/205,5</w:t>
            </w:r>
          </w:p>
        </w:tc>
      </w:tr>
    </w:tbl>
    <w:p w:rsidR="00011C3B" w:rsidRPr="00C003F8" w:rsidRDefault="00011C3B" w:rsidP="00011C3B">
      <w:pPr>
        <w:pStyle w:val="Normlforrs"/>
      </w:pPr>
      <w:r w:rsidRPr="00C003F8">
        <w:t>Forrás: MVH</w:t>
      </w:r>
    </w:p>
    <w:p w:rsidR="00B661AB" w:rsidRDefault="00B661AB" w:rsidP="00B661AB">
      <w:r>
        <w:t xml:space="preserve">Az intézkedés a tervezett beruházási érték mintegy 50%-át érte el, ugyanakkor a kisebb fejlesztések közel háromszor annyi településen valósultak meg valamilyen beruházási projekt az intézkedés által. </w:t>
      </w:r>
    </w:p>
    <w:p w:rsidR="00011C3B" w:rsidRPr="00EB658B" w:rsidRDefault="00011C3B" w:rsidP="00715E86">
      <w:pPr>
        <w:pStyle w:val="Cmsor4"/>
      </w:pPr>
      <w:r w:rsidRPr="00EB658B">
        <w:t>Falumegújításra és –fejlesztésre igénybe vehető támogatások jogcím megvalósulása</w:t>
      </w:r>
      <w:bookmarkEnd w:id="337"/>
    </w:p>
    <w:p w:rsidR="00011C3B" w:rsidRDefault="00011C3B" w:rsidP="004869BB">
      <w:r>
        <w:t>Az intézkedés</w:t>
      </w:r>
      <w:r w:rsidR="00C96387">
        <w:t>t meghirdető támogatási jogcím</w:t>
      </w:r>
      <w:r>
        <w:t xml:space="preserve"> három alkalommal került megnyitásra: először 2008. október 19 - 2009. január 10. között, másodszor 2009. november 16 – 2009. december 20. között, harmadszorra pedig 2012. október 15. - 2012. november 30. között.</w:t>
      </w:r>
    </w:p>
    <w:p w:rsidR="00011C3B" w:rsidRDefault="00011C3B" w:rsidP="004869BB">
      <w:r>
        <w:t xml:space="preserve">A 2008-ban megjelent 135/2008. (X.18.) FVM rendelet 2012-ben négy alkalommal módosult. Egy módosítás a 2012-es támogatási kérelem benyújtási időszakot érintette, az törlésre került, mivel új jogszabály jelent meg az újabb támogatási kérelem benyújtási körhöz kapcsolódóan. Két módosításra jogharmonizációs kötelezettség miatt került sor, egy módosítás értelmében pedig az ügyfelek számára - a projektek sikeres megvalósítása érdekében - meghosszabbításra került az első kifizetési kérelem benyújtási határidő 2012. december 31-ig. </w:t>
      </w:r>
    </w:p>
    <w:p w:rsidR="00011C3B" w:rsidRDefault="00011C3B" w:rsidP="004869BB">
      <w:r>
        <w:t>A</w:t>
      </w:r>
      <w:r w:rsidR="00C96387">
        <w:t xml:space="preserve"> jogcím</w:t>
      </w:r>
      <w:r>
        <w:t xml:space="preserve"> 2011-ben nem került megnyitásra, az ügyfelek csak kifizetési kérelmet nyújthattak be, 2012-ben viszont támogatási kérelem benyújtásra is lehetőség volt a 102/2012. (X.1.) VM rendelet értelmében, kötelezettség vállalás azonban nem történt. 2012-ben kifizetési kérelmet a korábbi támogatási körök vonatkozásában nyújthattak be az ügyfelek.</w:t>
      </w:r>
    </w:p>
    <w:p w:rsidR="00011C3B" w:rsidRPr="00F92037" w:rsidRDefault="007E5FDF" w:rsidP="00F92037">
      <w:pPr>
        <w:pStyle w:val="bra-cmetbla"/>
      </w:pPr>
      <w:fldSimple w:instr=" SEQ táblázat \* ARABIC ">
        <w:r w:rsidR="00E5031F">
          <w:rPr>
            <w:noProof/>
          </w:rPr>
          <w:t>89</w:t>
        </w:r>
      </w:fldSimple>
      <w:r w:rsidR="00673DDE">
        <w:t>. táblázat:</w:t>
      </w:r>
      <w:r w:rsidR="00464168">
        <w:t xml:space="preserve"> </w:t>
      </w:r>
      <w:r w:rsidR="00464168" w:rsidRPr="00464168">
        <w:t>Falumegújításra és –fejlesztésre igénybe vehető támogatások jogcím</w:t>
      </w:r>
      <w:r w:rsidR="00011C3B" w:rsidRPr="00F92037">
        <w:t xml:space="preserve"> 2012. évi eredményei</w:t>
      </w:r>
    </w:p>
    <w:p w:rsidR="00011C3B" w:rsidRPr="00F92037" w:rsidRDefault="00B452BF" w:rsidP="00F92037">
      <w:pPr>
        <w:pStyle w:val="bra-cmetbla"/>
      </w:pPr>
      <w:r w:rsidRPr="00F92037">
        <w:rPr>
          <w:noProof/>
        </w:rPr>
        <w:drawing>
          <wp:inline distT="0" distB="0" distL="0" distR="0" wp14:anchorId="212613E4" wp14:editId="4CD5C587">
            <wp:extent cx="5167630" cy="1882140"/>
            <wp:effectExtent l="0" t="0" r="0" b="3810"/>
            <wp:docPr id="57"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C96387" w:rsidRDefault="00011C3B" w:rsidP="00C96387">
      <w:pPr>
        <w:suppressAutoHyphens w:val="0"/>
      </w:pPr>
      <w:r w:rsidRPr="00FC3A1D">
        <w:t xml:space="preserve">2012-ben </w:t>
      </w:r>
      <w:r w:rsidR="00C96387" w:rsidRPr="00FC3A1D">
        <w:t>1</w:t>
      </w:r>
      <w:r w:rsidR="00C96387">
        <w:t> </w:t>
      </w:r>
      <w:r w:rsidRPr="00FC3A1D">
        <w:t xml:space="preserve">552 db támogatási kérelem került benyújtásra, összesen 66,2 </w:t>
      </w:r>
      <w:r w:rsidR="00C96387">
        <w:t>M</w:t>
      </w:r>
      <w:r w:rsidR="00C96387" w:rsidRPr="00FC3A1D">
        <w:t xml:space="preserve"> </w:t>
      </w:r>
      <w:r w:rsidRPr="00FC3A1D">
        <w:t xml:space="preserve">euró (19,4 Mrd Ft) értékben. 954 kifizetési kérelem került jóváhagyásra 22,1 M euró (6,5 Mrd forint) összegben. </w:t>
      </w:r>
    </w:p>
    <w:p w:rsidR="00011C3B" w:rsidRDefault="00011C3B" w:rsidP="004869BB">
      <w:r>
        <w:t xml:space="preserve">2012-ben forráslekötés azon ügyekben történt, amelyek a fellebbezés vagy keresetlevél elbírálását követően a bíróságról, valamint a Jogorvoslati Főosztályról visszaérkeztek és annak eredményeként új eljárás lefolytatását írták elő, </w:t>
      </w:r>
      <w:r w:rsidR="0088641B">
        <w:t>és az</w:t>
      </w:r>
      <w:r>
        <w:t xml:space="preserve"> új eljárás során plusz forrás jóváhagyása vált szükségessé. </w:t>
      </w:r>
    </w:p>
    <w:p w:rsidR="00011C3B" w:rsidRPr="00FC3A1D" w:rsidRDefault="00011C3B" w:rsidP="004869BB">
      <w:pPr>
        <w:rPr>
          <w:szCs w:val="22"/>
        </w:rPr>
      </w:pPr>
      <w:r>
        <w:t>A 2012-es évben jelentős számú, az elnyert támogatás egészéről történő lemondást tartalmazó, valamint a beruházás műszaki tartalmának módosítására irányuló kérelem érkezett be, mely érintette a korábbi években lekötött kötelezettségvállalás összegét. Ezen túlmenően a támogatási jogcím keretében jelentős számú utolsó kifizetési kérelem érkezett be. Azon kifizetési kérelmek esetében, ahol a művelet megvalósulását követően a teljesítés 50-100% közötti, valamint az utolsóként megjelelt és jogerőre emelkedett, a támogatási határozattal jóváhagyott kötelezettségvállalási összeg el nem számolt, fennmaradó része került felszabadult forrásként lejelentésre, mely szintén érintette a korábbi évek kötelezettségvállalási összegét. Ezzel egyidejűleg a lekötni kívánt támogatási összeg nagysága nem haladta meg a felszabadított összeg nagyságát</w:t>
      </w:r>
      <w:r w:rsidR="0088641B">
        <w:t>, ami a negatív előjelű támogatási összeget indokolja</w:t>
      </w:r>
      <w:r>
        <w:t xml:space="preserve">. </w:t>
      </w:r>
      <w:r w:rsidR="0088641B">
        <w:t>A</w:t>
      </w:r>
      <w:r>
        <w:t xml:space="preserve"> 2012-es évben benyújtott támogatási kérelmek forráslekötésére is csak 2013-van kerül majd sor. </w:t>
      </w:r>
    </w:p>
    <w:p w:rsidR="00011C3B" w:rsidRPr="00C003F8" w:rsidRDefault="00011C3B" w:rsidP="004869BB">
      <w:r w:rsidRPr="003C38BB">
        <w:t>A kifizetések regionális eloszlását tekintve elmondható, hogy a legtöbb kifizetés Borsod-Abaúj-Zemplén megyében, míg a legkevesebb kifizetés Komárom-Esztergom megyében történt.</w:t>
      </w:r>
    </w:p>
    <w:p w:rsidR="00011C3B" w:rsidRPr="00896E03" w:rsidRDefault="00011C3B" w:rsidP="00DB48A3">
      <w:pPr>
        <w:pStyle w:val="Cmsor3"/>
      </w:pPr>
      <w:bookmarkStart w:id="338" w:name="_Toc297560981"/>
      <w:bookmarkStart w:id="339" w:name="_Toc328638729"/>
      <w:bookmarkStart w:id="340" w:name="_Toc360176821"/>
      <w:r w:rsidRPr="00896E03">
        <w:t>A vidéki örökség megőrzése és fenntartható fejlesztése (323) intézkedés rövid bemutatása</w:t>
      </w:r>
      <w:bookmarkEnd w:id="338"/>
      <w:bookmarkEnd w:id="339"/>
      <w:bookmarkEnd w:id="340"/>
    </w:p>
    <w:p w:rsidR="00011C3B" w:rsidRPr="00C003F8" w:rsidRDefault="00011C3B" w:rsidP="004869BB">
      <w:r w:rsidRPr="00C003F8">
        <w:t>Az intézkedés célja a vidéki térség településein a kulturális örökség fenntartása, helyreállítása, korszerűsítése, ezen belül a településkép és a környezet állapotának javítása, az épített, természeti és kulturális örökség és helyi identitás megőrzése, megújítása, és ezáltal a települések vonzerejének növelése.</w:t>
      </w:r>
    </w:p>
    <w:p w:rsidR="00011C3B" w:rsidRDefault="00011C3B" w:rsidP="004869BB">
      <w:r w:rsidRPr="007B58A8">
        <w:t>Az intézkedés két alintézkedése a kulturális örökség megőrzése és a Natura 2000 fenntartási/fejlesztési tervek készítése. Mindkét jogcím támogatásának lehetősége megnyílt a kedvezményezettek számára.</w:t>
      </w:r>
    </w:p>
    <w:p w:rsidR="00011C3B" w:rsidRPr="00F92037" w:rsidRDefault="007E5FDF" w:rsidP="00F92037">
      <w:pPr>
        <w:pStyle w:val="bra-cmetbla"/>
      </w:pPr>
      <w:fldSimple w:instr=" SEQ táblázat \* ARABIC ">
        <w:r w:rsidR="00E5031F">
          <w:rPr>
            <w:noProof/>
          </w:rPr>
          <w:t>90</w:t>
        </w:r>
      </w:fldSimple>
      <w:r w:rsidR="00673DDE">
        <w:t xml:space="preserve">. táblázat: </w:t>
      </w:r>
      <w:r w:rsidR="00011C3B" w:rsidRPr="00F92037">
        <w:t>A vidéki örökség megőrzése és fenntartható fejlesztése intézkedés (323) indikátorainak megvalósulása</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6019"/>
        <w:gridCol w:w="1388"/>
        <w:gridCol w:w="1431"/>
      </w:tblGrid>
      <w:tr w:rsidR="00011C3B" w:rsidRPr="008B76DD" w:rsidTr="00E71166">
        <w:trPr>
          <w:cantSplit/>
          <w:jc w:val="center"/>
        </w:trPr>
        <w:tc>
          <w:tcPr>
            <w:tcW w:w="475" w:type="dxa"/>
            <w:tcBorders>
              <w:top w:val="single" w:sz="4" w:space="0" w:color="auto"/>
              <w:left w:val="single" w:sz="4" w:space="0" w:color="auto"/>
              <w:bottom w:val="single" w:sz="4" w:space="0" w:color="auto"/>
              <w:right w:val="single" w:sz="4" w:space="0" w:color="auto"/>
            </w:tcBorders>
            <w:shd w:val="clear" w:color="auto" w:fill="B3B3B3"/>
            <w:vAlign w:val="center"/>
          </w:tcPr>
          <w:p w:rsidR="00011C3B" w:rsidRPr="008B76DD" w:rsidRDefault="00011C3B" w:rsidP="00E71166">
            <w:pPr>
              <w:pStyle w:val="Tbla-cm"/>
              <w:rPr>
                <w:lang w:bidi="sa-IN"/>
              </w:rPr>
            </w:pPr>
          </w:p>
        </w:tc>
        <w:tc>
          <w:tcPr>
            <w:tcW w:w="6019" w:type="dxa"/>
            <w:tcBorders>
              <w:top w:val="single" w:sz="4" w:space="0" w:color="auto"/>
              <w:left w:val="single" w:sz="4" w:space="0" w:color="auto"/>
              <w:bottom w:val="single" w:sz="4" w:space="0" w:color="auto"/>
              <w:right w:val="single" w:sz="4" w:space="0" w:color="auto"/>
            </w:tcBorders>
            <w:shd w:val="clear" w:color="auto" w:fill="B3B3B3"/>
            <w:vAlign w:val="center"/>
          </w:tcPr>
          <w:p w:rsidR="00011C3B" w:rsidRPr="008B76DD" w:rsidRDefault="00011C3B" w:rsidP="00E71166">
            <w:pPr>
              <w:pStyle w:val="Tbla-cm"/>
              <w:rPr>
                <w:lang w:bidi="sa-IN"/>
              </w:rPr>
            </w:pPr>
            <w:r w:rsidRPr="008B76DD">
              <w:rPr>
                <w:lang w:bidi="sa-IN"/>
              </w:rPr>
              <w:t>Indikátor leírása</w:t>
            </w:r>
          </w:p>
        </w:tc>
        <w:tc>
          <w:tcPr>
            <w:tcW w:w="1388" w:type="dxa"/>
            <w:tcBorders>
              <w:top w:val="single" w:sz="4" w:space="0" w:color="auto"/>
              <w:left w:val="single" w:sz="4" w:space="0" w:color="auto"/>
              <w:bottom w:val="single" w:sz="4" w:space="0" w:color="auto"/>
              <w:right w:val="single" w:sz="4" w:space="0" w:color="auto"/>
            </w:tcBorders>
            <w:shd w:val="clear" w:color="auto" w:fill="B3B3B3"/>
            <w:vAlign w:val="center"/>
          </w:tcPr>
          <w:p w:rsidR="00011C3B" w:rsidRPr="008B76DD" w:rsidRDefault="00011C3B" w:rsidP="00E71166">
            <w:pPr>
              <w:pStyle w:val="Tbla-cm"/>
              <w:rPr>
                <w:lang w:bidi="sa-IN"/>
              </w:rPr>
            </w:pPr>
            <w:r w:rsidRPr="008B76DD">
              <w:t>Program szerinti tervadat</w:t>
            </w:r>
          </w:p>
        </w:tc>
        <w:tc>
          <w:tcPr>
            <w:tcW w:w="1431" w:type="dxa"/>
            <w:tcBorders>
              <w:top w:val="single" w:sz="4" w:space="0" w:color="auto"/>
              <w:left w:val="single" w:sz="4" w:space="0" w:color="auto"/>
              <w:bottom w:val="single" w:sz="4" w:space="0" w:color="auto"/>
              <w:right w:val="single" w:sz="4" w:space="0" w:color="auto"/>
            </w:tcBorders>
            <w:shd w:val="clear" w:color="auto" w:fill="B3B3B3"/>
            <w:vAlign w:val="center"/>
          </w:tcPr>
          <w:p w:rsidR="00011C3B" w:rsidRPr="008B76DD" w:rsidRDefault="00011C3B" w:rsidP="00E71166">
            <w:pPr>
              <w:pStyle w:val="Tbla-cm"/>
              <w:rPr>
                <w:lang w:bidi="sa-IN"/>
              </w:rPr>
            </w:pPr>
            <w:r w:rsidRPr="008B76DD">
              <w:t>Indikátorok kumulált értéke</w:t>
            </w:r>
          </w:p>
        </w:tc>
      </w:tr>
      <w:tr w:rsidR="00011C3B" w:rsidRPr="008B76DD" w:rsidTr="00011C3B">
        <w:trPr>
          <w:cantSplit/>
          <w:jc w:val="center"/>
        </w:trPr>
        <w:tc>
          <w:tcPr>
            <w:tcW w:w="475" w:type="dxa"/>
            <w:vMerge w:val="restart"/>
            <w:tcBorders>
              <w:top w:val="single" w:sz="4" w:space="0" w:color="auto"/>
              <w:left w:val="single" w:sz="4" w:space="0" w:color="auto"/>
              <w:right w:val="single" w:sz="4" w:space="0" w:color="auto"/>
            </w:tcBorders>
          </w:tcPr>
          <w:p w:rsidR="00011C3B" w:rsidRPr="005F4D5E" w:rsidRDefault="00011C3B" w:rsidP="005F4D5E">
            <w:pPr>
              <w:pStyle w:val="Tbla-kzp"/>
            </w:pPr>
            <w:r w:rsidRPr="005F4D5E">
              <w:t>O</w:t>
            </w:r>
          </w:p>
        </w:tc>
        <w:tc>
          <w:tcPr>
            <w:tcW w:w="6019" w:type="dxa"/>
            <w:tcBorders>
              <w:top w:val="single" w:sz="4" w:space="0" w:color="auto"/>
              <w:left w:val="single" w:sz="4" w:space="0" w:color="auto"/>
              <w:bottom w:val="single" w:sz="4" w:space="0" w:color="auto"/>
              <w:right w:val="single" w:sz="4" w:space="0" w:color="auto"/>
            </w:tcBorders>
            <w:vAlign w:val="center"/>
          </w:tcPr>
          <w:p w:rsidR="00011C3B" w:rsidRPr="008B76DD" w:rsidRDefault="00011C3B" w:rsidP="005F4D5E">
            <w:pPr>
              <w:rPr>
                <w:b/>
                <w:bCs/>
                <w:sz w:val="20"/>
                <w:szCs w:val="20"/>
                <w:lang w:bidi="sa-IN"/>
              </w:rPr>
            </w:pPr>
            <w:r w:rsidRPr="008B76DD">
              <w:rPr>
                <w:b/>
                <w:bCs/>
                <w:sz w:val="20"/>
                <w:szCs w:val="20"/>
                <w:lang w:bidi="sa-IN"/>
              </w:rPr>
              <w:t xml:space="preserve">A vidéki örökséggel kapcsolatos támogatott intézkedések száma </w:t>
            </w:r>
          </w:p>
          <w:p w:rsidR="00011C3B" w:rsidRPr="008B76DD" w:rsidRDefault="00011C3B" w:rsidP="005F4D5E">
            <w:pPr>
              <w:rPr>
                <w:sz w:val="20"/>
                <w:szCs w:val="20"/>
              </w:rPr>
            </w:pPr>
            <w:r w:rsidRPr="008B76DD">
              <w:rPr>
                <w:sz w:val="20"/>
                <w:szCs w:val="20"/>
                <w:lang w:bidi="sa-IN"/>
              </w:rPr>
              <w:t xml:space="preserve">Természeti </w:t>
            </w:r>
            <w:r w:rsidRPr="008B76DD">
              <w:rPr>
                <w:sz w:val="20"/>
                <w:szCs w:val="20"/>
              </w:rPr>
              <w:t>örökség (lásd: a rendelet 57. cikkének (a) pontját)</w:t>
            </w:r>
          </w:p>
          <w:p w:rsidR="00011C3B" w:rsidRPr="008B76DD" w:rsidRDefault="00011C3B" w:rsidP="005F4D5E">
            <w:pPr>
              <w:rPr>
                <w:sz w:val="20"/>
                <w:szCs w:val="20"/>
                <w:lang w:bidi="sa-IN"/>
              </w:rPr>
            </w:pPr>
            <w:r w:rsidRPr="008B76DD">
              <w:rPr>
                <w:sz w:val="20"/>
                <w:szCs w:val="20"/>
              </w:rPr>
              <w:t>Kulturális ö</w:t>
            </w:r>
            <w:r w:rsidRPr="008B76DD">
              <w:rPr>
                <w:sz w:val="20"/>
                <w:szCs w:val="20"/>
                <w:lang w:bidi="sa-IN"/>
              </w:rPr>
              <w:t xml:space="preserve">rökség </w:t>
            </w:r>
            <w:r w:rsidRPr="008B76DD">
              <w:rPr>
                <w:i/>
                <w:iCs/>
                <w:sz w:val="20"/>
                <w:szCs w:val="20"/>
                <w:lang w:bidi="sa-IN"/>
              </w:rPr>
              <w:t>(lásd: a rendelet 57. cikkének (b) pontját)</w:t>
            </w:r>
          </w:p>
        </w:tc>
        <w:tc>
          <w:tcPr>
            <w:tcW w:w="1388" w:type="dxa"/>
            <w:tcBorders>
              <w:top w:val="single" w:sz="4" w:space="0" w:color="auto"/>
              <w:left w:val="single" w:sz="4" w:space="0" w:color="auto"/>
              <w:bottom w:val="single" w:sz="4" w:space="0" w:color="auto"/>
              <w:right w:val="single" w:sz="4" w:space="0" w:color="auto"/>
            </w:tcBorders>
          </w:tcPr>
          <w:p w:rsidR="00011C3B" w:rsidRPr="005F4D5E" w:rsidRDefault="00011C3B" w:rsidP="005F4D5E">
            <w:pPr>
              <w:pStyle w:val="Tbla-jobb"/>
            </w:pPr>
            <w:r w:rsidRPr="005F4D5E">
              <w:t>600</w:t>
            </w:r>
          </w:p>
          <w:p w:rsidR="00011C3B" w:rsidRPr="005F4D5E" w:rsidRDefault="00011C3B" w:rsidP="005F4D5E">
            <w:pPr>
              <w:pStyle w:val="Tbla-jobb"/>
            </w:pPr>
            <w:r w:rsidRPr="005F4D5E">
              <w:t>50</w:t>
            </w:r>
          </w:p>
          <w:p w:rsidR="00011C3B" w:rsidRPr="005F4D5E" w:rsidRDefault="00011C3B" w:rsidP="005F4D5E">
            <w:pPr>
              <w:pStyle w:val="Tbla-jobb"/>
            </w:pPr>
            <w:r w:rsidRPr="005F4D5E">
              <w:t>550</w:t>
            </w:r>
          </w:p>
        </w:tc>
        <w:tc>
          <w:tcPr>
            <w:tcW w:w="1431" w:type="dxa"/>
            <w:tcBorders>
              <w:top w:val="single" w:sz="4" w:space="0" w:color="auto"/>
              <w:left w:val="single" w:sz="4" w:space="0" w:color="auto"/>
              <w:bottom w:val="single" w:sz="4" w:space="0" w:color="auto"/>
              <w:right w:val="single" w:sz="4" w:space="0" w:color="auto"/>
            </w:tcBorders>
          </w:tcPr>
          <w:p w:rsidR="00011C3B" w:rsidRPr="005F4D5E" w:rsidRDefault="00011C3B" w:rsidP="005F4D5E">
            <w:pPr>
              <w:pStyle w:val="Tbla-jobb"/>
            </w:pPr>
            <w:r w:rsidRPr="005F4D5E">
              <w:t>1</w:t>
            </w:r>
            <w:r w:rsidR="00224308" w:rsidRPr="005F4D5E">
              <w:t xml:space="preserve"> </w:t>
            </w:r>
            <w:r w:rsidRPr="005F4D5E">
              <w:t>105</w:t>
            </w:r>
          </w:p>
          <w:p w:rsidR="00011C3B" w:rsidRPr="005F4D5E" w:rsidRDefault="00011C3B" w:rsidP="005F4D5E">
            <w:pPr>
              <w:pStyle w:val="Tbla-jobb"/>
            </w:pPr>
            <w:r w:rsidRPr="005F4D5E">
              <w:t>229</w:t>
            </w:r>
          </w:p>
          <w:p w:rsidR="00011C3B" w:rsidRPr="005F4D5E" w:rsidRDefault="00011C3B" w:rsidP="005F4D5E">
            <w:pPr>
              <w:pStyle w:val="Tbla-jobb"/>
            </w:pPr>
            <w:r w:rsidRPr="005F4D5E">
              <w:t>876</w:t>
            </w:r>
          </w:p>
        </w:tc>
      </w:tr>
      <w:tr w:rsidR="00011C3B" w:rsidRPr="00170CB9" w:rsidTr="00011C3B">
        <w:trPr>
          <w:cantSplit/>
          <w:jc w:val="center"/>
        </w:trPr>
        <w:tc>
          <w:tcPr>
            <w:tcW w:w="475" w:type="dxa"/>
            <w:vMerge/>
            <w:tcBorders>
              <w:left w:val="single" w:sz="4" w:space="0" w:color="auto"/>
              <w:bottom w:val="single" w:sz="4" w:space="0" w:color="auto"/>
              <w:right w:val="single" w:sz="4" w:space="0" w:color="auto"/>
            </w:tcBorders>
          </w:tcPr>
          <w:p w:rsidR="00011C3B" w:rsidRPr="005F4D5E" w:rsidRDefault="00011C3B" w:rsidP="005F4D5E">
            <w:pPr>
              <w:pStyle w:val="Tbla-kzp"/>
            </w:pPr>
          </w:p>
        </w:tc>
        <w:tc>
          <w:tcPr>
            <w:tcW w:w="6019" w:type="dxa"/>
            <w:tcBorders>
              <w:top w:val="single" w:sz="4" w:space="0" w:color="auto"/>
              <w:left w:val="single" w:sz="4" w:space="0" w:color="auto"/>
              <w:bottom w:val="single" w:sz="4" w:space="0" w:color="auto"/>
              <w:right w:val="single" w:sz="4" w:space="0" w:color="auto"/>
            </w:tcBorders>
            <w:vAlign w:val="center"/>
          </w:tcPr>
          <w:p w:rsidR="00011C3B" w:rsidRPr="00170CB9" w:rsidRDefault="00011C3B" w:rsidP="005F4D5E">
            <w:pPr>
              <w:rPr>
                <w:b/>
                <w:bCs/>
                <w:sz w:val="20"/>
                <w:szCs w:val="20"/>
                <w:lang w:bidi="sa-IN"/>
              </w:rPr>
            </w:pPr>
            <w:r w:rsidRPr="00170CB9">
              <w:rPr>
                <w:b/>
                <w:bCs/>
                <w:sz w:val="20"/>
                <w:szCs w:val="20"/>
                <w:lang w:bidi="sa-IN"/>
              </w:rPr>
              <w:t>A beruházás teljes összege (euró)</w:t>
            </w:r>
          </w:p>
          <w:p w:rsidR="00011C3B" w:rsidRPr="00170CB9" w:rsidRDefault="00011C3B" w:rsidP="005F4D5E">
            <w:pPr>
              <w:rPr>
                <w:sz w:val="20"/>
                <w:szCs w:val="20"/>
              </w:rPr>
            </w:pPr>
            <w:r w:rsidRPr="00170CB9">
              <w:rPr>
                <w:sz w:val="20"/>
                <w:szCs w:val="20"/>
              </w:rPr>
              <w:t>Természeti örökség (lásd: a rendelet 57. cikkének (a) pontját)</w:t>
            </w:r>
          </w:p>
          <w:p w:rsidR="00011C3B" w:rsidRPr="00170CB9" w:rsidRDefault="00011C3B" w:rsidP="005F4D5E">
            <w:pPr>
              <w:rPr>
                <w:sz w:val="20"/>
                <w:szCs w:val="20"/>
                <w:lang w:bidi="sa-IN"/>
              </w:rPr>
            </w:pPr>
            <w:r w:rsidRPr="00170CB9">
              <w:rPr>
                <w:sz w:val="20"/>
                <w:szCs w:val="20"/>
              </w:rPr>
              <w:t>Kulturális</w:t>
            </w:r>
            <w:r w:rsidRPr="00170CB9">
              <w:rPr>
                <w:sz w:val="20"/>
                <w:szCs w:val="20"/>
                <w:lang w:bidi="sa-IN"/>
              </w:rPr>
              <w:t xml:space="preserve"> örökség </w:t>
            </w:r>
            <w:r w:rsidRPr="00170CB9">
              <w:rPr>
                <w:i/>
                <w:iCs/>
                <w:sz w:val="20"/>
                <w:szCs w:val="20"/>
                <w:lang w:bidi="sa-IN"/>
              </w:rPr>
              <w:t>(lásd: a rendelet 57. cikkének (b) pontját)</w:t>
            </w:r>
          </w:p>
        </w:tc>
        <w:tc>
          <w:tcPr>
            <w:tcW w:w="1388" w:type="dxa"/>
            <w:tcBorders>
              <w:top w:val="single" w:sz="4" w:space="0" w:color="auto"/>
              <w:left w:val="single" w:sz="4" w:space="0" w:color="auto"/>
              <w:bottom w:val="single" w:sz="4" w:space="0" w:color="auto"/>
              <w:right w:val="single" w:sz="4" w:space="0" w:color="auto"/>
            </w:tcBorders>
          </w:tcPr>
          <w:p w:rsidR="00011C3B" w:rsidRPr="00170CB9" w:rsidRDefault="00011C3B" w:rsidP="005F4D5E">
            <w:pPr>
              <w:pStyle w:val="Tbla-jobb"/>
            </w:pPr>
            <w:r w:rsidRPr="00170CB9">
              <w:t>112</w:t>
            </w:r>
            <w:r w:rsidR="00224308" w:rsidRPr="00170CB9">
              <w:t>,</w:t>
            </w:r>
            <w:r w:rsidRPr="00170CB9">
              <w:t>9 millió</w:t>
            </w:r>
          </w:p>
          <w:p w:rsidR="00011C3B" w:rsidRPr="00170CB9" w:rsidRDefault="00011C3B" w:rsidP="005F4D5E">
            <w:pPr>
              <w:pStyle w:val="Tbla-jobb"/>
            </w:pPr>
            <w:r w:rsidRPr="00170CB9">
              <w:t>17 millió</w:t>
            </w:r>
          </w:p>
          <w:p w:rsidR="00011C3B" w:rsidRPr="00170CB9" w:rsidRDefault="00011C3B" w:rsidP="005F4D5E">
            <w:pPr>
              <w:pStyle w:val="Tbla-jobb"/>
            </w:pPr>
            <w:r w:rsidRPr="00170CB9">
              <w:t>95</w:t>
            </w:r>
            <w:r w:rsidR="00224308" w:rsidRPr="00170CB9">
              <w:t xml:space="preserve"> </w:t>
            </w:r>
            <w:r w:rsidRPr="00170CB9">
              <w:t>9 millió</w:t>
            </w:r>
          </w:p>
        </w:tc>
        <w:tc>
          <w:tcPr>
            <w:tcW w:w="1431" w:type="dxa"/>
            <w:tcBorders>
              <w:top w:val="single" w:sz="4" w:space="0" w:color="auto"/>
              <w:left w:val="single" w:sz="4" w:space="0" w:color="auto"/>
              <w:bottom w:val="single" w:sz="4" w:space="0" w:color="auto"/>
              <w:right w:val="single" w:sz="4" w:space="0" w:color="auto"/>
            </w:tcBorders>
          </w:tcPr>
          <w:p w:rsidR="00011C3B" w:rsidRPr="00170CB9" w:rsidRDefault="00011C3B" w:rsidP="005F4D5E">
            <w:pPr>
              <w:pStyle w:val="Tbla-jobb"/>
            </w:pPr>
            <w:r w:rsidRPr="00170CB9">
              <w:t>53,54 millió</w:t>
            </w:r>
          </w:p>
          <w:p w:rsidR="00011C3B" w:rsidRPr="00170CB9" w:rsidRDefault="00011C3B" w:rsidP="005F4D5E">
            <w:pPr>
              <w:pStyle w:val="Tbla-jobb"/>
            </w:pPr>
            <w:r w:rsidRPr="00170CB9">
              <w:t>2,05</w:t>
            </w:r>
            <w:r w:rsidR="00B661AB" w:rsidRPr="00170CB9">
              <w:t xml:space="preserve"> millió</w:t>
            </w:r>
          </w:p>
          <w:p w:rsidR="00011C3B" w:rsidRPr="00170CB9" w:rsidRDefault="00011C3B" w:rsidP="005F4D5E">
            <w:pPr>
              <w:pStyle w:val="Tbla-jobb"/>
            </w:pPr>
            <w:r w:rsidRPr="00170CB9">
              <w:t>51,49 millió</w:t>
            </w:r>
          </w:p>
        </w:tc>
      </w:tr>
      <w:tr w:rsidR="00011C3B" w:rsidRPr="00170CB9" w:rsidTr="00170CB9">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5F4D5E">
            <w:pPr>
              <w:pStyle w:val="Tbla-kzp"/>
            </w:pPr>
            <w:r w:rsidRPr="00170CB9">
              <w:t>R</w:t>
            </w:r>
          </w:p>
        </w:tc>
        <w:tc>
          <w:tcPr>
            <w:tcW w:w="6019" w:type="dxa"/>
            <w:tcBorders>
              <w:top w:val="single" w:sz="4" w:space="0" w:color="auto"/>
              <w:left w:val="single" w:sz="4" w:space="0" w:color="auto"/>
              <w:bottom w:val="single" w:sz="4" w:space="0" w:color="auto"/>
              <w:right w:val="single" w:sz="4" w:space="0" w:color="auto"/>
            </w:tcBorders>
            <w:shd w:val="clear" w:color="auto" w:fill="auto"/>
            <w:vAlign w:val="center"/>
          </w:tcPr>
          <w:p w:rsidR="00011C3B" w:rsidRPr="00170CB9" w:rsidRDefault="00011C3B" w:rsidP="005F4D5E">
            <w:pPr>
              <w:pStyle w:val="Normltblateljes"/>
              <w:rPr>
                <w:b/>
                <w:bCs/>
                <w:sz w:val="20"/>
                <w:szCs w:val="20"/>
                <w:lang w:bidi="sa-IN"/>
              </w:rPr>
            </w:pPr>
            <w:r w:rsidRPr="00170CB9">
              <w:rPr>
                <w:b/>
                <w:bCs/>
                <w:sz w:val="20"/>
                <w:szCs w:val="20"/>
                <w:lang w:bidi="sa-IN"/>
              </w:rPr>
              <w:t>A fejlettebb szolgáltatásokat hasznosító vidéki területeken élők száma</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5F4D5E">
            <w:pPr>
              <w:pStyle w:val="Tbla-jobb"/>
            </w:pPr>
            <w:r w:rsidRPr="00170CB9">
              <w:t>628 800</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C91980" w:rsidP="005F4D5E">
            <w:pPr>
              <w:pStyle w:val="Tbla-jobb"/>
            </w:pPr>
            <w:r>
              <w:t>3 236 327</w:t>
            </w:r>
          </w:p>
        </w:tc>
      </w:tr>
      <w:tr w:rsidR="00011C3B" w:rsidRPr="00170CB9" w:rsidTr="00170CB9">
        <w:trPr>
          <w:cantSplit/>
          <w:jc w:val="center"/>
        </w:trPr>
        <w:tc>
          <w:tcPr>
            <w:tcW w:w="475" w:type="dxa"/>
            <w:vMerge w:val="restart"/>
            <w:tcBorders>
              <w:top w:val="single" w:sz="4" w:space="0" w:color="auto"/>
              <w:left w:val="single" w:sz="4" w:space="0" w:color="auto"/>
              <w:right w:val="single" w:sz="4" w:space="0" w:color="auto"/>
            </w:tcBorders>
            <w:shd w:val="clear" w:color="auto" w:fill="auto"/>
          </w:tcPr>
          <w:p w:rsidR="00011C3B" w:rsidRPr="00170CB9" w:rsidRDefault="00011C3B" w:rsidP="005F4D5E">
            <w:pPr>
              <w:pStyle w:val="Tbla-kzp"/>
            </w:pPr>
            <w:r w:rsidRPr="00170CB9">
              <w:t>I</w:t>
            </w:r>
          </w:p>
        </w:tc>
        <w:tc>
          <w:tcPr>
            <w:tcW w:w="6019" w:type="dxa"/>
            <w:tcBorders>
              <w:top w:val="single" w:sz="4" w:space="0" w:color="auto"/>
              <w:left w:val="single" w:sz="4" w:space="0" w:color="auto"/>
              <w:bottom w:val="single" w:sz="4" w:space="0" w:color="auto"/>
              <w:right w:val="single" w:sz="4" w:space="0" w:color="auto"/>
            </w:tcBorders>
            <w:shd w:val="clear" w:color="auto" w:fill="auto"/>
            <w:vAlign w:val="center"/>
          </w:tcPr>
          <w:p w:rsidR="00011C3B" w:rsidRPr="00170CB9" w:rsidRDefault="00011C3B" w:rsidP="005F4D5E">
            <w:pPr>
              <w:pStyle w:val="Normltblateljes"/>
              <w:rPr>
                <w:b/>
                <w:bCs/>
                <w:sz w:val="20"/>
                <w:szCs w:val="20"/>
                <w:lang w:bidi="sa-IN"/>
              </w:rPr>
            </w:pPr>
            <w:r w:rsidRPr="00170CB9">
              <w:rPr>
                <w:b/>
                <w:bCs/>
                <w:sz w:val="20"/>
                <w:szCs w:val="20"/>
                <w:lang w:bidi="sa-IN"/>
              </w:rPr>
              <w:t>Nettó hozzáadott érték PPS-ben kifejezve</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011C3B" w:rsidRPr="00170CB9" w:rsidRDefault="00011C3B" w:rsidP="005F4D5E">
            <w:pPr>
              <w:pStyle w:val="Tbla-jobb"/>
            </w:pPr>
            <w:r w:rsidRPr="00170CB9">
              <w:t>-</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011C3B" w:rsidP="005F4D5E">
            <w:pPr>
              <w:pStyle w:val="Tbla-jobb"/>
            </w:pPr>
            <w:r w:rsidRPr="00170CB9">
              <w:t>-</w:t>
            </w:r>
          </w:p>
        </w:tc>
      </w:tr>
      <w:tr w:rsidR="00011C3B" w:rsidRPr="00170CB9" w:rsidTr="00011C3B">
        <w:trPr>
          <w:cantSplit/>
          <w:jc w:val="center"/>
        </w:trPr>
        <w:tc>
          <w:tcPr>
            <w:tcW w:w="475" w:type="dxa"/>
            <w:vMerge/>
            <w:tcBorders>
              <w:left w:val="single" w:sz="4" w:space="0" w:color="auto"/>
              <w:bottom w:val="single" w:sz="4" w:space="0" w:color="auto"/>
              <w:right w:val="single" w:sz="4" w:space="0" w:color="auto"/>
            </w:tcBorders>
          </w:tcPr>
          <w:p w:rsidR="00011C3B" w:rsidRPr="0033390A" w:rsidRDefault="00011C3B" w:rsidP="005F4D5E">
            <w:pPr>
              <w:pStyle w:val="Normltblateljes"/>
              <w:rPr>
                <w:b/>
                <w:bCs/>
                <w:sz w:val="20"/>
                <w:szCs w:val="20"/>
                <w:highlight w:val="yellow"/>
                <w:lang w:bidi="sa-IN"/>
              </w:rPr>
            </w:pPr>
          </w:p>
        </w:tc>
        <w:tc>
          <w:tcPr>
            <w:tcW w:w="6019" w:type="dxa"/>
            <w:tcBorders>
              <w:top w:val="single" w:sz="4" w:space="0" w:color="auto"/>
              <w:left w:val="single" w:sz="4" w:space="0" w:color="auto"/>
              <w:bottom w:val="single" w:sz="4" w:space="0" w:color="auto"/>
              <w:right w:val="single" w:sz="4" w:space="0" w:color="auto"/>
            </w:tcBorders>
            <w:vAlign w:val="center"/>
          </w:tcPr>
          <w:p w:rsidR="00011C3B" w:rsidRPr="00170CB9" w:rsidRDefault="00011C3B" w:rsidP="005F4D5E">
            <w:pPr>
              <w:pStyle w:val="Normltblateljes"/>
              <w:rPr>
                <w:b/>
                <w:bCs/>
                <w:sz w:val="20"/>
                <w:szCs w:val="20"/>
                <w:lang w:bidi="sa-IN"/>
              </w:rPr>
            </w:pPr>
            <w:r w:rsidRPr="00170CB9">
              <w:rPr>
                <w:b/>
                <w:bCs/>
                <w:sz w:val="20"/>
                <w:szCs w:val="20"/>
                <w:lang w:bidi="sa-IN"/>
              </w:rPr>
              <w:t>A főfoglalkozásnak megfelelő, újonnan létrehozott  munkahelyek nettó száma</w:t>
            </w:r>
          </w:p>
        </w:tc>
        <w:tc>
          <w:tcPr>
            <w:tcW w:w="1388" w:type="dxa"/>
            <w:tcBorders>
              <w:top w:val="single" w:sz="4" w:space="0" w:color="auto"/>
              <w:left w:val="single" w:sz="4" w:space="0" w:color="auto"/>
              <w:bottom w:val="single" w:sz="4" w:space="0" w:color="auto"/>
              <w:right w:val="single" w:sz="4" w:space="0" w:color="auto"/>
            </w:tcBorders>
            <w:vAlign w:val="center"/>
          </w:tcPr>
          <w:p w:rsidR="00011C3B" w:rsidRPr="00170CB9" w:rsidRDefault="00011C3B" w:rsidP="005F4D5E">
            <w:pPr>
              <w:pStyle w:val="Tbla-jobb"/>
            </w:pPr>
            <w:r w:rsidRPr="00170CB9">
              <w:t>-</w:t>
            </w:r>
          </w:p>
        </w:tc>
        <w:tc>
          <w:tcPr>
            <w:tcW w:w="1431" w:type="dxa"/>
            <w:tcBorders>
              <w:top w:val="single" w:sz="4" w:space="0" w:color="auto"/>
              <w:left w:val="single" w:sz="4" w:space="0" w:color="auto"/>
              <w:bottom w:val="single" w:sz="4" w:space="0" w:color="auto"/>
              <w:right w:val="single" w:sz="4" w:space="0" w:color="auto"/>
            </w:tcBorders>
          </w:tcPr>
          <w:p w:rsidR="00011C3B" w:rsidRPr="00170CB9" w:rsidRDefault="00011C3B" w:rsidP="005F4D5E">
            <w:pPr>
              <w:pStyle w:val="Tbla-jobb"/>
            </w:pPr>
            <w:r w:rsidRPr="00170CB9">
              <w:t>-</w:t>
            </w:r>
          </w:p>
        </w:tc>
      </w:tr>
    </w:tbl>
    <w:p w:rsidR="00011C3B" w:rsidRPr="00EA6C22" w:rsidRDefault="007E5FDF" w:rsidP="00E71166">
      <w:pPr>
        <w:pStyle w:val="bra-cmetbla"/>
      </w:pPr>
      <w:fldSimple w:instr=" SEQ táblázat \* ARABIC ">
        <w:r w:rsidR="00E5031F">
          <w:rPr>
            <w:noProof/>
          </w:rPr>
          <w:t>91</w:t>
        </w:r>
      </w:fldSimple>
      <w:r w:rsidR="00673DDE">
        <w:t xml:space="preserve">. táblázat: </w:t>
      </w:r>
      <w:r w:rsidR="00011C3B" w:rsidRPr="00EA6C22">
        <w:t>További program</w:t>
      </w:r>
      <w:r w:rsidR="00224308" w:rsidRPr="00EA6C22">
        <w:t xml:space="preserve"> </w:t>
      </w:r>
      <w:r w:rsidR="00011C3B" w:rsidRPr="00EA6C22">
        <w:t>specifikus mutatók és mennyiségi célok:</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6087"/>
        <w:gridCol w:w="1354"/>
        <w:gridCol w:w="1427"/>
      </w:tblGrid>
      <w:tr w:rsidR="00011C3B" w:rsidRPr="008B76DD" w:rsidTr="00011C3B">
        <w:trPr>
          <w:jc w:val="center"/>
        </w:trPr>
        <w:tc>
          <w:tcPr>
            <w:tcW w:w="475" w:type="dxa"/>
            <w:shd w:val="clear" w:color="auto" w:fill="B3B3B3"/>
          </w:tcPr>
          <w:p w:rsidR="00011C3B" w:rsidRPr="008B76DD" w:rsidRDefault="00011C3B" w:rsidP="00E71166">
            <w:pPr>
              <w:pStyle w:val="Tbla-cm"/>
              <w:rPr>
                <w:lang w:bidi="sa-IN"/>
              </w:rPr>
            </w:pPr>
          </w:p>
        </w:tc>
        <w:tc>
          <w:tcPr>
            <w:tcW w:w="6087" w:type="dxa"/>
            <w:shd w:val="clear" w:color="auto" w:fill="B3B3B3"/>
            <w:vAlign w:val="center"/>
          </w:tcPr>
          <w:p w:rsidR="00011C3B" w:rsidRPr="008B76DD" w:rsidRDefault="00011C3B" w:rsidP="00E71166">
            <w:pPr>
              <w:pStyle w:val="Tbla-cm"/>
              <w:rPr>
                <w:lang w:bidi="sa-IN"/>
              </w:rPr>
            </w:pPr>
            <w:r w:rsidRPr="008B76DD">
              <w:rPr>
                <w:lang w:bidi="sa-IN"/>
              </w:rPr>
              <w:t>Indikátor leírása</w:t>
            </w:r>
          </w:p>
        </w:tc>
        <w:tc>
          <w:tcPr>
            <w:tcW w:w="1354" w:type="dxa"/>
            <w:shd w:val="clear" w:color="auto" w:fill="B3B3B3"/>
            <w:vAlign w:val="center"/>
          </w:tcPr>
          <w:p w:rsidR="00011C3B" w:rsidRPr="008B76DD" w:rsidRDefault="00011C3B" w:rsidP="00E71166">
            <w:pPr>
              <w:pStyle w:val="Tbla-cm"/>
              <w:rPr>
                <w:lang w:bidi="sa-IN"/>
              </w:rPr>
            </w:pPr>
            <w:r w:rsidRPr="008B76DD">
              <w:t>Program szerinti tervadat</w:t>
            </w:r>
          </w:p>
        </w:tc>
        <w:tc>
          <w:tcPr>
            <w:tcW w:w="1427" w:type="dxa"/>
            <w:shd w:val="clear" w:color="auto" w:fill="B3B3B3"/>
          </w:tcPr>
          <w:p w:rsidR="00011C3B" w:rsidRPr="008B76DD" w:rsidRDefault="00011C3B" w:rsidP="00E71166">
            <w:pPr>
              <w:pStyle w:val="Tbla-cm"/>
              <w:rPr>
                <w:lang w:bidi="sa-IN"/>
              </w:rPr>
            </w:pPr>
            <w:r w:rsidRPr="008B76DD">
              <w:t>Indikátorok kumulált értéke</w:t>
            </w:r>
          </w:p>
        </w:tc>
      </w:tr>
      <w:tr w:rsidR="00011C3B" w:rsidRPr="00170CB9" w:rsidTr="00011C3B">
        <w:trPr>
          <w:trHeight w:val="106"/>
          <w:jc w:val="center"/>
        </w:trPr>
        <w:tc>
          <w:tcPr>
            <w:tcW w:w="475" w:type="dxa"/>
          </w:tcPr>
          <w:p w:rsidR="00011C3B" w:rsidRPr="005F4D5E" w:rsidRDefault="00011C3B" w:rsidP="005F4D5E">
            <w:pPr>
              <w:pStyle w:val="Tbla-kzp"/>
            </w:pPr>
            <w:r w:rsidRPr="005F4D5E">
              <w:t>O</w:t>
            </w:r>
          </w:p>
        </w:tc>
        <w:tc>
          <w:tcPr>
            <w:tcW w:w="6087" w:type="dxa"/>
            <w:vAlign w:val="center"/>
          </w:tcPr>
          <w:p w:rsidR="00011C3B" w:rsidRPr="00170CB9" w:rsidRDefault="00011C3B" w:rsidP="005F4D5E">
            <w:pPr>
              <w:pStyle w:val="Tbla-bal"/>
            </w:pPr>
            <w:r w:rsidRPr="00170CB9">
              <w:t>A támogatott műemléki és természeti helyszínek száma</w:t>
            </w:r>
          </w:p>
        </w:tc>
        <w:tc>
          <w:tcPr>
            <w:tcW w:w="1354" w:type="dxa"/>
          </w:tcPr>
          <w:p w:rsidR="00011C3B" w:rsidRPr="00170CB9" w:rsidRDefault="00011C3B" w:rsidP="0058781B">
            <w:pPr>
              <w:pStyle w:val="Tbla-jobb"/>
            </w:pPr>
            <w:r w:rsidRPr="00170CB9">
              <w:t>470</w:t>
            </w:r>
          </w:p>
        </w:tc>
        <w:tc>
          <w:tcPr>
            <w:tcW w:w="1427" w:type="dxa"/>
            <w:shd w:val="clear" w:color="auto" w:fill="auto"/>
          </w:tcPr>
          <w:p w:rsidR="00011C3B" w:rsidRPr="00170CB9" w:rsidRDefault="00011C3B" w:rsidP="0058781B">
            <w:pPr>
              <w:pStyle w:val="Tbla-jobb"/>
            </w:pPr>
            <w:r w:rsidRPr="00170CB9">
              <w:t xml:space="preserve">1265 </w:t>
            </w:r>
          </w:p>
        </w:tc>
      </w:tr>
      <w:tr w:rsidR="00011C3B" w:rsidRPr="00170CB9" w:rsidTr="00011C3B">
        <w:trPr>
          <w:jc w:val="center"/>
        </w:trPr>
        <w:tc>
          <w:tcPr>
            <w:tcW w:w="475" w:type="dxa"/>
            <w:tcBorders>
              <w:top w:val="single" w:sz="4" w:space="0" w:color="auto"/>
              <w:left w:val="single" w:sz="4" w:space="0" w:color="auto"/>
              <w:bottom w:val="single" w:sz="4" w:space="0" w:color="auto"/>
              <w:right w:val="single" w:sz="4" w:space="0" w:color="auto"/>
            </w:tcBorders>
          </w:tcPr>
          <w:p w:rsidR="00011C3B" w:rsidRPr="005F4D5E" w:rsidRDefault="00011C3B" w:rsidP="005F4D5E">
            <w:pPr>
              <w:pStyle w:val="Tbla-kzp"/>
            </w:pPr>
            <w:r w:rsidRPr="005F4D5E">
              <w:t>R</w:t>
            </w:r>
          </w:p>
        </w:tc>
        <w:tc>
          <w:tcPr>
            <w:tcW w:w="6087" w:type="dxa"/>
            <w:tcBorders>
              <w:top w:val="single" w:sz="4" w:space="0" w:color="auto"/>
              <w:left w:val="single" w:sz="4" w:space="0" w:color="auto"/>
              <w:bottom w:val="single" w:sz="4" w:space="0" w:color="auto"/>
              <w:right w:val="single" w:sz="4" w:space="0" w:color="auto"/>
            </w:tcBorders>
            <w:vAlign w:val="center"/>
          </w:tcPr>
          <w:p w:rsidR="00011C3B" w:rsidRPr="00170CB9" w:rsidRDefault="00011C3B" w:rsidP="005F4D5E">
            <w:pPr>
              <w:pStyle w:val="Tbla-bal"/>
            </w:pPr>
            <w:r w:rsidRPr="00170CB9">
              <w:t xml:space="preserve">A veszélyeztetett műemlékek aránya </w:t>
            </w:r>
          </w:p>
        </w:tc>
        <w:tc>
          <w:tcPr>
            <w:tcW w:w="1354" w:type="dxa"/>
            <w:tcBorders>
              <w:top w:val="single" w:sz="4" w:space="0" w:color="auto"/>
              <w:left w:val="single" w:sz="4" w:space="0" w:color="auto"/>
              <w:bottom w:val="single" w:sz="4" w:space="0" w:color="auto"/>
              <w:right w:val="single" w:sz="4" w:space="0" w:color="auto"/>
            </w:tcBorders>
          </w:tcPr>
          <w:p w:rsidR="00011C3B" w:rsidRPr="00170CB9" w:rsidRDefault="00011C3B" w:rsidP="0058781B">
            <w:pPr>
              <w:pStyle w:val="Tbla-jobb"/>
              <w:rPr>
                <w:b/>
                <w:bCs/>
              </w:rPr>
            </w:pPr>
            <w:r w:rsidRPr="00170CB9">
              <w:rPr>
                <w:b/>
                <w:bCs/>
              </w:rPr>
              <w:t>33%</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011C3B" w:rsidRPr="00170CB9" w:rsidRDefault="0040176F" w:rsidP="0058781B">
            <w:pPr>
              <w:pStyle w:val="Tbla-jobb"/>
              <w:rPr>
                <w:b/>
                <w:bCs/>
              </w:rPr>
            </w:pPr>
            <w:r w:rsidRPr="00170CB9">
              <w:rPr>
                <w:b/>
                <w:bCs/>
              </w:rPr>
              <w:t>15</w:t>
            </w:r>
            <w:r w:rsidR="00011C3B" w:rsidRPr="00170CB9">
              <w:rPr>
                <w:b/>
                <w:bCs/>
              </w:rPr>
              <w:t>%</w:t>
            </w:r>
          </w:p>
        </w:tc>
      </w:tr>
      <w:tr w:rsidR="00011C3B" w:rsidRPr="008B76DD" w:rsidTr="00011C3B">
        <w:trPr>
          <w:jc w:val="center"/>
        </w:trPr>
        <w:tc>
          <w:tcPr>
            <w:tcW w:w="475" w:type="dxa"/>
            <w:tcBorders>
              <w:top w:val="single" w:sz="4" w:space="0" w:color="auto"/>
              <w:left w:val="single" w:sz="4" w:space="0" w:color="auto"/>
              <w:bottom w:val="single" w:sz="4" w:space="0" w:color="auto"/>
              <w:right w:val="single" w:sz="4" w:space="0" w:color="auto"/>
            </w:tcBorders>
          </w:tcPr>
          <w:p w:rsidR="00011C3B" w:rsidRPr="005F4D5E" w:rsidRDefault="00011C3B" w:rsidP="005F4D5E">
            <w:pPr>
              <w:pStyle w:val="Tbla-kzp"/>
            </w:pPr>
            <w:r w:rsidRPr="005F4D5E">
              <w:t>I</w:t>
            </w:r>
          </w:p>
        </w:tc>
        <w:tc>
          <w:tcPr>
            <w:tcW w:w="6087" w:type="dxa"/>
            <w:tcBorders>
              <w:top w:val="single" w:sz="4" w:space="0" w:color="auto"/>
              <w:left w:val="single" w:sz="4" w:space="0" w:color="auto"/>
              <w:bottom w:val="single" w:sz="4" w:space="0" w:color="auto"/>
              <w:right w:val="single" w:sz="4" w:space="0" w:color="auto"/>
            </w:tcBorders>
            <w:vAlign w:val="center"/>
          </w:tcPr>
          <w:p w:rsidR="00011C3B" w:rsidRPr="005F4D5E" w:rsidRDefault="00011C3B" w:rsidP="005F4D5E">
            <w:pPr>
              <w:pStyle w:val="Tbla-bal"/>
            </w:pPr>
            <w:r w:rsidRPr="005F4D5E">
              <w:t>A támogatás által megcélzott vidéki lakosok elégedettségének növekedése</w:t>
            </w:r>
          </w:p>
        </w:tc>
        <w:tc>
          <w:tcPr>
            <w:tcW w:w="1354" w:type="dxa"/>
            <w:tcBorders>
              <w:top w:val="single" w:sz="4" w:space="0" w:color="auto"/>
              <w:left w:val="single" w:sz="4" w:space="0" w:color="auto"/>
              <w:bottom w:val="single" w:sz="4" w:space="0" w:color="auto"/>
              <w:right w:val="single" w:sz="4" w:space="0" w:color="auto"/>
            </w:tcBorders>
          </w:tcPr>
          <w:p w:rsidR="00011C3B" w:rsidRPr="008B76DD" w:rsidRDefault="00011C3B" w:rsidP="0058781B">
            <w:pPr>
              <w:pStyle w:val="Tbla-jobb"/>
              <w:rPr>
                <w:b/>
                <w:bCs/>
              </w:rPr>
            </w:pPr>
            <w:r w:rsidRPr="008B76DD">
              <w:rPr>
                <w:b/>
                <w:bCs/>
              </w:rPr>
              <w:t>-</w:t>
            </w:r>
          </w:p>
        </w:tc>
        <w:tc>
          <w:tcPr>
            <w:tcW w:w="1427" w:type="dxa"/>
            <w:tcBorders>
              <w:top w:val="single" w:sz="4" w:space="0" w:color="auto"/>
              <w:left w:val="single" w:sz="4" w:space="0" w:color="auto"/>
              <w:bottom w:val="single" w:sz="4" w:space="0" w:color="auto"/>
              <w:right w:val="single" w:sz="4" w:space="0" w:color="auto"/>
            </w:tcBorders>
          </w:tcPr>
          <w:p w:rsidR="00011C3B" w:rsidRPr="008B76DD" w:rsidRDefault="00011C3B" w:rsidP="0058781B">
            <w:pPr>
              <w:pStyle w:val="Tbla-jobb"/>
              <w:rPr>
                <w:b/>
                <w:bCs/>
              </w:rPr>
            </w:pPr>
            <w:r>
              <w:rPr>
                <w:b/>
                <w:bCs/>
              </w:rPr>
              <w:t>-</w:t>
            </w:r>
          </w:p>
        </w:tc>
      </w:tr>
    </w:tbl>
    <w:p w:rsidR="00011C3B" w:rsidRPr="00C003F8" w:rsidRDefault="00011C3B" w:rsidP="00011C3B">
      <w:pPr>
        <w:pStyle w:val="Normlforrs"/>
      </w:pPr>
      <w:r w:rsidRPr="00C003F8">
        <w:t>Forrás: MVH</w:t>
      </w:r>
    </w:p>
    <w:p w:rsidR="00011C3B" w:rsidRDefault="00B661AB" w:rsidP="004869BB">
      <w:r>
        <w:t>A vidéki örökség megőrzése alintézkedés végrehajtására is jellemző, hogy kisebb beruházási értékű fejlesztések valósultak meg a tervezettnél jelentősen több helyszínen. Az intézkedés ismételt megnyitása nem várható.</w:t>
      </w:r>
    </w:p>
    <w:p w:rsidR="00011C3B" w:rsidRPr="00C003F8" w:rsidRDefault="00011C3B" w:rsidP="00715E86">
      <w:pPr>
        <w:pStyle w:val="Cmsor4"/>
      </w:pPr>
      <w:r w:rsidRPr="00C003F8">
        <w:t>A vidéki örökség megőrzéséhez igénybe vehető támogatások jogcím rövid bemutatása</w:t>
      </w:r>
      <w:r>
        <w:t xml:space="preserve"> (a kulturális örökség megőrzése alintézkedés)</w:t>
      </w:r>
    </w:p>
    <w:p w:rsidR="00011C3B" w:rsidRDefault="00011C3B" w:rsidP="004869BB">
      <w:r>
        <w:t>A</w:t>
      </w:r>
      <w:r w:rsidR="00224308">
        <w:t xml:space="preserve"> jogcím</w:t>
      </w:r>
      <w:r>
        <w:t xml:space="preserve"> célja a vidéki térség településein a kulturális örökség fenntartása, helyreállítása, korszerűsítése, ezen belül a településkép és a környezet állapotának javítása, az épített, természeti és kulturális örökség és helyi identitás megőrzése, megújítása, és ezáltal a települések vonzerejének növelése.</w:t>
      </w:r>
    </w:p>
    <w:p w:rsidR="00011C3B" w:rsidRDefault="00011C3B" w:rsidP="004869BB">
      <w:r>
        <w:t>A</w:t>
      </w:r>
      <w:r w:rsidR="00224308">
        <w:t xml:space="preserve"> jogcím</w:t>
      </w:r>
      <w:r>
        <w:t xml:space="preserve"> három alkalommal került megnyitásra, először 2008. október 19 - 2009. január 10. között, másodszor 2009. november 16 – 2009. december 20. között, harmadszor pedig 2012. október 15. és 2012. november 30. között.</w:t>
      </w:r>
    </w:p>
    <w:p w:rsidR="00011C3B" w:rsidRDefault="00011C3B" w:rsidP="004869BB">
      <w:r>
        <w:t>A 2008-ban megjelent 138/2008. (X.18.) FVM rendelet 2011-ben három alkalommal módosult, mely során kétszer a támogatási kérelem benyújtási időszakot érintette, valamint a kifizetési kérelmek benyújtására meghatározott</w:t>
      </w:r>
      <w:r w:rsidR="00224308">
        <w:t xml:space="preserve"> </w:t>
      </w:r>
      <w:r>
        <w:t xml:space="preserve">határidő meghatározására került sor. </w:t>
      </w:r>
      <w:r>
        <w:cr/>
        <w:t>Az intézkedés 2011-ben nem került megnyitásra, az ügyfelek csak kifizetési kérelmet nyújthattak be.</w:t>
      </w:r>
    </w:p>
    <w:p w:rsidR="00011C3B" w:rsidRDefault="00011C3B" w:rsidP="004869BB">
      <w:r>
        <w:t xml:space="preserve">A LEADER HACS-oknál rendelkezésre álló fejlesztési források lehetővé tették, hogy 2012-ben ismételten sor kerüljön egy LEADER HACS-okon keresztül lebonyolított támogatási kérelem benyújtási körre. A korábbi tapasztalatok átvezetése érdekében a harmadik benyújtási kört új jogszabály szabályozza, a 103/2012. (X.1.) VM rendelet. </w:t>
      </w:r>
    </w:p>
    <w:p w:rsidR="00011C3B" w:rsidRDefault="00011C3B" w:rsidP="004869BB">
      <w:r>
        <w:lastRenderedPageBreak/>
        <w:t>A 2012-es támogatási kérelem benyújtási időszakra vonatkozó</w:t>
      </w:r>
      <w:r w:rsidR="00224308">
        <w:t>an</w:t>
      </w:r>
      <w:r>
        <w:t xml:space="preserve"> </w:t>
      </w:r>
      <w:r w:rsidR="00224308">
        <w:t xml:space="preserve">a támogatási kérelmek feldolgozása folyt, 2012-ben </w:t>
      </w:r>
      <w:r>
        <w:t>kötelezettség vállalás nem történt,.</w:t>
      </w:r>
    </w:p>
    <w:p w:rsidR="00011C3B" w:rsidRPr="00735E92" w:rsidRDefault="00011C3B" w:rsidP="004869BB">
      <w:r w:rsidRPr="00735E92">
        <w:t>Az intézkedés három alkalommal került megnyitásra, először 2008. október 19 - 2009. január 10. között, majd 2009. november 16 – december 20. és 2012. október – 2012. november 30. között.</w:t>
      </w:r>
    </w:p>
    <w:p w:rsidR="00011C3B" w:rsidRDefault="00011C3B" w:rsidP="00011C3B">
      <w:r>
        <w:t>A korábbi, évente négyszer egyhónapos időszakok helyett 2012. február 1. – május 31. és augusztus 1.- december 31. között meghosszabbított kifizetési kérelem benyújtási időszakok nyíltak, melynek keretében lehetőség volt folyamatos kifizetési kérelem benyújtásra.</w:t>
      </w:r>
    </w:p>
    <w:p w:rsidR="00011C3B" w:rsidRDefault="00011C3B" w:rsidP="00011C3B">
      <w:r>
        <w:t>Az ügyfelek a kifizetési kérelmet a postai úton történő benyújtáson kívül az elektronikus űrlapkitöltő szolgáltatás segítségével előállított elektronikus űrlapon, ügyfélkapun keresztül is benyújthatták.</w:t>
      </w:r>
    </w:p>
    <w:p w:rsidR="00011C3B" w:rsidRPr="00F92037" w:rsidRDefault="007E5FDF" w:rsidP="00F92037">
      <w:pPr>
        <w:pStyle w:val="bra-cmetbla"/>
      </w:pPr>
      <w:fldSimple w:instr=" SEQ táblázat \* ARABIC ">
        <w:r w:rsidR="00E5031F">
          <w:rPr>
            <w:noProof/>
          </w:rPr>
          <w:t>92</w:t>
        </w:r>
      </w:fldSimple>
      <w:r w:rsidR="00673DDE">
        <w:t xml:space="preserve">. táblázat: </w:t>
      </w:r>
      <w:r w:rsidR="00464168" w:rsidRPr="00C003F8">
        <w:t xml:space="preserve">A vidéki örökség megőrzéséhez igénybe vehető támogatások jogcím </w:t>
      </w:r>
      <w:r w:rsidR="00011C3B" w:rsidRPr="00F92037">
        <w:t>2012. évi eredményei</w:t>
      </w:r>
    </w:p>
    <w:p w:rsidR="0040176F" w:rsidRPr="00F92037" w:rsidRDefault="0040176F" w:rsidP="00F92037">
      <w:pPr>
        <w:pStyle w:val="bra-cmetbla"/>
      </w:pPr>
      <w:r w:rsidRPr="00F92037">
        <w:rPr>
          <w:noProof/>
        </w:rPr>
        <w:drawing>
          <wp:inline distT="0" distB="0" distL="0" distR="0" wp14:anchorId="0E36C092" wp14:editId="65866718">
            <wp:extent cx="5314950" cy="1885950"/>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4950" cy="188595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Default="00011C3B" w:rsidP="004869BB">
      <w:r>
        <w:rPr>
          <w:szCs w:val="22"/>
        </w:rPr>
        <w:t xml:space="preserve">2012-ben 646 db kifizetési kérelem került jóváhagyásra 20,6 M euró (6 Mrd </w:t>
      </w:r>
      <w:r w:rsidR="00224308">
        <w:rPr>
          <w:szCs w:val="22"/>
        </w:rPr>
        <w:t>Ft</w:t>
      </w:r>
      <w:r>
        <w:rPr>
          <w:szCs w:val="22"/>
        </w:rPr>
        <w:t xml:space="preserve">) összegben. </w:t>
      </w:r>
    </w:p>
    <w:p w:rsidR="00011C3B" w:rsidRDefault="00011C3B" w:rsidP="004869BB">
      <w:r>
        <w:t xml:space="preserve">2012-ben forráslekötés azon ügyekben történt, amelyek a fellebbezés vagy keresetlevél elbírálását követően a bíróságról, valamint a Jogorvoslati Főosztályról visszaérkeztek és annak eredményeként új eljárás lefolytatását írták elő, </w:t>
      </w:r>
      <w:r w:rsidR="00A613FB">
        <w:t>és</w:t>
      </w:r>
      <w:r>
        <w:t xml:space="preserve"> új eljárás során plusz forrás jóváhagyása vált szükségessé. </w:t>
      </w:r>
    </w:p>
    <w:p w:rsidR="00011C3B" w:rsidRPr="00C76414" w:rsidRDefault="00011C3B" w:rsidP="004869BB">
      <w:pPr>
        <w:rPr>
          <w:szCs w:val="22"/>
        </w:rPr>
      </w:pPr>
      <w:r>
        <w:t>A 2012-es évben jelentős számú, az elnyert támogatás egészéről történő lemondást tartalmazó, valamint a beruházás műszaki tartalmának módosítására irányuló kérelem érkezett be, mely érintette a korábbi években lekötött kötelezettségvállalás összegét. Ezen túlmenően a támogatási jogcím keretében jelentős számú utolsó kifizetési kérelem érkezett be. Azon kifizetési kérelmek esetében, ahol a művelet megvalósulását követően a teljesítés 50-100% közötti, valamint az utolsóként megjelelt és jogerőre emelkedett, a támogatási határozattal jóváhagyott kötelezettségvállalási összeg el nem számolt, fennmaradó része került felszabadult forrásként lejelentésre, mely szintén érintette a korábbi évek kötelezettségvállalási összegét. Ezzel egyidejűleg a lekötni kívánt támogatási összeg nagysága nem haladta meg a felszabadított összeg nagyságát</w:t>
      </w:r>
      <w:r w:rsidR="00A613FB">
        <w:t>, ami a negatív támogatási összeget is magyarázza</w:t>
      </w:r>
      <w:r>
        <w:t xml:space="preserve">. a 2012-es évben benyújtott támogatási kérelmek </w:t>
      </w:r>
      <w:r w:rsidRPr="00C76414">
        <w:t>forráslekötésére is csak 2013-van kerül majd sor.</w:t>
      </w:r>
    </w:p>
    <w:p w:rsidR="00011C3B" w:rsidRPr="00C003F8" w:rsidRDefault="00011C3B" w:rsidP="004869BB">
      <w:r w:rsidRPr="00C76414">
        <w:t>A kifizetések regionális eloszlását tekintve elmondható, hogy a legtöbb kifizetés a jogcímre Szabolcs-Szatmár-Bereg megyében, míg a legkevesebb kifizetés Tolna megyében történt.</w:t>
      </w:r>
    </w:p>
    <w:p w:rsidR="00011C3B" w:rsidRPr="00896E03" w:rsidRDefault="00011C3B" w:rsidP="00DB48A3">
      <w:pPr>
        <w:pStyle w:val="Cmsor3"/>
      </w:pPr>
      <w:bookmarkStart w:id="341" w:name="_Toc297560982"/>
      <w:bookmarkStart w:id="342" w:name="_Toc328638730"/>
      <w:bookmarkStart w:id="343" w:name="_Toc360176822"/>
      <w:r w:rsidRPr="00896E03">
        <w:t>Natura 2000 fenntartási tervek készítéséhez nyújtott támogatás</w:t>
      </w:r>
      <w:bookmarkEnd w:id="343"/>
    </w:p>
    <w:p w:rsidR="00011C3B" w:rsidRDefault="00011C3B" w:rsidP="00011C3B">
      <w:pPr>
        <w:spacing w:after="240"/>
      </w:pPr>
      <w:r>
        <w:t>A</w:t>
      </w:r>
      <w:r w:rsidR="00A613FB">
        <w:t xml:space="preserve"> jogcím</w:t>
      </w:r>
      <w:r>
        <w:t xml:space="preserve"> célja a vidéki térségek természeti értékeinek megőrzéséhez, fejlesztéséhez, fenntartható hasznosításához való hozzájárulás.</w:t>
      </w:r>
    </w:p>
    <w:p w:rsidR="00011C3B" w:rsidRDefault="00011C3B" w:rsidP="00011C3B">
      <w:pPr>
        <w:spacing w:after="240"/>
      </w:pPr>
      <w:r>
        <w:t xml:space="preserve">A jogcím 2012-ben került megnyitásra első alkalommal a 43/2012. (V.3.) VM rendelettel. </w:t>
      </w:r>
    </w:p>
    <w:p w:rsidR="00B00785" w:rsidRDefault="00011C3B" w:rsidP="00B00785">
      <w:pPr>
        <w:spacing w:after="240"/>
      </w:pPr>
      <w:r>
        <w:lastRenderedPageBreak/>
        <w:t>Támogatási kérelem benyújtásának feltétele a vidékfejlesztési miniszter által létrehozott Szakmai Bizottság javaslata. A javaslat kiadásához projektterv és kommunikációs terv benyújtására 2012. június 1. és 15. között, támogatási kérelem benyújtására 2012. július 15. és augusztus 15. között nyílt lehetőség. Az első benyújtási körből kimaradt ügyfelek számára egy új támogatási kérelem benyújtási időszak került meghatározásra, amelyet megelőzően a szakmai javaslat kiadása érdekében a meghatározott dokumentumok benyújtására 2012. december 14. és 21. között nyílt lehetőség. Ennek a körnek támogatási kérelem benyújtására 2013. január 21. és február 15. között volt biztosítva lehetőség</w:t>
      </w:r>
      <w:r w:rsidR="00B00785">
        <w:t>, 243 db Natura 2000 területegységre vonatkozóan.</w:t>
      </w:r>
    </w:p>
    <w:p w:rsidR="00B00785" w:rsidRDefault="00B00785" w:rsidP="00B00785">
      <w:r>
        <w:t>A támogatási döntéssel rendelkező ügyfelek a 2013. április 1 – 2013. június 30. 2013. október 1 – november 30., 2014. április 1 – május 30., valamint 2014. november 1. – 2015. január 31. időszakokban nyújthatnak be támogatási kérelmenként összesen legfeljebb kettő kifizetési kérelmet.</w:t>
      </w:r>
    </w:p>
    <w:p w:rsidR="00011C3B" w:rsidRPr="00F92037" w:rsidRDefault="007E5FDF" w:rsidP="00F92037">
      <w:pPr>
        <w:pStyle w:val="bra-cmetbla"/>
      </w:pPr>
      <w:fldSimple w:instr=" SEQ táblázat \* ARABIC ">
        <w:r w:rsidR="00E5031F">
          <w:rPr>
            <w:noProof/>
          </w:rPr>
          <w:t>93</w:t>
        </w:r>
      </w:fldSimple>
      <w:r w:rsidR="00673DDE">
        <w:t xml:space="preserve">. táblázat: </w:t>
      </w:r>
      <w:r w:rsidR="00011C3B" w:rsidRPr="00F92037">
        <w:t xml:space="preserve">A Natura 2000 </w:t>
      </w:r>
      <w:r w:rsidR="00464168" w:rsidRPr="00896E03">
        <w:t xml:space="preserve">fenntartási </w:t>
      </w:r>
      <w:r w:rsidR="00011C3B" w:rsidRPr="00F92037">
        <w:t>terv elkészítéséhez nyújtandó támogatás jogcím (323 B) indikátorainak megvalósulása</w:t>
      </w:r>
    </w:p>
    <w:tbl>
      <w:tblPr>
        <w:tblW w:w="93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5839"/>
        <w:gridCol w:w="1418"/>
        <w:gridCol w:w="1417"/>
      </w:tblGrid>
      <w:tr w:rsidR="00011C3B" w:rsidRPr="00740772" w:rsidTr="00011C3B">
        <w:trPr>
          <w:cantSplit/>
        </w:trPr>
        <w:tc>
          <w:tcPr>
            <w:tcW w:w="680" w:type="dxa"/>
            <w:shd w:val="clear" w:color="auto" w:fill="B3B3B3"/>
          </w:tcPr>
          <w:p w:rsidR="00011C3B" w:rsidRPr="00740772" w:rsidRDefault="00011C3B" w:rsidP="00011C3B">
            <w:pPr>
              <w:keepNext/>
              <w:spacing w:after="0"/>
              <w:jc w:val="center"/>
              <w:rPr>
                <w:rFonts w:eastAsia="Times New Roman" w:cs="Times New Roman"/>
                <w:b/>
                <w:bCs/>
                <w:kern w:val="0"/>
                <w:sz w:val="20"/>
                <w:szCs w:val="20"/>
                <w:lang w:eastAsia="ar-SA" w:bidi="sa-IN"/>
              </w:rPr>
            </w:pPr>
          </w:p>
        </w:tc>
        <w:tc>
          <w:tcPr>
            <w:tcW w:w="5839" w:type="dxa"/>
            <w:shd w:val="clear" w:color="auto" w:fill="B3B3B3"/>
            <w:vAlign w:val="center"/>
          </w:tcPr>
          <w:p w:rsidR="00011C3B" w:rsidRPr="00BD037E" w:rsidRDefault="00011C3B" w:rsidP="00BD037E">
            <w:pPr>
              <w:keepNext/>
              <w:spacing w:after="0"/>
              <w:jc w:val="center"/>
            </w:pPr>
            <w:r w:rsidRPr="00BD037E">
              <w:t>Indikátor leírása</w:t>
            </w:r>
          </w:p>
        </w:tc>
        <w:tc>
          <w:tcPr>
            <w:tcW w:w="1418" w:type="dxa"/>
            <w:shd w:val="clear" w:color="auto" w:fill="B3B3B3"/>
            <w:vAlign w:val="center"/>
          </w:tcPr>
          <w:p w:rsidR="00011C3B" w:rsidRPr="00BD037E" w:rsidRDefault="00011C3B" w:rsidP="00BD037E">
            <w:pPr>
              <w:keepNext/>
              <w:spacing w:after="0"/>
              <w:jc w:val="center"/>
            </w:pPr>
            <w:r w:rsidRPr="00BD037E">
              <w:t>Program szerinti tervadat</w:t>
            </w:r>
          </w:p>
        </w:tc>
        <w:tc>
          <w:tcPr>
            <w:tcW w:w="1417" w:type="dxa"/>
            <w:shd w:val="clear" w:color="auto" w:fill="B3B3B3"/>
          </w:tcPr>
          <w:p w:rsidR="00011C3B" w:rsidRPr="00740772" w:rsidRDefault="00011C3B" w:rsidP="00011C3B">
            <w:pPr>
              <w:keepNext/>
              <w:spacing w:after="0"/>
              <w:jc w:val="center"/>
              <w:rPr>
                <w:rFonts w:eastAsia="Times New Roman" w:cs="Times New Roman"/>
                <w:b/>
                <w:bCs/>
                <w:kern w:val="0"/>
                <w:sz w:val="20"/>
                <w:szCs w:val="20"/>
                <w:lang w:eastAsia="ar-SA" w:bidi="sa-IN"/>
              </w:rPr>
            </w:pPr>
            <w:r w:rsidRPr="00740772">
              <w:rPr>
                <w:rFonts w:eastAsia="Times New Roman" w:cs="Times New Roman"/>
                <w:b/>
                <w:kern w:val="0"/>
                <w:sz w:val="20"/>
                <w:szCs w:val="20"/>
                <w:lang w:eastAsia="ar-SA"/>
              </w:rPr>
              <w:t>Indikátorok kumulált értéke</w:t>
            </w:r>
          </w:p>
        </w:tc>
      </w:tr>
      <w:tr w:rsidR="00011C3B" w:rsidRPr="00740772" w:rsidTr="00011C3B">
        <w:trPr>
          <w:cantSplit/>
        </w:trPr>
        <w:tc>
          <w:tcPr>
            <w:tcW w:w="680" w:type="dxa"/>
          </w:tcPr>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O</w:t>
            </w:r>
          </w:p>
        </w:tc>
        <w:tc>
          <w:tcPr>
            <w:tcW w:w="5839" w:type="dxa"/>
            <w:vAlign w:val="center"/>
          </w:tcPr>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Natura fenntartási tervek száma</w:t>
            </w:r>
          </w:p>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A tervek által lefedett területek nagysága</w:t>
            </w:r>
          </w:p>
        </w:tc>
        <w:tc>
          <w:tcPr>
            <w:tcW w:w="1418" w:type="dxa"/>
          </w:tcPr>
          <w:p w:rsidR="00011C3B" w:rsidRPr="00740772" w:rsidRDefault="00011C3B" w:rsidP="00011C3B">
            <w:pPr>
              <w:spacing w:after="0"/>
              <w:jc w:val="right"/>
              <w:rPr>
                <w:rFonts w:eastAsia="Times New Roman" w:cs="Times New Roman"/>
                <w:kern w:val="0"/>
                <w:sz w:val="20"/>
                <w:szCs w:val="20"/>
                <w:lang w:eastAsia="ar-SA"/>
              </w:rPr>
            </w:pPr>
            <w:r w:rsidRPr="00740772">
              <w:rPr>
                <w:rFonts w:eastAsia="Times New Roman" w:cs="Times New Roman"/>
                <w:kern w:val="0"/>
                <w:sz w:val="20"/>
                <w:szCs w:val="20"/>
                <w:lang w:eastAsia="ar-SA"/>
              </w:rPr>
              <w:t>250</w:t>
            </w:r>
          </w:p>
          <w:p w:rsidR="00011C3B" w:rsidRPr="00740772" w:rsidRDefault="00011C3B" w:rsidP="00011C3B">
            <w:pPr>
              <w:spacing w:after="0"/>
              <w:jc w:val="right"/>
              <w:rPr>
                <w:rFonts w:eastAsia="Times New Roman" w:cs="Times New Roman"/>
                <w:kern w:val="0"/>
                <w:sz w:val="20"/>
                <w:szCs w:val="20"/>
                <w:lang w:eastAsia="ar-SA"/>
              </w:rPr>
            </w:pPr>
            <w:r w:rsidRPr="00740772">
              <w:rPr>
                <w:rFonts w:eastAsia="Times New Roman" w:cs="Times New Roman"/>
                <w:kern w:val="0"/>
                <w:sz w:val="20"/>
                <w:szCs w:val="20"/>
                <w:lang w:eastAsia="ar-SA"/>
              </w:rPr>
              <w:t>400</w:t>
            </w:r>
            <w:r w:rsidR="00B00785">
              <w:rPr>
                <w:rFonts w:eastAsia="Times New Roman" w:cs="Times New Roman"/>
                <w:kern w:val="0"/>
                <w:sz w:val="20"/>
                <w:szCs w:val="20"/>
                <w:lang w:eastAsia="ar-SA"/>
              </w:rPr>
              <w:t xml:space="preserve"> </w:t>
            </w:r>
            <w:r w:rsidRPr="00740772">
              <w:rPr>
                <w:rFonts w:eastAsia="Times New Roman" w:cs="Times New Roman"/>
                <w:kern w:val="0"/>
                <w:sz w:val="20"/>
                <w:szCs w:val="20"/>
                <w:lang w:eastAsia="ar-SA"/>
              </w:rPr>
              <w:t>000 ha</w:t>
            </w:r>
            <w:r w:rsidRPr="00740772" w:rsidDel="00A90E4C">
              <w:rPr>
                <w:rFonts w:eastAsia="Times New Roman" w:cs="Times New Roman"/>
                <w:kern w:val="0"/>
                <w:sz w:val="20"/>
                <w:szCs w:val="20"/>
                <w:lang w:eastAsia="ar-SA"/>
              </w:rPr>
              <w:t xml:space="preserve"> </w:t>
            </w:r>
          </w:p>
        </w:tc>
        <w:tc>
          <w:tcPr>
            <w:tcW w:w="1417" w:type="dxa"/>
          </w:tcPr>
          <w:p w:rsidR="00011C3B" w:rsidRPr="00740772" w:rsidRDefault="00011C3B" w:rsidP="00011C3B">
            <w:pPr>
              <w:spacing w:after="0"/>
              <w:jc w:val="right"/>
              <w:rPr>
                <w:rFonts w:eastAsia="Times New Roman" w:cs="Times New Roman"/>
                <w:color w:val="FF0000"/>
                <w:kern w:val="0"/>
                <w:sz w:val="20"/>
                <w:szCs w:val="20"/>
                <w:lang w:eastAsia="ar-SA"/>
              </w:rPr>
            </w:pPr>
            <w:r w:rsidRPr="00740772">
              <w:rPr>
                <w:rFonts w:eastAsia="Times New Roman" w:cs="Times New Roman"/>
                <w:kern w:val="0"/>
                <w:sz w:val="20"/>
                <w:szCs w:val="20"/>
                <w:lang w:eastAsia="ar-SA"/>
              </w:rPr>
              <w:t>229</w:t>
            </w:r>
          </w:p>
        </w:tc>
      </w:tr>
      <w:tr w:rsidR="00011C3B" w:rsidRPr="00740772" w:rsidTr="00011C3B">
        <w:trPr>
          <w:cantSplit/>
        </w:trPr>
        <w:tc>
          <w:tcPr>
            <w:tcW w:w="680" w:type="dxa"/>
          </w:tcPr>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R</w:t>
            </w:r>
          </w:p>
        </w:tc>
        <w:tc>
          <w:tcPr>
            <w:tcW w:w="5839" w:type="dxa"/>
            <w:vAlign w:val="center"/>
          </w:tcPr>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Agrár-környezetgazdálkodásba bevont terület nagysága a Natura fenntartási tervekben foglaltak alapján</w:t>
            </w:r>
          </w:p>
        </w:tc>
        <w:tc>
          <w:tcPr>
            <w:tcW w:w="1418" w:type="dxa"/>
          </w:tcPr>
          <w:p w:rsidR="00011C3B" w:rsidRPr="00740772" w:rsidRDefault="00011C3B" w:rsidP="00011C3B">
            <w:pPr>
              <w:spacing w:after="0"/>
              <w:jc w:val="right"/>
              <w:rPr>
                <w:rFonts w:eastAsia="Times New Roman" w:cs="Times New Roman"/>
                <w:kern w:val="0"/>
                <w:sz w:val="20"/>
                <w:szCs w:val="20"/>
                <w:lang w:eastAsia="ar-SA"/>
              </w:rPr>
            </w:pPr>
            <w:r w:rsidRPr="00740772">
              <w:rPr>
                <w:rFonts w:eastAsia="Times New Roman" w:cs="Times New Roman"/>
                <w:kern w:val="0"/>
                <w:sz w:val="20"/>
                <w:szCs w:val="20"/>
                <w:lang w:eastAsia="ar-SA"/>
              </w:rPr>
              <w:t>90</w:t>
            </w:r>
            <w:r w:rsidR="00B00785">
              <w:rPr>
                <w:rFonts w:eastAsia="Times New Roman" w:cs="Times New Roman"/>
                <w:kern w:val="0"/>
                <w:sz w:val="20"/>
                <w:szCs w:val="20"/>
                <w:lang w:eastAsia="ar-SA"/>
              </w:rPr>
              <w:t xml:space="preserve"> </w:t>
            </w:r>
            <w:r w:rsidRPr="00740772">
              <w:rPr>
                <w:rFonts w:eastAsia="Times New Roman" w:cs="Times New Roman"/>
                <w:kern w:val="0"/>
                <w:sz w:val="20"/>
                <w:szCs w:val="20"/>
                <w:lang w:eastAsia="ar-SA"/>
              </w:rPr>
              <w:t>000 ha</w:t>
            </w:r>
          </w:p>
        </w:tc>
        <w:tc>
          <w:tcPr>
            <w:tcW w:w="1417" w:type="dxa"/>
          </w:tcPr>
          <w:p w:rsidR="00011C3B" w:rsidRPr="00740772" w:rsidRDefault="00725B5A" w:rsidP="00011C3B">
            <w:pPr>
              <w:spacing w:after="0"/>
              <w:jc w:val="right"/>
              <w:rPr>
                <w:rFonts w:eastAsia="Times New Roman" w:cs="Times New Roman"/>
                <w:kern w:val="0"/>
                <w:sz w:val="20"/>
                <w:szCs w:val="20"/>
                <w:lang w:eastAsia="ar-SA"/>
              </w:rPr>
            </w:pPr>
            <w:r>
              <w:rPr>
                <w:rFonts w:eastAsia="Times New Roman" w:cs="Times New Roman"/>
                <w:kern w:val="0"/>
                <w:sz w:val="20"/>
                <w:szCs w:val="20"/>
                <w:lang w:eastAsia="ar-SA"/>
              </w:rPr>
              <w:t>0</w:t>
            </w:r>
          </w:p>
        </w:tc>
      </w:tr>
      <w:tr w:rsidR="00011C3B" w:rsidRPr="00740772" w:rsidTr="00011C3B">
        <w:trPr>
          <w:cantSplit/>
        </w:trPr>
        <w:tc>
          <w:tcPr>
            <w:tcW w:w="680" w:type="dxa"/>
          </w:tcPr>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I</w:t>
            </w:r>
          </w:p>
        </w:tc>
        <w:tc>
          <w:tcPr>
            <w:tcW w:w="5839" w:type="dxa"/>
            <w:vAlign w:val="center"/>
          </w:tcPr>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A biodiverzitás hanyatlásának visszafordítása</w:t>
            </w:r>
          </w:p>
          <w:p w:rsidR="00011C3B" w:rsidRPr="00740772" w:rsidRDefault="00011C3B" w:rsidP="00011C3B">
            <w:pPr>
              <w:spacing w:after="0"/>
              <w:jc w:val="left"/>
              <w:rPr>
                <w:rFonts w:eastAsia="Times New Roman" w:cs="Times New Roman"/>
                <w:kern w:val="0"/>
                <w:sz w:val="20"/>
                <w:szCs w:val="20"/>
                <w:lang w:eastAsia="ar-SA" w:bidi="sa-IN"/>
              </w:rPr>
            </w:pPr>
            <w:r w:rsidRPr="00740772">
              <w:rPr>
                <w:rFonts w:eastAsia="Times New Roman" w:cs="Times New Roman"/>
                <w:kern w:val="0"/>
                <w:sz w:val="20"/>
                <w:szCs w:val="20"/>
                <w:lang w:eastAsia="ar-SA" w:bidi="sa-IN"/>
              </w:rPr>
              <w:t>A biodiverzitás hanyatlási tendenciájának változása az indikátorfajok előfordulási indexe alapján (Nemzeti Biodiverzitás-monitorozó Program)</w:t>
            </w:r>
          </w:p>
        </w:tc>
        <w:tc>
          <w:tcPr>
            <w:tcW w:w="1418" w:type="dxa"/>
          </w:tcPr>
          <w:p w:rsidR="00011C3B" w:rsidRPr="00740772" w:rsidRDefault="00011C3B" w:rsidP="00011C3B">
            <w:pPr>
              <w:spacing w:after="0"/>
              <w:jc w:val="right"/>
              <w:rPr>
                <w:rFonts w:eastAsia="Times New Roman" w:cs="Times New Roman"/>
                <w:kern w:val="0"/>
                <w:sz w:val="20"/>
                <w:szCs w:val="20"/>
                <w:lang w:eastAsia="ar-SA"/>
              </w:rPr>
            </w:pPr>
            <w:r w:rsidRPr="00740772">
              <w:rPr>
                <w:rFonts w:eastAsia="Times New Roman" w:cs="Times New Roman"/>
                <w:kern w:val="0"/>
                <w:sz w:val="20"/>
                <w:szCs w:val="20"/>
                <w:lang w:eastAsia="ar-SA"/>
              </w:rPr>
              <w:t>+ 5%</w:t>
            </w:r>
          </w:p>
        </w:tc>
        <w:tc>
          <w:tcPr>
            <w:tcW w:w="1417" w:type="dxa"/>
          </w:tcPr>
          <w:p w:rsidR="00011C3B" w:rsidRPr="00740772" w:rsidRDefault="00CF4DAD" w:rsidP="00011C3B">
            <w:pPr>
              <w:spacing w:after="0"/>
              <w:jc w:val="right"/>
              <w:rPr>
                <w:rFonts w:eastAsia="Times New Roman" w:cs="Times New Roman"/>
                <w:kern w:val="0"/>
                <w:sz w:val="20"/>
                <w:szCs w:val="20"/>
                <w:lang w:eastAsia="ar-SA"/>
              </w:rPr>
            </w:pPr>
            <w:r>
              <w:rPr>
                <w:rFonts w:eastAsia="Times New Roman" w:cs="Times New Roman"/>
                <w:kern w:val="0"/>
                <w:sz w:val="20"/>
                <w:szCs w:val="20"/>
                <w:lang w:eastAsia="ar-SA"/>
              </w:rPr>
              <w:t>NA</w:t>
            </w:r>
          </w:p>
        </w:tc>
      </w:tr>
    </w:tbl>
    <w:p w:rsidR="00011C3B" w:rsidRDefault="00B00785" w:rsidP="00011C3B">
      <w:pPr>
        <w:spacing w:after="240"/>
      </w:pPr>
      <w:r>
        <w:t>Forrás</w:t>
      </w:r>
      <w:r w:rsidR="009C0043">
        <w:t>: MVH</w:t>
      </w:r>
    </w:p>
    <w:p w:rsidR="00725B5A" w:rsidRPr="00170CB9" w:rsidRDefault="00725B5A" w:rsidP="00725B5A">
      <w:pPr>
        <w:rPr>
          <w:szCs w:val="22"/>
        </w:rPr>
      </w:pPr>
      <w:r w:rsidRPr="00170CB9">
        <w:rPr>
          <w:szCs w:val="22"/>
          <w:lang w:eastAsia="ar-SA"/>
        </w:rPr>
        <w:t>Agrár-környezetgazdálkodásba bevont terület nagysága a Natura fenntartási tervekben foglaltak alapján</w:t>
      </w:r>
      <w:r w:rsidRPr="00170CB9">
        <w:rPr>
          <w:szCs w:val="22"/>
        </w:rPr>
        <w:t xml:space="preserve">  0 ha az indikátor célértéke, ez az érték nem fog változni a programozási időszakban, mert az AKG hamarabb indult el, mint a vizsgált intézkedés. A tervezés során az volt az alapfeltevés, hogy a Natura fenntartási tervek az AKG intézkedést megelőzően fognak elkészülni, és az abban foglalt előírások az AKG-ban is megjelennek. </w:t>
      </w:r>
      <w:r w:rsidR="00464168" w:rsidRPr="009C0043">
        <w:t>A biodiverzitás hanyatlási tendenciájának változása az indikátorfajok előfordulási indexe alapján indikátor értékére vonatkozóan a fenntartási tervek elkészültét követő monitorozó rendszerrel lesz mérhető az új programozási időszakban</w:t>
      </w:r>
    </w:p>
    <w:p w:rsidR="00011C3B" w:rsidRPr="00C003F8" w:rsidRDefault="007E5FDF" w:rsidP="00673DDE">
      <w:pPr>
        <w:pStyle w:val="bra-cmetbla"/>
      </w:pPr>
      <w:fldSimple w:instr=" SEQ táblázat \* ARABIC ">
        <w:r w:rsidR="00E5031F">
          <w:rPr>
            <w:noProof/>
          </w:rPr>
          <w:t>94</w:t>
        </w:r>
      </w:fldSimple>
      <w:r w:rsidR="00673DDE">
        <w:t xml:space="preserve">. táblázat: </w:t>
      </w:r>
      <w:r w:rsidR="00464168" w:rsidRPr="00F92037">
        <w:t xml:space="preserve">A Natura 2000 </w:t>
      </w:r>
      <w:r w:rsidR="00464168" w:rsidRPr="00896E03">
        <w:t xml:space="preserve">fenntartási </w:t>
      </w:r>
      <w:r w:rsidR="00464168" w:rsidRPr="00F92037">
        <w:t>terv elkészítéséhez nyújtandó támogatás jogcím</w:t>
      </w:r>
      <w:r w:rsidR="00464168">
        <w:t xml:space="preserve"> 2012. évi eredményei</w:t>
      </w:r>
    </w:p>
    <w:p w:rsidR="00011C3B" w:rsidRPr="00431013" w:rsidRDefault="00B452BF" w:rsidP="004869BB">
      <w:pPr>
        <w:rPr>
          <w:lang w:bidi="sa-IN"/>
        </w:rPr>
      </w:pPr>
      <w:r>
        <w:rPr>
          <w:noProof/>
        </w:rPr>
        <w:drawing>
          <wp:inline distT="0" distB="0" distL="0" distR="0" wp14:anchorId="702DFD8D" wp14:editId="2F64F166">
            <wp:extent cx="5167630" cy="1882140"/>
            <wp:effectExtent l="0" t="0" r="0" b="3810"/>
            <wp:docPr id="59"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Pr="00EA3571" w:rsidRDefault="00011C3B" w:rsidP="004869BB">
      <w:pPr>
        <w:rPr>
          <w:lang w:bidi="sa-IN"/>
        </w:rPr>
      </w:pPr>
      <w:r>
        <w:rPr>
          <w:lang w:bidi="sa-IN"/>
        </w:rPr>
        <w:t xml:space="preserve">2012 folyamán 229 db támogatási kérelem került benyújtásra és kapott támogatói döntést összesen 2 </w:t>
      </w:r>
      <w:r w:rsidR="00B00785">
        <w:rPr>
          <w:lang w:bidi="sa-IN"/>
        </w:rPr>
        <w:t xml:space="preserve">M </w:t>
      </w:r>
      <w:r>
        <w:rPr>
          <w:lang w:bidi="sa-IN"/>
        </w:rPr>
        <w:t xml:space="preserve">euró (601,5 </w:t>
      </w:r>
      <w:r w:rsidR="00B00785">
        <w:rPr>
          <w:lang w:bidi="sa-IN"/>
        </w:rPr>
        <w:t>M</w:t>
      </w:r>
      <w:r>
        <w:rPr>
          <w:lang w:bidi="sa-IN"/>
        </w:rPr>
        <w:t xml:space="preserve"> Ft) összegben.</w:t>
      </w:r>
    </w:p>
    <w:p w:rsidR="00011C3B" w:rsidRPr="00896E03" w:rsidRDefault="00011C3B" w:rsidP="00DB48A3">
      <w:pPr>
        <w:pStyle w:val="Cmsor3"/>
      </w:pPr>
      <w:bookmarkStart w:id="344" w:name="_Toc360176823"/>
      <w:r w:rsidRPr="00896E03">
        <w:lastRenderedPageBreak/>
        <w:t>Képzés és tájékoztatás intézkedés (331) rövid bemutatása</w:t>
      </w:r>
      <w:bookmarkEnd w:id="341"/>
      <w:bookmarkEnd w:id="342"/>
      <w:bookmarkEnd w:id="344"/>
    </w:p>
    <w:p w:rsidR="00011C3B" w:rsidRPr="00C003F8" w:rsidRDefault="00011C3B" w:rsidP="004869BB">
      <w:pPr>
        <w:rPr>
          <w:lang w:bidi="sa-IN"/>
        </w:rPr>
      </w:pPr>
      <w:r w:rsidRPr="00C003F8">
        <w:rPr>
          <w:lang w:bidi="sa-IN"/>
        </w:rPr>
        <w:t>Az intézkedés célja a vidéki térségekben élők ismereteinek, információinak és készségeinek fejlesztése a vidéki gazdaság diverzifikációjához, a nem mezőgazdasági vállalkozások fejlesztéséhez, a jövedelmi és foglalkoztatási helyzet javításához, a vidéki élet és élettér minőségének javításához.</w:t>
      </w:r>
    </w:p>
    <w:p w:rsidR="00011C3B" w:rsidRPr="00C003F8" w:rsidRDefault="00011C3B" w:rsidP="004869BB">
      <w:pPr>
        <w:rPr>
          <w:lang w:bidi="sa-IN"/>
        </w:rPr>
      </w:pPr>
      <w:r w:rsidRPr="00C003F8">
        <w:rPr>
          <w:lang w:bidi="sa-IN"/>
        </w:rPr>
        <w:t>Az intézkedés keretei között a III. tengely egyes intézkedéseinek kiválasztott és potenciális kedvezményezettjei – kizárólag olyan gazdasági szereplők, akiknek a célja vállalkozásuk fejlesztése – iskolarendszeren kívüli szakmai képzések, tanfolyamokon, tájékoztató jellegű programokon vehetnek részt, amelyek gyakorlati bemutatókat is tartalmaznak, továbbá a vidéki vállalkozók, az önkormányzatok, nonprofit szervezetek és természetes személyek számára nyújtott ügyfélszolgálati tájékoztatási tevékenységek is támogathatók.</w:t>
      </w:r>
    </w:p>
    <w:p w:rsidR="00011C3B" w:rsidRPr="00C003F8" w:rsidRDefault="00011C3B" w:rsidP="004869BB">
      <w:r w:rsidRPr="00C003F8">
        <w:t xml:space="preserve">Az intézkedés </w:t>
      </w:r>
      <w:r w:rsidRPr="000854AD">
        <w:rPr>
          <w:b/>
        </w:rPr>
        <w:t>nem került beindításra</w:t>
      </w:r>
      <w:r>
        <w:t>, a 2011. évi programmódosítást következtében az intézkedésen rendelkezésre álló forrás átcsoportosításra került.</w:t>
      </w:r>
    </w:p>
    <w:p w:rsidR="00011C3B" w:rsidRPr="00896E03" w:rsidRDefault="00011C3B" w:rsidP="00DB48A3">
      <w:pPr>
        <w:pStyle w:val="Cmsor3"/>
      </w:pPr>
      <w:bookmarkStart w:id="345" w:name="_Toc297560983"/>
      <w:bookmarkStart w:id="346" w:name="_Toc328638731"/>
      <w:bookmarkStart w:id="347" w:name="_Toc360176824"/>
      <w:r w:rsidRPr="00896E03">
        <w:t>Készségek elsajátítása, ösztönzés és végrehajtás (341) intézkedés rövid bemutatása</w:t>
      </w:r>
      <w:bookmarkEnd w:id="345"/>
      <w:bookmarkEnd w:id="346"/>
      <w:bookmarkEnd w:id="347"/>
    </w:p>
    <w:p w:rsidR="00011C3B" w:rsidRPr="00C003F8" w:rsidRDefault="00011C3B" w:rsidP="004869BB">
      <w:r w:rsidRPr="00C003F8">
        <w:t>Az intézkedés keretében kialakított Helyi Vidékfejlesztési Iroda (HVI) hálózat elsősorban a helyi szintű tervezés segítésére 2007-ben jött létre. A HVI-k kistérségi szinten egyablakos ügyfélkapuként és információs pontként szolgáltak a P</w:t>
      </w:r>
      <w:r>
        <w:t>rogramhoz</w:t>
      </w:r>
      <w:r w:rsidRPr="00C003F8">
        <w:t>, illetve elősegítették a P</w:t>
      </w:r>
      <w:r>
        <w:t>rogram</w:t>
      </w:r>
      <w:r w:rsidRPr="00C003F8">
        <w:t xml:space="preserve"> helyi szinten történő minél eredményesebb megvalósulását és társadalmasításán keresztül katalizátorként vettek részt a helyi közösségek vidékfejlesztési elképzeléseinek megfogalmazásában, majd megvalósításában. A </w:t>
      </w:r>
      <w:r>
        <w:t>Program</w:t>
      </w:r>
      <w:r w:rsidRPr="00C003F8">
        <w:t xml:space="preserve"> társadalmasítása érdekében a HVI-k helyi szereplők közreműködésével működtek. Az intézkedés keretében ezek a közreműködő szervezetek vehettek igénybe támogatást. A közreműködő szervezetek címbirtokosi pályázat kiírásának megnyerésével kaphattak elismerést, és ennek az elismerésnek a birtokában voltak jogosultak a támogatás igénylésére.</w:t>
      </w:r>
      <w:r>
        <w:t xml:space="preserve"> </w:t>
      </w:r>
      <w:r w:rsidRPr="00C003F8">
        <w:t xml:space="preserve"> </w:t>
      </w:r>
    </w:p>
    <w:p w:rsidR="00011C3B" w:rsidRPr="00C003F8" w:rsidRDefault="00011C3B" w:rsidP="004869BB">
      <w:r w:rsidRPr="00C003F8">
        <w:t>Az intézkedés nem tartalmaz alintézkedéseket, a készségek elsajátítására, ösztönzésére és végrehajtására igénybe vehető támogatás jogcím az intézkedést teljes egészében lefedi.</w:t>
      </w:r>
    </w:p>
    <w:p w:rsidR="00011C3B" w:rsidRPr="00F92037" w:rsidRDefault="007E5FDF" w:rsidP="00F92037">
      <w:pPr>
        <w:pStyle w:val="bra-cmetbla"/>
      </w:pPr>
      <w:fldSimple w:instr=" SEQ táblázat \* ARABIC ">
        <w:r w:rsidR="00E5031F">
          <w:rPr>
            <w:noProof/>
          </w:rPr>
          <w:t>95</w:t>
        </w:r>
      </w:fldSimple>
      <w:r w:rsidR="00673DDE">
        <w:t xml:space="preserve">. táblázat: </w:t>
      </w:r>
      <w:r w:rsidR="00011C3B" w:rsidRPr="00F92037">
        <w:t>Készségek elsajátítása, ösztönzés és végrehajtás (341) indikátorainak megvalósulása</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7"/>
        <w:gridCol w:w="5351"/>
        <w:gridCol w:w="1746"/>
        <w:gridCol w:w="1966"/>
      </w:tblGrid>
      <w:tr w:rsidR="00011C3B" w:rsidRPr="008B76DD" w:rsidTr="00011C3B">
        <w:trPr>
          <w:cantSplit/>
          <w:tblHeader/>
          <w:jc w:val="center"/>
        </w:trPr>
        <w:tc>
          <w:tcPr>
            <w:tcW w:w="384" w:type="dxa"/>
            <w:shd w:val="clear" w:color="auto" w:fill="B3B3B3"/>
          </w:tcPr>
          <w:p w:rsidR="00011C3B" w:rsidRPr="008B76DD" w:rsidRDefault="00011C3B" w:rsidP="00011C3B">
            <w:pPr>
              <w:pStyle w:val="Norml1"/>
              <w:keepNext/>
              <w:spacing w:after="0"/>
              <w:jc w:val="center"/>
              <w:rPr>
                <w:b/>
                <w:bCs/>
                <w:sz w:val="20"/>
                <w:szCs w:val="20"/>
                <w:lang w:val="hu-HU" w:bidi="sa-IN"/>
              </w:rPr>
            </w:pPr>
          </w:p>
        </w:tc>
        <w:tc>
          <w:tcPr>
            <w:tcW w:w="5368" w:type="dxa"/>
            <w:shd w:val="clear" w:color="auto" w:fill="B3B3B3"/>
            <w:vAlign w:val="center"/>
          </w:tcPr>
          <w:p w:rsidR="00011C3B" w:rsidRPr="008B76DD" w:rsidRDefault="00011C3B" w:rsidP="00011C3B">
            <w:pPr>
              <w:pStyle w:val="Norml1"/>
              <w:keepNext/>
              <w:spacing w:after="0"/>
              <w:jc w:val="center"/>
              <w:rPr>
                <w:sz w:val="20"/>
                <w:szCs w:val="20"/>
                <w:lang w:bidi="sa-IN"/>
              </w:rPr>
            </w:pPr>
            <w:r w:rsidRPr="008B76DD">
              <w:rPr>
                <w:b/>
                <w:bCs/>
                <w:sz w:val="20"/>
                <w:szCs w:val="20"/>
                <w:lang w:val="hu-HU" w:bidi="sa-IN"/>
              </w:rPr>
              <w:t>Indikátor leírása</w:t>
            </w:r>
          </w:p>
        </w:tc>
        <w:tc>
          <w:tcPr>
            <w:tcW w:w="1749" w:type="dxa"/>
            <w:shd w:val="clear" w:color="auto" w:fill="B3B3B3"/>
            <w:vAlign w:val="center"/>
          </w:tcPr>
          <w:p w:rsidR="00011C3B" w:rsidRPr="008B76DD" w:rsidRDefault="00011C3B" w:rsidP="00011C3B">
            <w:pPr>
              <w:pStyle w:val="Norml1"/>
              <w:keepNext/>
              <w:spacing w:after="0"/>
              <w:jc w:val="center"/>
              <w:rPr>
                <w:sz w:val="20"/>
                <w:szCs w:val="20"/>
                <w:lang w:bidi="sa-IN"/>
              </w:rPr>
            </w:pPr>
            <w:r w:rsidRPr="008B76DD">
              <w:rPr>
                <w:b/>
                <w:sz w:val="20"/>
                <w:szCs w:val="20"/>
              </w:rPr>
              <w:t>Program szerinti tervadat</w:t>
            </w:r>
          </w:p>
        </w:tc>
        <w:tc>
          <w:tcPr>
            <w:tcW w:w="1969" w:type="dxa"/>
            <w:shd w:val="clear" w:color="auto" w:fill="B3B3B3"/>
            <w:vAlign w:val="center"/>
          </w:tcPr>
          <w:p w:rsidR="00011C3B" w:rsidRPr="008B76DD" w:rsidRDefault="00011C3B" w:rsidP="00011C3B">
            <w:pPr>
              <w:pStyle w:val="Norml1"/>
              <w:keepNext/>
              <w:spacing w:after="0"/>
              <w:jc w:val="center"/>
              <w:rPr>
                <w:b/>
                <w:bCs/>
                <w:sz w:val="20"/>
                <w:szCs w:val="20"/>
                <w:lang w:val="hu-HU" w:bidi="sa-IN"/>
              </w:rPr>
            </w:pPr>
            <w:r w:rsidRPr="008B76DD">
              <w:rPr>
                <w:b/>
                <w:sz w:val="20"/>
                <w:szCs w:val="20"/>
              </w:rPr>
              <w:t>Indikátorok kumulált értéke</w:t>
            </w:r>
          </w:p>
        </w:tc>
      </w:tr>
      <w:tr w:rsidR="00011C3B" w:rsidRPr="008B76DD" w:rsidTr="00011C3B">
        <w:trPr>
          <w:cantSplit/>
          <w:jc w:val="center"/>
        </w:trPr>
        <w:tc>
          <w:tcPr>
            <w:tcW w:w="384" w:type="dxa"/>
            <w:vMerge w:val="restart"/>
          </w:tcPr>
          <w:p w:rsidR="00011C3B" w:rsidRPr="008B76DD" w:rsidRDefault="00B6645A" w:rsidP="00011C3B">
            <w:pPr>
              <w:pStyle w:val="Norml1"/>
              <w:keepNext/>
              <w:spacing w:after="0"/>
              <w:jc w:val="center"/>
              <w:rPr>
                <w:sz w:val="20"/>
                <w:szCs w:val="20"/>
                <w:lang w:val="hu-HU" w:bidi="sa-IN"/>
              </w:rPr>
            </w:pPr>
            <w:r>
              <w:rPr>
                <w:sz w:val="20"/>
                <w:szCs w:val="20"/>
                <w:lang w:val="hu-HU" w:bidi="sa-IN"/>
              </w:rPr>
              <w:t>I</w:t>
            </w:r>
            <w:r w:rsidR="00011C3B" w:rsidRPr="008B76DD">
              <w:rPr>
                <w:sz w:val="20"/>
                <w:szCs w:val="20"/>
                <w:lang w:val="hu-HU" w:bidi="sa-IN"/>
              </w:rPr>
              <w:t>O</w:t>
            </w:r>
          </w:p>
        </w:tc>
        <w:tc>
          <w:tcPr>
            <w:tcW w:w="5368" w:type="dxa"/>
          </w:tcPr>
          <w:p w:rsidR="00011C3B" w:rsidRPr="008B76DD" w:rsidRDefault="00011C3B" w:rsidP="00011C3B">
            <w:pPr>
              <w:pStyle w:val="Norml1"/>
              <w:keepNext/>
              <w:spacing w:after="0"/>
              <w:rPr>
                <w:sz w:val="20"/>
                <w:szCs w:val="20"/>
                <w:lang w:bidi="sa-IN"/>
              </w:rPr>
            </w:pPr>
            <w:r w:rsidRPr="008B76DD">
              <w:rPr>
                <w:sz w:val="20"/>
                <w:szCs w:val="20"/>
                <w:lang w:val="hu-HU" w:bidi="sa-IN"/>
              </w:rPr>
              <w:t>Készségek elsajátítása, ösztönzés száma</w:t>
            </w:r>
            <w:r w:rsidRPr="008B76DD">
              <w:rPr>
                <w:sz w:val="20"/>
                <w:szCs w:val="20"/>
                <w:lang w:bidi="sa-IN"/>
              </w:rPr>
              <w:t xml:space="preserve"> </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4</w:t>
            </w:r>
            <w:r w:rsidR="009F6EF2">
              <w:rPr>
                <w:sz w:val="20"/>
                <w:szCs w:val="20"/>
              </w:rPr>
              <w:t xml:space="preserve"> </w:t>
            </w:r>
            <w:r w:rsidRPr="008B76DD">
              <w:rPr>
                <w:sz w:val="20"/>
                <w:szCs w:val="20"/>
              </w:rPr>
              <w:t>500</w:t>
            </w:r>
          </w:p>
        </w:tc>
        <w:tc>
          <w:tcPr>
            <w:tcW w:w="1969" w:type="dxa"/>
          </w:tcPr>
          <w:p w:rsidR="00011C3B" w:rsidRPr="008B76DD" w:rsidRDefault="00011C3B" w:rsidP="00011C3B">
            <w:pPr>
              <w:pStyle w:val="Norml1"/>
              <w:keepNext/>
              <w:spacing w:after="0"/>
              <w:jc w:val="right"/>
              <w:rPr>
                <w:sz w:val="20"/>
                <w:szCs w:val="20"/>
              </w:rPr>
            </w:pPr>
            <w:r>
              <w:rPr>
                <w:sz w:val="20"/>
                <w:szCs w:val="20"/>
              </w:rPr>
              <w:t>85 906</w:t>
            </w:r>
          </w:p>
        </w:tc>
      </w:tr>
      <w:tr w:rsidR="00011C3B" w:rsidRPr="008B76DD" w:rsidTr="00011C3B">
        <w:trPr>
          <w:cantSplit/>
          <w:jc w:val="center"/>
        </w:trPr>
        <w:tc>
          <w:tcPr>
            <w:tcW w:w="384" w:type="dxa"/>
            <w:vMerge/>
          </w:tcPr>
          <w:p w:rsidR="00011C3B" w:rsidRPr="008B76DD" w:rsidRDefault="00011C3B" w:rsidP="00011C3B">
            <w:pPr>
              <w:spacing w:after="0"/>
              <w:ind w:left="357"/>
              <w:jc w:val="center"/>
              <w:rPr>
                <w:sz w:val="20"/>
                <w:szCs w:val="20"/>
                <w:lang w:bidi="sa-IN"/>
              </w:rPr>
            </w:pPr>
          </w:p>
        </w:tc>
        <w:tc>
          <w:tcPr>
            <w:tcW w:w="5368" w:type="dxa"/>
          </w:tcPr>
          <w:p w:rsidR="00011C3B" w:rsidRPr="008B76DD" w:rsidRDefault="00011C3B" w:rsidP="00011C3B">
            <w:pPr>
              <w:spacing w:after="0"/>
              <w:rPr>
                <w:sz w:val="20"/>
                <w:szCs w:val="20"/>
                <w:lang w:bidi="sa-IN"/>
              </w:rPr>
            </w:pPr>
            <w:r w:rsidRPr="008B76DD">
              <w:rPr>
                <w:sz w:val="20"/>
                <w:szCs w:val="20"/>
                <w:lang w:bidi="sa-IN"/>
              </w:rPr>
              <w:t>Az intézkedés típusa</w:t>
            </w:r>
          </w:p>
        </w:tc>
        <w:tc>
          <w:tcPr>
            <w:tcW w:w="1749" w:type="dxa"/>
          </w:tcPr>
          <w:p w:rsidR="00011C3B" w:rsidRPr="008B76DD" w:rsidRDefault="00011C3B" w:rsidP="00011C3B">
            <w:pPr>
              <w:pStyle w:val="Norml1"/>
              <w:keepNext/>
              <w:spacing w:after="0"/>
              <w:jc w:val="right"/>
              <w:rPr>
                <w:sz w:val="20"/>
                <w:szCs w:val="20"/>
              </w:rPr>
            </w:pPr>
          </w:p>
        </w:tc>
        <w:tc>
          <w:tcPr>
            <w:tcW w:w="1969" w:type="dxa"/>
          </w:tcPr>
          <w:p w:rsidR="00011C3B" w:rsidRPr="008B76DD" w:rsidRDefault="00011C3B" w:rsidP="00011C3B">
            <w:pPr>
              <w:pStyle w:val="Norml1"/>
              <w:keepNext/>
              <w:spacing w:after="0"/>
              <w:ind w:right="132"/>
              <w:jc w:val="right"/>
              <w:rPr>
                <w:sz w:val="20"/>
                <w:szCs w:val="20"/>
              </w:rPr>
            </w:pP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Az érintett területek elemzése</w:t>
            </w:r>
          </w:p>
        </w:tc>
        <w:tc>
          <w:tcPr>
            <w:tcW w:w="1749" w:type="dxa"/>
            <w:vAlign w:val="bottom"/>
          </w:tcPr>
          <w:p w:rsidR="00011C3B" w:rsidRPr="008B76DD" w:rsidRDefault="00011C3B" w:rsidP="00011C3B">
            <w:pPr>
              <w:pStyle w:val="Norml1"/>
              <w:keepNext/>
              <w:spacing w:after="0"/>
              <w:jc w:val="right"/>
              <w:rPr>
                <w:sz w:val="20"/>
                <w:szCs w:val="20"/>
              </w:rPr>
            </w:pPr>
            <w:r w:rsidRPr="008B76DD">
              <w:rPr>
                <w:sz w:val="20"/>
                <w:szCs w:val="20"/>
              </w:rPr>
              <w:t>509</w:t>
            </w:r>
          </w:p>
        </w:tc>
        <w:tc>
          <w:tcPr>
            <w:tcW w:w="1969" w:type="dxa"/>
          </w:tcPr>
          <w:p w:rsidR="00011C3B" w:rsidRPr="008B76DD" w:rsidRDefault="00011C3B" w:rsidP="00011C3B">
            <w:pPr>
              <w:pStyle w:val="Norml1"/>
              <w:keepNext/>
              <w:spacing w:after="0"/>
              <w:ind w:right="132"/>
              <w:jc w:val="right"/>
              <w:rPr>
                <w:sz w:val="20"/>
                <w:szCs w:val="20"/>
              </w:rPr>
            </w:pPr>
            <w:r w:rsidRPr="008B76DD">
              <w:rPr>
                <w:sz w:val="20"/>
                <w:szCs w:val="20"/>
              </w:rPr>
              <w:t>11</w:t>
            </w:r>
            <w:r>
              <w:rPr>
                <w:sz w:val="20"/>
                <w:szCs w:val="20"/>
              </w:rPr>
              <w:t xml:space="preserve"> 355</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jc w:val="left"/>
              <w:rPr>
                <w:sz w:val="20"/>
                <w:szCs w:val="20"/>
              </w:rPr>
            </w:pPr>
            <w:r w:rsidRPr="008B76DD">
              <w:rPr>
                <w:sz w:val="20"/>
                <w:szCs w:val="20"/>
              </w:rPr>
              <w:t>A területre és a helyi fejlesztési stratégiára vonatkozó adatszolgáltatás</w:t>
            </w:r>
          </w:p>
        </w:tc>
        <w:tc>
          <w:tcPr>
            <w:tcW w:w="1749" w:type="dxa"/>
            <w:vAlign w:val="bottom"/>
          </w:tcPr>
          <w:p w:rsidR="00011C3B" w:rsidRPr="008B76DD" w:rsidRDefault="00011C3B" w:rsidP="00011C3B">
            <w:pPr>
              <w:pStyle w:val="Norml1"/>
              <w:keepNext/>
              <w:spacing w:after="0"/>
              <w:jc w:val="right"/>
              <w:rPr>
                <w:sz w:val="20"/>
                <w:szCs w:val="20"/>
              </w:rPr>
            </w:pPr>
            <w:r w:rsidRPr="008B76DD">
              <w:rPr>
                <w:sz w:val="20"/>
                <w:szCs w:val="20"/>
              </w:rPr>
              <w:t>2 013</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24 871</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jc w:val="left"/>
              <w:rPr>
                <w:sz w:val="20"/>
                <w:szCs w:val="20"/>
              </w:rPr>
            </w:pPr>
            <w:r w:rsidRPr="008B76DD">
              <w:rPr>
                <w:sz w:val="20"/>
                <w:szCs w:val="20"/>
              </w:rPr>
              <w:t>A helyi fejlesztési stratégiák elkészítésében és végrehajtásában részt vevő személyzet képzése</w:t>
            </w:r>
          </w:p>
        </w:tc>
        <w:tc>
          <w:tcPr>
            <w:tcW w:w="1749" w:type="dxa"/>
            <w:vAlign w:val="bottom"/>
          </w:tcPr>
          <w:p w:rsidR="00011C3B" w:rsidRPr="008B76DD" w:rsidRDefault="00011C3B" w:rsidP="00011C3B">
            <w:pPr>
              <w:pStyle w:val="Norml1"/>
              <w:keepNext/>
              <w:spacing w:after="0"/>
              <w:jc w:val="right"/>
              <w:rPr>
                <w:sz w:val="20"/>
                <w:szCs w:val="20"/>
              </w:rPr>
            </w:pPr>
            <w:r w:rsidRPr="008B76DD">
              <w:rPr>
                <w:sz w:val="20"/>
                <w:szCs w:val="20"/>
              </w:rPr>
              <w:t>253</w:t>
            </w:r>
          </w:p>
        </w:tc>
        <w:tc>
          <w:tcPr>
            <w:tcW w:w="1969" w:type="dxa"/>
          </w:tcPr>
          <w:p w:rsidR="00011C3B" w:rsidRPr="008B76DD" w:rsidRDefault="00011C3B" w:rsidP="00011C3B">
            <w:pPr>
              <w:pStyle w:val="Norml1"/>
              <w:keepNext/>
              <w:spacing w:after="0"/>
              <w:ind w:right="132"/>
              <w:jc w:val="right"/>
              <w:rPr>
                <w:sz w:val="20"/>
                <w:szCs w:val="20"/>
              </w:rPr>
            </w:pPr>
            <w:r w:rsidRPr="008B76DD">
              <w:rPr>
                <w:sz w:val="20"/>
                <w:szCs w:val="20"/>
              </w:rPr>
              <w:t>2</w:t>
            </w:r>
            <w:r>
              <w:rPr>
                <w:sz w:val="20"/>
                <w:szCs w:val="20"/>
              </w:rPr>
              <w:t xml:space="preserve"> 831</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Promóciós események</w:t>
            </w:r>
          </w:p>
        </w:tc>
        <w:tc>
          <w:tcPr>
            <w:tcW w:w="1749" w:type="dxa"/>
            <w:vAlign w:val="bottom"/>
          </w:tcPr>
          <w:p w:rsidR="00011C3B" w:rsidRPr="008B76DD" w:rsidRDefault="00011C3B" w:rsidP="00011C3B">
            <w:pPr>
              <w:pStyle w:val="Norml1"/>
              <w:keepNext/>
              <w:spacing w:after="0"/>
              <w:jc w:val="right"/>
              <w:rPr>
                <w:sz w:val="20"/>
                <w:szCs w:val="20"/>
              </w:rPr>
            </w:pPr>
            <w:r w:rsidRPr="008B76DD">
              <w:rPr>
                <w:sz w:val="20"/>
                <w:szCs w:val="20"/>
              </w:rPr>
              <w:t>1 006</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22 898</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Egyéb</w:t>
            </w:r>
          </w:p>
        </w:tc>
        <w:tc>
          <w:tcPr>
            <w:tcW w:w="1749" w:type="dxa"/>
            <w:vAlign w:val="bottom"/>
          </w:tcPr>
          <w:p w:rsidR="00011C3B" w:rsidRPr="008B76DD" w:rsidRDefault="00011C3B" w:rsidP="00011C3B">
            <w:pPr>
              <w:pStyle w:val="Norml1"/>
              <w:keepNext/>
              <w:spacing w:after="0"/>
              <w:jc w:val="right"/>
              <w:rPr>
                <w:sz w:val="20"/>
                <w:szCs w:val="20"/>
              </w:rPr>
            </w:pPr>
            <w:r w:rsidRPr="008B76DD">
              <w:rPr>
                <w:sz w:val="20"/>
                <w:szCs w:val="20"/>
              </w:rPr>
              <w:t>719</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23 951</w:t>
            </w:r>
          </w:p>
        </w:tc>
      </w:tr>
      <w:tr w:rsidR="00011C3B" w:rsidRPr="008B76DD" w:rsidTr="00011C3B">
        <w:trPr>
          <w:cantSplit/>
          <w:jc w:val="center"/>
        </w:trPr>
        <w:tc>
          <w:tcPr>
            <w:tcW w:w="384" w:type="dxa"/>
            <w:vMerge/>
          </w:tcPr>
          <w:p w:rsidR="00011C3B" w:rsidRPr="008B76DD" w:rsidRDefault="00011C3B" w:rsidP="00011C3B">
            <w:pPr>
              <w:pStyle w:val="Norml1"/>
              <w:keepNext/>
              <w:spacing w:after="0"/>
              <w:jc w:val="center"/>
              <w:rPr>
                <w:b/>
                <w:bCs/>
                <w:sz w:val="20"/>
                <w:szCs w:val="20"/>
                <w:lang w:val="hu-HU" w:bidi="sa-IN"/>
              </w:rPr>
            </w:pPr>
          </w:p>
        </w:tc>
        <w:tc>
          <w:tcPr>
            <w:tcW w:w="5368" w:type="dxa"/>
          </w:tcPr>
          <w:p w:rsidR="00011C3B" w:rsidRPr="008B76DD" w:rsidRDefault="00011C3B" w:rsidP="00011C3B">
            <w:pPr>
              <w:pStyle w:val="Norml1"/>
              <w:keepNext/>
              <w:spacing w:after="0"/>
              <w:rPr>
                <w:b/>
                <w:bCs/>
                <w:sz w:val="20"/>
                <w:szCs w:val="20"/>
                <w:lang w:bidi="sa-IN"/>
              </w:rPr>
            </w:pPr>
            <w:r w:rsidRPr="008B76DD">
              <w:rPr>
                <w:b/>
                <w:bCs/>
                <w:sz w:val="20"/>
                <w:szCs w:val="20"/>
                <w:lang w:val="hu-HU" w:bidi="sa-IN"/>
              </w:rPr>
              <w:t>Résztvevők száma</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100 000</w:t>
            </w:r>
          </w:p>
        </w:tc>
        <w:tc>
          <w:tcPr>
            <w:tcW w:w="1969" w:type="dxa"/>
          </w:tcPr>
          <w:p w:rsidR="00011C3B" w:rsidRPr="008B76DD" w:rsidRDefault="00B6645A" w:rsidP="00B6645A">
            <w:pPr>
              <w:pStyle w:val="Norml1"/>
              <w:keepNext/>
              <w:spacing w:after="0"/>
              <w:ind w:right="132"/>
              <w:jc w:val="right"/>
              <w:rPr>
                <w:sz w:val="20"/>
                <w:szCs w:val="20"/>
              </w:rPr>
            </w:pPr>
            <w:r>
              <w:rPr>
                <w:sz w:val="20"/>
                <w:szCs w:val="20"/>
              </w:rPr>
              <w:t>3</w:t>
            </w:r>
            <w:r w:rsidR="00011C3B">
              <w:rPr>
                <w:sz w:val="20"/>
                <w:szCs w:val="20"/>
              </w:rPr>
              <w:t> 1</w:t>
            </w:r>
            <w:r>
              <w:rPr>
                <w:sz w:val="20"/>
                <w:szCs w:val="20"/>
              </w:rPr>
              <w:t>30</w:t>
            </w:r>
            <w:r w:rsidR="00011C3B">
              <w:rPr>
                <w:sz w:val="20"/>
                <w:szCs w:val="20"/>
              </w:rPr>
              <w:t xml:space="preserve"> 123</w:t>
            </w:r>
          </w:p>
        </w:tc>
      </w:tr>
      <w:tr w:rsidR="00011C3B" w:rsidRPr="008B76DD" w:rsidTr="00011C3B">
        <w:trPr>
          <w:cantSplit/>
          <w:jc w:val="center"/>
        </w:trPr>
        <w:tc>
          <w:tcPr>
            <w:tcW w:w="384" w:type="dxa"/>
            <w:vMerge/>
          </w:tcPr>
          <w:p w:rsidR="00011C3B" w:rsidRPr="008B76DD" w:rsidRDefault="00011C3B" w:rsidP="00011C3B">
            <w:pPr>
              <w:spacing w:after="0"/>
              <w:ind w:left="357"/>
              <w:jc w:val="center"/>
              <w:rPr>
                <w:sz w:val="20"/>
                <w:szCs w:val="20"/>
                <w:lang w:bidi="sa-IN"/>
              </w:rPr>
            </w:pPr>
          </w:p>
        </w:tc>
        <w:tc>
          <w:tcPr>
            <w:tcW w:w="5368" w:type="dxa"/>
          </w:tcPr>
          <w:p w:rsidR="00011C3B" w:rsidRPr="008B76DD" w:rsidRDefault="00011C3B" w:rsidP="00011C3B">
            <w:pPr>
              <w:spacing w:after="0"/>
              <w:rPr>
                <w:sz w:val="20"/>
                <w:szCs w:val="20"/>
                <w:lang w:bidi="sa-IN"/>
              </w:rPr>
            </w:pPr>
            <w:r w:rsidRPr="008B76DD">
              <w:rPr>
                <w:sz w:val="20"/>
                <w:szCs w:val="20"/>
                <w:lang w:bidi="sa-IN"/>
              </w:rPr>
              <w:t>Az intézkedés típusa</w:t>
            </w:r>
          </w:p>
        </w:tc>
        <w:tc>
          <w:tcPr>
            <w:tcW w:w="1749" w:type="dxa"/>
          </w:tcPr>
          <w:p w:rsidR="00011C3B" w:rsidRPr="008B76DD" w:rsidRDefault="00011C3B" w:rsidP="00011C3B">
            <w:pPr>
              <w:pStyle w:val="Norml1"/>
              <w:keepNext/>
              <w:spacing w:after="0"/>
              <w:jc w:val="right"/>
              <w:rPr>
                <w:sz w:val="20"/>
                <w:szCs w:val="20"/>
              </w:rPr>
            </w:pPr>
          </w:p>
        </w:tc>
        <w:tc>
          <w:tcPr>
            <w:tcW w:w="1969" w:type="dxa"/>
          </w:tcPr>
          <w:p w:rsidR="00011C3B" w:rsidRPr="008B76DD" w:rsidRDefault="00011C3B" w:rsidP="00011C3B">
            <w:pPr>
              <w:pStyle w:val="Norml1"/>
              <w:keepNext/>
              <w:spacing w:after="0"/>
              <w:ind w:right="132"/>
              <w:jc w:val="right"/>
              <w:rPr>
                <w:sz w:val="20"/>
                <w:szCs w:val="20"/>
              </w:rPr>
            </w:pP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Az érintett területek elemzése</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15 599</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163 955</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A területre és a helyi fejlesztési stratégiára vonatkozó adatszolgáltatás</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9 527</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414 374</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A helyi fejlesztési stratégiák elkészítésében és végrehajtásában részt vevő személyzet képzése</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23 398</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5 283</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Promóciós események</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7 799</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1 880 453</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 xml:space="preserve">Az 52. cikk (a), (b) és (c) bekezdésében felsorolt egy vagy több intézkedést magába foglaló helyi fejlesztési stratégia végrehajtása olyan PPP-k által, amelyek nem tartoznak a 62. cikk (1) bekezdésének (b) pontjában meghatározottak közé (azaz a IV. tengely szerinti Helyi Akciócsoportok a Leader-megközelítés vonatkozásában) </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12 479</w:t>
            </w:r>
          </w:p>
        </w:tc>
        <w:tc>
          <w:tcPr>
            <w:tcW w:w="1969" w:type="dxa"/>
          </w:tcPr>
          <w:p w:rsidR="00011C3B" w:rsidRPr="008B76DD" w:rsidRDefault="00011C3B" w:rsidP="00011C3B">
            <w:pPr>
              <w:pStyle w:val="Norml1"/>
              <w:keepNext/>
              <w:spacing w:after="0"/>
              <w:ind w:right="132"/>
              <w:jc w:val="right"/>
              <w:rPr>
                <w:sz w:val="20"/>
                <w:szCs w:val="20"/>
              </w:rPr>
            </w:pPr>
            <w:r w:rsidRPr="008B76DD">
              <w:rPr>
                <w:sz w:val="20"/>
                <w:szCs w:val="20"/>
              </w:rPr>
              <w:t>-</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lang w:bidi="sa-IN"/>
              </w:rPr>
            </w:pPr>
            <w:r w:rsidRPr="008B76DD">
              <w:rPr>
                <w:sz w:val="20"/>
                <w:szCs w:val="20"/>
              </w:rPr>
              <w:t>Egyéb</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31 197</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666 058</w:t>
            </w:r>
          </w:p>
        </w:tc>
      </w:tr>
      <w:tr w:rsidR="00011C3B" w:rsidRPr="008B76DD" w:rsidTr="00011C3B">
        <w:trPr>
          <w:cantSplit/>
          <w:jc w:val="center"/>
        </w:trPr>
        <w:tc>
          <w:tcPr>
            <w:tcW w:w="384" w:type="dxa"/>
            <w:vMerge/>
          </w:tcPr>
          <w:p w:rsidR="00011C3B" w:rsidRPr="008B76DD" w:rsidRDefault="00011C3B" w:rsidP="00011C3B">
            <w:pPr>
              <w:keepNext/>
              <w:spacing w:after="0"/>
              <w:jc w:val="center"/>
              <w:rPr>
                <w:sz w:val="20"/>
                <w:szCs w:val="20"/>
                <w:lang w:bidi="sa-IN"/>
              </w:rPr>
            </w:pPr>
          </w:p>
        </w:tc>
        <w:tc>
          <w:tcPr>
            <w:tcW w:w="5368" w:type="dxa"/>
          </w:tcPr>
          <w:p w:rsidR="00011C3B" w:rsidRPr="008B76DD" w:rsidRDefault="00011C3B" w:rsidP="00011C3B">
            <w:pPr>
              <w:keepNext/>
              <w:tabs>
                <w:tab w:val="num" w:pos="650"/>
              </w:tabs>
              <w:spacing w:after="0"/>
              <w:jc w:val="left"/>
              <w:rPr>
                <w:sz w:val="20"/>
                <w:szCs w:val="20"/>
                <w:lang w:bidi="sa-IN"/>
              </w:rPr>
            </w:pPr>
            <w:r w:rsidRPr="008B76DD">
              <w:rPr>
                <w:sz w:val="20"/>
                <w:szCs w:val="20"/>
                <w:lang w:bidi="sa-IN"/>
              </w:rPr>
              <w:t>Nem (férfi/nő)</w:t>
            </w:r>
          </w:p>
        </w:tc>
        <w:tc>
          <w:tcPr>
            <w:tcW w:w="1749" w:type="dxa"/>
            <w:shd w:val="clear" w:color="auto" w:fill="auto"/>
          </w:tcPr>
          <w:p w:rsidR="00011C3B" w:rsidRPr="008B76DD" w:rsidRDefault="00011C3B" w:rsidP="00011C3B">
            <w:pPr>
              <w:pStyle w:val="Norml1"/>
              <w:keepNext/>
              <w:spacing w:after="0"/>
              <w:jc w:val="right"/>
              <w:rPr>
                <w:sz w:val="20"/>
                <w:szCs w:val="20"/>
              </w:rPr>
            </w:pPr>
            <w:r w:rsidRPr="008B76DD">
              <w:rPr>
                <w:sz w:val="20"/>
                <w:szCs w:val="20"/>
              </w:rPr>
              <w:t>60 770/39 230</w:t>
            </w:r>
          </w:p>
        </w:tc>
        <w:tc>
          <w:tcPr>
            <w:tcW w:w="1969" w:type="dxa"/>
          </w:tcPr>
          <w:p w:rsidR="00011C3B" w:rsidRPr="008B76DD" w:rsidRDefault="00011C3B" w:rsidP="00B6645A">
            <w:pPr>
              <w:pStyle w:val="Norml1"/>
              <w:keepNext/>
              <w:spacing w:after="0"/>
              <w:ind w:right="132" w:firstLine="0"/>
              <w:rPr>
                <w:sz w:val="20"/>
                <w:szCs w:val="20"/>
              </w:rPr>
            </w:pPr>
            <w:r w:rsidRPr="008B76DD">
              <w:rPr>
                <w:sz w:val="20"/>
                <w:szCs w:val="20"/>
              </w:rPr>
              <w:t>1</w:t>
            </w:r>
            <w:r>
              <w:rPr>
                <w:sz w:val="20"/>
                <w:szCs w:val="20"/>
              </w:rPr>
              <w:t xml:space="preserve"> </w:t>
            </w:r>
            <w:r w:rsidR="00B6645A">
              <w:rPr>
                <w:sz w:val="20"/>
                <w:szCs w:val="20"/>
              </w:rPr>
              <w:t>734</w:t>
            </w:r>
            <w:r>
              <w:rPr>
                <w:sz w:val="20"/>
                <w:szCs w:val="20"/>
              </w:rPr>
              <w:t xml:space="preserve"> </w:t>
            </w:r>
            <w:r w:rsidR="00B6645A">
              <w:rPr>
                <w:sz w:val="20"/>
                <w:szCs w:val="20"/>
              </w:rPr>
              <w:t>903</w:t>
            </w:r>
            <w:r w:rsidRPr="008B76DD">
              <w:rPr>
                <w:sz w:val="20"/>
                <w:szCs w:val="20"/>
              </w:rPr>
              <w:t>/1</w:t>
            </w:r>
            <w:r>
              <w:rPr>
                <w:sz w:val="20"/>
                <w:szCs w:val="20"/>
              </w:rPr>
              <w:t xml:space="preserve"> </w:t>
            </w:r>
            <w:r w:rsidR="00B6645A">
              <w:rPr>
                <w:sz w:val="20"/>
                <w:szCs w:val="20"/>
              </w:rPr>
              <w:t>385</w:t>
            </w:r>
            <w:r>
              <w:rPr>
                <w:sz w:val="20"/>
                <w:szCs w:val="20"/>
              </w:rPr>
              <w:t xml:space="preserve"> </w:t>
            </w:r>
            <w:r w:rsidR="00B6645A">
              <w:rPr>
                <w:sz w:val="20"/>
                <w:szCs w:val="20"/>
              </w:rPr>
              <w:t>200</w:t>
            </w:r>
          </w:p>
        </w:tc>
      </w:tr>
      <w:tr w:rsidR="00011C3B" w:rsidRPr="008B76DD" w:rsidTr="00011C3B">
        <w:trPr>
          <w:cantSplit/>
          <w:jc w:val="center"/>
        </w:trPr>
        <w:tc>
          <w:tcPr>
            <w:tcW w:w="384" w:type="dxa"/>
            <w:vMerge/>
          </w:tcPr>
          <w:p w:rsidR="00011C3B" w:rsidRPr="008B76DD" w:rsidRDefault="00011C3B" w:rsidP="00011C3B">
            <w:pPr>
              <w:pStyle w:val="Norml1"/>
              <w:keepNext/>
              <w:spacing w:after="0"/>
              <w:jc w:val="center"/>
              <w:rPr>
                <w:sz w:val="20"/>
                <w:szCs w:val="20"/>
                <w:lang w:val="hu-HU" w:bidi="sa-IN"/>
              </w:rPr>
            </w:pPr>
          </w:p>
        </w:tc>
        <w:tc>
          <w:tcPr>
            <w:tcW w:w="5368" w:type="dxa"/>
          </w:tcPr>
          <w:p w:rsidR="00011C3B" w:rsidRPr="008B76DD" w:rsidRDefault="00011C3B" w:rsidP="00011C3B">
            <w:pPr>
              <w:pStyle w:val="Norml1"/>
              <w:keepNext/>
              <w:spacing w:after="0"/>
              <w:rPr>
                <w:sz w:val="20"/>
                <w:szCs w:val="20"/>
                <w:lang w:bidi="sa-IN"/>
              </w:rPr>
            </w:pPr>
            <w:r w:rsidRPr="008B76DD">
              <w:rPr>
                <w:sz w:val="20"/>
                <w:szCs w:val="20"/>
                <w:lang w:val="hu-HU" w:bidi="sa-IN"/>
              </w:rPr>
              <w:t>Korosztály</w:t>
            </w:r>
          </w:p>
          <w:p w:rsidR="00011C3B" w:rsidRPr="008B76DD" w:rsidRDefault="00011C3B" w:rsidP="0033390A">
            <w:pPr>
              <w:numPr>
                <w:ilvl w:val="0"/>
                <w:numId w:val="80"/>
              </w:numPr>
              <w:spacing w:after="0"/>
              <w:rPr>
                <w:sz w:val="20"/>
                <w:szCs w:val="20"/>
              </w:rPr>
            </w:pPr>
            <w:r w:rsidRPr="008B76DD">
              <w:rPr>
                <w:sz w:val="20"/>
                <w:szCs w:val="20"/>
              </w:rPr>
              <w:t>25 év alatt</w:t>
            </w:r>
          </w:p>
          <w:p w:rsidR="00011C3B" w:rsidRPr="008B76DD" w:rsidRDefault="00011C3B" w:rsidP="0033390A">
            <w:pPr>
              <w:numPr>
                <w:ilvl w:val="0"/>
                <w:numId w:val="80"/>
              </w:numPr>
              <w:spacing w:after="0"/>
              <w:rPr>
                <w:sz w:val="20"/>
                <w:szCs w:val="20"/>
                <w:lang w:bidi="sa-IN"/>
              </w:rPr>
            </w:pPr>
            <w:r w:rsidRPr="008B76DD">
              <w:rPr>
                <w:sz w:val="20"/>
                <w:szCs w:val="20"/>
              </w:rPr>
              <w:t>25</w:t>
            </w:r>
            <w:r w:rsidRPr="008B76DD">
              <w:rPr>
                <w:sz w:val="20"/>
                <w:szCs w:val="20"/>
                <w:lang w:bidi="sa-IN"/>
              </w:rPr>
              <w:t xml:space="preserve"> éves vagy idősebb</w:t>
            </w:r>
          </w:p>
        </w:tc>
        <w:tc>
          <w:tcPr>
            <w:tcW w:w="1749" w:type="dxa"/>
            <w:shd w:val="clear" w:color="auto" w:fill="auto"/>
          </w:tcPr>
          <w:p w:rsidR="00011C3B" w:rsidRPr="008B76DD" w:rsidRDefault="00011C3B" w:rsidP="00011C3B">
            <w:pPr>
              <w:pStyle w:val="Norml1"/>
              <w:keepNext/>
              <w:spacing w:after="0"/>
              <w:jc w:val="right"/>
              <w:rPr>
                <w:sz w:val="20"/>
                <w:szCs w:val="20"/>
              </w:rPr>
            </w:pPr>
          </w:p>
          <w:p w:rsidR="00011C3B" w:rsidRPr="008B76DD" w:rsidRDefault="00011C3B" w:rsidP="00011C3B">
            <w:pPr>
              <w:pStyle w:val="Norml1"/>
              <w:keepNext/>
              <w:spacing w:after="0"/>
              <w:jc w:val="right"/>
              <w:rPr>
                <w:sz w:val="20"/>
                <w:szCs w:val="20"/>
              </w:rPr>
            </w:pPr>
            <w:r w:rsidRPr="008B76DD">
              <w:rPr>
                <w:sz w:val="20"/>
                <w:szCs w:val="20"/>
              </w:rPr>
              <w:t>35 027</w:t>
            </w:r>
          </w:p>
          <w:p w:rsidR="00011C3B" w:rsidRPr="008B76DD" w:rsidRDefault="00011C3B" w:rsidP="00011C3B">
            <w:pPr>
              <w:pStyle w:val="Norml1"/>
              <w:keepNext/>
              <w:spacing w:after="0"/>
              <w:jc w:val="right"/>
              <w:rPr>
                <w:sz w:val="20"/>
                <w:szCs w:val="20"/>
              </w:rPr>
            </w:pPr>
            <w:r w:rsidRPr="008B76DD">
              <w:rPr>
                <w:sz w:val="20"/>
                <w:szCs w:val="20"/>
              </w:rPr>
              <w:t>64 973</w:t>
            </w:r>
          </w:p>
        </w:tc>
        <w:tc>
          <w:tcPr>
            <w:tcW w:w="1969" w:type="dxa"/>
          </w:tcPr>
          <w:p w:rsidR="00011C3B" w:rsidRPr="008B76DD" w:rsidRDefault="00011C3B" w:rsidP="00011C3B">
            <w:pPr>
              <w:pStyle w:val="Norml1"/>
              <w:keepNext/>
              <w:spacing w:after="0"/>
              <w:ind w:right="132"/>
              <w:jc w:val="right"/>
              <w:rPr>
                <w:sz w:val="20"/>
                <w:szCs w:val="20"/>
              </w:rPr>
            </w:pPr>
          </w:p>
          <w:p w:rsidR="00011C3B" w:rsidRPr="008B76DD" w:rsidRDefault="00011C3B" w:rsidP="00011C3B">
            <w:pPr>
              <w:pStyle w:val="Norml1"/>
              <w:keepNext/>
              <w:spacing w:after="0"/>
              <w:ind w:right="132"/>
              <w:jc w:val="right"/>
              <w:rPr>
                <w:sz w:val="20"/>
                <w:szCs w:val="20"/>
              </w:rPr>
            </w:pPr>
            <w:r>
              <w:rPr>
                <w:sz w:val="20"/>
                <w:szCs w:val="20"/>
              </w:rPr>
              <w:t>547 236</w:t>
            </w:r>
          </w:p>
          <w:p w:rsidR="00011C3B" w:rsidRPr="008B76DD" w:rsidRDefault="00011C3B" w:rsidP="00011C3B">
            <w:pPr>
              <w:pStyle w:val="Norml1"/>
              <w:keepNext/>
              <w:spacing w:after="0"/>
              <w:ind w:right="132"/>
              <w:jc w:val="right"/>
              <w:rPr>
                <w:sz w:val="20"/>
                <w:szCs w:val="20"/>
              </w:rPr>
            </w:pPr>
            <w:r w:rsidRPr="008B76DD">
              <w:rPr>
                <w:sz w:val="20"/>
                <w:szCs w:val="20"/>
              </w:rPr>
              <w:t>2</w:t>
            </w:r>
            <w:r>
              <w:rPr>
                <w:sz w:val="20"/>
                <w:szCs w:val="20"/>
              </w:rPr>
              <w:t xml:space="preserve"> 582 887</w:t>
            </w:r>
          </w:p>
        </w:tc>
      </w:tr>
      <w:tr w:rsidR="00011C3B" w:rsidRPr="008B76DD" w:rsidTr="00011C3B">
        <w:trPr>
          <w:cantSplit/>
          <w:jc w:val="center"/>
        </w:trPr>
        <w:tc>
          <w:tcPr>
            <w:tcW w:w="384" w:type="dxa"/>
            <w:vMerge/>
          </w:tcPr>
          <w:p w:rsidR="00011C3B" w:rsidRPr="008B76DD" w:rsidRDefault="00011C3B" w:rsidP="00011C3B">
            <w:pPr>
              <w:pStyle w:val="Norml1"/>
              <w:keepNext/>
              <w:spacing w:after="0"/>
              <w:jc w:val="center"/>
              <w:rPr>
                <w:sz w:val="20"/>
                <w:szCs w:val="20"/>
                <w:lang w:val="hu-HU" w:bidi="sa-IN"/>
              </w:rPr>
            </w:pPr>
          </w:p>
        </w:tc>
        <w:tc>
          <w:tcPr>
            <w:tcW w:w="5368" w:type="dxa"/>
          </w:tcPr>
          <w:p w:rsidR="00011C3B" w:rsidRPr="008B76DD" w:rsidRDefault="00011C3B" w:rsidP="00011C3B">
            <w:pPr>
              <w:pStyle w:val="Norml1"/>
              <w:keepNext/>
              <w:spacing w:after="0"/>
              <w:rPr>
                <w:sz w:val="20"/>
                <w:szCs w:val="20"/>
                <w:lang w:bidi="sa-IN"/>
              </w:rPr>
            </w:pPr>
            <w:r w:rsidRPr="008B76DD">
              <w:rPr>
                <w:sz w:val="20"/>
                <w:szCs w:val="20"/>
                <w:lang w:val="hu-HU" w:bidi="sa-IN"/>
              </w:rPr>
              <w:t>Támogatott PPK-k száma</w:t>
            </w:r>
          </w:p>
        </w:tc>
        <w:tc>
          <w:tcPr>
            <w:tcW w:w="1749" w:type="dxa"/>
          </w:tcPr>
          <w:p w:rsidR="00011C3B" w:rsidRPr="008B76DD" w:rsidRDefault="00011C3B" w:rsidP="00011C3B">
            <w:pPr>
              <w:pStyle w:val="Norml1"/>
              <w:keepNext/>
              <w:spacing w:after="0"/>
              <w:jc w:val="right"/>
              <w:rPr>
                <w:sz w:val="20"/>
                <w:szCs w:val="20"/>
              </w:rPr>
            </w:pPr>
            <w:r w:rsidRPr="008B76DD">
              <w:rPr>
                <w:sz w:val="20"/>
                <w:szCs w:val="20"/>
              </w:rPr>
              <w:t>140</w:t>
            </w:r>
          </w:p>
        </w:tc>
        <w:tc>
          <w:tcPr>
            <w:tcW w:w="1969" w:type="dxa"/>
          </w:tcPr>
          <w:p w:rsidR="00011C3B" w:rsidRPr="008B76DD" w:rsidRDefault="00011C3B" w:rsidP="00011C3B">
            <w:pPr>
              <w:pStyle w:val="Norml1"/>
              <w:keepNext/>
              <w:spacing w:after="0"/>
              <w:ind w:right="132"/>
              <w:jc w:val="right"/>
              <w:rPr>
                <w:sz w:val="20"/>
                <w:szCs w:val="20"/>
              </w:rPr>
            </w:pPr>
            <w:r>
              <w:rPr>
                <w:sz w:val="20"/>
                <w:szCs w:val="20"/>
              </w:rPr>
              <w:t>69 349</w:t>
            </w:r>
          </w:p>
        </w:tc>
      </w:tr>
      <w:tr w:rsidR="00011C3B" w:rsidRPr="008B76DD" w:rsidTr="00011C3B">
        <w:trPr>
          <w:cantSplit/>
          <w:jc w:val="center"/>
        </w:trPr>
        <w:tc>
          <w:tcPr>
            <w:tcW w:w="384" w:type="dxa"/>
            <w:vMerge w:val="restart"/>
          </w:tcPr>
          <w:p w:rsidR="00011C3B" w:rsidRPr="008B76DD" w:rsidRDefault="00B6645A" w:rsidP="00011C3B">
            <w:pPr>
              <w:pStyle w:val="Norml1"/>
              <w:spacing w:after="0"/>
              <w:jc w:val="center"/>
              <w:rPr>
                <w:sz w:val="20"/>
                <w:szCs w:val="20"/>
                <w:lang w:val="hu-HU" w:bidi="sa-IN"/>
              </w:rPr>
            </w:pPr>
            <w:r>
              <w:rPr>
                <w:sz w:val="20"/>
                <w:szCs w:val="20"/>
                <w:lang w:val="hu-HU" w:bidi="sa-IN"/>
              </w:rPr>
              <w:t>R</w:t>
            </w:r>
            <w:r w:rsidR="00011C3B" w:rsidRPr="008B76DD">
              <w:rPr>
                <w:sz w:val="20"/>
                <w:szCs w:val="20"/>
                <w:lang w:val="hu-HU" w:bidi="sa-IN"/>
              </w:rPr>
              <w:t>R</w:t>
            </w:r>
          </w:p>
        </w:tc>
        <w:tc>
          <w:tcPr>
            <w:tcW w:w="5368" w:type="dxa"/>
          </w:tcPr>
          <w:p w:rsidR="00011C3B" w:rsidRPr="008B76DD" w:rsidRDefault="00011C3B" w:rsidP="00011C3B">
            <w:pPr>
              <w:pStyle w:val="Norml1"/>
              <w:spacing w:after="0"/>
              <w:rPr>
                <w:sz w:val="20"/>
                <w:szCs w:val="20"/>
                <w:lang w:val="hu-HU" w:bidi="sa-IN"/>
              </w:rPr>
            </w:pPr>
            <w:r w:rsidRPr="008B76DD">
              <w:rPr>
                <w:sz w:val="20"/>
                <w:szCs w:val="20"/>
                <w:lang w:val="hu-HU" w:bidi="sa-IN"/>
              </w:rPr>
              <w:t>A képzést sikeresen elvégző résztvevők száma</w:t>
            </w:r>
          </w:p>
        </w:tc>
        <w:tc>
          <w:tcPr>
            <w:tcW w:w="1749" w:type="dxa"/>
          </w:tcPr>
          <w:p w:rsidR="00011C3B" w:rsidRPr="008B76DD" w:rsidRDefault="00011C3B" w:rsidP="00011C3B">
            <w:pPr>
              <w:pStyle w:val="Norml1"/>
              <w:spacing w:after="0"/>
              <w:jc w:val="right"/>
              <w:rPr>
                <w:sz w:val="20"/>
                <w:szCs w:val="20"/>
              </w:rPr>
            </w:pPr>
            <w:r w:rsidRPr="008B76DD">
              <w:rPr>
                <w:sz w:val="20"/>
                <w:szCs w:val="20"/>
              </w:rPr>
              <w:t>90 000</w:t>
            </w:r>
          </w:p>
        </w:tc>
        <w:tc>
          <w:tcPr>
            <w:tcW w:w="1969" w:type="dxa"/>
          </w:tcPr>
          <w:p w:rsidR="00011C3B" w:rsidRPr="008B76DD" w:rsidRDefault="00F330F7" w:rsidP="00011C3B">
            <w:pPr>
              <w:pStyle w:val="Norml1"/>
              <w:spacing w:after="0"/>
              <w:ind w:right="132"/>
              <w:jc w:val="right"/>
              <w:rPr>
                <w:sz w:val="20"/>
                <w:szCs w:val="20"/>
              </w:rPr>
            </w:pPr>
            <w:r>
              <w:rPr>
                <w:sz w:val="20"/>
                <w:szCs w:val="20"/>
              </w:rPr>
              <w:t>3 388</w:t>
            </w:r>
          </w:p>
        </w:tc>
      </w:tr>
      <w:tr w:rsidR="00011C3B" w:rsidRPr="008B76DD" w:rsidTr="00011C3B">
        <w:trPr>
          <w:cantSplit/>
          <w:jc w:val="center"/>
        </w:trPr>
        <w:tc>
          <w:tcPr>
            <w:tcW w:w="384" w:type="dxa"/>
            <w:vMerge/>
          </w:tcPr>
          <w:p w:rsidR="00011C3B" w:rsidRPr="008B76DD" w:rsidRDefault="00011C3B" w:rsidP="00011C3B">
            <w:pPr>
              <w:spacing w:after="0"/>
              <w:ind w:left="357"/>
              <w:jc w:val="center"/>
              <w:rPr>
                <w:sz w:val="20"/>
                <w:szCs w:val="20"/>
                <w:lang w:bidi="sa-IN"/>
              </w:rPr>
            </w:pPr>
          </w:p>
        </w:tc>
        <w:tc>
          <w:tcPr>
            <w:tcW w:w="5368" w:type="dxa"/>
          </w:tcPr>
          <w:p w:rsidR="00011C3B" w:rsidRPr="008B76DD" w:rsidRDefault="00011C3B" w:rsidP="00011C3B">
            <w:pPr>
              <w:spacing w:after="0"/>
              <w:rPr>
                <w:sz w:val="20"/>
                <w:szCs w:val="20"/>
                <w:lang w:bidi="sa-IN"/>
              </w:rPr>
            </w:pPr>
            <w:r w:rsidRPr="008B76DD">
              <w:rPr>
                <w:sz w:val="20"/>
                <w:szCs w:val="20"/>
                <w:lang w:bidi="sa-IN"/>
              </w:rPr>
              <w:t>Nem (férfi/nő)</w:t>
            </w:r>
          </w:p>
        </w:tc>
        <w:tc>
          <w:tcPr>
            <w:tcW w:w="1749" w:type="dxa"/>
          </w:tcPr>
          <w:p w:rsidR="00011C3B" w:rsidRPr="008B76DD" w:rsidRDefault="00011C3B" w:rsidP="00011C3B">
            <w:pPr>
              <w:pStyle w:val="Norml1"/>
              <w:spacing w:after="0"/>
              <w:jc w:val="right"/>
              <w:rPr>
                <w:sz w:val="20"/>
                <w:szCs w:val="20"/>
              </w:rPr>
            </w:pPr>
            <w:r w:rsidRPr="008B76DD">
              <w:rPr>
                <w:sz w:val="20"/>
                <w:szCs w:val="20"/>
              </w:rPr>
              <w:t>55 000/35 000</w:t>
            </w:r>
          </w:p>
        </w:tc>
        <w:tc>
          <w:tcPr>
            <w:tcW w:w="1969" w:type="dxa"/>
          </w:tcPr>
          <w:p w:rsidR="00011C3B" w:rsidRPr="008B76DD" w:rsidRDefault="00F330F7" w:rsidP="00F330F7">
            <w:pPr>
              <w:pStyle w:val="Norml1"/>
              <w:spacing w:after="0"/>
              <w:ind w:right="132"/>
              <w:jc w:val="right"/>
              <w:rPr>
                <w:sz w:val="20"/>
                <w:szCs w:val="20"/>
              </w:rPr>
            </w:pPr>
            <w:r>
              <w:rPr>
                <w:sz w:val="20"/>
                <w:szCs w:val="20"/>
              </w:rPr>
              <w:t>1 717</w:t>
            </w:r>
            <w:r w:rsidR="00011C3B" w:rsidRPr="00017030">
              <w:rPr>
                <w:sz w:val="20"/>
                <w:szCs w:val="20"/>
              </w:rPr>
              <w:t>/</w:t>
            </w:r>
            <w:r>
              <w:rPr>
                <w:sz w:val="20"/>
                <w:szCs w:val="20"/>
              </w:rPr>
              <w:t>1 670</w:t>
            </w:r>
          </w:p>
        </w:tc>
      </w:tr>
      <w:tr w:rsidR="00011C3B" w:rsidRPr="008B76DD" w:rsidTr="00011C3B">
        <w:trPr>
          <w:cantSplit/>
          <w:jc w:val="center"/>
        </w:trPr>
        <w:tc>
          <w:tcPr>
            <w:tcW w:w="384" w:type="dxa"/>
            <w:vMerge/>
          </w:tcPr>
          <w:p w:rsidR="00011C3B" w:rsidRPr="008B76DD" w:rsidRDefault="00011C3B" w:rsidP="00011C3B">
            <w:pPr>
              <w:spacing w:after="0"/>
              <w:ind w:left="357"/>
              <w:jc w:val="center"/>
              <w:rPr>
                <w:sz w:val="20"/>
                <w:szCs w:val="20"/>
                <w:lang w:bidi="sa-IN"/>
              </w:rPr>
            </w:pPr>
          </w:p>
        </w:tc>
        <w:tc>
          <w:tcPr>
            <w:tcW w:w="5368" w:type="dxa"/>
          </w:tcPr>
          <w:p w:rsidR="00011C3B" w:rsidRPr="008B76DD" w:rsidRDefault="00011C3B" w:rsidP="00011C3B">
            <w:pPr>
              <w:spacing w:after="0"/>
              <w:rPr>
                <w:sz w:val="20"/>
                <w:szCs w:val="20"/>
                <w:lang w:bidi="sa-IN"/>
              </w:rPr>
            </w:pPr>
            <w:r w:rsidRPr="008B76DD">
              <w:rPr>
                <w:sz w:val="20"/>
                <w:szCs w:val="20"/>
                <w:lang w:bidi="sa-IN"/>
              </w:rPr>
              <w:t>Korosztály</w:t>
            </w:r>
          </w:p>
        </w:tc>
        <w:tc>
          <w:tcPr>
            <w:tcW w:w="1749" w:type="dxa"/>
          </w:tcPr>
          <w:p w:rsidR="00011C3B" w:rsidRPr="008B76DD" w:rsidRDefault="00011C3B" w:rsidP="00011C3B">
            <w:pPr>
              <w:pStyle w:val="Norml1"/>
              <w:spacing w:after="0"/>
              <w:jc w:val="right"/>
              <w:rPr>
                <w:sz w:val="20"/>
                <w:szCs w:val="20"/>
              </w:rPr>
            </w:pPr>
          </w:p>
        </w:tc>
        <w:tc>
          <w:tcPr>
            <w:tcW w:w="1969" w:type="dxa"/>
          </w:tcPr>
          <w:p w:rsidR="00011C3B" w:rsidRPr="008B76DD" w:rsidRDefault="00011C3B" w:rsidP="00011C3B">
            <w:pPr>
              <w:pStyle w:val="Norml1"/>
              <w:spacing w:after="0"/>
              <w:ind w:right="132"/>
              <w:jc w:val="right"/>
              <w:rPr>
                <w:sz w:val="20"/>
                <w:szCs w:val="20"/>
              </w:rPr>
            </w:pP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25 év alatt</w:t>
            </w:r>
          </w:p>
        </w:tc>
        <w:tc>
          <w:tcPr>
            <w:tcW w:w="1749" w:type="dxa"/>
          </w:tcPr>
          <w:p w:rsidR="00011C3B" w:rsidRPr="008B76DD" w:rsidRDefault="00011C3B" w:rsidP="00011C3B">
            <w:pPr>
              <w:pStyle w:val="Norml1"/>
              <w:spacing w:after="0"/>
              <w:jc w:val="right"/>
              <w:rPr>
                <w:sz w:val="20"/>
                <w:szCs w:val="20"/>
              </w:rPr>
            </w:pPr>
            <w:r w:rsidRPr="008B76DD">
              <w:rPr>
                <w:sz w:val="20"/>
                <w:szCs w:val="20"/>
              </w:rPr>
              <w:t>27 000</w:t>
            </w:r>
          </w:p>
        </w:tc>
        <w:tc>
          <w:tcPr>
            <w:tcW w:w="1969" w:type="dxa"/>
          </w:tcPr>
          <w:p w:rsidR="00011C3B" w:rsidRPr="008B76DD" w:rsidRDefault="00F330F7" w:rsidP="00011C3B">
            <w:pPr>
              <w:pStyle w:val="Norml1"/>
              <w:spacing w:after="0"/>
              <w:ind w:right="132"/>
              <w:jc w:val="right"/>
              <w:rPr>
                <w:sz w:val="20"/>
                <w:szCs w:val="20"/>
              </w:rPr>
            </w:pPr>
            <w:r>
              <w:rPr>
                <w:sz w:val="20"/>
                <w:szCs w:val="20"/>
              </w:rPr>
              <w:t>590</w:t>
            </w:r>
          </w:p>
        </w:tc>
      </w:tr>
      <w:tr w:rsidR="00011C3B" w:rsidRPr="008B76DD" w:rsidTr="00011C3B">
        <w:trPr>
          <w:cantSplit/>
          <w:jc w:val="center"/>
        </w:trPr>
        <w:tc>
          <w:tcPr>
            <w:tcW w:w="384" w:type="dxa"/>
            <w:vMerge/>
          </w:tcPr>
          <w:p w:rsidR="00011C3B" w:rsidRPr="008B76DD" w:rsidRDefault="00011C3B" w:rsidP="00011C3B">
            <w:pPr>
              <w:spacing w:after="0"/>
              <w:ind w:left="570"/>
              <w:jc w:val="center"/>
              <w:rPr>
                <w:sz w:val="20"/>
                <w:szCs w:val="20"/>
              </w:rPr>
            </w:pPr>
          </w:p>
        </w:tc>
        <w:tc>
          <w:tcPr>
            <w:tcW w:w="5368" w:type="dxa"/>
          </w:tcPr>
          <w:p w:rsidR="00011C3B" w:rsidRPr="008B76DD" w:rsidRDefault="00011C3B" w:rsidP="0033390A">
            <w:pPr>
              <w:numPr>
                <w:ilvl w:val="0"/>
                <w:numId w:val="80"/>
              </w:numPr>
              <w:spacing w:after="0"/>
              <w:rPr>
                <w:sz w:val="20"/>
                <w:szCs w:val="20"/>
              </w:rPr>
            </w:pPr>
            <w:r w:rsidRPr="008B76DD">
              <w:rPr>
                <w:sz w:val="20"/>
                <w:szCs w:val="20"/>
              </w:rPr>
              <w:t>25 éves vagy idősebb</w:t>
            </w:r>
          </w:p>
        </w:tc>
        <w:tc>
          <w:tcPr>
            <w:tcW w:w="1749" w:type="dxa"/>
          </w:tcPr>
          <w:p w:rsidR="00011C3B" w:rsidRPr="008B76DD" w:rsidRDefault="00011C3B" w:rsidP="00011C3B">
            <w:pPr>
              <w:pStyle w:val="Norml1"/>
              <w:spacing w:after="0"/>
              <w:jc w:val="right"/>
              <w:rPr>
                <w:sz w:val="20"/>
                <w:szCs w:val="20"/>
              </w:rPr>
            </w:pPr>
            <w:r w:rsidRPr="008B76DD">
              <w:rPr>
                <w:sz w:val="20"/>
                <w:szCs w:val="20"/>
              </w:rPr>
              <w:t>63 000</w:t>
            </w:r>
          </w:p>
        </w:tc>
        <w:tc>
          <w:tcPr>
            <w:tcW w:w="1969" w:type="dxa"/>
          </w:tcPr>
          <w:p w:rsidR="00011C3B" w:rsidRPr="008B76DD" w:rsidRDefault="00F330F7" w:rsidP="00011C3B">
            <w:pPr>
              <w:pStyle w:val="Norml1"/>
              <w:spacing w:after="0"/>
              <w:ind w:right="132"/>
              <w:jc w:val="right"/>
              <w:rPr>
                <w:sz w:val="20"/>
                <w:szCs w:val="20"/>
              </w:rPr>
            </w:pPr>
            <w:r>
              <w:rPr>
                <w:sz w:val="20"/>
                <w:szCs w:val="20"/>
              </w:rPr>
              <w:t>2 798</w:t>
            </w:r>
          </w:p>
        </w:tc>
      </w:tr>
    </w:tbl>
    <w:p w:rsidR="00011C3B" w:rsidRPr="00C003F8" w:rsidRDefault="00011C3B" w:rsidP="00011C3B">
      <w:pPr>
        <w:pStyle w:val="Normlforrs"/>
        <w:widowControl w:val="0"/>
        <w:suppressAutoHyphens w:val="0"/>
        <w:rPr>
          <w:szCs w:val="22"/>
        </w:rPr>
      </w:pPr>
      <w:r w:rsidRPr="00C003F8">
        <w:t>Forrás: MVH</w:t>
      </w:r>
    </w:p>
    <w:p w:rsidR="00011C3B" w:rsidRDefault="00B661AB" w:rsidP="004869BB">
      <w:bookmarkStart w:id="348" w:name="_Toc261596958"/>
      <w:r>
        <w:t>Az intézkedés során a célértékek megvalósultak, további a 2012. évi programmódosításban bekövetkezett változások okán nem várható.</w:t>
      </w:r>
    </w:p>
    <w:p w:rsidR="00011C3B" w:rsidRPr="00716AD9" w:rsidRDefault="00011C3B" w:rsidP="00715E86">
      <w:pPr>
        <w:pStyle w:val="Cmsor4"/>
      </w:pPr>
      <w:r w:rsidRPr="00716AD9">
        <w:t>Készségek elsajátítására, ösztönzésére és végrehajtására igénybe vehető támogatás jogcím rövid bemutatása (HVI)</w:t>
      </w:r>
    </w:p>
    <w:p w:rsidR="00011C3B" w:rsidRDefault="00011C3B" w:rsidP="00715E86">
      <w:r>
        <w:t>A támogatás célja a helyi magán-, civil- és közszféra szereplőinek partnerségén alapuló potenciális helyi akciócsoportok megalakulásának segítése, szervezése, valamint a helyi vidékfejlesztési stratégiák elkészítése és az ahhoz kapcsolódó tájékoztatási és képzési tevékenység támogatása, a fenti tevékenységeket ellátó „Helyi Vidékfejlesztési Iroda” címmel rendelkező szervezetek, egyéni vállalkozók tevékenységének támogatása révén.</w:t>
      </w:r>
      <w:r w:rsidRPr="00BE2117">
        <w:t xml:space="preserve"> </w:t>
      </w:r>
      <w:r>
        <w:t>A támogatás igénybevételére a Helyi Vidékfejlesztési Iroda (HVI) jogosult.</w:t>
      </w:r>
    </w:p>
    <w:p w:rsidR="00011C3B" w:rsidRDefault="00011C3B" w:rsidP="00715E86">
      <w:r>
        <w:t>A 79/2007. (VII.30.) FVM rendelet alapján</w:t>
      </w:r>
      <w:r w:rsidR="00473666">
        <w:t xml:space="preserve"> meghirdetett</w:t>
      </w:r>
      <w:r>
        <w:t xml:space="preserve"> jogcím végrehajtását az Irányító Hatóság az </w:t>
      </w:r>
      <w:r w:rsidRPr="00C003F8">
        <w:t>1/2010. (VI.30.) VM rendelet</w:t>
      </w:r>
      <w:r>
        <w:t>tel</w:t>
      </w:r>
      <w:r w:rsidRPr="00C003F8">
        <w:t xml:space="preserve"> </w:t>
      </w:r>
      <w:r>
        <w:t>2010. július 1-jétől felfüggesztette. Ezt követően kötelezettségvállalás nem történt.</w:t>
      </w:r>
    </w:p>
    <w:p w:rsidR="00011C3B" w:rsidRDefault="00011C3B" w:rsidP="00011C3B">
      <w:r>
        <w:t>2012-ben bírósági felülvizsgálattal érintett kifizetési kérelem megismételt ügyintézését követően került sor eseti kifizetésre.</w:t>
      </w:r>
    </w:p>
    <w:p w:rsidR="00011C3B" w:rsidRPr="00F92037" w:rsidRDefault="007E5FDF" w:rsidP="00F92037">
      <w:pPr>
        <w:pStyle w:val="bra-cmetbla"/>
      </w:pPr>
      <w:fldSimple w:instr=" SEQ táblázat \* ARABIC ">
        <w:r w:rsidR="00E5031F">
          <w:rPr>
            <w:noProof/>
          </w:rPr>
          <w:t>96</w:t>
        </w:r>
      </w:fldSimple>
      <w:r w:rsidR="00673DDE">
        <w:t xml:space="preserve">. táblázat: </w:t>
      </w:r>
      <w:r w:rsidR="00011C3B" w:rsidRPr="00F92037">
        <w:t>Készségek elsajátítására, ösztönzésére és végrehajtására igénybe vehető támogatás jogcím (HVI) 2012. évi eredményei</w:t>
      </w:r>
    </w:p>
    <w:p w:rsidR="001834A6" w:rsidRPr="00F92037" w:rsidRDefault="001834A6" w:rsidP="00F92037">
      <w:pPr>
        <w:pStyle w:val="bra-cmetbla"/>
      </w:pPr>
      <w:r w:rsidRPr="00F92037">
        <w:rPr>
          <w:noProof/>
        </w:rPr>
        <w:drawing>
          <wp:inline distT="0" distB="0" distL="0" distR="0" wp14:anchorId="7AAA74CA" wp14:editId="784F56B3">
            <wp:extent cx="5314950" cy="188595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0" cy="188595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Pr="006D5114" w:rsidRDefault="00011C3B" w:rsidP="00715E86">
      <w:pPr>
        <w:pStyle w:val="Cmsor4"/>
      </w:pPr>
      <w:r w:rsidRPr="006D5114">
        <w:t xml:space="preserve">A Helyi Vidékfejlesztési Közösségek </w:t>
      </w:r>
      <w:r>
        <w:t xml:space="preserve">(HVK) </w:t>
      </w:r>
      <w:r w:rsidRPr="006D5114">
        <w:t xml:space="preserve">és a LEADER helyi akciócsoportok </w:t>
      </w:r>
      <w:r>
        <w:t xml:space="preserve">(HACS) </w:t>
      </w:r>
      <w:r w:rsidRPr="006D5114">
        <w:t>finanszírozása</w:t>
      </w:r>
    </w:p>
    <w:p w:rsidR="00011C3B" w:rsidRDefault="00011C3B" w:rsidP="00715E86">
      <w:r w:rsidRPr="003F1C38">
        <w:t>A DG AGRI E4 Ares</w:t>
      </w:r>
      <w:r>
        <w:t xml:space="preserve"> </w:t>
      </w:r>
      <w:r w:rsidRPr="003F1C38">
        <w:t>reg. No. 830472 ü</w:t>
      </w:r>
      <w:r>
        <w:t>gy</w:t>
      </w:r>
      <w:r w:rsidRPr="003F1C38">
        <w:t>sz</w:t>
      </w:r>
      <w:r>
        <w:t>ámú</w:t>
      </w:r>
      <w:r w:rsidRPr="003F1C38">
        <w:t xml:space="preserve"> levelében jelezte a magyar hatóságok felé, hogy a jelenlegi Program alapján a </w:t>
      </w:r>
      <w:r>
        <w:t>„</w:t>
      </w:r>
      <w:r w:rsidRPr="00D20A99">
        <w:t>Készségek elsajátítása, ösztönzés</w:t>
      </w:r>
      <w:r>
        <w:t xml:space="preserve"> és végrehajtás” (341)</w:t>
      </w:r>
      <w:r w:rsidRPr="003F1C38">
        <w:t xml:space="preserve"> intézkedés terhére a </w:t>
      </w:r>
      <w:r>
        <w:t xml:space="preserve">LEADER </w:t>
      </w:r>
      <w:r w:rsidRPr="003F1C38">
        <w:t xml:space="preserve">HACS működési források nem finanszírozhatóak. Az EU Bizottság kérte </w:t>
      </w:r>
      <w:r>
        <w:t xml:space="preserve">2012-ben </w:t>
      </w:r>
      <w:r w:rsidRPr="003F1C38">
        <w:t>a Program módosítását</w:t>
      </w:r>
      <w:r w:rsidR="00471FE9">
        <w:t>, melyre a 10. verziószámú módosítás keretében került sor</w:t>
      </w:r>
      <w:r w:rsidRPr="003F1C38">
        <w:t xml:space="preserve">. A fent hivatkozott levél, illetve a Bizottsággal folytatott előzetes egyeztetés alapján a HACS működési költségek </w:t>
      </w:r>
      <w:r>
        <w:t>„</w:t>
      </w:r>
      <w:r w:rsidRPr="00D20A99">
        <w:t>Készségek elsajátítása, ösztönzés és végrehajtás</w:t>
      </w:r>
      <w:r>
        <w:t xml:space="preserve">” (341) </w:t>
      </w:r>
      <w:r w:rsidRPr="003F1C38">
        <w:t xml:space="preserve">intézkedés terhére történő kifizetését az MVH 2012. augusztus 31-i záró dátummal lezárta. </w:t>
      </w:r>
    </w:p>
    <w:p w:rsidR="00011C3B" w:rsidRPr="003F1C38" w:rsidRDefault="00011C3B" w:rsidP="00715E86">
      <w:r w:rsidRPr="001A7CB0">
        <w:t xml:space="preserve">A </w:t>
      </w:r>
      <w:r>
        <w:t xml:space="preserve">LEADER </w:t>
      </w:r>
      <w:r w:rsidRPr="001A7CB0">
        <w:t>HACS</w:t>
      </w:r>
      <w:r>
        <w:t>-ok számára</w:t>
      </w:r>
      <w:r w:rsidRPr="001A7CB0">
        <w:t xml:space="preserve"> </w:t>
      </w:r>
      <w:r w:rsidRPr="00D20A99">
        <w:t xml:space="preserve">a Program III. tengelyéhez kapcsolódó </w:t>
      </w:r>
      <w:r w:rsidRPr="001A7CB0">
        <w:t>működési költség</w:t>
      </w:r>
      <w:r w:rsidRPr="00D20A99">
        <w:t>ek kifizetése</w:t>
      </w:r>
      <w:r w:rsidRPr="001A7CB0">
        <w:t>,</w:t>
      </w:r>
      <w:r w:rsidRPr="003F1C38">
        <w:t xml:space="preserve"> a továbbiakban </w:t>
      </w:r>
      <w:r>
        <w:t>kizárólag</w:t>
      </w:r>
      <w:r w:rsidRPr="003F1C38">
        <w:t xml:space="preserve"> </w:t>
      </w:r>
      <w:r>
        <w:t>„</w:t>
      </w:r>
      <w:r w:rsidRPr="00D20A99">
        <w:t>A helyi akciócsoportok működtetése, készségek elsajátítása, a térség élénkítése</w:t>
      </w:r>
      <w:r>
        <w:t>”</w:t>
      </w:r>
      <w:r w:rsidRPr="003F1C38">
        <w:t xml:space="preserve"> </w:t>
      </w:r>
      <w:r>
        <w:t xml:space="preserve">(431) </w:t>
      </w:r>
      <w:r w:rsidRPr="003F1C38">
        <w:t xml:space="preserve">intézkedés terhére </w:t>
      </w:r>
      <w:r>
        <w:t>folytatódik</w:t>
      </w:r>
      <w:r w:rsidRPr="003F1C38">
        <w:t>.</w:t>
      </w:r>
    </w:p>
    <w:p w:rsidR="00011C3B" w:rsidRPr="003F1C38" w:rsidRDefault="00011C3B" w:rsidP="00011C3B">
      <w:pPr>
        <w:spacing w:after="0"/>
      </w:pPr>
      <w:r w:rsidRPr="003F1C38">
        <w:t xml:space="preserve">A 341. számú intézkedésből a fel nem használt összegeket a Bizottság iránymutatása szerint a 431. számú intézkedésre szükséges átcsoportosítani, mely átcsoportosítás </w:t>
      </w:r>
      <w:r>
        <w:t xml:space="preserve">programmódosítást igényelt. 2012-ben ennek az előkészítése folyt. A 10. </w:t>
      </w:r>
      <w:r w:rsidR="00175C5A">
        <w:t>verzió</w:t>
      </w:r>
      <w:r>
        <w:t>számú programmódosítás kereteiben kerül rendezésre a módosítás, amely 2013-ban realizálódik.</w:t>
      </w:r>
    </w:p>
    <w:p w:rsidR="00011C3B" w:rsidRPr="00F92037" w:rsidRDefault="007E5FDF" w:rsidP="00673DDE">
      <w:pPr>
        <w:pStyle w:val="bra-cmetbla"/>
      </w:pPr>
      <w:fldSimple w:instr=" SEQ táblázat \* ARABIC ">
        <w:r w:rsidR="00E5031F">
          <w:rPr>
            <w:noProof/>
          </w:rPr>
          <w:t>97</w:t>
        </w:r>
      </w:fldSimple>
      <w:r w:rsidR="00673DDE">
        <w:t xml:space="preserve">. táblázat: </w:t>
      </w:r>
      <w:r w:rsidR="00011C3B" w:rsidRPr="00F92037">
        <w:t>A Helyi Vidékfejlesztési Közösségek és a LEADER Helyi Akciócsoportok finanszírozása</w:t>
      </w:r>
      <w:r w:rsidR="00175C5A" w:rsidRPr="00F92037">
        <w:t xml:space="preserve"> jogcím 2012. évi eredményei</w:t>
      </w:r>
      <w:r w:rsidR="00011C3B" w:rsidRPr="00F92037">
        <w:t xml:space="preserve">  </w:t>
      </w:r>
    </w:p>
    <w:p w:rsidR="00011C3B" w:rsidRPr="00F92037" w:rsidRDefault="00B452BF" w:rsidP="00F92037">
      <w:pPr>
        <w:pStyle w:val="bra-cmetbla"/>
      </w:pPr>
      <w:r w:rsidRPr="00F92037">
        <w:rPr>
          <w:noProof/>
        </w:rPr>
        <w:drawing>
          <wp:inline distT="0" distB="0" distL="0" distR="0" wp14:anchorId="16BE11D5" wp14:editId="14BED526">
            <wp:extent cx="5167630" cy="1882140"/>
            <wp:effectExtent l="0" t="0" r="0" b="3810"/>
            <wp:docPr id="61"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C003F8" w:rsidRDefault="00011C3B" w:rsidP="00011C3B">
      <w:pPr>
        <w:pStyle w:val="Normlforrs"/>
      </w:pPr>
      <w:r w:rsidRPr="00C003F8">
        <w:t>Forrás: MVH</w:t>
      </w:r>
    </w:p>
    <w:p w:rsidR="00011C3B" w:rsidRDefault="00011C3B" w:rsidP="004869BB">
      <w:bookmarkStart w:id="349" w:name="_Toc297560984"/>
      <w:r>
        <w:lastRenderedPageBreak/>
        <w:t xml:space="preserve">2012-ben a HACS-ok </w:t>
      </w:r>
      <w:r w:rsidR="00175C5A">
        <w:t>III. tengely megvalósításához kapcs</w:t>
      </w:r>
      <w:r w:rsidR="00B22134">
        <w:t>o</w:t>
      </w:r>
      <w:r w:rsidR="00175C5A">
        <w:t>lódó tevékenységeinek finanszírozására</w:t>
      </w:r>
      <w:r>
        <w:t xml:space="preserve"> 1,8 M euró (</w:t>
      </w:r>
      <w:r w:rsidR="00387620">
        <w:t xml:space="preserve"> 525,6 M </w:t>
      </w:r>
      <w:r>
        <w:t>Ft) kifizetésre került sor.</w:t>
      </w:r>
    </w:p>
    <w:p w:rsidR="00011C3B" w:rsidRDefault="009B6E96" w:rsidP="004869BB">
      <w:pPr>
        <w:rPr>
          <w:szCs w:val="22"/>
        </w:rPr>
      </w:pPr>
      <w:r w:rsidRPr="00564E59">
        <w:t>201</w:t>
      </w:r>
      <w:r>
        <w:t>2</w:t>
      </w:r>
      <w:r w:rsidRPr="00564E59">
        <w:t xml:space="preserve">-ben </w:t>
      </w:r>
      <w:r>
        <w:t xml:space="preserve">a HVI-k korábbi kifizetéseihez kapcsolódó pénzügyi </w:t>
      </w:r>
      <w:r w:rsidRPr="00053C2D">
        <w:t xml:space="preserve">korrekciókra került sor. </w:t>
      </w:r>
      <w:r w:rsidR="00B22134" w:rsidRPr="00053C2D">
        <w:t>A kötelezettségvállalás negatív összegét az indokolja, hogy a HACS-ok III. tengelyre lekötött működési forrásai a Bizottság iránymutatása szerint ezen a jogcímen felszabadításra, míg a 432 jogcímen lekötésre kerültek.</w:t>
      </w:r>
    </w:p>
    <w:p w:rsidR="00011C3B" w:rsidRPr="003C0B32" w:rsidRDefault="00011C3B" w:rsidP="00527629">
      <w:pPr>
        <w:pStyle w:val="Cmsor2"/>
      </w:pPr>
      <w:r>
        <w:br w:type="page"/>
      </w:r>
      <w:bookmarkStart w:id="350" w:name="_Toc328638732"/>
      <w:bookmarkStart w:id="351" w:name="_Toc360176825"/>
      <w:r w:rsidRPr="003C0B32">
        <w:lastRenderedPageBreak/>
        <w:t>IV. tengely: LEADER</w:t>
      </w:r>
      <w:bookmarkEnd w:id="350"/>
      <w:bookmarkEnd w:id="351"/>
    </w:p>
    <w:p w:rsidR="00011C3B" w:rsidRDefault="00011C3B" w:rsidP="004869BB">
      <w:r w:rsidRPr="00C003F8">
        <w:t xml:space="preserve">A IV. tengely a LEADER program, amelynek célja a vidéki gazdaság fejlődése érdekében tett intézkedések összekapcsolása. A LEADER tengely kiemelt fejlesztési iránya a nemzeti fejlesztési irányokkal összhangban a vidéki foglalkoztatás bővítése, a tevékenységek diverzifikálása és a helyi közösségek fejlesztése. </w:t>
      </w:r>
    </w:p>
    <w:p w:rsidR="00851B3C" w:rsidRDefault="00851B3C" w:rsidP="00851B3C">
      <w:pPr>
        <w:pStyle w:val="bra-cmebra"/>
      </w:pPr>
      <w:r w:rsidRPr="00F35797">
        <w:t>ábra</w:t>
      </w:r>
      <w:r w:rsidR="00673DDE">
        <w:t xml:space="preserve">: </w:t>
      </w:r>
      <w:r>
        <w:t xml:space="preserve">IV. tengely </w:t>
      </w:r>
      <w:r w:rsidRPr="00673DDE">
        <w:rPr>
          <w:rFonts w:cs="Calibri"/>
        </w:rPr>
        <w:t>2012.</w:t>
      </w:r>
      <w:r w:rsidRPr="00851B3C">
        <w:t xml:space="preserve"> évi</w:t>
      </w:r>
      <w:r>
        <w:t xml:space="preserve"> kifizetéseinek megyénkénti eloszlása</w:t>
      </w:r>
    </w:p>
    <w:p w:rsidR="00851B3C" w:rsidRPr="00C003F8" w:rsidRDefault="008D59D3" w:rsidP="00851B3C">
      <w:pPr>
        <w:jc w:val="center"/>
      </w:pPr>
      <w:r>
        <w:rPr>
          <w:noProof/>
        </w:rPr>
        <w:drawing>
          <wp:inline distT="0" distB="0" distL="0" distR="0" wp14:anchorId="7803D231" wp14:editId="45A39544">
            <wp:extent cx="5759450" cy="3601277"/>
            <wp:effectExtent l="0" t="0" r="0" b="0"/>
            <wp:docPr id="60" name="Kép 60" descr="C:\Users\HullaiB\AppData\Local\Microsoft\Windows\Temporary Internet Files\Content.Outlook\VXZSLSDC\kifiz 4 t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llaiB\AppData\Local\Microsoft\Windows\Temporary Internet Files\Content.Outlook\VXZSLSDC\kifiz 4 tg.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3601277"/>
                    </a:xfrm>
                    <a:prstGeom prst="rect">
                      <a:avLst/>
                    </a:prstGeom>
                    <a:noFill/>
                    <a:ln>
                      <a:noFill/>
                    </a:ln>
                  </pic:spPr>
                </pic:pic>
              </a:graphicData>
            </a:graphic>
          </wp:inline>
        </w:drawing>
      </w:r>
    </w:p>
    <w:p w:rsidR="00011C3B" w:rsidRPr="00C003F8" w:rsidRDefault="00011C3B" w:rsidP="004869BB">
      <w:r w:rsidRPr="00C003F8">
        <w:t xml:space="preserve">Az ország területét lefedően 96 helyi közösség jött létre, amelyek a köz-, civil-, és üzleti szféra képviselőit tömörítő közösségek. A közösségek készítették el Helyi Vidékfejlesztési Stratégiájukat (HVS), ami alapján kirajzolódtak az egyes térségek fejlesztési prioritásai. A HVS-ek elbírálását követően 2008. szeptember 26-án került kihirdetésre, hogy a Helyi Vidékfejlesztési Stratégiák értékelése és minősége alapján mind a 96 közösség LEADER címben részesült, azaz LEADER Helyi Akciócsoportokká váltak. </w:t>
      </w:r>
      <w:r w:rsidRPr="004B7148">
        <w:t>A LEADER Helyi Akciócsoportok részére rendelkezésre álló forrásokat az Irányító Hatóság a 147/2007. (XII.4.) FVM rendeletben szabályozta, felhasználásának szabályai a 141/2008. (X. 30.) FVM rendeletben kerültek meghatározásra.</w:t>
      </w:r>
      <w:r w:rsidRPr="00C003F8">
        <w:t xml:space="preserve"> </w:t>
      </w:r>
    </w:p>
    <w:p w:rsidR="00011C3B" w:rsidRDefault="00011C3B" w:rsidP="004869BB">
      <w:r w:rsidRPr="00C003F8">
        <w:t>A LEADER program végrehajtásával kapcsolatos nehézségek már a helyi stratégia alkotásnál jelentkeztek, az eljárásrend túlzottan bürokratikus volt, amelyen változtatni kellett. 2010 nyár közepén létrejött egy munkacsoport a LEADER megújítása céljából. A munkacsoportban részt vettek az IH, az MVH és az MNVH munkatársai, valamint Monitoring Bizottsági tagok is, és a nyár végére már elkészültek az első javaslatok, melyek alapján összeállt egy vitaanyag, és megkezdődhetett a LEADER társadalmi vitája. Az országosan megrendezett vitafórum során mind a hat régióban lehetőség volt a személyes eszmecserére, melynek során közel 1000 vélemény, javaslat hangzott el. A főbb tapasztalatok: a</w:t>
      </w:r>
      <w:r>
        <w:t xml:space="preserve"> tagságuk szempontjából</w:t>
      </w:r>
      <w:r w:rsidRPr="00C003F8">
        <w:t xml:space="preserve"> bezárkózó HACS-okat ki kell nyitni, a helyi közösségek kezébe érdemi döntést kell adni, és Helyi Bíráló Bizottságokat kell felállítani, rövidebb eljárásrendre van szükség, a kisértékű projekteket el kell különíteni a nagyértékű projektektől, és a döntési időt, </w:t>
      </w:r>
      <w:r>
        <w:t>a</w:t>
      </w:r>
      <w:r w:rsidRPr="00C003F8">
        <w:t xml:space="preserve">mely jelenleg 8-12 hónap le kell csökkenteni 4-6 hónapra. Szükség van továbbá az informatikai rendszer átalakítására, az eljárásrend megreformálására annak érdekében, hogy a 2011-ben megjelenő </w:t>
      </w:r>
      <w:r w:rsidRPr="00C003F8">
        <w:lastRenderedPageBreak/>
        <w:t xml:space="preserve">új pályázati kiírások már jóval egyszerűbbek legyenek, és jobban megfeleljenek a támogatásokat igénybe venni kívánó </w:t>
      </w:r>
      <w:r>
        <w:t>ügyfele</w:t>
      </w:r>
      <w:r w:rsidRPr="00C003F8">
        <w:t>k számára.</w:t>
      </w:r>
    </w:p>
    <w:p w:rsidR="00011C3B" w:rsidRDefault="00011C3B" w:rsidP="004869BB">
      <w:pPr>
        <w:rPr>
          <w:rFonts w:eastAsia="Times New Roman" w:cs="Vrinda"/>
          <w:i/>
          <w:iCs/>
          <w:kern w:val="0"/>
          <w:szCs w:val="22"/>
          <w:lang w:bidi="bn-IN"/>
        </w:rPr>
      </w:pPr>
      <w:r>
        <w:t xml:space="preserve">A 2010-ben lefolytatott társadalmi és szakmai vita eredményei alapján az Irányító Hatóság felülvizsgálta a LEADER HACS-ok szabályozásának teljes jogszabályi hátterét, amelynek eredményeképpen a korábbi – főként a megalakulásukat szabályozó - jogszabályokat hatályon kívül helyezte, és helyettük egy teljesen új, a LEADER HACS-ok teljes életútját szabályozó jogszabályt alkotott, ez </w:t>
      </w:r>
      <w:r w:rsidRPr="000B0A7C">
        <w:rPr>
          <w:szCs w:val="22"/>
        </w:rPr>
        <w:t>„</w:t>
      </w:r>
      <w:r w:rsidRPr="000B0A7C">
        <w:rPr>
          <w:i/>
          <w:iCs/>
          <w:szCs w:val="22"/>
        </w:rPr>
        <w:t>a</w:t>
      </w:r>
      <w:r w:rsidRPr="000B0A7C">
        <w:rPr>
          <w:rFonts w:eastAsia="Times New Roman" w:cs="Vrinda"/>
          <w:i/>
          <w:iCs/>
          <w:kern w:val="0"/>
          <w:szCs w:val="22"/>
          <w:lang w:bidi="bn-IN"/>
        </w:rPr>
        <w:t xml:space="preserve"> LEADER Helyi Akciócsoportok működéséről szóló 54/2011. (VI.10.) VM rendelet. </w:t>
      </w:r>
    </w:p>
    <w:p w:rsidR="004B7148" w:rsidRDefault="00011C3B" w:rsidP="004869BB">
      <w:r w:rsidRPr="000B0A7C">
        <w:rPr>
          <w:szCs w:val="22"/>
        </w:rPr>
        <w:t xml:space="preserve">A </w:t>
      </w:r>
      <w:r>
        <w:rPr>
          <w:szCs w:val="22"/>
        </w:rPr>
        <w:t xml:space="preserve">LEADER HACS-ok finanszírozásának szabályait tartalmazó </w:t>
      </w:r>
      <w:r w:rsidRPr="00C003F8">
        <w:t>141/2008. (X.30.) FVM rendelet</w:t>
      </w:r>
      <w:r>
        <w:t xml:space="preserve"> felülvizsgálatának szükségessége 2010-ben szintén nyilvánvalóvá vált, ezért új jogszabály kiadását tűzte ki célul az Irányító Hatóság, amely 2012-ben meg is jelent és felváltotta a korábbi </w:t>
      </w:r>
      <w:r w:rsidRPr="00C003F8">
        <w:t>141/2008. (X.30.) FVM rendelet</w:t>
      </w:r>
      <w:r>
        <w:t xml:space="preserve">et. </w:t>
      </w:r>
    </w:p>
    <w:p w:rsidR="004B7148" w:rsidRDefault="00011C3B" w:rsidP="004869BB">
      <w:pPr>
        <w:rPr>
          <w:rFonts w:eastAsia="Times New Roman" w:cs="Vrinda"/>
          <w:szCs w:val="22"/>
          <w:lang w:bidi="bn-IN"/>
        </w:rPr>
      </w:pPr>
      <w:r>
        <w:t xml:space="preserve">A társadalmi és szakmai vita eredményei alapján az </w:t>
      </w:r>
      <w:r w:rsidRPr="00574DCE">
        <w:rPr>
          <w:rFonts w:eastAsia="Times New Roman" w:cs="Vrinda"/>
          <w:szCs w:val="22"/>
          <w:lang w:bidi="bn-IN"/>
        </w:rPr>
        <w:t xml:space="preserve">54/2011. (VI.10.) VM rendelet kimondta, hogy 2012. április 30-át követően csak egyesületi formában működő szervezetek lehetnek LEADER HACS cím birtokosai annak érdekében, </w:t>
      </w:r>
      <w:r>
        <w:rPr>
          <w:rFonts w:eastAsia="Times New Roman" w:cs="Vrinda"/>
          <w:szCs w:val="22"/>
          <w:lang w:bidi="bn-IN"/>
        </w:rPr>
        <w:t xml:space="preserve">hogy </w:t>
      </w:r>
      <w:r w:rsidRPr="00574DCE">
        <w:rPr>
          <w:rFonts w:eastAsia="Times New Roman" w:cs="Vrinda"/>
          <w:szCs w:val="22"/>
          <w:lang w:bidi="bn-IN"/>
        </w:rPr>
        <w:t>a LEADER Program társadalmasítása minél széles</w:t>
      </w:r>
      <w:r>
        <w:rPr>
          <w:rFonts w:eastAsia="Times New Roman" w:cs="Vrinda"/>
          <w:szCs w:val="22"/>
          <w:lang w:bidi="bn-IN"/>
        </w:rPr>
        <w:t>ebb körben</w:t>
      </w:r>
      <w:r w:rsidRPr="00574DCE">
        <w:rPr>
          <w:rFonts w:eastAsia="Times New Roman" w:cs="Vrinda"/>
          <w:szCs w:val="22"/>
          <w:lang w:bidi="bn-IN"/>
        </w:rPr>
        <w:t xml:space="preserve"> megvalósulhasson.</w:t>
      </w:r>
      <w:r>
        <w:rPr>
          <w:rFonts w:eastAsia="Times New Roman" w:cs="Vrinda"/>
          <w:szCs w:val="22"/>
          <w:lang w:bidi="bn-IN"/>
        </w:rPr>
        <w:t xml:space="preserve"> A nonprofit formában működő LEADER HACS címmel rendelkező gazdasági társaságok „átalakulási” folyamatának előkészítése megkezdődött 2011-ben és 2012-ben fejeződött be, azonban néhány korábbi LEADER HACS címmel rendelkező szervezet nem kívánt „átalakulni”, valamint nem volt alkalmas a feladatok további eredményes folytatására, ezért új címbirtokos szervezetek kiválasztási folyamata kezdődött el 2012-ben. Az év </w:t>
      </w:r>
      <w:r w:rsidRPr="00921338">
        <w:rPr>
          <w:rFonts w:eastAsia="Times New Roman" w:cs="Vrinda"/>
          <w:szCs w:val="22"/>
          <w:lang w:bidi="bn-IN"/>
        </w:rPr>
        <w:t>végén</w:t>
      </w:r>
      <w:r w:rsidRPr="006513BE">
        <w:rPr>
          <w:rFonts w:eastAsia="Times New Roman" w:cs="Vrinda"/>
          <w:szCs w:val="22"/>
          <w:lang w:bidi="bn-IN"/>
        </w:rPr>
        <w:t xml:space="preserve"> két LEADER jogosult terület kivételével</w:t>
      </w:r>
      <w:r>
        <w:rPr>
          <w:rFonts w:eastAsia="Times New Roman" w:cs="Vrinda"/>
          <w:szCs w:val="22"/>
          <w:lang w:bidi="bn-IN"/>
        </w:rPr>
        <w:t xml:space="preserve"> minden területen volt LEADER HACS címbirtokos szervezet</w:t>
      </w:r>
      <w:r w:rsidR="004B7148">
        <w:rPr>
          <w:rFonts w:eastAsia="Times New Roman" w:cs="Vrinda"/>
          <w:szCs w:val="22"/>
          <w:lang w:bidi="bn-IN"/>
        </w:rPr>
        <w:t>.</w:t>
      </w:r>
    </w:p>
    <w:p w:rsidR="00011C3B" w:rsidRDefault="004B7148" w:rsidP="004869BB">
      <w:r>
        <w:t>Az új rendelet a 30/2012. (III.24.) VM rendelet</w:t>
      </w:r>
      <w:r w:rsidR="009B6E96">
        <w:t>, ebben jelentős egyszerűsítéseket rögzített az Irányító Hatóság. A rendelet a korábban említett HACS-átalakulással kapcsolatosan felmerülő problémákat szabályozza</w:t>
      </w:r>
      <w:r w:rsidR="00597778">
        <w:t xml:space="preserve"> (pl: személygépkocsi-használat, berendezések beszerzése)</w:t>
      </w:r>
      <w:r w:rsidR="009B6E96">
        <w:t>, továbbá lehetővé vált az elektronikus kifizetési kérelem és számlabenyújtást.</w:t>
      </w:r>
    </w:p>
    <w:p w:rsidR="00011C3B" w:rsidRPr="00896E03" w:rsidRDefault="00011C3B" w:rsidP="00DB48A3">
      <w:pPr>
        <w:pStyle w:val="Cmsor3"/>
      </w:pPr>
      <w:bookmarkStart w:id="352" w:name="_Toc328638733"/>
      <w:bookmarkStart w:id="353" w:name="_Toc360176826"/>
      <w:r w:rsidRPr="00896E03">
        <w:t>A helyi fejlesztési stratégiák megvalósítása (41) intézkedés rövid bemutatása</w:t>
      </w:r>
      <w:bookmarkEnd w:id="352"/>
      <w:bookmarkEnd w:id="353"/>
    </w:p>
    <w:p w:rsidR="00011C3B" w:rsidRPr="00C003F8" w:rsidRDefault="00011C3B" w:rsidP="00011C3B">
      <w:pPr>
        <w:rPr>
          <w:szCs w:val="26"/>
          <w:lang w:bidi="sa-IN"/>
        </w:rPr>
      </w:pPr>
      <w:r w:rsidRPr="00C003F8">
        <w:rPr>
          <w:szCs w:val="26"/>
          <w:lang w:bidi="sa-IN"/>
        </w:rPr>
        <w:t>Az intézkedés célját képezi a belső erőforrások fenntartható és innovatív felhasználásának elősegítése, a vidéki szereplők közötti együttműködés megalapozása az integrált megközelítést tartalmazó fenntartható helyi fejlesztési stratégiák előkészítése és megvalósítása érdekében, továbbá a helyi innovatív megoldások és az átfogó társulások működtetése, a vidéki régiók életszínvonalának emelése, a munkahelyek megőrzése és újak létrehozása, valamint az élethosszig tartó tanulás elősegítése.</w:t>
      </w:r>
    </w:p>
    <w:p w:rsidR="00011C3B" w:rsidRPr="00F92037" w:rsidRDefault="007E5FDF" w:rsidP="00F92037">
      <w:pPr>
        <w:pStyle w:val="bra-cmetbla"/>
      </w:pPr>
      <w:fldSimple w:instr=" SEQ táblázat \* ARABIC ">
        <w:r w:rsidR="00E5031F">
          <w:rPr>
            <w:noProof/>
          </w:rPr>
          <w:t>98</w:t>
        </w:r>
      </w:fldSimple>
      <w:r w:rsidR="00FE0173">
        <w:t xml:space="preserve">. táblázat: </w:t>
      </w:r>
      <w:r w:rsidR="00011C3B" w:rsidRPr="00F92037">
        <w:t>A helyi fejlesztési stratégiák megvalósítása (41) indikátorainak megvalósulása</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5"/>
        <w:gridCol w:w="6033"/>
        <w:gridCol w:w="1800"/>
        <w:gridCol w:w="1556"/>
      </w:tblGrid>
      <w:tr w:rsidR="00011C3B" w:rsidRPr="008B76DD" w:rsidTr="00011C3B">
        <w:trPr>
          <w:jc w:val="center"/>
        </w:trPr>
        <w:tc>
          <w:tcPr>
            <w:tcW w:w="485" w:type="dxa"/>
            <w:shd w:val="clear" w:color="auto" w:fill="B3B3B3"/>
          </w:tcPr>
          <w:p w:rsidR="00011C3B" w:rsidRPr="008B76DD" w:rsidRDefault="00011C3B" w:rsidP="00011C3B">
            <w:pPr>
              <w:pStyle w:val="Norml1"/>
              <w:spacing w:after="0"/>
              <w:ind w:left="28" w:hanging="28"/>
              <w:jc w:val="center"/>
              <w:rPr>
                <w:b/>
                <w:sz w:val="20"/>
                <w:szCs w:val="20"/>
                <w:lang w:val="hu-HU" w:bidi="sa-IN"/>
              </w:rPr>
            </w:pPr>
          </w:p>
        </w:tc>
        <w:tc>
          <w:tcPr>
            <w:tcW w:w="6033" w:type="dxa"/>
            <w:shd w:val="clear" w:color="auto" w:fill="B3B3B3"/>
            <w:vAlign w:val="center"/>
          </w:tcPr>
          <w:p w:rsidR="00011C3B" w:rsidRPr="003E6079" w:rsidRDefault="00011C3B" w:rsidP="00011C3B">
            <w:pPr>
              <w:pStyle w:val="Norml1"/>
              <w:spacing w:after="0"/>
              <w:ind w:left="-44" w:hanging="28"/>
              <w:jc w:val="center"/>
              <w:rPr>
                <w:b/>
                <w:sz w:val="20"/>
                <w:szCs w:val="20"/>
                <w:lang w:val="hu-HU" w:bidi="sa-IN"/>
              </w:rPr>
            </w:pPr>
            <w:r w:rsidRPr="008B76DD">
              <w:rPr>
                <w:b/>
                <w:sz w:val="20"/>
                <w:szCs w:val="20"/>
                <w:lang w:val="hu-HU" w:bidi="sa-IN"/>
              </w:rPr>
              <w:t>Indikátor leírása</w:t>
            </w:r>
          </w:p>
        </w:tc>
        <w:tc>
          <w:tcPr>
            <w:tcW w:w="1800" w:type="dxa"/>
            <w:shd w:val="clear" w:color="auto" w:fill="B3B3B3"/>
            <w:vAlign w:val="center"/>
          </w:tcPr>
          <w:p w:rsidR="00011C3B" w:rsidRPr="008B76DD" w:rsidRDefault="00011C3B" w:rsidP="00011C3B">
            <w:pPr>
              <w:pStyle w:val="Norml1"/>
              <w:spacing w:after="0"/>
              <w:ind w:left="-44" w:hanging="28"/>
              <w:jc w:val="center"/>
              <w:rPr>
                <w:b/>
                <w:sz w:val="20"/>
                <w:szCs w:val="20"/>
                <w:lang w:bidi="sa-IN"/>
              </w:rPr>
            </w:pPr>
            <w:r w:rsidRPr="003E6079">
              <w:rPr>
                <w:b/>
                <w:sz w:val="20"/>
                <w:szCs w:val="20"/>
                <w:lang w:val="hu-HU"/>
              </w:rPr>
              <w:t>Program szerinti ter</w:t>
            </w:r>
            <w:r w:rsidRPr="008B76DD">
              <w:rPr>
                <w:b/>
                <w:sz w:val="20"/>
                <w:szCs w:val="20"/>
              </w:rPr>
              <w:t>vadat</w:t>
            </w:r>
          </w:p>
        </w:tc>
        <w:tc>
          <w:tcPr>
            <w:tcW w:w="1556" w:type="dxa"/>
            <w:shd w:val="clear" w:color="auto" w:fill="B3B3B3"/>
            <w:vAlign w:val="center"/>
          </w:tcPr>
          <w:p w:rsidR="00011C3B" w:rsidRPr="008B76DD" w:rsidRDefault="00011C3B" w:rsidP="00011C3B">
            <w:pPr>
              <w:pStyle w:val="Norml1"/>
              <w:spacing w:after="0"/>
              <w:ind w:left="-44" w:hanging="28"/>
              <w:jc w:val="center"/>
              <w:rPr>
                <w:b/>
                <w:sz w:val="20"/>
                <w:szCs w:val="20"/>
                <w:lang w:val="hu-HU" w:bidi="sa-IN"/>
              </w:rPr>
            </w:pPr>
            <w:r w:rsidRPr="008B76DD">
              <w:rPr>
                <w:b/>
                <w:sz w:val="20"/>
                <w:szCs w:val="20"/>
              </w:rPr>
              <w:t>Indikátorok kumulált értéke</w:t>
            </w:r>
          </w:p>
        </w:tc>
      </w:tr>
      <w:tr w:rsidR="00011C3B" w:rsidRPr="00E83A65" w:rsidTr="00011C3B">
        <w:trPr>
          <w:jc w:val="center"/>
        </w:trPr>
        <w:tc>
          <w:tcPr>
            <w:tcW w:w="485" w:type="dxa"/>
          </w:tcPr>
          <w:p w:rsidR="00011C3B" w:rsidRPr="00E83A65" w:rsidRDefault="00011C3B" w:rsidP="00011C3B">
            <w:pPr>
              <w:pStyle w:val="Norml1"/>
              <w:tabs>
                <w:tab w:val="left" w:pos="612"/>
              </w:tabs>
              <w:spacing w:after="0"/>
              <w:ind w:left="28" w:hanging="28"/>
              <w:jc w:val="center"/>
              <w:rPr>
                <w:sz w:val="20"/>
                <w:szCs w:val="20"/>
                <w:lang w:val="hu-HU" w:bidi="sa-IN"/>
              </w:rPr>
            </w:pPr>
            <w:r w:rsidRPr="00E83A65">
              <w:rPr>
                <w:sz w:val="20"/>
                <w:szCs w:val="20"/>
                <w:lang w:val="hu-HU" w:bidi="sa-IN"/>
              </w:rPr>
              <w:t>O</w:t>
            </w:r>
          </w:p>
        </w:tc>
        <w:tc>
          <w:tcPr>
            <w:tcW w:w="6033" w:type="dxa"/>
          </w:tcPr>
          <w:p w:rsidR="00011C3B" w:rsidRPr="00E83A65" w:rsidRDefault="00011C3B" w:rsidP="00011C3B">
            <w:pPr>
              <w:pStyle w:val="Norml1"/>
              <w:tabs>
                <w:tab w:val="left" w:pos="612"/>
              </w:tabs>
              <w:spacing w:after="0"/>
              <w:ind w:left="-44" w:hanging="12"/>
              <w:rPr>
                <w:sz w:val="20"/>
                <w:szCs w:val="20"/>
                <w:lang w:val="pl-PL" w:bidi="sa-IN"/>
              </w:rPr>
            </w:pPr>
            <w:r w:rsidRPr="00E83A65">
              <w:rPr>
                <w:sz w:val="20"/>
                <w:szCs w:val="20"/>
                <w:lang w:val="hu-HU" w:bidi="sa-IN"/>
              </w:rPr>
              <w:t>A támogatott HACS-ok száma;</w:t>
            </w:r>
          </w:p>
          <w:p w:rsidR="00011C3B" w:rsidRPr="00E83A65" w:rsidRDefault="00011C3B" w:rsidP="0033390A">
            <w:pPr>
              <w:numPr>
                <w:ilvl w:val="0"/>
                <w:numId w:val="80"/>
              </w:numPr>
              <w:spacing w:after="0"/>
              <w:rPr>
                <w:sz w:val="20"/>
                <w:szCs w:val="20"/>
              </w:rPr>
            </w:pPr>
            <w:r w:rsidRPr="00E83A65">
              <w:rPr>
                <w:sz w:val="20"/>
                <w:szCs w:val="20"/>
                <w:lang w:bidi="sa-IN"/>
              </w:rPr>
              <w:t xml:space="preserve">új </w:t>
            </w:r>
            <w:r w:rsidRPr="00E83A65">
              <w:rPr>
                <w:sz w:val="20"/>
                <w:szCs w:val="20"/>
              </w:rPr>
              <w:t>HACS</w:t>
            </w:r>
          </w:p>
          <w:p w:rsidR="00011C3B" w:rsidRPr="00E83A65" w:rsidRDefault="00011C3B" w:rsidP="0033390A">
            <w:pPr>
              <w:numPr>
                <w:ilvl w:val="0"/>
                <w:numId w:val="80"/>
              </w:numPr>
              <w:spacing w:after="0"/>
              <w:rPr>
                <w:sz w:val="20"/>
                <w:szCs w:val="20"/>
                <w:lang w:bidi="sa-IN"/>
              </w:rPr>
            </w:pPr>
            <w:r w:rsidRPr="00E83A65">
              <w:rPr>
                <w:sz w:val="20"/>
                <w:szCs w:val="20"/>
              </w:rPr>
              <w:t>már</w:t>
            </w:r>
            <w:r w:rsidRPr="00E83A65">
              <w:rPr>
                <w:sz w:val="20"/>
                <w:szCs w:val="20"/>
                <w:lang w:bidi="sa-IN"/>
              </w:rPr>
              <w:t xml:space="preserve"> létező HACS</w:t>
            </w:r>
          </w:p>
          <w:p w:rsidR="00011C3B" w:rsidRPr="00E83A65" w:rsidRDefault="00011C3B" w:rsidP="00011C3B">
            <w:pPr>
              <w:pStyle w:val="Norml1"/>
              <w:tabs>
                <w:tab w:val="left" w:pos="612"/>
              </w:tabs>
              <w:spacing w:after="0"/>
              <w:ind w:left="-44" w:hanging="12"/>
              <w:rPr>
                <w:sz w:val="20"/>
                <w:szCs w:val="20"/>
                <w:lang w:val="pl-PL" w:bidi="sa-IN"/>
              </w:rPr>
            </w:pPr>
            <w:r w:rsidRPr="00E83A65">
              <w:rPr>
                <w:sz w:val="20"/>
                <w:szCs w:val="20"/>
                <w:lang w:val="hu-HU" w:bidi="sa-IN"/>
              </w:rPr>
              <w:t>A HACS-ok által elfogadott projektek száma</w:t>
            </w:r>
          </w:p>
          <w:p w:rsidR="00011C3B" w:rsidRPr="00E83A65" w:rsidRDefault="00011C3B" w:rsidP="0033390A">
            <w:pPr>
              <w:numPr>
                <w:ilvl w:val="0"/>
                <w:numId w:val="80"/>
              </w:numPr>
              <w:spacing w:after="0"/>
              <w:rPr>
                <w:sz w:val="20"/>
                <w:szCs w:val="20"/>
              </w:rPr>
            </w:pPr>
            <w:r w:rsidRPr="00E83A65">
              <w:rPr>
                <w:sz w:val="20"/>
                <w:szCs w:val="20"/>
                <w:lang w:bidi="sa-IN"/>
              </w:rPr>
              <w:t xml:space="preserve">I. </w:t>
            </w:r>
            <w:r w:rsidRPr="00E83A65">
              <w:rPr>
                <w:sz w:val="20"/>
                <w:szCs w:val="20"/>
              </w:rPr>
              <w:t>tengely</w:t>
            </w:r>
          </w:p>
          <w:p w:rsidR="00011C3B" w:rsidRPr="00E83A65" w:rsidRDefault="00011C3B" w:rsidP="0033390A">
            <w:pPr>
              <w:numPr>
                <w:ilvl w:val="0"/>
                <w:numId w:val="80"/>
              </w:numPr>
              <w:spacing w:after="0"/>
              <w:rPr>
                <w:sz w:val="20"/>
                <w:szCs w:val="20"/>
              </w:rPr>
            </w:pPr>
            <w:r w:rsidRPr="00E83A65">
              <w:rPr>
                <w:sz w:val="20"/>
                <w:szCs w:val="20"/>
              </w:rPr>
              <w:t>II. tengely</w:t>
            </w:r>
          </w:p>
          <w:p w:rsidR="00011C3B" w:rsidRPr="00E83A65" w:rsidRDefault="00011C3B" w:rsidP="0033390A">
            <w:pPr>
              <w:numPr>
                <w:ilvl w:val="0"/>
                <w:numId w:val="80"/>
              </w:numPr>
              <w:spacing w:after="0"/>
              <w:rPr>
                <w:sz w:val="20"/>
                <w:szCs w:val="20"/>
                <w:lang w:bidi="sa-IN"/>
              </w:rPr>
            </w:pPr>
            <w:r w:rsidRPr="00E83A65">
              <w:rPr>
                <w:sz w:val="20"/>
                <w:szCs w:val="20"/>
              </w:rPr>
              <w:t>III. tengely</w:t>
            </w:r>
          </w:p>
          <w:p w:rsidR="00011C3B" w:rsidRPr="00E83A65" w:rsidRDefault="00011C3B" w:rsidP="00011C3B">
            <w:pPr>
              <w:pStyle w:val="Norml1"/>
              <w:tabs>
                <w:tab w:val="left" w:pos="612"/>
              </w:tabs>
              <w:spacing w:after="0"/>
              <w:ind w:left="-44" w:hanging="12"/>
              <w:rPr>
                <w:sz w:val="20"/>
                <w:szCs w:val="20"/>
              </w:rPr>
            </w:pPr>
          </w:p>
          <w:p w:rsidR="00011C3B" w:rsidRPr="00E83A65" w:rsidRDefault="00011C3B" w:rsidP="00011C3B">
            <w:pPr>
              <w:pStyle w:val="Norml1"/>
              <w:tabs>
                <w:tab w:val="left" w:pos="612"/>
              </w:tabs>
              <w:spacing w:after="0"/>
              <w:ind w:left="-44" w:hanging="12"/>
              <w:rPr>
                <w:sz w:val="20"/>
                <w:szCs w:val="20"/>
                <w:lang w:bidi="sa-IN"/>
              </w:rPr>
            </w:pPr>
            <w:r w:rsidRPr="00E83A65">
              <w:rPr>
                <w:sz w:val="20"/>
                <w:szCs w:val="20"/>
                <w:lang w:val="hu-HU" w:bidi="sa-IN"/>
              </w:rPr>
              <w:t>A HACS-ok által lefedett összterület (km</w:t>
            </w:r>
            <w:r w:rsidRPr="00E83A65">
              <w:rPr>
                <w:sz w:val="20"/>
                <w:szCs w:val="20"/>
                <w:vertAlign w:val="superscript"/>
                <w:lang w:val="hu-HU" w:bidi="sa-IN"/>
              </w:rPr>
              <w:t>2</w:t>
            </w:r>
            <w:r w:rsidRPr="00E83A65">
              <w:rPr>
                <w:sz w:val="20"/>
                <w:szCs w:val="20"/>
                <w:lang w:val="hu-HU" w:bidi="sa-IN"/>
              </w:rPr>
              <w:t>):</w:t>
            </w:r>
          </w:p>
          <w:p w:rsidR="00011C3B" w:rsidRPr="00E83A65" w:rsidRDefault="00011C3B" w:rsidP="00011C3B">
            <w:pPr>
              <w:pStyle w:val="Norml1"/>
              <w:tabs>
                <w:tab w:val="left" w:pos="612"/>
              </w:tabs>
              <w:spacing w:after="0"/>
              <w:ind w:left="-44" w:hanging="12"/>
              <w:rPr>
                <w:sz w:val="20"/>
                <w:szCs w:val="20"/>
              </w:rPr>
            </w:pPr>
          </w:p>
          <w:p w:rsidR="00011C3B" w:rsidRPr="00E83A65" w:rsidRDefault="00011C3B" w:rsidP="00011C3B">
            <w:pPr>
              <w:pStyle w:val="Norml1"/>
              <w:tabs>
                <w:tab w:val="left" w:pos="612"/>
              </w:tabs>
              <w:spacing w:after="0"/>
              <w:ind w:left="-44" w:hanging="12"/>
              <w:rPr>
                <w:sz w:val="20"/>
                <w:szCs w:val="20"/>
              </w:rPr>
            </w:pPr>
          </w:p>
          <w:p w:rsidR="00011C3B" w:rsidRPr="00E83A65" w:rsidRDefault="00011C3B" w:rsidP="00011C3B">
            <w:pPr>
              <w:pStyle w:val="Norml1"/>
              <w:tabs>
                <w:tab w:val="left" w:pos="612"/>
              </w:tabs>
              <w:spacing w:after="0"/>
              <w:ind w:left="-44" w:hanging="12"/>
              <w:rPr>
                <w:sz w:val="20"/>
                <w:szCs w:val="20"/>
                <w:lang w:bidi="sa-IN"/>
              </w:rPr>
            </w:pPr>
          </w:p>
          <w:p w:rsidR="00011C3B" w:rsidRPr="00E83A65" w:rsidRDefault="00011C3B" w:rsidP="00011C3B">
            <w:pPr>
              <w:pStyle w:val="Norml1"/>
              <w:tabs>
                <w:tab w:val="left" w:pos="612"/>
              </w:tabs>
              <w:spacing w:after="0"/>
              <w:ind w:left="-44" w:hanging="12"/>
              <w:rPr>
                <w:sz w:val="20"/>
                <w:szCs w:val="20"/>
                <w:lang w:bidi="sa-IN"/>
              </w:rPr>
            </w:pPr>
          </w:p>
          <w:p w:rsidR="00011C3B" w:rsidRPr="00E83A65" w:rsidRDefault="00011C3B" w:rsidP="00011C3B">
            <w:pPr>
              <w:pStyle w:val="Norml1"/>
              <w:tabs>
                <w:tab w:val="left" w:pos="612"/>
              </w:tabs>
              <w:spacing w:after="0"/>
              <w:ind w:left="-44" w:hanging="12"/>
              <w:rPr>
                <w:sz w:val="20"/>
                <w:szCs w:val="20"/>
                <w:lang w:bidi="sa-IN"/>
              </w:rPr>
            </w:pPr>
          </w:p>
          <w:p w:rsidR="00011C3B" w:rsidRPr="00E83A65" w:rsidRDefault="00011C3B" w:rsidP="0033390A">
            <w:pPr>
              <w:numPr>
                <w:ilvl w:val="0"/>
                <w:numId w:val="80"/>
              </w:numPr>
              <w:spacing w:after="0"/>
              <w:rPr>
                <w:sz w:val="20"/>
                <w:szCs w:val="20"/>
              </w:rPr>
            </w:pPr>
            <w:r w:rsidRPr="00E83A65">
              <w:rPr>
                <w:sz w:val="20"/>
                <w:szCs w:val="20"/>
                <w:lang w:bidi="sa-IN"/>
              </w:rPr>
              <w:t xml:space="preserve">új </w:t>
            </w:r>
            <w:r w:rsidRPr="00E83A65">
              <w:rPr>
                <w:sz w:val="20"/>
                <w:szCs w:val="20"/>
              </w:rPr>
              <w:t>HACS</w:t>
            </w:r>
          </w:p>
          <w:p w:rsidR="00011C3B" w:rsidRPr="00E83A65" w:rsidRDefault="00011C3B" w:rsidP="0033390A">
            <w:pPr>
              <w:numPr>
                <w:ilvl w:val="0"/>
                <w:numId w:val="80"/>
              </w:numPr>
              <w:spacing w:after="0"/>
              <w:rPr>
                <w:sz w:val="20"/>
                <w:szCs w:val="20"/>
                <w:lang w:bidi="sa-IN"/>
              </w:rPr>
            </w:pPr>
            <w:r w:rsidRPr="00E83A65">
              <w:rPr>
                <w:sz w:val="20"/>
                <w:szCs w:val="20"/>
              </w:rPr>
              <w:t>már l</w:t>
            </w:r>
            <w:r w:rsidRPr="00E83A65">
              <w:rPr>
                <w:sz w:val="20"/>
                <w:szCs w:val="20"/>
                <w:lang w:bidi="sa-IN"/>
              </w:rPr>
              <w:t>étező HACS</w:t>
            </w:r>
          </w:p>
          <w:p w:rsidR="00011C3B" w:rsidRPr="00E83A65" w:rsidRDefault="00011C3B" w:rsidP="00011C3B">
            <w:pPr>
              <w:pStyle w:val="Norml1"/>
              <w:tabs>
                <w:tab w:val="left" w:pos="612"/>
              </w:tabs>
              <w:spacing w:after="0"/>
              <w:ind w:left="-44" w:hanging="12"/>
              <w:rPr>
                <w:sz w:val="20"/>
                <w:szCs w:val="20"/>
              </w:rPr>
            </w:pPr>
          </w:p>
          <w:p w:rsidR="00011C3B" w:rsidRPr="00E83A65" w:rsidRDefault="00011C3B" w:rsidP="007B5AEF">
            <w:pPr>
              <w:pStyle w:val="Tbla-bal"/>
              <w:rPr>
                <w:lang w:bidi="sa-IN"/>
              </w:rPr>
            </w:pPr>
            <w:r w:rsidRPr="00E83A65">
              <w:rPr>
                <w:lang w:bidi="sa-IN"/>
              </w:rPr>
              <w:t>Az akciócsoportokhoz tartozó települések összlakossága (fő) az ország összlakosságának százalékos arányában kifejezve, a  HACS-ok által finanszírozott projektek száma;</w:t>
            </w:r>
          </w:p>
          <w:p w:rsidR="00011C3B" w:rsidRPr="00E83A65" w:rsidRDefault="00011C3B" w:rsidP="0033390A">
            <w:pPr>
              <w:numPr>
                <w:ilvl w:val="0"/>
                <w:numId w:val="80"/>
              </w:numPr>
              <w:spacing w:after="0"/>
              <w:rPr>
                <w:sz w:val="20"/>
                <w:szCs w:val="20"/>
              </w:rPr>
            </w:pPr>
            <w:r w:rsidRPr="00E83A65">
              <w:rPr>
                <w:sz w:val="20"/>
                <w:szCs w:val="20"/>
                <w:lang w:bidi="sa-IN"/>
              </w:rPr>
              <w:t xml:space="preserve">új </w:t>
            </w:r>
            <w:r w:rsidRPr="00E83A65">
              <w:rPr>
                <w:sz w:val="20"/>
                <w:szCs w:val="20"/>
              </w:rPr>
              <w:t>HACS</w:t>
            </w:r>
          </w:p>
          <w:p w:rsidR="00011C3B" w:rsidRPr="00E83A65" w:rsidRDefault="00011C3B" w:rsidP="0033390A">
            <w:pPr>
              <w:numPr>
                <w:ilvl w:val="0"/>
                <w:numId w:val="80"/>
              </w:numPr>
              <w:spacing w:after="0"/>
              <w:rPr>
                <w:sz w:val="20"/>
                <w:szCs w:val="20"/>
                <w:lang w:bidi="sa-IN"/>
              </w:rPr>
            </w:pPr>
            <w:r w:rsidRPr="00E83A65">
              <w:rPr>
                <w:sz w:val="20"/>
                <w:szCs w:val="20"/>
              </w:rPr>
              <w:t>már l</w:t>
            </w:r>
            <w:r w:rsidRPr="00E83A65">
              <w:rPr>
                <w:sz w:val="20"/>
                <w:szCs w:val="20"/>
                <w:lang w:bidi="sa-IN"/>
              </w:rPr>
              <w:t>étező HACS</w:t>
            </w:r>
          </w:p>
          <w:p w:rsidR="00011C3B" w:rsidRPr="00E83A65" w:rsidRDefault="00011C3B" w:rsidP="00011C3B">
            <w:pPr>
              <w:pStyle w:val="Norml1"/>
              <w:tabs>
                <w:tab w:val="left" w:pos="612"/>
              </w:tabs>
              <w:spacing w:after="0"/>
              <w:ind w:left="-44" w:hanging="12"/>
              <w:jc w:val="left"/>
              <w:rPr>
                <w:sz w:val="20"/>
                <w:szCs w:val="20"/>
              </w:rPr>
            </w:pPr>
          </w:p>
          <w:p w:rsidR="00011C3B" w:rsidRPr="00E83A65" w:rsidRDefault="00011C3B" w:rsidP="007B5AEF">
            <w:pPr>
              <w:pStyle w:val="Tbla-bal"/>
              <w:rPr>
                <w:lang w:bidi="sa-IN"/>
              </w:rPr>
            </w:pPr>
            <w:r w:rsidRPr="00E83A65">
              <w:rPr>
                <w:lang w:bidi="sa-IN"/>
              </w:rPr>
              <w:t>A támogatott kedvezményezettek száma;</w:t>
            </w:r>
          </w:p>
          <w:p w:rsidR="00011C3B" w:rsidRPr="00E83A65" w:rsidRDefault="00011C3B" w:rsidP="0033390A">
            <w:pPr>
              <w:numPr>
                <w:ilvl w:val="0"/>
                <w:numId w:val="80"/>
              </w:numPr>
              <w:spacing w:after="0"/>
              <w:rPr>
                <w:sz w:val="20"/>
                <w:szCs w:val="20"/>
              </w:rPr>
            </w:pPr>
            <w:r w:rsidRPr="00E83A65">
              <w:rPr>
                <w:sz w:val="20"/>
                <w:szCs w:val="20"/>
                <w:lang w:bidi="sa-IN"/>
              </w:rPr>
              <w:t xml:space="preserve">I. </w:t>
            </w:r>
            <w:r w:rsidRPr="00E83A65">
              <w:rPr>
                <w:sz w:val="20"/>
                <w:szCs w:val="20"/>
              </w:rPr>
              <w:t>tengely</w:t>
            </w:r>
          </w:p>
          <w:p w:rsidR="00011C3B" w:rsidRPr="00E83A65" w:rsidRDefault="00011C3B" w:rsidP="0033390A">
            <w:pPr>
              <w:numPr>
                <w:ilvl w:val="0"/>
                <w:numId w:val="80"/>
              </w:numPr>
              <w:spacing w:after="0"/>
              <w:rPr>
                <w:sz w:val="20"/>
                <w:szCs w:val="20"/>
              </w:rPr>
            </w:pPr>
            <w:r w:rsidRPr="00E83A65">
              <w:rPr>
                <w:sz w:val="20"/>
                <w:szCs w:val="20"/>
              </w:rPr>
              <w:t>II. tengely</w:t>
            </w:r>
          </w:p>
          <w:p w:rsidR="00011C3B" w:rsidRPr="00E83A65" w:rsidRDefault="00011C3B" w:rsidP="0033390A">
            <w:pPr>
              <w:numPr>
                <w:ilvl w:val="0"/>
                <w:numId w:val="80"/>
              </w:numPr>
              <w:spacing w:after="0"/>
              <w:rPr>
                <w:sz w:val="20"/>
                <w:szCs w:val="20"/>
              </w:rPr>
            </w:pPr>
            <w:r w:rsidRPr="00E83A65">
              <w:rPr>
                <w:sz w:val="20"/>
                <w:szCs w:val="20"/>
              </w:rPr>
              <w:t>III. tengely</w:t>
            </w:r>
          </w:p>
          <w:p w:rsidR="00011C3B" w:rsidRPr="00E83A65" w:rsidRDefault="00011C3B" w:rsidP="007B5AEF">
            <w:pPr>
              <w:pStyle w:val="Tbla-bal"/>
              <w:rPr>
                <w:lang w:bidi="sa-IN"/>
              </w:rPr>
            </w:pPr>
            <w:r w:rsidRPr="00E83A65">
              <w:rPr>
                <w:lang w:bidi="sa-IN"/>
              </w:rPr>
              <w:t>Férfi/nő</w:t>
            </w:r>
          </w:p>
          <w:p w:rsidR="00011C3B" w:rsidRPr="00E83A65" w:rsidRDefault="00011C3B" w:rsidP="007B5AEF">
            <w:pPr>
              <w:pStyle w:val="Tbla-bal"/>
              <w:rPr>
                <w:lang w:bidi="sa-IN"/>
              </w:rPr>
            </w:pPr>
            <w:r w:rsidRPr="00E83A65">
              <w:rPr>
                <w:lang w:bidi="sa-IN"/>
              </w:rPr>
              <w:t>Korosztály</w:t>
            </w:r>
          </w:p>
          <w:p w:rsidR="00011C3B" w:rsidRPr="00E83A65" w:rsidRDefault="00011C3B" w:rsidP="0033390A">
            <w:pPr>
              <w:numPr>
                <w:ilvl w:val="0"/>
                <w:numId w:val="80"/>
              </w:numPr>
              <w:spacing w:after="0"/>
              <w:rPr>
                <w:sz w:val="20"/>
                <w:szCs w:val="20"/>
              </w:rPr>
            </w:pPr>
            <w:r w:rsidRPr="00E83A65">
              <w:rPr>
                <w:sz w:val="20"/>
                <w:szCs w:val="20"/>
                <w:lang w:bidi="sa-IN"/>
              </w:rPr>
              <w:t xml:space="preserve">25 év </w:t>
            </w:r>
            <w:r w:rsidRPr="00E83A65">
              <w:rPr>
                <w:sz w:val="20"/>
                <w:szCs w:val="20"/>
              </w:rPr>
              <w:t>alatt</w:t>
            </w:r>
          </w:p>
          <w:p w:rsidR="00011C3B" w:rsidRPr="00E83A65" w:rsidRDefault="00011C3B" w:rsidP="0033390A">
            <w:pPr>
              <w:numPr>
                <w:ilvl w:val="0"/>
                <w:numId w:val="80"/>
              </w:numPr>
              <w:spacing w:after="0"/>
              <w:rPr>
                <w:sz w:val="20"/>
                <w:szCs w:val="20"/>
                <w:lang w:bidi="sa-IN"/>
              </w:rPr>
            </w:pPr>
            <w:r w:rsidRPr="00E83A65">
              <w:rPr>
                <w:sz w:val="20"/>
                <w:szCs w:val="20"/>
              </w:rPr>
              <w:t>25 éves v</w:t>
            </w:r>
            <w:r w:rsidRPr="00E83A65">
              <w:rPr>
                <w:sz w:val="20"/>
                <w:szCs w:val="20"/>
                <w:lang w:bidi="sa-IN"/>
              </w:rPr>
              <w:t xml:space="preserve">agy idősebb  </w:t>
            </w:r>
          </w:p>
          <w:p w:rsidR="00011C3B" w:rsidRPr="00E83A65" w:rsidRDefault="00011C3B" w:rsidP="007B5AEF">
            <w:pPr>
              <w:pStyle w:val="Tbla-bal"/>
              <w:rPr>
                <w:lang w:bidi="sa-IN"/>
              </w:rPr>
            </w:pPr>
            <w:r w:rsidRPr="00E83A65">
              <w:rPr>
                <w:lang w:bidi="sa-IN"/>
              </w:rPr>
              <w:t>Magánszektor</w:t>
            </w:r>
          </w:p>
          <w:p w:rsidR="00011C3B" w:rsidRPr="00E83A65" w:rsidRDefault="00011C3B" w:rsidP="007B5AEF">
            <w:pPr>
              <w:pStyle w:val="Tbla-bal"/>
              <w:rPr>
                <w:lang w:bidi="sa-IN"/>
              </w:rPr>
            </w:pPr>
            <w:r w:rsidRPr="00E83A65">
              <w:rPr>
                <w:lang w:bidi="sa-IN"/>
              </w:rPr>
              <w:t>Állami szektor</w:t>
            </w:r>
          </w:p>
          <w:p w:rsidR="00011C3B" w:rsidRPr="00E83A65" w:rsidRDefault="00011C3B" w:rsidP="007B5AEF">
            <w:pPr>
              <w:pStyle w:val="Tbla-bal"/>
              <w:rPr>
                <w:lang w:bidi="sa-IN"/>
              </w:rPr>
            </w:pPr>
            <w:r w:rsidRPr="00E83A65">
              <w:rPr>
                <w:lang w:bidi="sa-IN"/>
              </w:rPr>
              <w:t>HACS</w:t>
            </w:r>
          </w:p>
        </w:tc>
        <w:tc>
          <w:tcPr>
            <w:tcW w:w="1800" w:type="dxa"/>
          </w:tcPr>
          <w:p w:rsidR="00011C3B" w:rsidRPr="00E83A65" w:rsidRDefault="00011C3B" w:rsidP="00011C3B">
            <w:pPr>
              <w:pStyle w:val="Norml1"/>
              <w:spacing w:after="0"/>
              <w:ind w:left="-44" w:right="23" w:hanging="28"/>
              <w:jc w:val="right"/>
              <w:rPr>
                <w:sz w:val="20"/>
                <w:szCs w:val="20"/>
              </w:rPr>
            </w:pPr>
            <w:r w:rsidRPr="00E83A65">
              <w:rPr>
                <w:sz w:val="20"/>
                <w:szCs w:val="20"/>
              </w:rPr>
              <w:lastRenderedPageBreak/>
              <w:t>Min. 50</w:t>
            </w:r>
          </w:p>
          <w:p w:rsidR="00011C3B" w:rsidRPr="00E83A65" w:rsidRDefault="00011C3B" w:rsidP="00011C3B">
            <w:pPr>
              <w:pStyle w:val="Norml1"/>
              <w:spacing w:after="0"/>
              <w:ind w:left="-44" w:right="23" w:hanging="28"/>
              <w:jc w:val="right"/>
              <w:rPr>
                <w:sz w:val="20"/>
                <w:szCs w:val="20"/>
              </w:rPr>
            </w:pPr>
            <w:r w:rsidRPr="00E83A65">
              <w:rPr>
                <w:b/>
                <w:sz w:val="20"/>
                <w:szCs w:val="20"/>
              </w:rPr>
              <w:t>Min. 50</w:t>
            </w:r>
          </w:p>
          <w:p w:rsidR="00011C3B" w:rsidRPr="00E83A65" w:rsidRDefault="00011C3B" w:rsidP="00011C3B">
            <w:pPr>
              <w:pStyle w:val="Norml1"/>
              <w:spacing w:after="0"/>
              <w:ind w:left="-44" w:right="23" w:hanging="28"/>
              <w:jc w:val="right"/>
              <w:rPr>
                <w:sz w:val="20"/>
                <w:szCs w:val="20"/>
              </w:rPr>
            </w:pPr>
          </w:p>
          <w:p w:rsidR="00011C3B" w:rsidRPr="00E83A65" w:rsidRDefault="00011C3B" w:rsidP="00011C3B">
            <w:pPr>
              <w:pStyle w:val="Norml1"/>
              <w:spacing w:after="0"/>
              <w:ind w:left="-44" w:right="23" w:hanging="28"/>
              <w:jc w:val="right"/>
              <w:rPr>
                <w:sz w:val="20"/>
                <w:szCs w:val="20"/>
              </w:rPr>
            </w:pPr>
            <w:r w:rsidRPr="00E83A65">
              <w:rPr>
                <w:sz w:val="20"/>
                <w:szCs w:val="20"/>
              </w:rPr>
              <w:t>4 500</w:t>
            </w:r>
          </w:p>
          <w:p w:rsidR="00011C3B" w:rsidRPr="00E83A65" w:rsidRDefault="00011C3B" w:rsidP="00011C3B">
            <w:pPr>
              <w:pStyle w:val="Norml1"/>
              <w:spacing w:after="0"/>
              <w:ind w:left="-44" w:right="23" w:hanging="28"/>
              <w:jc w:val="right"/>
              <w:rPr>
                <w:sz w:val="20"/>
                <w:szCs w:val="20"/>
              </w:rPr>
            </w:pPr>
            <w:r w:rsidRPr="00E83A65">
              <w:rPr>
                <w:sz w:val="20"/>
                <w:szCs w:val="20"/>
              </w:rPr>
              <w:t>1 000</w:t>
            </w:r>
          </w:p>
          <w:p w:rsidR="00011C3B" w:rsidRPr="00E83A65" w:rsidRDefault="00011C3B" w:rsidP="00011C3B">
            <w:pPr>
              <w:pStyle w:val="Norml1"/>
              <w:spacing w:after="0"/>
              <w:ind w:left="-44" w:right="23" w:hanging="28"/>
              <w:jc w:val="right"/>
              <w:rPr>
                <w:sz w:val="20"/>
                <w:szCs w:val="20"/>
              </w:rPr>
            </w:pPr>
            <w:r w:rsidRPr="00E83A65">
              <w:rPr>
                <w:sz w:val="20"/>
                <w:szCs w:val="20"/>
              </w:rPr>
              <w:t>300</w:t>
            </w:r>
          </w:p>
          <w:p w:rsidR="00011C3B" w:rsidRPr="00E83A65" w:rsidRDefault="00011C3B" w:rsidP="00011C3B">
            <w:pPr>
              <w:pStyle w:val="Norml1"/>
              <w:spacing w:after="0"/>
              <w:ind w:left="-44" w:right="23" w:hanging="28"/>
              <w:jc w:val="right"/>
              <w:rPr>
                <w:sz w:val="20"/>
                <w:szCs w:val="20"/>
              </w:rPr>
            </w:pPr>
            <w:r w:rsidRPr="00E83A65">
              <w:rPr>
                <w:sz w:val="20"/>
                <w:szCs w:val="20"/>
              </w:rPr>
              <w:t>3 200</w:t>
            </w:r>
          </w:p>
          <w:p w:rsidR="00011C3B" w:rsidRPr="00E83A65" w:rsidRDefault="00011C3B" w:rsidP="00011C3B">
            <w:pPr>
              <w:pStyle w:val="Norml1"/>
              <w:spacing w:after="0"/>
              <w:ind w:left="-44" w:right="23" w:hanging="28"/>
              <w:jc w:val="right"/>
              <w:rPr>
                <w:sz w:val="20"/>
                <w:szCs w:val="20"/>
              </w:rPr>
            </w:pPr>
          </w:p>
          <w:p w:rsidR="00011C3B" w:rsidRPr="00E83A65" w:rsidRDefault="00011C3B" w:rsidP="00011C3B">
            <w:pPr>
              <w:pStyle w:val="Norml1"/>
              <w:spacing w:after="0"/>
              <w:ind w:left="-44" w:right="23" w:hanging="28"/>
              <w:jc w:val="right"/>
              <w:rPr>
                <w:sz w:val="20"/>
                <w:szCs w:val="20"/>
                <w:lang w:val="es-ES"/>
              </w:rPr>
            </w:pPr>
            <w:r w:rsidRPr="00E83A65">
              <w:rPr>
                <w:sz w:val="20"/>
                <w:szCs w:val="20"/>
                <w:lang w:val="es-ES"/>
              </w:rPr>
              <w:t>a ország területének min. 50-55%-a (vidéki térségek)</w:t>
            </w:r>
          </w:p>
          <w:p w:rsidR="00011C3B" w:rsidRPr="00E83A65" w:rsidRDefault="00011C3B" w:rsidP="00011C3B">
            <w:pPr>
              <w:pStyle w:val="Norml1"/>
              <w:spacing w:after="0"/>
              <w:ind w:left="-44" w:right="23" w:hanging="28"/>
              <w:jc w:val="right"/>
              <w:rPr>
                <w:sz w:val="20"/>
                <w:szCs w:val="20"/>
                <w:lang w:val="es-ES"/>
              </w:rPr>
            </w:pPr>
            <w:r w:rsidRPr="00E83A65">
              <w:rPr>
                <w:sz w:val="20"/>
                <w:szCs w:val="20"/>
                <w:lang w:val="es-ES"/>
              </w:rPr>
              <w:t xml:space="preserve">az ország tényleges területének min. 20-25%-a </w:t>
            </w:r>
          </w:p>
          <w:p w:rsidR="00011C3B" w:rsidRPr="00E83A65" w:rsidRDefault="00011C3B" w:rsidP="00011C3B">
            <w:pPr>
              <w:pStyle w:val="Norml1"/>
              <w:spacing w:after="0"/>
              <w:ind w:left="-44" w:right="23" w:hanging="28"/>
              <w:jc w:val="right"/>
              <w:rPr>
                <w:sz w:val="20"/>
                <w:szCs w:val="20"/>
                <w:lang w:val="es-ES"/>
              </w:rPr>
            </w:pPr>
            <w:r w:rsidRPr="00E83A65">
              <w:rPr>
                <w:sz w:val="20"/>
                <w:szCs w:val="20"/>
                <w:lang w:val="es-ES"/>
              </w:rPr>
              <w:t>2 millió</w:t>
            </w:r>
          </w:p>
          <w:p w:rsidR="00011C3B" w:rsidRPr="00E83A65" w:rsidRDefault="00011C3B" w:rsidP="00011C3B">
            <w:pPr>
              <w:pStyle w:val="Norml1"/>
              <w:spacing w:after="0"/>
              <w:ind w:left="-44" w:right="23" w:hanging="28"/>
              <w:jc w:val="right"/>
              <w:rPr>
                <w:sz w:val="20"/>
                <w:szCs w:val="20"/>
                <w:lang w:val="es-ES"/>
              </w:rPr>
            </w:pPr>
            <w:r w:rsidRPr="00E83A65">
              <w:rPr>
                <w:sz w:val="20"/>
                <w:szCs w:val="20"/>
                <w:lang w:val="es-ES"/>
              </w:rPr>
              <w:t>0,5 millió</w:t>
            </w:r>
          </w:p>
          <w:p w:rsidR="00011C3B" w:rsidRPr="00E83A65" w:rsidRDefault="00011C3B" w:rsidP="00011C3B">
            <w:pPr>
              <w:pStyle w:val="Norml1"/>
              <w:spacing w:after="0"/>
              <w:ind w:left="-44" w:right="23" w:hanging="28"/>
              <w:rPr>
                <w:sz w:val="20"/>
                <w:szCs w:val="20"/>
                <w:lang w:val="es-ES"/>
              </w:rPr>
            </w:pPr>
          </w:p>
          <w:p w:rsidR="00011C3B" w:rsidRPr="00E83A65" w:rsidRDefault="00011C3B" w:rsidP="00011C3B">
            <w:pPr>
              <w:pStyle w:val="Norml1"/>
              <w:spacing w:after="0"/>
              <w:ind w:left="-44" w:right="23" w:hanging="28"/>
              <w:jc w:val="right"/>
              <w:rPr>
                <w:sz w:val="20"/>
                <w:szCs w:val="20"/>
                <w:lang w:val="es-ES"/>
              </w:rPr>
            </w:pPr>
            <w:r w:rsidRPr="00E83A65">
              <w:rPr>
                <w:sz w:val="20"/>
                <w:szCs w:val="20"/>
                <w:lang w:val="es-ES"/>
              </w:rPr>
              <w:t>4 000 projektgazda</w:t>
            </w:r>
          </w:p>
          <w:p w:rsidR="00011C3B" w:rsidRPr="00E83A65" w:rsidRDefault="00011C3B" w:rsidP="00011C3B">
            <w:pPr>
              <w:pStyle w:val="Norml1"/>
              <w:spacing w:after="0"/>
              <w:ind w:left="-44" w:right="23" w:hanging="28"/>
              <w:jc w:val="right"/>
              <w:rPr>
                <w:sz w:val="20"/>
                <w:szCs w:val="20"/>
                <w:lang w:val="de-DE"/>
              </w:rPr>
            </w:pPr>
            <w:r w:rsidRPr="00E83A65">
              <w:rPr>
                <w:sz w:val="20"/>
                <w:szCs w:val="20"/>
                <w:lang w:val="de-DE"/>
              </w:rPr>
              <w:t>96 HACS-ban</w:t>
            </w:r>
          </w:p>
          <w:p w:rsidR="00011C3B" w:rsidRPr="00E83A65" w:rsidRDefault="00011C3B" w:rsidP="00011C3B">
            <w:pPr>
              <w:pStyle w:val="Norml1"/>
              <w:spacing w:after="0"/>
              <w:ind w:left="-44" w:right="23" w:hanging="28"/>
              <w:jc w:val="right"/>
              <w:rPr>
                <w:sz w:val="20"/>
                <w:szCs w:val="20"/>
                <w:lang w:val="de-DE"/>
              </w:rPr>
            </w:pPr>
          </w:p>
          <w:p w:rsidR="00011C3B" w:rsidRPr="00E83A65" w:rsidRDefault="00011C3B" w:rsidP="00011C3B">
            <w:pPr>
              <w:pStyle w:val="Norml1"/>
              <w:spacing w:after="0"/>
              <w:ind w:left="-44" w:right="23" w:hanging="28"/>
              <w:jc w:val="right"/>
              <w:rPr>
                <w:sz w:val="20"/>
                <w:szCs w:val="20"/>
                <w:lang w:val="de-DE"/>
              </w:rPr>
            </w:pPr>
          </w:p>
          <w:p w:rsidR="00011C3B" w:rsidRPr="00E83A65" w:rsidRDefault="00011C3B" w:rsidP="00011C3B">
            <w:pPr>
              <w:pStyle w:val="Norml1"/>
              <w:spacing w:after="0"/>
              <w:ind w:left="-44" w:right="23" w:hanging="28"/>
              <w:jc w:val="right"/>
              <w:rPr>
                <w:sz w:val="20"/>
                <w:szCs w:val="20"/>
                <w:lang w:val="de-DE"/>
              </w:rPr>
            </w:pPr>
          </w:p>
          <w:p w:rsidR="00011C3B" w:rsidRPr="00E83A65" w:rsidRDefault="00011C3B" w:rsidP="00011C3B">
            <w:pPr>
              <w:pStyle w:val="Norml1"/>
              <w:spacing w:after="0"/>
              <w:ind w:left="-44" w:right="23" w:hanging="28"/>
              <w:jc w:val="right"/>
              <w:rPr>
                <w:sz w:val="20"/>
                <w:szCs w:val="20"/>
                <w:lang w:val="de-DE"/>
              </w:rPr>
            </w:pPr>
          </w:p>
          <w:p w:rsidR="00011C3B" w:rsidRPr="00E83A65" w:rsidRDefault="00011C3B" w:rsidP="00011C3B">
            <w:pPr>
              <w:pStyle w:val="Norml1"/>
              <w:spacing w:after="0"/>
              <w:ind w:left="-44" w:right="23" w:hanging="28"/>
              <w:jc w:val="right"/>
              <w:rPr>
                <w:sz w:val="20"/>
                <w:szCs w:val="20"/>
                <w:lang w:val="de-DE"/>
              </w:rPr>
            </w:pPr>
          </w:p>
          <w:p w:rsidR="00011C3B" w:rsidRPr="00E83A65" w:rsidRDefault="00011C3B" w:rsidP="00011C3B">
            <w:pPr>
              <w:pStyle w:val="Norml1"/>
              <w:spacing w:after="0"/>
              <w:ind w:left="-44" w:right="23" w:hanging="28"/>
              <w:jc w:val="right"/>
              <w:rPr>
                <w:sz w:val="20"/>
                <w:szCs w:val="20"/>
                <w:lang w:val="de-DE"/>
              </w:rPr>
            </w:pPr>
            <w:r w:rsidRPr="00E83A65">
              <w:rPr>
                <w:sz w:val="20"/>
                <w:szCs w:val="20"/>
                <w:lang w:val="de-DE"/>
              </w:rPr>
              <w:t>800</w:t>
            </w:r>
          </w:p>
          <w:p w:rsidR="00011C3B" w:rsidRPr="00E83A65" w:rsidRDefault="00011C3B" w:rsidP="00011C3B">
            <w:pPr>
              <w:pStyle w:val="Norml1"/>
              <w:spacing w:after="0"/>
              <w:ind w:left="-44" w:right="23" w:hanging="28"/>
              <w:jc w:val="right"/>
              <w:rPr>
                <w:sz w:val="20"/>
                <w:szCs w:val="20"/>
              </w:rPr>
            </w:pPr>
            <w:r w:rsidRPr="00E83A65">
              <w:rPr>
                <w:sz w:val="20"/>
                <w:szCs w:val="20"/>
              </w:rPr>
              <w:t>200</w:t>
            </w:r>
          </w:p>
          <w:p w:rsidR="00011C3B" w:rsidRPr="00E83A65" w:rsidRDefault="00011C3B" w:rsidP="00011C3B">
            <w:pPr>
              <w:pStyle w:val="Norml1"/>
              <w:spacing w:after="0"/>
              <w:ind w:left="-44" w:right="23" w:hanging="28"/>
              <w:jc w:val="right"/>
              <w:rPr>
                <w:sz w:val="20"/>
                <w:szCs w:val="20"/>
              </w:rPr>
            </w:pPr>
            <w:r w:rsidRPr="00E83A65">
              <w:rPr>
                <w:sz w:val="20"/>
                <w:szCs w:val="20"/>
              </w:rPr>
              <w:t>3 000</w:t>
            </w:r>
          </w:p>
          <w:p w:rsidR="00011C3B" w:rsidRPr="00E83A65" w:rsidRDefault="00011C3B" w:rsidP="00011C3B">
            <w:pPr>
              <w:pStyle w:val="Norml1"/>
              <w:spacing w:after="0"/>
              <w:ind w:left="-44" w:right="23" w:hanging="28"/>
              <w:jc w:val="right"/>
              <w:rPr>
                <w:sz w:val="20"/>
                <w:szCs w:val="20"/>
              </w:rPr>
            </w:pPr>
            <w:r w:rsidRPr="00E83A65">
              <w:rPr>
                <w:sz w:val="20"/>
                <w:szCs w:val="20"/>
              </w:rPr>
              <w:t>1 500/2 500</w:t>
            </w:r>
          </w:p>
          <w:p w:rsidR="00011C3B" w:rsidRPr="00E83A65" w:rsidRDefault="00011C3B" w:rsidP="00011C3B">
            <w:pPr>
              <w:pStyle w:val="Norml1"/>
              <w:spacing w:after="0"/>
              <w:ind w:left="-44" w:right="23" w:hanging="28"/>
              <w:jc w:val="right"/>
              <w:rPr>
                <w:b/>
                <w:sz w:val="20"/>
                <w:szCs w:val="20"/>
              </w:rPr>
            </w:pPr>
          </w:p>
          <w:p w:rsidR="00011C3B" w:rsidRPr="00E83A65" w:rsidRDefault="00011C3B" w:rsidP="00011C3B">
            <w:pPr>
              <w:pStyle w:val="Norml1"/>
              <w:spacing w:after="0"/>
              <w:ind w:left="-44" w:right="23" w:hanging="28"/>
              <w:jc w:val="right"/>
              <w:rPr>
                <w:sz w:val="20"/>
                <w:szCs w:val="20"/>
              </w:rPr>
            </w:pPr>
            <w:r w:rsidRPr="00E83A65">
              <w:rPr>
                <w:sz w:val="20"/>
                <w:szCs w:val="20"/>
              </w:rPr>
              <w:t>500</w:t>
            </w:r>
          </w:p>
          <w:p w:rsidR="00011C3B" w:rsidRPr="00E83A65" w:rsidRDefault="00011C3B" w:rsidP="00011C3B">
            <w:pPr>
              <w:pStyle w:val="Norml1"/>
              <w:spacing w:after="0"/>
              <w:ind w:left="-44" w:right="23" w:hanging="28"/>
              <w:jc w:val="right"/>
              <w:rPr>
                <w:sz w:val="20"/>
                <w:szCs w:val="20"/>
              </w:rPr>
            </w:pPr>
            <w:r w:rsidRPr="00E83A65">
              <w:rPr>
                <w:sz w:val="20"/>
                <w:szCs w:val="20"/>
              </w:rPr>
              <w:t>3 500</w:t>
            </w:r>
          </w:p>
          <w:p w:rsidR="00011C3B" w:rsidRPr="00E83A65" w:rsidRDefault="00011C3B" w:rsidP="00011C3B">
            <w:pPr>
              <w:pStyle w:val="Norml1"/>
              <w:spacing w:after="0"/>
              <w:ind w:left="-44" w:right="23" w:hanging="28"/>
              <w:jc w:val="right"/>
              <w:rPr>
                <w:sz w:val="20"/>
                <w:szCs w:val="20"/>
              </w:rPr>
            </w:pPr>
            <w:r w:rsidRPr="00E83A65">
              <w:rPr>
                <w:sz w:val="20"/>
                <w:szCs w:val="20"/>
              </w:rPr>
              <w:t>2 800</w:t>
            </w:r>
          </w:p>
          <w:p w:rsidR="00011C3B" w:rsidRPr="00E83A65" w:rsidRDefault="00011C3B" w:rsidP="00011C3B">
            <w:pPr>
              <w:pStyle w:val="Norml1"/>
              <w:spacing w:after="0"/>
              <w:ind w:left="-44" w:right="23" w:hanging="28"/>
              <w:jc w:val="right"/>
              <w:rPr>
                <w:sz w:val="20"/>
                <w:szCs w:val="20"/>
              </w:rPr>
            </w:pPr>
            <w:r w:rsidRPr="00E83A65">
              <w:rPr>
                <w:sz w:val="20"/>
                <w:szCs w:val="20"/>
              </w:rPr>
              <w:t>800</w:t>
            </w:r>
          </w:p>
          <w:p w:rsidR="00011C3B" w:rsidRPr="00E83A65" w:rsidRDefault="00011C3B" w:rsidP="00011C3B">
            <w:pPr>
              <w:pStyle w:val="Norml1"/>
              <w:spacing w:after="0"/>
              <w:ind w:left="-44" w:right="23" w:hanging="28"/>
              <w:jc w:val="right"/>
              <w:rPr>
                <w:b/>
                <w:sz w:val="20"/>
                <w:szCs w:val="20"/>
              </w:rPr>
            </w:pPr>
            <w:r w:rsidRPr="00E83A65">
              <w:rPr>
                <w:sz w:val="20"/>
                <w:szCs w:val="20"/>
              </w:rPr>
              <w:t>400</w:t>
            </w:r>
          </w:p>
        </w:tc>
        <w:tc>
          <w:tcPr>
            <w:tcW w:w="1556" w:type="dxa"/>
          </w:tcPr>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lastRenderedPageBreak/>
              <w:t>114</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114</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8 191</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1</w:t>
            </w:r>
            <w:r w:rsidR="00BF0500" w:rsidRPr="00E83A65">
              <w:rPr>
                <w:sz w:val="20"/>
                <w:szCs w:val="20"/>
                <w:lang w:val="hu-HU" w:bidi="sa-IN"/>
              </w:rPr>
              <w:t xml:space="preserve"> </w:t>
            </w:r>
            <w:r w:rsidRPr="00E83A65">
              <w:rPr>
                <w:sz w:val="20"/>
                <w:szCs w:val="20"/>
                <w:lang w:val="hu-HU" w:bidi="sa-IN"/>
              </w:rPr>
              <w:t>900</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195</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6 096</w:t>
            </w: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102589" w:rsidRPr="00E83A65" w:rsidRDefault="00102589" w:rsidP="00102589">
            <w:pPr>
              <w:pStyle w:val="Norml1"/>
              <w:spacing w:after="0"/>
              <w:ind w:right="23"/>
              <w:jc w:val="right"/>
              <w:rPr>
                <w:sz w:val="20"/>
                <w:szCs w:val="20"/>
                <w:lang w:val="hu-HU" w:bidi="sa-IN"/>
              </w:rPr>
            </w:pPr>
            <w:r w:rsidRPr="00E83A65">
              <w:rPr>
                <w:sz w:val="20"/>
                <w:szCs w:val="20"/>
                <w:lang w:val="hu-HU" w:bidi="sa-IN"/>
              </w:rPr>
              <w:t>82 771,98</w:t>
            </w: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102589" w:rsidRPr="00E83A65" w:rsidRDefault="00102589" w:rsidP="00102589">
            <w:pPr>
              <w:pStyle w:val="Norml1"/>
              <w:spacing w:after="0"/>
              <w:ind w:right="23"/>
              <w:jc w:val="right"/>
              <w:rPr>
                <w:sz w:val="20"/>
                <w:szCs w:val="20"/>
                <w:lang w:val="hu-HU" w:bidi="sa-IN"/>
              </w:rPr>
            </w:pPr>
            <w:r w:rsidRPr="00E83A65">
              <w:rPr>
                <w:sz w:val="20"/>
                <w:szCs w:val="20"/>
                <w:lang w:val="hu-HU" w:bidi="sa-IN"/>
              </w:rPr>
              <w:t>8 191</w:t>
            </w: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102589" w:rsidRPr="00E83A65" w:rsidRDefault="00102589" w:rsidP="00011C3B">
            <w:pPr>
              <w:pStyle w:val="Norml1"/>
              <w:spacing w:after="0"/>
              <w:ind w:right="23"/>
              <w:jc w:val="right"/>
              <w:rPr>
                <w:sz w:val="20"/>
                <w:szCs w:val="20"/>
                <w:lang w:val="hu-HU" w:bidi="sa-IN"/>
              </w:rPr>
            </w:pPr>
          </w:p>
          <w:p w:rsidR="00102589" w:rsidRPr="00E83A65" w:rsidRDefault="00102589" w:rsidP="00102589">
            <w:pPr>
              <w:pStyle w:val="Norml1"/>
              <w:spacing w:after="0"/>
              <w:ind w:right="23"/>
              <w:jc w:val="right"/>
              <w:rPr>
                <w:sz w:val="20"/>
                <w:szCs w:val="20"/>
                <w:lang w:val="hu-HU" w:bidi="sa-IN"/>
              </w:rPr>
            </w:pPr>
            <w:r w:rsidRPr="00E83A65">
              <w:rPr>
                <w:sz w:val="20"/>
                <w:szCs w:val="20"/>
                <w:lang w:val="hu-HU" w:bidi="sa-IN"/>
              </w:rPr>
              <w:t>4 509 796</w:t>
            </w:r>
          </w:p>
          <w:p w:rsidR="00102589" w:rsidRPr="00E83A65" w:rsidRDefault="00102589" w:rsidP="007B66C7">
            <w:pPr>
              <w:pStyle w:val="Norml1"/>
              <w:spacing w:after="0"/>
              <w:ind w:right="23" w:firstLine="0"/>
              <w:rPr>
                <w:sz w:val="20"/>
                <w:szCs w:val="20"/>
                <w:lang w:val="hu-HU" w:bidi="sa-IN"/>
              </w:rPr>
            </w:pP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tabs>
                <w:tab w:val="center" w:pos="818"/>
                <w:tab w:val="right" w:pos="1637"/>
              </w:tabs>
              <w:spacing w:after="0"/>
              <w:ind w:right="23"/>
              <w:jc w:val="right"/>
              <w:rPr>
                <w:sz w:val="20"/>
                <w:szCs w:val="20"/>
                <w:lang w:val="hu-HU" w:bidi="sa-IN"/>
              </w:rPr>
            </w:pPr>
            <w:r w:rsidRPr="00E83A65">
              <w:rPr>
                <w:sz w:val="20"/>
                <w:szCs w:val="20"/>
                <w:lang w:val="hu-HU" w:bidi="sa-IN"/>
              </w:rPr>
              <w:t>1 627</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139</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4 385</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714/251</w:t>
            </w:r>
          </w:p>
          <w:p w:rsidR="00011C3B" w:rsidRPr="00E83A65" w:rsidRDefault="00011C3B" w:rsidP="00011C3B">
            <w:pPr>
              <w:pStyle w:val="Norml1"/>
              <w:spacing w:after="0"/>
              <w:ind w:right="23"/>
              <w:jc w:val="right"/>
              <w:rPr>
                <w:sz w:val="20"/>
                <w:szCs w:val="20"/>
                <w:lang w:val="hu-HU" w:bidi="sa-IN"/>
              </w:rPr>
            </w:pP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5</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6</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909</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3 329</w:t>
            </w:r>
          </w:p>
          <w:p w:rsidR="00011C3B" w:rsidRPr="00E83A65" w:rsidRDefault="00011C3B" w:rsidP="00011C3B">
            <w:pPr>
              <w:pStyle w:val="Norml1"/>
              <w:spacing w:after="0"/>
              <w:ind w:right="23"/>
              <w:jc w:val="right"/>
              <w:rPr>
                <w:sz w:val="20"/>
                <w:szCs w:val="20"/>
                <w:lang w:val="hu-HU" w:bidi="sa-IN"/>
              </w:rPr>
            </w:pPr>
            <w:r w:rsidRPr="00E83A65">
              <w:rPr>
                <w:sz w:val="20"/>
                <w:szCs w:val="20"/>
                <w:lang w:val="hu-HU" w:bidi="sa-IN"/>
              </w:rPr>
              <w:t>2 822</w:t>
            </w:r>
          </w:p>
          <w:p w:rsidR="00011C3B" w:rsidRPr="00E83A65" w:rsidRDefault="00011C3B" w:rsidP="00011C3B">
            <w:pPr>
              <w:pStyle w:val="Norml1"/>
              <w:spacing w:after="0"/>
              <w:ind w:left="-44" w:right="23" w:hanging="28"/>
              <w:jc w:val="right"/>
              <w:rPr>
                <w:sz w:val="20"/>
                <w:szCs w:val="20"/>
                <w:lang w:val="hu-HU" w:bidi="sa-IN"/>
              </w:rPr>
            </w:pPr>
          </w:p>
        </w:tc>
      </w:tr>
      <w:tr w:rsidR="00011C3B" w:rsidRPr="00E83A65" w:rsidTr="00011C3B">
        <w:trPr>
          <w:jc w:val="center"/>
        </w:trPr>
        <w:tc>
          <w:tcPr>
            <w:tcW w:w="485" w:type="dxa"/>
          </w:tcPr>
          <w:p w:rsidR="00011C3B" w:rsidRPr="00E83A65" w:rsidRDefault="00011C3B" w:rsidP="00011C3B">
            <w:pPr>
              <w:pStyle w:val="Norml1"/>
              <w:tabs>
                <w:tab w:val="left" w:pos="612"/>
              </w:tabs>
              <w:spacing w:after="0"/>
              <w:ind w:left="28" w:hanging="28"/>
              <w:jc w:val="center"/>
              <w:rPr>
                <w:sz w:val="20"/>
                <w:szCs w:val="20"/>
                <w:lang w:val="hu-HU" w:bidi="sa-IN"/>
              </w:rPr>
            </w:pPr>
            <w:r w:rsidRPr="00E83A65">
              <w:rPr>
                <w:sz w:val="20"/>
                <w:szCs w:val="20"/>
                <w:lang w:val="hu-HU" w:bidi="sa-IN"/>
              </w:rPr>
              <w:lastRenderedPageBreak/>
              <w:t>R</w:t>
            </w:r>
          </w:p>
        </w:tc>
        <w:tc>
          <w:tcPr>
            <w:tcW w:w="6033" w:type="dxa"/>
          </w:tcPr>
          <w:p w:rsidR="00011C3B" w:rsidRPr="00E83A65" w:rsidRDefault="00011C3B" w:rsidP="007B5AEF">
            <w:pPr>
              <w:pStyle w:val="Tbla-bal"/>
              <w:rPr>
                <w:lang w:bidi="sa-IN"/>
              </w:rPr>
            </w:pPr>
            <w:r w:rsidRPr="00E83A65">
              <w:rPr>
                <w:lang w:bidi="sa-IN"/>
              </w:rPr>
              <w:t>A támogatott tevékenységek által létrehozott új munkahelyek bruttó száma (munkahelyek)</w:t>
            </w:r>
          </w:p>
          <w:p w:rsidR="00011C3B" w:rsidRPr="00E83A65" w:rsidRDefault="00011C3B" w:rsidP="007B5AEF">
            <w:pPr>
              <w:pStyle w:val="Tbla-bal"/>
              <w:rPr>
                <w:lang w:bidi="sa-IN"/>
              </w:rPr>
            </w:pPr>
            <w:r w:rsidRPr="00E83A65">
              <w:rPr>
                <w:lang w:bidi="sa-IN"/>
              </w:rPr>
              <w:t>A képzést sikeresen elvégző résztvevők száma (fő)</w:t>
            </w:r>
          </w:p>
        </w:tc>
        <w:tc>
          <w:tcPr>
            <w:tcW w:w="1800" w:type="dxa"/>
          </w:tcPr>
          <w:p w:rsidR="00011C3B" w:rsidRPr="00E83A65" w:rsidRDefault="00011C3B" w:rsidP="00011C3B">
            <w:pPr>
              <w:pStyle w:val="Lbjegyzetszveg"/>
              <w:spacing w:after="0"/>
              <w:ind w:left="-44" w:right="23" w:hanging="28"/>
              <w:jc w:val="right"/>
            </w:pPr>
            <w:r w:rsidRPr="00E83A65">
              <w:t>400</w:t>
            </w:r>
          </w:p>
          <w:p w:rsidR="00011C3B" w:rsidRPr="00E83A65" w:rsidRDefault="00011C3B" w:rsidP="00011C3B">
            <w:pPr>
              <w:pStyle w:val="Lbjegyzetszveg"/>
              <w:spacing w:after="0"/>
              <w:ind w:left="-44" w:right="23" w:hanging="28"/>
              <w:jc w:val="right"/>
            </w:pPr>
          </w:p>
          <w:p w:rsidR="00011C3B" w:rsidRPr="00E83A65" w:rsidRDefault="00011C3B" w:rsidP="00011C3B">
            <w:pPr>
              <w:pStyle w:val="Lbjegyzetszveg"/>
              <w:spacing w:after="0"/>
              <w:ind w:left="-44" w:right="23" w:hanging="28"/>
              <w:jc w:val="right"/>
            </w:pPr>
            <w:r w:rsidRPr="00E83A65">
              <w:t>3500</w:t>
            </w:r>
          </w:p>
        </w:tc>
        <w:tc>
          <w:tcPr>
            <w:tcW w:w="1556" w:type="dxa"/>
          </w:tcPr>
          <w:p w:rsidR="00011C3B" w:rsidRPr="00E83A65" w:rsidRDefault="00011C3B" w:rsidP="00011C3B">
            <w:pPr>
              <w:pStyle w:val="Norml1"/>
              <w:spacing w:after="0"/>
              <w:ind w:right="23"/>
              <w:jc w:val="right"/>
              <w:rPr>
                <w:sz w:val="20"/>
                <w:szCs w:val="20"/>
              </w:rPr>
            </w:pPr>
            <w:r w:rsidRPr="00E83A65">
              <w:rPr>
                <w:sz w:val="20"/>
                <w:szCs w:val="20"/>
              </w:rPr>
              <w:t>42,7</w:t>
            </w:r>
          </w:p>
          <w:p w:rsidR="00011C3B" w:rsidRPr="00E83A65" w:rsidRDefault="00011C3B" w:rsidP="00011C3B">
            <w:pPr>
              <w:pStyle w:val="Norml1"/>
              <w:spacing w:after="0"/>
              <w:ind w:left="-44" w:right="23" w:hanging="28"/>
              <w:jc w:val="right"/>
              <w:rPr>
                <w:sz w:val="20"/>
                <w:szCs w:val="20"/>
              </w:rPr>
            </w:pPr>
          </w:p>
          <w:p w:rsidR="00011C3B" w:rsidRPr="00E83A65" w:rsidRDefault="00011C3B" w:rsidP="00011C3B">
            <w:pPr>
              <w:pStyle w:val="Norml1"/>
              <w:spacing w:after="0"/>
              <w:ind w:left="-44" w:right="23" w:hanging="28"/>
              <w:jc w:val="right"/>
              <w:rPr>
                <w:sz w:val="20"/>
                <w:szCs w:val="20"/>
              </w:rPr>
            </w:pPr>
            <w:r w:rsidRPr="00E83A65">
              <w:rPr>
                <w:sz w:val="20"/>
                <w:szCs w:val="20"/>
              </w:rPr>
              <w:t>-</w:t>
            </w:r>
          </w:p>
        </w:tc>
      </w:tr>
      <w:tr w:rsidR="00011C3B" w:rsidRPr="00E83A65" w:rsidTr="00011C3B">
        <w:trPr>
          <w:jc w:val="center"/>
        </w:trPr>
        <w:tc>
          <w:tcPr>
            <w:tcW w:w="485" w:type="dxa"/>
          </w:tcPr>
          <w:p w:rsidR="00011C3B" w:rsidRPr="00E83A65" w:rsidRDefault="00011C3B" w:rsidP="00011C3B">
            <w:pPr>
              <w:pStyle w:val="Norml1"/>
              <w:tabs>
                <w:tab w:val="left" w:pos="612"/>
              </w:tabs>
              <w:spacing w:after="0"/>
              <w:ind w:left="28" w:hanging="28"/>
              <w:jc w:val="center"/>
              <w:rPr>
                <w:sz w:val="20"/>
                <w:szCs w:val="20"/>
                <w:lang w:val="hu-HU" w:bidi="sa-IN"/>
              </w:rPr>
            </w:pPr>
            <w:r w:rsidRPr="00E83A65">
              <w:rPr>
                <w:sz w:val="20"/>
                <w:szCs w:val="20"/>
                <w:lang w:val="hu-HU" w:bidi="sa-IN"/>
              </w:rPr>
              <w:t>I</w:t>
            </w:r>
          </w:p>
        </w:tc>
        <w:tc>
          <w:tcPr>
            <w:tcW w:w="6033" w:type="dxa"/>
          </w:tcPr>
          <w:p w:rsidR="00011C3B" w:rsidRPr="00E83A65" w:rsidRDefault="00011C3B" w:rsidP="007B5AEF">
            <w:pPr>
              <w:pStyle w:val="Tbla-bal"/>
              <w:rPr>
                <w:lang w:bidi="sa-IN"/>
              </w:rPr>
            </w:pPr>
            <w:r w:rsidRPr="00E83A65">
              <w:rPr>
                <w:lang w:bidi="sa-IN"/>
              </w:rPr>
              <w:t>Nettó hozzáadott érték PPS-ben kifejezve</w:t>
            </w:r>
          </w:p>
          <w:p w:rsidR="00011C3B" w:rsidRPr="00E83A65" w:rsidRDefault="00011C3B" w:rsidP="007B5AEF">
            <w:pPr>
              <w:pStyle w:val="Tbla-bal"/>
              <w:rPr>
                <w:lang w:bidi="sa-IN"/>
              </w:rPr>
            </w:pPr>
            <w:r w:rsidRPr="00E83A65">
              <w:rPr>
                <w:lang w:bidi="sa-IN"/>
              </w:rPr>
              <w:t>A támogatott tevékenységek által létrehozott új munkahelyek nettó száma FTE-ben</w:t>
            </w:r>
          </w:p>
        </w:tc>
        <w:tc>
          <w:tcPr>
            <w:tcW w:w="1800" w:type="dxa"/>
          </w:tcPr>
          <w:p w:rsidR="00011C3B" w:rsidRPr="00E83A65" w:rsidRDefault="00011C3B" w:rsidP="00011C3B">
            <w:pPr>
              <w:pStyle w:val="Lbjegyzetszveg"/>
              <w:spacing w:after="0"/>
              <w:ind w:left="-44" w:right="23" w:hanging="28"/>
              <w:jc w:val="right"/>
            </w:pPr>
            <w:r w:rsidRPr="00E83A65">
              <w:t>-</w:t>
            </w:r>
          </w:p>
          <w:p w:rsidR="00011C3B" w:rsidRPr="00E83A65" w:rsidRDefault="00011C3B" w:rsidP="00011C3B">
            <w:pPr>
              <w:pStyle w:val="Lbjegyzetszveg"/>
              <w:spacing w:after="0"/>
              <w:ind w:left="-44" w:right="23" w:hanging="28"/>
              <w:jc w:val="right"/>
            </w:pPr>
            <w:r w:rsidRPr="00E83A65">
              <w:t>320</w:t>
            </w:r>
          </w:p>
          <w:p w:rsidR="00011C3B" w:rsidRPr="00E83A65" w:rsidRDefault="00011C3B" w:rsidP="00011C3B">
            <w:pPr>
              <w:spacing w:after="0"/>
              <w:ind w:left="-44" w:right="23" w:hanging="28"/>
              <w:jc w:val="right"/>
              <w:rPr>
                <w:sz w:val="20"/>
                <w:szCs w:val="20"/>
                <w:lang w:val="en-GB"/>
              </w:rPr>
            </w:pPr>
          </w:p>
        </w:tc>
        <w:tc>
          <w:tcPr>
            <w:tcW w:w="1556" w:type="dxa"/>
          </w:tcPr>
          <w:p w:rsidR="00011C3B" w:rsidRPr="00E83A65" w:rsidRDefault="00011C3B" w:rsidP="00011C3B">
            <w:pPr>
              <w:pStyle w:val="Norml1"/>
              <w:spacing w:after="0"/>
              <w:ind w:left="-44" w:right="23" w:hanging="28"/>
              <w:jc w:val="right"/>
              <w:rPr>
                <w:sz w:val="20"/>
                <w:szCs w:val="20"/>
              </w:rPr>
            </w:pPr>
            <w:r w:rsidRPr="00E83A65">
              <w:rPr>
                <w:sz w:val="20"/>
                <w:szCs w:val="20"/>
              </w:rPr>
              <w:t>-</w:t>
            </w:r>
          </w:p>
          <w:p w:rsidR="00011C3B" w:rsidRPr="00E83A65" w:rsidRDefault="00011C3B" w:rsidP="00011C3B">
            <w:pPr>
              <w:pStyle w:val="Norml1"/>
              <w:spacing w:after="0"/>
              <w:ind w:left="-44" w:right="23" w:hanging="28"/>
              <w:jc w:val="right"/>
              <w:rPr>
                <w:sz w:val="20"/>
                <w:szCs w:val="20"/>
              </w:rPr>
            </w:pPr>
            <w:r w:rsidRPr="00E83A65">
              <w:rPr>
                <w:sz w:val="20"/>
                <w:szCs w:val="20"/>
              </w:rPr>
              <w:t>-</w:t>
            </w:r>
          </w:p>
        </w:tc>
      </w:tr>
    </w:tbl>
    <w:p w:rsidR="00011C3B" w:rsidRDefault="00011C3B" w:rsidP="00011C3B">
      <w:pPr>
        <w:pStyle w:val="Normlforrs"/>
        <w:widowControl w:val="0"/>
        <w:suppressAutoHyphens w:val="0"/>
      </w:pPr>
      <w:r w:rsidRPr="00E83A65">
        <w:t>Forrás: MVH</w:t>
      </w:r>
    </w:p>
    <w:p w:rsidR="00102589" w:rsidRPr="00CF4DAD" w:rsidRDefault="00102589" w:rsidP="00CF4DAD">
      <w:pPr>
        <w:pStyle w:val="Normlforrs"/>
        <w:widowControl w:val="0"/>
        <w:suppressAutoHyphens w:val="0"/>
        <w:jc w:val="both"/>
        <w:rPr>
          <w:i w:val="0"/>
          <w:szCs w:val="26"/>
        </w:rPr>
      </w:pPr>
      <w:r w:rsidRPr="00CF4DAD">
        <w:rPr>
          <w:i w:val="0"/>
        </w:rPr>
        <w:t xml:space="preserve">A LEADER program megvalósítása egyértelműen sikeres, az ország népességének csaknem fele élvezi a LEADER projektek által megvalósított fejlesztések hasznait, ugyanakkor a teremtett munkahelyek számában még elmaradás tapasztalható. </w:t>
      </w:r>
    </w:p>
    <w:p w:rsidR="00011C3B" w:rsidRPr="006D5114" w:rsidRDefault="00011C3B" w:rsidP="00715E86">
      <w:pPr>
        <w:pStyle w:val="Cmsor4"/>
      </w:pPr>
      <w:r w:rsidRPr="006D5114">
        <w:t xml:space="preserve">A helyi fejlesztési stratégiák megvalósítása </w:t>
      </w:r>
      <w:r>
        <w:t>jogcímek</w:t>
      </w:r>
      <w:r w:rsidRPr="006D5114">
        <w:t xml:space="preserve"> rövid bemutatása</w:t>
      </w:r>
    </w:p>
    <w:p w:rsidR="00011C3B" w:rsidRPr="00084566" w:rsidRDefault="00011C3B" w:rsidP="004869BB">
      <w:r w:rsidRPr="00084566">
        <w:t xml:space="preserve">Az intézkedés </w:t>
      </w:r>
      <w:r w:rsidR="00BF0500">
        <w:t xml:space="preserve">céljait meghirdető jogcím </w:t>
      </w:r>
      <w:r w:rsidRPr="00084566">
        <w:t xml:space="preserve">két alkalommal került meghirdetésre. Az első pályázat benyújtási időszak 2009. október 1. - 2009. november 16. között volt. 2010-ben nem lehetett </w:t>
      </w:r>
      <w:r w:rsidR="00E83A65">
        <w:t>pályázatot</w:t>
      </w:r>
      <w:r w:rsidRPr="00084566">
        <w:t xml:space="preserve"> benyújtani. 2011-ben került megnyitásra második alkalommal a</w:t>
      </w:r>
      <w:r w:rsidR="00BF0500">
        <w:t xml:space="preserve"> jogcím</w:t>
      </w:r>
      <w:r w:rsidRPr="00084566">
        <w:t xml:space="preserve">. A pályázatokat 2011. szeptember 30. és november 15. között, valamint 2011. november 29-től december 5-én 18 óráig nyújthatták be az ügyfelek, a pályázatokkal kapcsolatos döntéshozatal és kötelezettség vállalás 2012-ben történt meg. 2012-ben újabb </w:t>
      </w:r>
      <w:r w:rsidR="00E83A65">
        <w:t>b</w:t>
      </w:r>
      <w:r w:rsidRPr="00084566">
        <w:t xml:space="preserve">enyújtási időszak nem nyílt, kifizetési kérelmek benyújtására volt lehetőség, valamint megkezdődött a harmadik pályázati kör előkészítése </w:t>
      </w:r>
    </w:p>
    <w:p w:rsidR="00011C3B" w:rsidRPr="00084566" w:rsidRDefault="00011C3B" w:rsidP="004869BB">
      <w:r w:rsidRPr="00084566">
        <w:t>Az első meg</w:t>
      </w:r>
      <w:r w:rsidR="00E83A65">
        <w:t>nyitás</w:t>
      </w:r>
      <w:r w:rsidRPr="00084566">
        <w:t xml:space="preserve"> alkalmával 7 </w:t>
      </w:r>
      <w:r w:rsidR="00BF0500">
        <w:t xml:space="preserve">támogatási </w:t>
      </w:r>
      <w:r w:rsidRPr="00084566">
        <w:t xml:space="preserve">jogcím került meghirdetésre, amelyeken belül a Helyi Akciócsoportok határozták meg az egyes célterületeket: (a) LEADER közösségi célú fejlesztés, b) LEADER vállalkozási alapú fejlesztés, c) LEADER rendezvény, d) LEADER képzés, e) LEADER térségen belüli együttműködés, f) LEADER térségek közötti és nemzetközi együttműködés, g) LEADER tervek és tanulmányok. </w:t>
      </w:r>
    </w:p>
    <w:p w:rsidR="00011C3B" w:rsidRPr="00084566" w:rsidRDefault="00011C3B" w:rsidP="004869BB">
      <w:r w:rsidRPr="00084566">
        <w:t>A jogcímekre és a HACS-ok által megfogalmazott LEADER célterületekre vonatkozó általános kérdéseket a 122/2009. (IX.17.) FVM rendelet az Európai Mezőgazdasági Vidékfejlesztési Alapból a Helyi Vidékfejlesztési Stratégiák LEADER fejezetének végrehajtásához nyújtandó támogatások részletes feltételeiről szabályozza. Az első benyújtási időszakot szabályozó 122/2009. (IX.17.) FVM rendelet 2012-ben két alkalommal módosult: törlésre került a pályázat benyújtási időszak, mivel azt már új jogszabály szabályozta 2011-ben, valamint a kifizetési kérelem benyújtásának módjával kapcsolatos rendelkezések kerültek módosításra.</w:t>
      </w:r>
    </w:p>
    <w:p w:rsidR="00011C3B" w:rsidRPr="00084566" w:rsidRDefault="00011C3B" w:rsidP="004869BB">
      <w:r w:rsidRPr="00084566">
        <w:t xml:space="preserve">A második meghirdetés alkalmával 2011-ben új jogszabályt alkotott az Irányító Hatóság, amelyben számos – az előző benyújtási időszakban szerzett tapasztalatot alapul véve – módosításra került sor. Az </w:t>
      </w:r>
      <w:r w:rsidRPr="00084566">
        <w:lastRenderedPageBreak/>
        <w:t xml:space="preserve">új pályázati kört az Európai Mezőgazdasági Vidékfejlesztési Alapból a Helyi Vidékfejlesztési Stratégiák LEADER fejezetének végrehajtásához 2011-től nyújtandó támogatások részletes feltételeiről szóló 76/2011. (VII.29.) VM rendelet szabályozza. A második pályázat benyújtási időszakban 2011-ben 6 </w:t>
      </w:r>
      <w:r w:rsidR="00BF0500">
        <w:t xml:space="preserve">támogatási </w:t>
      </w:r>
      <w:r w:rsidRPr="00084566">
        <w:t xml:space="preserve">jogcím került meghirdetésre (a) LEADER közösségi célú fejlesztés, b) LEADER vállalkozási alapú fejlesztés, c) LEADER rendezvény, d) LEADER képzés, e) LEADER tanulmányok, f) LEADER térségen belüli együttműködés), amelyeken belül ebben az időszakban is a LEADER HACS-ok határozták meg a célterületeket és a célterületekre vonatkozó keretösszeget. A </w:t>
      </w:r>
      <w:r w:rsidR="00BF0500">
        <w:t xml:space="preserve">421 sz. intézkedés keretében finanszírozott </w:t>
      </w:r>
      <w:r w:rsidRPr="00084566">
        <w:t>nemzetközi együttműködésekre vonatkozó jogcím a jogcímek között szerepelt az első pályázati meghirdetés alkalmával, de a hatékonyabb végrehajtás érdekében az Irányító Hatóság döntése alapján önálló, központi lebonyolítású jogcímként került megnyitásra 2012-ben.</w:t>
      </w:r>
    </w:p>
    <w:p w:rsidR="00011C3B" w:rsidRDefault="00011C3B" w:rsidP="004869BB">
      <w:r w:rsidRPr="00084566">
        <w:t>A második benyújtási időszakot szabályozó 76/2011. (VII.29.) VM rendelet 2012-ben két alkalommal módosult: a módosítások túlnyomó része technikai módosítás volt, valamint a projektek megvalósításának elősegítését szolgálta.</w:t>
      </w:r>
    </w:p>
    <w:p w:rsidR="00597778" w:rsidRDefault="00011C3B" w:rsidP="00011C3B">
      <w:pPr>
        <w:rPr>
          <w:iCs/>
        </w:rPr>
      </w:pPr>
      <w:r>
        <w:rPr>
          <w:iCs/>
        </w:rPr>
        <w:t>Az MVH regionális illetékességű kirendeltségei által kezelt kifizetési kérelmek ügyintézése folyamatosan és zökkenőmentesen zajlott. Ezt a 2012 folyamán megjelent új és korszerűsített segédletek, valamint kifizetési kérelmek kapcsán kidolgozott új, általános ütemterv megjelenése segítette.</w:t>
      </w:r>
      <w:r w:rsidR="00597778">
        <w:rPr>
          <w:iCs/>
        </w:rPr>
        <w:t xml:space="preserve"> </w:t>
      </w:r>
    </w:p>
    <w:p w:rsidR="00597778" w:rsidRPr="00E83A65" w:rsidRDefault="00597778" w:rsidP="00715E86">
      <w:pPr>
        <w:rPr>
          <w:szCs w:val="22"/>
        </w:rPr>
      </w:pPr>
      <w:r w:rsidRPr="00715E86">
        <w:t xml:space="preserve">2012. folyamán az IH a HACS-ok képviselőivel és egyéb szakmai szervezetekkel megkezdte egy új LEADER rendelet előkészítését. A munkacsoportok több ülés során tekintették át a gyakorlati tapasztalatokat, és 2013 I. félévében kialakították közös javaslatukat a rendeletre és az eljárásrendekre </w:t>
      </w:r>
      <w:r w:rsidRPr="00E83A65">
        <w:rPr>
          <w:szCs w:val="22"/>
        </w:rPr>
        <w:t xml:space="preserve">vonatkozóan. Az Európai Mezőgazdasági Vidékfejlesztési Alapból a Helyi Vidékfejlesztési Stratégiák LEADER fejezetének végrehajtásához 2013-ban nyújtandó támogatások részletes feltételeiről szóló 35/2013. V. 22.) VM rendelet tartalmazza az egyszerűsítési munka eredményeit: </w:t>
      </w:r>
    </w:p>
    <w:p w:rsidR="00597778" w:rsidRPr="00E83A65" w:rsidRDefault="00597778" w:rsidP="00597778">
      <w:pPr>
        <w:pStyle w:val="Listaszerbekezds"/>
        <w:numPr>
          <w:ilvl w:val="0"/>
          <w:numId w:val="89"/>
        </w:numPr>
        <w:suppressAutoHyphens w:val="0"/>
        <w:autoSpaceDE w:val="0"/>
        <w:autoSpaceDN w:val="0"/>
        <w:adjustRightInd w:val="0"/>
        <w:spacing w:before="120" w:after="60"/>
        <w:rPr>
          <w:rFonts w:cs="Times New Roman"/>
          <w:b/>
          <w:bCs/>
          <w:kern w:val="0"/>
          <w:szCs w:val="22"/>
        </w:rPr>
      </w:pPr>
      <w:r w:rsidRPr="00E83A65">
        <w:rPr>
          <w:rFonts w:cs="Times New Roman"/>
          <w:bCs/>
          <w:kern w:val="0"/>
          <w:szCs w:val="22"/>
        </w:rPr>
        <w:t>a döntéshozatali kompetencia helyi érvényesülése, decentralizáció,</w:t>
      </w:r>
    </w:p>
    <w:p w:rsidR="00E51AE5" w:rsidRPr="00E83A65" w:rsidRDefault="00E51AE5" w:rsidP="00597778">
      <w:pPr>
        <w:pStyle w:val="Listaszerbekezds"/>
        <w:numPr>
          <w:ilvl w:val="0"/>
          <w:numId w:val="89"/>
        </w:numPr>
        <w:suppressAutoHyphens w:val="0"/>
        <w:autoSpaceDE w:val="0"/>
        <w:autoSpaceDN w:val="0"/>
        <w:adjustRightInd w:val="0"/>
        <w:spacing w:before="120" w:after="60"/>
        <w:rPr>
          <w:rFonts w:cs="Times New Roman"/>
          <w:b/>
          <w:bCs/>
          <w:kern w:val="0"/>
          <w:szCs w:val="22"/>
        </w:rPr>
      </w:pPr>
      <w:r w:rsidRPr="00E83A65">
        <w:rPr>
          <w:rFonts w:cs="Times New Roman"/>
          <w:bCs/>
          <w:kern w:val="0"/>
          <w:szCs w:val="22"/>
        </w:rPr>
        <w:t>kevesebb papíralapú dokumentum benyújtása (pl.: tulajdoni lap, illetve más, építése tevékenységhez kapcsolódó dokumentumok elektronikusan is benyújthatók)</w:t>
      </w:r>
    </w:p>
    <w:p w:rsidR="00597778" w:rsidRPr="00E83A65" w:rsidRDefault="00597778" w:rsidP="00E51AE5">
      <w:pPr>
        <w:pStyle w:val="Listaszerbekezds"/>
        <w:numPr>
          <w:ilvl w:val="0"/>
          <w:numId w:val="89"/>
        </w:numPr>
        <w:suppressAutoHyphens w:val="0"/>
        <w:autoSpaceDE w:val="0"/>
        <w:autoSpaceDN w:val="0"/>
        <w:adjustRightInd w:val="0"/>
        <w:spacing w:before="120" w:after="60"/>
        <w:rPr>
          <w:rFonts w:cs="Times New Roman"/>
          <w:bCs/>
          <w:kern w:val="0"/>
          <w:szCs w:val="22"/>
        </w:rPr>
      </w:pPr>
      <w:r w:rsidRPr="00E83A65">
        <w:rPr>
          <w:rFonts w:cs="Times New Roman"/>
          <w:bCs/>
          <w:kern w:val="0"/>
          <w:szCs w:val="22"/>
        </w:rPr>
        <w:t>elektronikus kérelembenyújtás,</w:t>
      </w:r>
    </w:p>
    <w:p w:rsidR="00011C3B" w:rsidRPr="00E51AE5" w:rsidRDefault="00597778" w:rsidP="00E51AE5">
      <w:pPr>
        <w:pStyle w:val="Listaszerbekezds"/>
        <w:numPr>
          <w:ilvl w:val="0"/>
          <w:numId w:val="89"/>
        </w:numPr>
        <w:suppressAutoHyphens w:val="0"/>
        <w:autoSpaceDE w:val="0"/>
        <w:autoSpaceDN w:val="0"/>
        <w:adjustRightInd w:val="0"/>
        <w:spacing w:before="120" w:after="60"/>
        <w:rPr>
          <w:rFonts w:cs="Times New Roman"/>
          <w:b/>
          <w:bCs/>
          <w:kern w:val="0"/>
          <w:sz w:val="20"/>
          <w:szCs w:val="20"/>
        </w:rPr>
      </w:pPr>
      <w:r w:rsidRPr="00E83A65">
        <w:rPr>
          <w:rFonts w:cs="Times New Roman"/>
          <w:bCs/>
          <w:kern w:val="0"/>
          <w:szCs w:val="22"/>
        </w:rPr>
        <w:t>folyamatos benyújtás lehetősége</w:t>
      </w:r>
      <w:r w:rsidR="00E51AE5">
        <w:rPr>
          <w:rFonts w:cs="Times New Roman"/>
          <w:bCs/>
          <w:kern w:val="0"/>
          <w:sz w:val="20"/>
          <w:szCs w:val="20"/>
        </w:rPr>
        <w:t>.</w:t>
      </w:r>
    </w:p>
    <w:p w:rsidR="00011C3B" w:rsidRPr="00F92037" w:rsidRDefault="007E5FDF" w:rsidP="00F92037">
      <w:pPr>
        <w:pStyle w:val="bra-cmetbla"/>
      </w:pPr>
      <w:fldSimple w:instr=" SEQ táblázat \* ARABIC ">
        <w:r w:rsidR="00E5031F">
          <w:rPr>
            <w:noProof/>
          </w:rPr>
          <w:t>99</w:t>
        </w:r>
      </w:fldSimple>
      <w:r w:rsidR="00FE0173">
        <w:t xml:space="preserve">. táblázat: </w:t>
      </w:r>
      <w:r w:rsidR="00011C3B" w:rsidRPr="00F92037">
        <w:t>A helyi fejlesztési stratégiák megvalósítása 2012. évi eredményei</w:t>
      </w:r>
    </w:p>
    <w:p w:rsidR="00011C3B" w:rsidRPr="00F92037" w:rsidRDefault="00B452BF" w:rsidP="00F92037">
      <w:pPr>
        <w:pStyle w:val="bra-cmetbla"/>
      </w:pPr>
      <w:r w:rsidRPr="00F92037">
        <w:rPr>
          <w:noProof/>
        </w:rPr>
        <w:drawing>
          <wp:inline distT="0" distB="0" distL="0" distR="0" wp14:anchorId="2FA22819" wp14:editId="7AE90B1D">
            <wp:extent cx="5167630" cy="1882140"/>
            <wp:effectExtent l="0" t="0" r="0" b="3810"/>
            <wp:docPr id="62"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92037" w:rsidRDefault="00B452BF" w:rsidP="00F92037">
      <w:pPr>
        <w:pStyle w:val="bra-cmetbla"/>
      </w:pPr>
      <w:r w:rsidRPr="00F92037">
        <w:rPr>
          <w:noProof/>
        </w:rPr>
        <w:drawing>
          <wp:inline distT="0" distB="0" distL="0" distR="0" wp14:anchorId="595C550A" wp14:editId="46374410">
            <wp:extent cx="5167630" cy="1882140"/>
            <wp:effectExtent l="0" t="0" r="0" b="3810"/>
            <wp:docPr id="63"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Pr="00F92037" w:rsidRDefault="00B452BF" w:rsidP="00F92037">
      <w:pPr>
        <w:pStyle w:val="bra-cmetbla"/>
      </w:pPr>
      <w:r w:rsidRPr="00F92037">
        <w:rPr>
          <w:noProof/>
        </w:rPr>
        <w:drawing>
          <wp:inline distT="0" distB="0" distL="0" distR="0" wp14:anchorId="513AF513" wp14:editId="5DD8BCE2">
            <wp:extent cx="5167630" cy="1882140"/>
            <wp:effectExtent l="0" t="0" r="0" b="3810"/>
            <wp:docPr id="64"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Default="002F782E" w:rsidP="004869BB">
      <w:r>
        <w:t xml:space="preserve">A versenyképességet javító intézkedés terén a 2012. évi kifizetések a támogatott kifizetési kérelmek nagy részét teljesítették, de a jóváhagyott támogatási kérelmek összegének kifizetése a programozási időszak további évében (n+2) várható. Jól látható, hogy bár új pályázati lehetőség nem volt 2012-ben </w:t>
      </w:r>
      <w:r w:rsidR="008D0267">
        <w:t>az életminőség javításáv</w:t>
      </w:r>
      <w:r>
        <w:t xml:space="preserve">al, illetve diverzifikációval kapcsolatos fejlesztésekre, mégis a korábban jóváhagyott fejlesztések kifizetése nagymértékű volt. A földgazdálkodással kapcsolatos intézkedések a HACS-okon keresztül kevés pályázót vonzanak. </w:t>
      </w:r>
    </w:p>
    <w:p w:rsidR="00011C3B" w:rsidRPr="00896E03" w:rsidRDefault="00011C3B" w:rsidP="00DB48A3">
      <w:pPr>
        <w:pStyle w:val="Cmsor3"/>
      </w:pPr>
      <w:bookmarkStart w:id="354" w:name="_Toc328573954"/>
      <w:bookmarkStart w:id="355" w:name="_Toc328638734"/>
      <w:bookmarkStart w:id="356" w:name="_Toc328638735"/>
      <w:bookmarkStart w:id="357" w:name="_Toc360176827"/>
      <w:bookmarkEnd w:id="354"/>
      <w:bookmarkEnd w:id="355"/>
      <w:r w:rsidRPr="00896E03">
        <w:t>Térségek közötti és nemzetközi együttműködések (421) intézkedés rövid bemutatása</w:t>
      </w:r>
      <w:bookmarkEnd w:id="356"/>
      <w:bookmarkEnd w:id="357"/>
    </w:p>
    <w:p w:rsidR="00011C3B" w:rsidRPr="00843D1D" w:rsidRDefault="00011C3B" w:rsidP="004869BB">
      <w:r w:rsidRPr="00843D1D">
        <w:t>Az intézkedés célja a régiók közötti hazai és nemzetközi együttműködés elősegítése és megvalósítása, a tapasztalatok, a know-how, legjobb gyakorlatok megosztásának, kö</w:t>
      </w:r>
      <w:r>
        <w:t>zös akciók, projektek kidolgozá</w:t>
      </w:r>
      <w:r w:rsidRPr="00843D1D">
        <w:t xml:space="preserve">sának, közös szerveződések kialakításának ösztönzése, ezáltal az innováció, a </w:t>
      </w:r>
      <w:r w:rsidRPr="00843D1D">
        <w:lastRenderedPageBreak/>
        <w:t>helyi kapacitás és a helyi fejlesztési folyamatok erősítése. Az intézkedés hozzájárul</w:t>
      </w:r>
      <w:r>
        <w:t xml:space="preserve"> a LEADER stratégiákban meghatá</w:t>
      </w:r>
      <w:r w:rsidRPr="00843D1D">
        <w:t>rozott célkitűzések teljesítéséhez.</w:t>
      </w:r>
    </w:p>
    <w:p w:rsidR="00011C3B" w:rsidRPr="00F92037" w:rsidRDefault="007E5FDF" w:rsidP="00FE0173">
      <w:pPr>
        <w:pStyle w:val="bra-cmetbla"/>
      </w:pPr>
      <w:fldSimple w:instr=" SEQ táblázat \* ARABIC ">
        <w:r w:rsidR="00E5031F">
          <w:rPr>
            <w:noProof/>
          </w:rPr>
          <w:t>100</w:t>
        </w:r>
      </w:fldSimple>
      <w:r w:rsidR="00FE0173">
        <w:t xml:space="preserve">. táblázat: </w:t>
      </w:r>
      <w:r w:rsidR="00011C3B" w:rsidRPr="00F92037">
        <w:t>Térségek közötti és nemzetközi együttműködések (421) indikátorainak megvalósulása</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4"/>
        <w:gridCol w:w="5854"/>
        <w:gridCol w:w="1430"/>
        <w:gridCol w:w="1540"/>
      </w:tblGrid>
      <w:tr w:rsidR="00011C3B" w:rsidRPr="008B76DD" w:rsidTr="00011C3B">
        <w:trPr>
          <w:jc w:val="center"/>
        </w:trPr>
        <w:tc>
          <w:tcPr>
            <w:tcW w:w="514" w:type="dxa"/>
            <w:shd w:val="clear" w:color="auto" w:fill="B3B3B3"/>
          </w:tcPr>
          <w:p w:rsidR="00011C3B" w:rsidRPr="008B76DD" w:rsidRDefault="00011C3B" w:rsidP="00011C3B">
            <w:pPr>
              <w:pStyle w:val="Norml1"/>
              <w:spacing w:after="0"/>
              <w:jc w:val="center"/>
              <w:rPr>
                <w:b/>
                <w:sz w:val="20"/>
                <w:szCs w:val="20"/>
                <w:lang w:val="hu-HU" w:bidi="sa-IN"/>
              </w:rPr>
            </w:pPr>
          </w:p>
        </w:tc>
        <w:tc>
          <w:tcPr>
            <w:tcW w:w="5854" w:type="dxa"/>
            <w:shd w:val="clear" w:color="auto" w:fill="B3B3B3"/>
            <w:vAlign w:val="center"/>
          </w:tcPr>
          <w:p w:rsidR="00011C3B" w:rsidRPr="008B76DD" w:rsidRDefault="00011C3B" w:rsidP="00011C3B">
            <w:pPr>
              <w:pStyle w:val="Norml1"/>
              <w:spacing w:after="0"/>
              <w:jc w:val="center"/>
              <w:rPr>
                <w:b/>
                <w:sz w:val="20"/>
                <w:szCs w:val="20"/>
                <w:lang w:bidi="sa-IN"/>
              </w:rPr>
            </w:pPr>
            <w:r w:rsidRPr="008B76DD">
              <w:rPr>
                <w:b/>
                <w:sz w:val="20"/>
                <w:szCs w:val="20"/>
                <w:lang w:val="hu-HU" w:bidi="sa-IN"/>
              </w:rPr>
              <w:t>Indikátor leírása</w:t>
            </w:r>
          </w:p>
        </w:tc>
        <w:tc>
          <w:tcPr>
            <w:tcW w:w="1430" w:type="dxa"/>
            <w:shd w:val="clear" w:color="auto" w:fill="B3B3B3"/>
            <w:vAlign w:val="center"/>
          </w:tcPr>
          <w:p w:rsidR="00011C3B" w:rsidRPr="008B76DD" w:rsidRDefault="00011C3B" w:rsidP="00011C3B">
            <w:pPr>
              <w:pStyle w:val="Norml1"/>
              <w:spacing w:after="0"/>
              <w:jc w:val="center"/>
              <w:rPr>
                <w:b/>
                <w:sz w:val="20"/>
                <w:szCs w:val="20"/>
                <w:lang w:bidi="sa-IN"/>
              </w:rPr>
            </w:pPr>
            <w:r w:rsidRPr="008B76DD">
              <w:rPr>
                <w:b/>
                <w:sz w:val="20"/>
                <w:szCs w:val="20"/>
              </w:rPr>
              <w:t>Program szerinti tervadat</w:t>
            </w:r>
          </w:p>
        </w:tc>
        <w:tc>
          <w:tcPr>
            <w:tcW w:w="1540" w:type="dxa"/>
            <w:shd w:val="clear" w:color="auto" w:fill="B3B3B3"/>
            <w:vAlign w:val="center"/>
          </w:tcPr>
          <w:p w:rsidR="00011C3B" w:rsidRPr="008B76DD" w:rsidRDefault="00011C3B" w:rsidP="00011C3B">
            <w:pPr>
              <w:pStyle w:val="Norml1"/>
              <w:spacing w:after="0"/>
              <w:jc w:val="center"/>
              <w:rPr>
                <w:b/>
                <w:sz w:val="20"/>
                <w:szCs w:val="20"/>
                <w:lang w:val="hu-HU" w:bidi="sa-IN"/>
              </w:rPr>
            </w:pPr>
            <w:r w:rsidRPr="008B76DD">
              <w:rPr>
                <w:b/>
                <w:sz w:val="20"/>
                <w:szCs w:val="20"/>
              </w:rPr>
              <w:t>Indikátorok kumulált értéke</w:t>
            </w:r>
          </w:p>
        </w:tc>
      </w:tr>
      <w:tr w:rsidR="00011C3B" w:rsidRPr="008B76DD" w:rsidTr="00011C3B">
        <w:trPr>
          <w:jc w:val="center"/>
        </w:trPr>
        <w:tc>
          <w:tcPr>
            <w:tcW w:w="514" w:type="dxa"/>
          </w:tcPr>
          <w:p w:rsidR="00011C3B" w:rsidRPr="008B76DD" w:rsidRDefault="00011C3B" w:rsidP="00011C3B">
            <w:pPr>
              <w:pStyle w:val="Norml1"/>
              <w:spacing w:after="0"/>
              <w:jc w:val="center"/>
              <w:rPr>
                <w:b/>
                <w:bCs/>
                <w:sz w:val="20"/>
                <w:szCs w:val="20"/>
                <w:lang w:val="hu-HU" w:bidi="sa-IN"/>
              </w:rPr>
            </w:pPr>
            <w:r w:rsidRPr="008B76DD">
              <w:rPr>
                <w:b/>
                <w:bCs/>
                <w:sz w:val="20"/>
                <w:szCs w:val="20"/>
                <w:lang w:val="hu-HU" w:bidi="sa-IN"/>
              </w:rPr>
              <w:t>O</w:t>
            </w:r>
          </w:p>
        </w:tc>
        <w:tc>
          <w:tcPr>
            <w:tcW w:w="5854" w:type="dxa"/>
          </w:tcPr>
          <w:p w:rsidR="00011C3B" w:rsidRPr="00E83A65" w:rsidRDefault="00011C3B" w:rsidP="00011C3B">
            <w:pPr>
              <w:pStyle w:val="Norml1"/>
              <w:spacing w:after="0"/>
              <w:rPr>
                <w:b/>
                <w:bCs/>
                <w:sz w:val="20"/>
                <w:szCs w:val="20"/>
                <w:lang w:val="hu-HU" w:bidi="sa-IN"/>
              </w:rPr>
            </w:pPr>
            <w:r w:rsidRPr="00E83A65">
              <w:rPr>
                <w:b/>
                <w:bCs/>
                <w:sz w:val="20"/>
                <w:szCs w:val="20"/>
                <w:lang w:val="hu-HU" w:bidi="sa-IN"/>
              </w:rPr>
              <w:t>A támogatott együttműködési projektek száma</w:t>
            </w:r>
          </w:p>
          <w:p w:rsidR="00011C3B" w:rsidRPr="00E83A65" w:rsidRDefault="00011C3B" w:rsidP="0033390A">
            <w:pPr>
              <w:numPr>
                <w:ilvl w:val="0"/>
                <w:numId w:val="80"/>
              </w:numPr>
              <w:spacing w:after="0"/>
              <w:rPr>
                <w:sz w:val="20"/>
                <w:szCs w:val="20"/>
              </w:rPr>
            </w:pPr>
            <w:r w:rsidRPr="00E83A65">
              <w:rPr>
                <w:sz w:val="20"/>
                <w:szCs w:val="20"/>
              </w:rPr>
              <w:t>térségek közötti</w:t>
            </w:r>
          </w:p>
          <w:p w:rsidR="00011C3B" w:rsidRPr="00E83A65" w:rsidRDefault="00011C3B" w:rsidP="0033390A">
            <w:pPr>
              <w:numPr>
                <w:ilvl w:val="0"/>
                <w:numId w:val="80"/>
              </w:numPr>
              <w:spacing w:after="0"/>
              <w:rPr>
                <w:sz w:val="20"/>
                <w:szCs w:val="20"/>
              </w:rPr>
            </w:pPr>
            <w:r w:rsidRPr="00E83A65">
              <w:rPr>
                <w:sz w:val="20"/>
                <w:szCs w:val="20"/>
              </w:rPr>
              <w:t>nemzetközi</w:t>
            </w:r>
          </w:p>
          <w:p w:rsidR="00011C3B" w:rsidRPr="00E83A65" w:rsidRDefault="00011C3B" w:rsidP="0033390A">
            <w:pPr>
              <w:numPr>
                <w:ilvl w:val="0"/>
                <w:numId w:val="80"/>
              </w:numPr>
              <w:spacing w:after="0"/>
              <w:rPr>
                <w:sz w:val="20"/>
                <w:szCs w:val="20"/>
              </w:rPr>
            </w:pPr>
            <w:r w:rsidRPr="00E83A65">
              <w:rPr>
                <w:sz w:val="20"/>
                <w:szCs w:val="20"/>
              </w:rPr>
              <w:t>I. tengely</w:t>
            </w:r>
          </w:p>
          <w:p w:rsidR="00011C3B" w:rsidRPr="00E83A65" w:rsidRDefault="00011C3B" w:rsidP="0033390A">
            <w:pPr>
              <w:numPr>
                <w:ilvl w:val="0"/>
                <w:numId w:val="80"/>
              </w:numPr>
              <w:spacing w:after="0"/>
              <w:rPr>
                <w:sz w:val="20"/>
                <w:szCs w:val="20"/>
              </w:rPr>
            </w:pPr>
            <w:r w:rsidRPr="00E83A65">
              <w:rPr>
                <w:sz w:val="20"/>
                <w:szCs w:val="20"/>
              </w:rPr>
              <w:t>II. tengely</w:t>
            </w:r>
          </w:p>
          <w:p w:rsidR="00011C3B" w:rsidRPr="00E83A65" w:rsidRDefault="00011C3B" w:rsidP="0033390A">
            <w:pPr>
              <w:numPr>
                <w:ilvl w:val="0"/>
                <w:numId w:val="80"/>
              </w:numPr>
              <w:spacing w:after="0"/>
              <w:rPr>
                <w:sz w:val="20"/>
                <w:szCs w:val="20"/>
                <w:lang w:bidi="sa-IN"/>
              </w:rPr>
            </w:pPr>
            <w:r w:rsidRPr="00E83A65">
              <w:rPr>
                <w:sz w:val="20"/>
                <w:szCs w:val="20"/>
              </w:rPr>
              <w:t>III. tengely</w:t>
            </w:r>
          </w:p>
          <w:p w:rsidR="00011C3B" w:rsidRPr="00E83A65" w:rsidRDefault="00011C3B" w:rsidP="00011C3B">
            <w:pPr>
              <w:pStyle w:val="Norml1"/>
              <w:spacing w:after="0"/>
              <w:rPr>
                <w:b/>
                <w:bCs/>
                <w:sz w:val="20"/>
                <w:szCs w:val="20"/>
                <w:lang w:val="hu-HU" w:bidi="sa-IN"/>
              </w:rPr>
            </w:pPr>
            <w:r w:rsidRPr="00E83A65">
              <w:rPr>
                <w:b/>
                <w:bCs/>
                <w:sz w:val="20"/>
                <w:szCs w:val="20"/>
                <w:lang w:val="hu-HU" w:bidi="sa-IN"/>
              </w:rPr>
              <w:t>Az együttműködésben résztvevő HACS-ok száma</w:t>
            </w:r>
          </w:p>
          <w:p w:rsidR="00011C3B" w:rsidRPr="00E83A65" w:rsidRDefault="00011C3B" w:rsidP="0033390A">
            <w:pPr>
              <w:numPr>
                <w:ilvl w:val="0"/>
                <w:numId w:val="80"/>
              </w:numPr>
              <w:spacing w:after="0"/>
              <w:rPr>
                <w:sz w:val="20"/>
                <w:szCs w:val="20"/>
              </w:rPr>
            </w:pPr>
            <w:r w:rsidRPr="00E83A65">
              <w:rPr>
                <w:sz w:val="20"/>
                <w:szCs w:val="20"/>
                <w:lang w:bidi="sa-IN"/>
              </w:rPr>
              <w:t xml:space="preserve">térségek </w:t>
            </w:r>
            <w:r w:rsidRPr="00E83A65">
              <w:rPr>
                <w:sz w:val="20"/>
                <w:szCs w:val="20"/>
              </w:rPr>
              <w:t>közötti</w:t>
            </w:r>
          </w:p>
          <w:p w:rsidR="00011C3B" w:rsidRPr="00E83A65" w:rsidRDefault="00011C3B" w:rsidP="0033390A">
            <w:pPr>
              <w:numPr>
                <w:ilvl w:val="0"/>
                <w:numId w:val="80"/>
              </w:numPr>
              <w:spacing w:after="0"/>
              <w:rPr>
                <w:sz w:val="20"/>
                <w:szCs w:val="20"/>
              </w:rPr>
            </w:pPr>
            <w:r w:rsidRPr="00E83A65">
              <w:rPr>
                <w:sz w:val="20"/>
                <w:szCs w:val="20"/>
              </w:rPr>
              <w:t>nemzetközi</w:t>
            </w:r>
          </w:p>
          <w:p w:rsidR="00011C3B" w:rsidRPr="00E83A65" w:rsidRDefault="00011C3B" w:rsidP="0033390A">
            <w:pPr>
              <w:numPr>
                <w:ilvl w:val="0"/>
                <w:numId w:val="80"/>
              </w:numPr>
              <w:spacing w:after="0"/>
              <w:rPr>
                <w:sz w:val="20"/>
                <w:szCs w:val="20"/>
              </w:rPr>
            </w:pPr>
            <w:r w:rsidRPr="00E83A65">
              <w:rPr>
                <w:sz w:val="20"/>
                <w:szCs w:val="20"/>
              </w:rPr>
              <w:t>I. tengely</w:t>
            </w:r>
          </w:p>
          <w:p w:rsidR="00011C3B" w:rsidRPr="00E83A65" w:rsidRDefault="00011C3B" w:rsidP="0033390A">
            <w:pPr>
              <w:numPr>
                <w:ilvl w:val="0"/>
                <w:numId w:val="80"/>
              </w:numPr>
              <w:spacing w:after="0"/>
              <w:rPr>
                <w:sz w:val="20"/>
                <w:szCs w:val="20"/>
              </w:rPr>
            </w:pPr>
            <w:r w:rsidRPr="00E83A65">
              <w:rPr>
                <w:sz w:val="20"/>
                <w:szCs w:val="20"/>
              </w:rPr>
              <w:t>II. tengely</w:t>
            </w:r>
          </w:p>
          <w:p w:rsidR="00011C3B" w:rsidRPr="00E83A65" w:rsidRDefault="00011C3B" w:rsidP="0033390A">
            <w:pPr>
              <w:numPr>
                <w:ilvl w:val="0"/>
                <w:numId w:val="80"/>
              </w:numPr>
              <w:spacing w:after="0"/>
              <w:rPr>
                <w:sz w:val="20"/>
                <w:szCs w:val="20"/>
                <w:lang w:bidi="sa-IN"/>
              </w:rPr>
            </w:pPr>
            <w:r w:rsidRPr="00E83A65">
              <w:rPr>
                <w:sz w:val="20"/>
                <w:szCs w:val="20"/>
              </w:rPr>
              <w:t>III. tengely</w:t>
            </w:r>
          </w:p>
        </w:tc>
        <w:tc>
          <w:tcPr>
            <w:tcW w:w="1430" w:type="dxa"/>
          </w:tcPr>
          <w:p w:rsidR="00011C3B" w:rsidRPr="00E83A65" w:rsidRDefault="00011C3B" w:rsidP="00011C3B">
            <w:pPr>
              <w:pStyle w:val="Norml1"/>
              <w:spacing w:after="0"/>
              <w:jc w:val="right"/>
              <w:rPr>
                <w:sz w:val="20"/>
                <w:szCs w:val="20"/>
              </w:rPr>
            </w:pPr>
            <w:r w:rsidRPr="00E83A65">
              <w:rPr>
                <w:sz w:val="20"/>
                <w:szCs w:val="20"/>
              </w:rPr>
              <w:t>200</w:t>
            </w:r>
            <w:r w:rsidRPr="00E83A65">
              <w:rPr>
                <w:sz w:val="20"/>
                <w:szCs w:val="20"/>
              </w:rPr>
              <w:br/>
              <w:t>40</w:t>
            </w:r>
          </w:p>
          <w:p w:rsidR="00011C3B" w:rsidRPr="00E83A65" w:rsidRDefault="00011C3B" w:rsidP="00011C3B">
            <w:pPr>
              <w:pStyle w:val="Norml1"/>
              <w:spacing w:after="0"/>
              <w:jc w:val="right"/>
              <w:rPr>
                <w:sz w:val="20"/>
                <w:szCs w:val="20"/>
              </w:rPr>
            </w:pPr>
            <w:r w:rsidRPr="00E83A65">
              <w:rPr>
                <w:sz w:val="20"/>
                <w:szCs w:val="20"/>
              </w:rPr>
              <w:t>160</w:t>
            </w:r>
          </w:p>
          <w:p w:rsidR="00011C3B" w:rsidRPr="00E83A65" w:rsidRDefault="00011C3B" w:rsidP="00011C3B">
            <w:pPr>
              <w:pStyle w:val="Norml1"/>
              <w:spacing w:after="0"/>
              <w:jc w:val="right"/>
              <w:rPr>
                <w:sz w:val="20"/>
                <w:szCs w:val="20"/>
              </w:rPr>
            </w:pPr>
            <w:r w:rsidRPr="00E83A65">
              <w:rPr>
                <w:sz w:val="20"/>
                <w:szCs w:val="20"/>
              </w:rPr>
              <w:t>50</w:t>
            </w:r>
          </w:p>
          <w:p w:rsidR="00011C3B" w:rsidRPr="00E83A65" w:rsidRDefault="00011C3B" w:rsidP="00011C3B">
            <w:pPr>
              <w:pStyle w:val="Norml1"/>
              <w:spacing w:after="0"/>
              <w:jc w:val="right"/>
              <w:rPr>
                <w:sz w:val="20"/>
                <w:szCs w:val="20"/>
              </w:rPr>
            </w:pPr>
            <w:r w:rsidRPr="00E83A65">
              <w:rPr>
                <w:sz w:val="20"/>
                <w:szCs w:val="20"/>
              </w:rPr>
              <w:t>20</w:t>
            </w:r>
          </w:p>
          <w:p w:rsidR="00011C3B" w:rsidRPr="00E83A65" w:rsidRDefault="00011C3B" w:rsidP="00011C3B">
            <w:pPr>
              <w:pStyle w:val="Norml1"/>
              <w:spacing w:after="0"/>
              <w:jc w:val="right"/>
              <w:rPr>
                <w:sz w:val="20"/>
                <w:szCs w:val="20"/>
              </w:rPr>
            </w:pPr>
            <w:r w:rsidRPr="00E83A65">
              <w:rPr>
                <w:sz w:val="20"/>
                <w:szCs w:val="20"/>
              </w:rPr>
              <w:t>130</w:t>
            </w:r>
          </w:p>
          <w:p w:rsidR="00011C3B" w:rsidRPr="00E83A65" w:rsidRDefault="00011C3B" w:rsidP="00011C3B">
            <w:pPr>
              <w:pStyle w:val="Norml1"/>
              <w:spacing w:after="0"/>
              <w:jc w:val="right"/>
              <w:rPr>
                <w:sz w:val="20"/>
                <w:szCs w:val="20"/>
              </w:rPr>
            </w:pPr>
            <w:r w:rsidRPr="00E83A65">
              <w:rPr>
                <w:sz w:val="20"/>
                <w:szCs w:val="20"/>
              </w:rPr>
              <w:t>48</w:t>
            </w:r>
            <w:r w:rsidRPr="00E83A65">
              <w:rPr>
                <w:sz w:val="20"/>
                <w:szCs w:val="20"/>
              </w:rPr>
              <w:br/>
              <w:t>10</w:t>
            </w:r>
          </w:p>
          <w:p w:rsidR="00011C3B" w:rsidRPr="00E83A65" w:rsidRDefault="00011C3B" w:rsidP="00011C3B">
            <w:pPr>
              <w:pStyle w:val="Norml1"/>
              <w:spacing w:after="0"/>
              <w:jc w:val="right"/>
              <w:rPr>
                <w:sz w:val="20"/>
                <w:szCs w:val="20"/>
              </w:rPr>
            </w:pPr>
            <w:r w:rsidRPr="00E83A65">
              <w:rPr>
                <w:sz w:val="20"/>
                <w:szCs w:val="20"/>
              </w:rPr>
              <w:t>38</w:t>
            </w:r>
          </w:p>
          <w:p w:rsidR="00011C3B" w:rsidRPr="00E83A65" w:rsidRDefault="00011C3B" w:rsidP="00011C3B">
            <w:pPr>
              <w:pStyle w:val="Norml1"/>
              <w:tabs>
                <w:tab w:val="right" w:pos="2293"/>
              </w:tabs>
              <w:spacing w:after="0"/>
              <w:jc w:val="right"/>
              <w:rPr>
                <w:sz w:val="20"/>
                <w:szCs w:val="20"/>
              </w:rPr>
            </w:pPr>
            <w:r w:rsidRPr="00E83A65">
              <w:rPr>
                <w:sz w:val="20"/>
                <w:szCs w:val="20"/>
              </w:rPr>
              <w:t>15</w:t>
            </w:r>
          </w:p>
          <w:p w:rsidR="00011C3B" w:rsidRPr="00E83A65" w:rsidRDefault="00011C3B" w:rsidP="00011C3B">
            <w:pPr>
              <w:pStyle w:val="Norml1"/>
              <w:spacing w:after="0"/>
              <w:jc w:val="right"/>
              <w:rPr>
                <w:sz w:val="20"/>
                <w:szCs w:val="20"/>
              </w:rPr>
            </w:pPr>
            <w:r w:rsidRPr="00E83A65">
              <w:rPr>
                <w:sz w:val="20"/>
                <w:szCs w:val="20"/>
              </w:rPr>
              <w:t>5</w:t>
            </w:r>
          </w:p>
          <w:p w:rsidR="00011C3B" w:rsidRPr="00E83A65" w:rsidRDefault="00011C3B" w:rsidP="00011C3B">
            <w:pPr>
              <w:pStyle w:val="Norml1"/>
              <w:spacing w:after="0"/>
              <w:jc w:val="right"/>
              <w:rPr>
                <w:sz w:val="20"/>
                <w:szCs w:val="20"/>
              </w:rPr>
            </w:pPr>
            <w:r w:rsidRPr="00E83A65">
              <w:rPr>
                <w:sz w:val="20"/>
                <w:szCs w:val="20"/>
              </w:rPr>
              <w:t>28</w:t>
            </w:r>
          </w:p>
        </w:tc>
        <w:tc>
          <w:tcPr>
            <w:tcW w:w="1540" w:type="dxa"/>
          </w:tcPr>
          <w:p w:rsidR="00011C3B" w:rsidRPr="00E83A65" w:rsidRDefault="00011C3B" w:rsidP="00011C3B">
            <w:pPr>
              <w:pStyle w:val="Norml1"/>
              <w:spacing w:after="0"/>
              <w:jc w:val="right"/>
              <w:rPr>
                <w:sz w:val="20"/>
                <w:szCs w:val="20"/>
              </w:rPr>
            </w:pPr>
            <w:r w:rsidRPr="00E83A65">
              <w:rPr>
                <w:sz w:val="20"/>
                <w:szCs w:val="20"/>
              </w:rPr>
              <w:t>386</w:t>
            </w:r>
          </w:p>
          <w:p w:rsidR="00011C3B" w:rsidRPr="00E83A65" w:rsidRDefault="00011C3B" w:rsidP="00011C3B">
            <w:pPr>
              <w:pStyle w:val="Norml1"/>
              <w:spacing w:after="0"/>
              <w:jc w:val="right"/>
              <w:rPr>
                <w:sz w:val="20"/>
                <w:szCs w:val="20"/>
              </w:rPr>
            </w:pPr>
            <w:r w:rsidRPr="00E83A65">
              <w:rPr>
                <w:sz w:val="20"/>
                <w:szCs w:val="20"/>
              </w:rPr>
              <w:t>296</w:t>
            </w:r>
          </w:p>
          <w:p w:rsidR="00011C3B" w:rsidRPr="00E83A65" w:rsidRDefault="00011C3B" w:rsidP="00011C3B">
            <w:pPr>
              <w:pStyle w:val="Norml1"/>
              <w:spacing w:after="0"/>
              <w:jc w:val="right"/>
              <w:rPr>
                <w:sz w:val="20"/>
                <w:szCs w:val="20"/>
              </w:rPr>
            </w:pPr>
            <w:r w:rsidRPr="00E83A65">
              <w:rPr>
                <w:sz w:val="20"/>
                <w:szCs w:val="20"/>
              </w:rPr>
              <w:t>90</w:t>
            </w:r>
          </w:p>
          <w:p w:rsidR="00011C3B" w:rsidRPr="00E83A65" w:rsidRDefault="00011C3B" w:rsidP="00011C3B">
            <w:pPr>
              <w:pStyle w:val="Norml1"/>
              <w:spacing w:after="0"/>
              <w:jc w:val="right"/>
              <w:rPr>
                <w:sz w:val="20"/>
                <w:szCs w:val="20"/>
              </w:rPr>
            </w:pPr>
            <w:r w:rsidRPr="00E83A65">
              <w:rPr>
                <w:sz w:val="20"/>
                <w:szCs w:val="20"/>
              </w:rPr>
              <w:t>NA</w:t>
            </w:r>
          </w:p>
          <w:p w:rsidR="00011C3B" w:rsidRPr="00E83A65" w:rsidRDefault="00011C3B" w:rsidP="00011C3B">
            <w:pPr>
              <w:pStyle w:val="Norml1"/>
              <w:spacing w:after="0"/>
              <w:jc w:val="right"/>
              <w:rPr>
                <w:sz w:val="20"/>
                <w:szCs w:val="20"/>
              </w:rPr>
            </w:pPr>
            <w:r w:rsidRPr="00E83A65">
              <w:rPr>
                <w:sz w:val="20"/>
                <w:szCs w:val="20"/>
              </w:rPr>
              <w:t>NA</w:t>
            </w:r>
          </w:p>
          <w:p w:rsidR="00011C3B" w:rsidRPr="00E83A65" w:rsidRDefault="00011C3B" w:rsidP="00011C3B">
            <w:pPr>
              <w:pStyle w:val="Norml1"/>
              <w:spacing w:after="0"/>
              <w:jc w:val="right"/>
              <w:rPr>
                <w:sz w:val="20"/>
                <w:szCs w:val="20"/>
              </w:rPr>
            </w:pPr>
            <w:r w:rsidRPr="00E83A65">
              <w:rPr>
                <w:sz w:val="20"/>
                <w:szCs w:val="20"/>
              </w:rPr>
              <w:t>386</w:t>
            </w:r>
          </w:p>
          <w:p w:rsidR="00011C3B" w:rsidRPr="00E83A65" w:rsidRDefault="00011C3B" w:rsidP="00011C3B">
            <w:pPr>
              <w:pStyle w:val="Norml1"/>
              <w:spacing w:after="0"/>
              <w:jc w:val="right"/>
              <w:rPr>
                <w:sz w:val="20"/>
                <w:szCs w:val="20"/>
              </w:rPr>
            </w:pPr>
            <w:r w:rsidRPr="00E83A65">
              <w:rPr>
                <w:sz w:val="20"/>
                <w:szCs w:val="20"/>
              </w:rPr>
              <w:t>-</w:t>
            </w:r>
          </w:p>
          <w:p w:rsidR="00011C3B" w:rsidRPr="00E83A65" w:rsidRDefault="00011C3B" w:rsidP="00011C3B">
            <w:pPr>
              <w:pStyle w:val="Norml1"/>
              <w:spacing w:after="0"/>
              <w:jc w:val="right"/>
              <w:rPr>
                <w:sz w:val="20"/>
                <w:szCs w:val="20"/>
              </w:rPr>
            </w:pPr>
            <w:r w:rsidRPr="00E83A65">
              <w:rPr>
                <w:sz w:val="20"/>
                <w:szCs w:val="20"/>
              </w:rPr>
              <w:t>-</w:t>
            </w:r>
          </w:p>
          <w:p w:rsidR="00011C3B" w:rsidRPr="00E83A65" w:rsidRDefault="00011C3B" w:rsidP="00011C3B">
            <w:pPr>
              <w:pStyle w:val="Norml1"/>
              <w:spacing w:after="0"/>
              <w:jc w:val="right"/>
              <w:rPr>
                <w:sz w:val="20"/>
                <w:szCs w:val="20"/>
              </w:rPr>
            </w:pPr>
            <w:r w:rsidRPr="00E83A65">
              <w:rPr>
                <w:sz w:val="20"/>
                <w:szCs w:val="20"/>
              </w:rPr>
              <w:t>-</w:t>
            </w:r>
          </w:p>
          <w:p w:rsidR="00011C3B" w:rsidRPr="00E83A65" w:rsidRDefault="00011C3B" w:rsidP="00011C3B">
            <w:pPr>
              <w:pStyle w:val="Norml1"/>
              <w:spacing w:after="0"/>
              <w:jc w:val="right"/>
              <w:rPr>
                <w:sz w:val="20"/>
                <w:szCs w:val="20"/>
              </w:rPr>
            </w:pPr>
            <w:r w:rsidRPr="00E83A65">
              <w:rPr>
                <w:sz w:val="20"/>
                <w:szCs w:val="20"/>
              </w:rPr>
              <w:t>-</w:t>
            </w:r>
          </w:p>
          <w:p w:rsidR="00011C3B" w:rsidRPr="00E83A65" w:rsidRDefault="00011C3B" w:rsidP="00011C3B">
            <w:pPr>
              <w:pStyle w:val="Norml1"/>
              <w:spacing w:after="0"/>
              <w:jc w:val="right"/>
              <w:rPr>
                <w:sz w:val="20"/>
                <w:szCs w:val="20"/>
              </w:rPr>
            </w:pPr>
            <w:r w:rsidRPr="00E83A65">
              <w:rPr>
                <w:sz w:val="20"/>
                <w:szCs w:val="20"/>
              </w:rPr>
              <w:t>-</w:t>
            </w:r>
          </w:p>
          <w:p w:rsidR="00011C3B" w:rsidRPr="00E83A65" w:rsidRDefault="00011C3B" w:rsidP="00011C3B">
            <w:pPr>
              <w:pStyle w:val="Norml1"/>
              <w:spacing w:after="0"/>
              <w:jc w:val="right"/>
              <w:rPr>
                <w:sz w:val="20"/>
                <w:szCs w:val="20"/>
              </w:rPr>
            </w:pPr>
            <w:r w:rsidRPr="00E83A65">
              <w:rPr>
                <w:sz w:val="20"/>
                <w:szCs w:val="20"/>
              </w:rPr>
              <w:t>-</w:t>
            </w:r>
          </w:p>
        </w:tc>
      </w:tr>
      <w:tr w:rsidR="00011C3B" w:rsidRPr="008B76DD" w:rsidTr="00011C3B">
        <w:trPr>
          <w:jc w:val="center"/>
        </w:trPr>
        <w:tc>
          <w:tcPr>
            <w:tcW w:w="514" w:type="dxa"/>
          </w:tcPr>
          <w:p w:rsidR="00011C3B" w:rsidRPr="008B76DD" w:rsidRDefault="00011C3B" w:rsidP="00011C3B">
            <w:pPr>
              <w:pStyle w:val="Norml1"/>
              <w:spacing w:after="0"/>
              <w:jc w:val="center"/>
              <w:rPr>
                <w:sz w:val="20"/>
                <w:szCs w:val="20"/>
                <w:lang w:val="hu-HU" w:bidi="sa-IN"/>
              </w:rPr>
            </w:pPr>
            <w:r w:rsidRPr="008B76DD">
              <w:rPr>
                <w:sz w:val="20"/>
                <w:szCs w:val="20"/>
                <w:lang w:val="hu-HU" w:bidi="sa-IN"/>
              </w:rPr>
              <w:t>R</w:t>
            </w:r>
          </w:p>
        </w:tc>
        <w:tc>
          <w:tcPr>
            <w:tcW w:w="5854" w:type="dxa"/>
          </w:tcPr>
          <w:p w:rsidR="00011C3B" w:rsidRPr="00E83A65" w:rsidRDefault="00011C3B" w:rsidP="00011C3B">
            <w:pPr>
              <w:pStyle w:val="Norml1"/>
              <w:spacing w:after="0"/>
              <w:rPr>
                <w:sz w:val="20"/>
                <w:szCs w:val="20"/>
                <w:lang w:val="hu-HU" w:bidi="sa-IN"/>
              </w:rPr>
            </w:pPr>
            <w:r w:rsidRPr="00E83A65">
              <w:rPr>
                <w:sz w:val="20"/>
                <w:szCs w:val="20"/>
                <w:lang w:val="hu-HU" w:bidi="sa-IN"/>
              </w:rPr>
              <w:t>A létrehozott munkahelyek bruttó száma</w:t>
            </w:r>
          </w:p>
        </w:tc>
        <w:tc>
          <w:tcPr>
            <w:tcW w:w="1430" w:type="dxa"/>
          </w:tcPr>
          <w:p w:rsidR="00011C3B" w:rsidRPr="00E83A65" w:rsidRDefault="00011C3B" w:rsidP="00011C3B">
            <w:pPr>
              <w:pStyle w:val="Norml1"/>
              <w:spacing w:after="0"/>
              <w:jc w:val="right"/>
              <w:rPr>
                <w:sz w:val="20"/>
                <w:szCs w:val="20"/>
              </w:rPr>
            </w:pPr>
            <w:r w:rsidRPr="00E83A65">
              <w:rPr>
                <w:sz w:val="20"/>
                <w:szCs w:val="20"/>
              </w:rPr>
              <w:t>50</w:t>
            </w:r>
          </w:p>
        </w:tc>
        <w:tc>
          <w:tcPr>
            <w:tcW w:w="1540" w:type="dxa"/>
          </w:tcPr>
          <w:p w:rsidR="00011C3B" w:rsidRPr="00E83A65" w:rsidRDefault="00011C3B" w:rsidP="00011C3B">
            <w:pPr>
              <w:pStyle w:val="Norml1"/>
              <w:spacing w:after="0"/>
              <w:jc w:val="right"/>
              <w:rPr>
                <w:sz w:val="20"/>
                <w:szCs w:val="20"/>
              </w:rPr>
            </w:pPr>
            <w:r w:rsidRPr="00E83A65">
              <w:rPr>
                <w:sz w:val="20"/>
                <w:szCs w:val="20"/>
              </w:rPr>
              <w:t>1,5</w:t>
            </w:r>
          </w:p>
        </w:tc>
      </w:tr>
      <w:tr w:rsidR="00011C3B" w:rsidRPr="008B76DD" w:rsidTr="00011C3B">
        <w:trPr>
          <w:jc w:val="center"/>
        </w:trPr>
        <w:tc>
          <w:tcPr>
            <w:tcW w:w="514" w:type="dxa"/>
          </w:tcPr>
          <w:p w:rsidR="00011C3B" w:rsidRPr="0033390A" w:rsidRDefault="00011C3B" w:rsidP="00011C3B">
            <w:pPr>
              <w:pStyle w:val="Norml1"/>
              <w:spacing w:after="0"/>
              <w:ind w:left="244"/>
              <w:jc w:val="center"/>
              <w:rPr>
                <w:sz w:val="20"/>
                <w:szCs w:val="20"/>
                <w:highlight w:val="yellow"/>
                <w:lang w:val="hu-HU" w:bidi="sa-IN"/>
              </w:rPr>
            </w:pPr>
            <w:r w:rsidRPr="0033390A">
              <w:rPr>
                <w:sz w:val="20"/>
                <w:szCs w:val="20"/>
                <w:highlight w:val="yellow"/>
                <w:lang w:val="hu-HU" w:bidi="sa-IN"/>
              </w:rPr>
              <w:t>I</w:t>
            </w:r>
          </w:p>
        </w:tc>
        <w:tc>
          <w:tcPr>
            <w:tcW w:w="5854" w:type="dxa"/>
          </w:tcPr>
          <w:p w:rsidR="00011C3B" w:rsidRPr="00E83A65" w:rsidRDefault="00011C3B" w:rsidP="00011C3B">
            <w:pPr>
              <w:pStyle w:val="Norml1"/>
              <w:spacing w:after="0"/>
              <w:ind w:left="244"/>
              <w:rPr>
                <w:sz w:val="20"/>
                <w:szCs w:val="20"/>
                <w:lang w:val="hu-HU" w:bidi="sa-IN"/>
              </w:rPr>
            </w:pPr>
            <w:r w:rsidRPr="00E83A65">
              <w:rPr>
                <w:sz w:val="20"/>
                <w:szCs w:val="20"/>
                <w:lang w:val="hu-HU" w:bidi="sa-IN"/>
              </w:rPr>
              <w:t>A támogatott tevékenységek által létrehozott új munkahelyek nettó száma FTE-ben</w:t>
            </w:r>
          </w:p>
        </w:tc>
        <w:tc>
          <w:tcPr>
            <w:tcW w:w="1430" w:type="dxa"/>
          </w:tcPr>
          <w:p w:rsidR="00011C3B" w:rsidRPr="00E83A65" w:rsidRDefault="00011C3B" w:rsidP="00011C3B">
            <w:pPr>
              <w:spacing w:after="0"/>
              <w:jc w:val="right"/>
              <w:rPr>
                <w:sz w:val="20"/>
                <w:szCs w:val="20"/>
              </w:rPr>
            </w:pPr>
            <w:r w:rsidRPr="00E83A65">
              <w:rPr>
                <w:sz w:val="20"/>
                <w:szCs w:val="20"/>
              </w:rPr>
              <w:t>40</w:t>
            </w:r>
          </w:p>
        </w:tc>
        <w:tc>
          <w:tcPr>
            <w:tcW w:w="1540" w:type="dxa"/>
          </w:tcPr>
          <w:p w:rsidR="00011C3B" w:rsidRPr="00E83A65" w:rsidRDefault="00011C3B" w:rsidP="00011C3B">
            <w:pPr>
              <w:spacing w:after="0"/>
              <w:jc w:val="right"/>
              <w:rPr>
                <w:sz w:val="20"/>
                <w:szCs w:val="20"/>
              </w:rPr>
            </w:pPr>
            <w:r w:rsidRPr="00E83A65">
              <w:rPr>
                <w:sz w:val="20"/>
                <w:szCs w:val="20"/>
              </w:rPr>
              <w:t>-</w:t>
            </w:r>
          </w:p>
        </w:tc>
      </w:tr>
    </w:tbl>
    <w:p w:rsidR="00011C3B" w:rsidRDefault="00011C3B" w:rsidP="00011C3B">
      <w:pPr>
        <w:pStyle w:val="Normlforrs"/>
        <w:widowControl w:val="0"/>
        <w:suppressAutoHyphens w:val="0"/>
      </w:pPr>
      <w:r w:rsidRPr="00C003F8">
        <w:t>Forrás: MVH</w:t>
      </w:r>
    </w:p>
    <w:p w:rsidR="00B27B03" w:rsidRDefault="00B27B03" w:rsidP="00CF4DAD">
      <w:pPr>
        <w:pStyle w:val="Normlforrs"/>
        <w:widowControl w:val="0"/>
        <w:suppressAutoHyphens w:val="0"/>
        <w:jc w:val="both"/>
      </w:pPr>
      <w:r w:rsidRPr="00CF4DAD">
        <w:rPr>
          <w:i w:val="0"/>
        </w:rPr>
        <w:t xml:space="preserve">Az intézkedés megvalósítása 2012-ben kezdődött el, az adatok alapján látható, hogy nagy az érdeklődés a térségek közötti és a nemzetközi együttműködések iránt. </w:t>
      </w:r>
      <w:r w:rsidR="002F782E" w:rsidRPr="00CF4DAD">
        <w:rPr>
          <w:i w:val="0"/>
        </w:rPr>
        <w:t>A 421. jogcím végrehajtásra vonatkozó adatok a III. tengely egyéb sorában kerülnek megjelenítésre</w:t>
      </w:r>
      <w:r w:rsidR="002F782E">
        <w:t>.</w:t>
      </w:r>
    </w:p>
    <w:p w:rsidR="00011C3B" w:rsidRDefault="00011C3B" w:rsidP="00715E86">
      <w:pPr>
        <w:pStyle w:val="Cmsor4"/>
      </w:pPr>
      <w:r w:rsidRPr="003E1965">
        <w:t xml:space="preserve">Térségek közötti és nemzetközi együttműködések (421) </w:t>
      </w:r>
      <w:r>
        <w:t>jogcím</w:t>
      </w:r>
      <w:r w:rsidRPr="003E1965">
        <w:t xml:space="preserve"> rövid bemutatása</w:t>
      </w:r>
    </w:p>
    <w:p w:rsidR="00011C3B" w:rsidRDefault="00011C3B" w:rsidP="004869BB">
      <w:r>
        <w:t>Az intézkedés</w:t>
      </w:r>
      <w:r w:rsidR="007863A8">
        <w:t xml:space="preserve">t </w:t>
      </w:r>
      <w:r w:rsidR="00D167C7">
        <w:t>meghirdető</w:t>
      </w:r>
      <w:r w:rsidR="007863A8">
        <w:t xml:space="preserve"> jogcím</w:t>
      </w:r>
      <w:r>
        <w:t xml:space="preserve"> végrehajtása a LEADER Programon belül történt, a végrehajtás módját a fent említett 122/2009. (IX.17.) FVM rendelet szabályozta. </w:t>
      </w:r>
    </w:p>
    <w:p w:rsidR="00011C3B" w:rsidRDefault="00011C3B" w:rsidP="004869BB">
      <w:r>
        <w:t xml:space="preserve">2011-ben a 122/2009. (IX.17.) FVM rendelet helyett új jogszabály – a 76/2011. (VII.29.) VM rendelet - alapján hirdette meg az Irányító Hatóság a LEADER Program jogcímeit. Az új rendeletben nem szerepelt a „Térségek közötti és nemzetközi együttműködések” jogcím. Az Irányító Hatóság az intézkedés hatékonyságának növelése érdekében a központi lebonyolítás mellett döntött. Az intézkedés kereteinek kihasználása érdekében és a felmerülő LEADER HACS igényeket alapul véve az intézkedést két jogcímre bontotta az Irányító Hatóság: Nemzetközi együttműködések jogcímre és Térségek közötti együttműködések jogcímre. </w:t>
      </w:r>
    </w:p>
    <w:p w:rsidR="007863A8" w:rsidRDefault="00011C3B" w:rsidP="004869BB">
      <w:r w:rsidRPr="00D167C7">
        <w:t>A jogcímrendeletek kialakítását programmódosítás előzte meg. A módosítás hatására az Irányító</w:t>
      </w:r>
      <w:r>
        <w:t xml:space="preserve"> Hatóság azt várja, hogy a térségek közötti és nemzetközi együttműködések minősége szignifikánsan javulni fog. A módosítás értelmében a beruházás jellegű költségek is elszámolhatóvá válnak, amely által várhatóan új partnerek kerülnek bevonásra, ami az eddigieken túlmutató együttműködések létrejöttét valószínűsíti. A módosítás hatására az innovatív projektek is megvalósíthatóak lesznek, kézzel fogható eredménye lesz az együttműködéseknek. </w:t>
      </w:r>
    </w:p>
    <w:p w:rsidR="00011C3B" w:rsidRDefault="00011C3B" w:rsidP="004869BB">
      <w:r>
        <w:t>A Nemzetközi együttműködéseket szabályozó jogcímrendelet 99/2012. (X.1.) VM rendelet számmal jelent meg. A jogszabály értelmében folyamatosan lehet benyújtani pályázatokat az ügyfeleknek 2013. augusztus 31-ig. 2012-ben támogatási határozat nem született, ahogy kifizetési kérelem benyújtására sem</w:t>
      </w:r>
      <w:r w:rsidR="007863A8">
        <w:t xml:space="preserve"> került sor</w:t>
      </w:r>
      <w:r>
        <w:t>.</w:t>
      </w:r>
    </w:p>
    <w:p w:rsidR="00011C3B" w:rsidRDefault="00011C3B" w:rsidP="004869BB">
      <w:r>
        <w:t>A Térségek közötti együttműködések jogcímrendelet 2012-ben előkészítés alatt állt, kihirdetésére nem került sor.</w:t>
      </w:r>
      <w:r w:rsidRPr="00EC18C3">
        <w:t xml:space="preserve"> </w:t>
      </w:r>
      <w:r>
        <w:t>A r</w:t>
      </w:r>
      <w:r w:rsidRPr="00E91ECC">
        <w:t xml:space="preserve">endelet megalkotására – így </w:t>
      </w:r>
      <w:r>
        <w:t xml:space="preserve">a jogcím </w:t>
      </w:r>
      <w:r w:rsidRPr="00E91ECC">
        <w:t xml:space="preserve">megnyitására - 2013 I. félévében </w:t>
      </w:r>
      <w:r>
        <w:t xml:space="preserve">fog sor </w:t>
      </w:r>
      <w:r w:rsidRPr="00E91ECC">
        <w:t>kerül</w:t>
      </w:r>
      <w:r>
        <w:t xml:space="preserve">ni. </w:t>
      </w:r>
    </w:p>
    <w:p w:rsidR="00011C3B" w:rsidRPr="00E91ECC" w:rsidRDefault="00011C3B" w:rsidP="004869BB">
      <w:r w:rsidRPr="00E91ECC">
        <w:lastRenderedPageBreak/>
        <w:t xml:space="preserve">Nemzetközi együttműködés esetében 2012-ben a 99/2012. (IX.25.) VM rendelet alapján a </w:t>
      </w:r>
      <w:r w:rsidR="00E83A65">
        <w:t>pályázatok</w:t>
      </w:r>
      <w:r w:rsidRPr="00E91ECC">
        <w:t xml:space="preserve"> benyújtására 2012. október 30. – 2013. augusztus 31. között van lehetőség. A támogatásra jogosult</w:t>
      </w:r>
      <w:r w:rsidR="007863A8">
        <w:t>,</w:t>
      </w:r>
      <w:r w:rsidRPr="00E91ECC">
        <w:t xml:space="preserve"> az a magyarországi székhellyel rendelkező LEADER HACS, amely együttműködési proj</w:t>
      </w:r>
      <w:r w:rsidR="00E83A65">
        <w:t>ektet valósít meg EU-n belül más</w:t>
      </w:r>
      <w:r w:rsidRPr="00E91ECC">
        <w:t xml:space="preserve"> tagállamban működő LEADER HACS-csal vagy Európai Unión kívüli LEADER-megközelítés szerint szerveződött, jogi személyiséggel rendelkező csoporttal. </w:t>
      </w:r>
    </w:p>
    <w:p w:rsidR="00011C3B" w:rsidRDefault="00011C3B" w:rsidP="004869BB">
      <w:r w:rsidRPr="00E91ECC">
        <w:t>A támogatási kérelmek benyújtásához a pályázóknak mellékelniük szükséges az IH hozzájáruló nyilatkozatát, amelyet az ügyfél által készített megvalósíthatósági tanulmányra vonatkozóan állít ki.</w:t>
      </w:r>
      <w:r>
        <w:t xml:space="preserve"> </w:t>
      </w:r>
    </w:p>
    <w:p w:rsidR="00011C3B" w:rsidRPr="00F92037" w:rsidRDefault="007E5FDF" w:rsidP="00FE0173">
      <w:pPr>
        <w:pStyle w:val="bra-cmetbla"/>
      </w:pPr>
      <w:fldSimple w:instr=" SEQ táblázat \* ARABIC ">
        <w:r w:rsidR="00E5031F">
          <w:rPr>
            <w:noProof/>
          </w:rPr>
          <w:t>101</w:t>
        </w:r>
      </w:fldSimple>
      <w:r w:rsidR="00FE0173">
        <w:t xml:space="preserve">. táblázat: </w:t>
      </w:r>
      <w:r w:rsidR="00011C3B" w:rsidRPr="00F92037">
        <w:t>Együttműködési projektek végrehajtása támogatási jogcím 2012. évi eredményei</w:t>
      </w:r>
    </w:p>
    <w:p w:rsidR="00011C3B" w:rsidRPr="00F92037" w:rsidRDefault="00B452BF" w:rsidP="00F92037">
      <w:pPr>
        <w:pStyle w:val="bra-cmetbla"/>
      </w:pPr>
      <w:r w:rsidRPr="00F92037">
        <w:rPr>
          <w:noProof/>
        </w:rPr>
        <w:drawing>
          <wp:inline distT="0" distB="0" distL="0" distR="0" wp14:anchorId="5ED301EA" wp14:editId="5FFD69B6">
            <wp:extent cx="5167630" cy="1882140"/>
            <wp:effectExtent l="0" t="0" r="0" b="3810"/>
            <wp:docPr id="66"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Default="00011C3B" w:rsidP="004869BB">
      <w:r>
        <w:t xml:space="preserve">2012-ben a kifizetés összege 952 ezer euró (278,3 M Ft) volt. </w:t>
      </w:r>
    </w:p>
    <w:p w:rsidR="00011C3B" w:rsidRPr="00C003F8" w:rsidRDefault="00011C3B" w:rsidP="004869BB">
      <w:r>
        <w:t xml:space="preserve">A 2012. évben számos, a beruházás műszaki tartalmának módosítására irányuló kérelem érkezett be, mely érintette a korábbi években lekötött kötelezettségvállalás összegét. A kérelmek ügyintézésének eredményeként csökkent a támogatási döntéssel jóváhagyott összeg és az érintett kötelezettségvállalási összegek a 2012. évben szabadultak fel. Mivel a 2012. évben jelentkező forráslekötés nem haladta meg a felszabadított összeg nagyságát, ezért jelentik meg a 2012. évre vonatkozóan negatív kötelezettségvállalási összeg. </w:t>
      </w:r>
    </w:p>
    <w:p w:rsidR="00011C3B" w:rsidRPr="00896E03" w:rsidRDefault="00011C3B" w:rsidP="00DB48A3">
      <w:pPr>
        <w:pStyle w:val="Cmsor3"/>
      </w:pPr>
      <w:bookmarkStart w:id="358" w:name="_Toc326607488"/>
      <w:bookmarkStart w:id="359" w:name="_Toc326607576"/>
      <w:bookmarkStart w:id="360" w:name="_Toc326748793"/>
      <w:bookmarkStart w:id="361" w:name="_Toc326762241"/>
      <w:bookmarkStart w:id="362" w:name="_Toc328638736"/>
      <w:bookmarkStart w:id="363" w:name="_Toc360176828"/>
      <w:bookmarkEnd w:id="358"/>
      <w:bookmarkEnd w:id="359"/>
      <w:bookmarkEnd w:id="360"/>
      <w:bookmarkEnd w:id="361"/>
      <w:r w:rsidRPr="00896E03">
        <w:t>A helyi akciócsoport működtetése, készségek elsajátítása, a térség élénkítése (431) intézkedés rövid bemutatása</w:t>
      </w:r>
      <w:bookmarkEnd w:id="362"/>
      <w:bookmarkEnd w:id="363"/>
    </w:p>
    <w:p w:rsidR="00611B5E" w:rsidRDefault="00611B5E" w:rsidP="00611B5E">
      <w:r>
        <w:t>Az intézkedés célja a megfelelő pénzügyi és szakmai háttér biztosítása a Helyi Akciócsoportok számára a helyi vidékfejlesztési stratégiák hatékony végrehajtása</w:t>
      </w:r>
    </w:p>
    <w:p w:rsidR="00611B5E" w:rsidRDefault="00611B5E" w:rsidP="00611B5E">
      <w:r>
        <w:t>érdekében.</w:t>
      </w:r>
    </w:p>
    <w:p w:rsidR="00611B5E" w:rsidRDefault="00611B5E" w:rsidP="00611B5E">
      <w:pPr>
        <w:autoSpaceDE w:val="0"/>
        <w:autoSpaceDN w:val="0"/>
      </w:pPr>
      <w:r>
        <w:t>A LEADER-módszer alkalmazásának alapját a területi együttműködés számára hatékony szervezeti struktúra létesítésének és működtetésének a célja képezi. A fejlesztésekben résztvevő HACS-ok és partnereik számára elengedhetetlenek a régióra vonatkozó átfogó ismeretek, a naprakész és pontos információszolgáltatás, a megfelelő szaktudás megszerzése, valamint a szervezet működési feltételeinek fennállása.</w:t>
      </w:r>
    </w:p>
    <w:p w:rsidR="00611B5E" w:rsidRDefault="00611B5E" w:rsidP="00611B5E">
      <w:r>
        <w:t>2012. március 31-éig a Helyi Vidékfejlesztési Közösségek és a LEADER helyi akciócsoportok részére az Európai Mezőgazdasági Vidékfejlesztési Alapból nyújtandó vidékfejlesztési támogatásról szóló 1698/2005/EK tanácsi rendelet keretében nyújtott támogatás részletes feltételeiről szóló 141/2008. (X.30.) FVM rendelet szabályozta a HACS-ok finanszírozását, azóta pedig a 30/2012. (III.24.) VM rendelet rögzíti a HACS-ok finanszírozásának feltételeit, így például a HVS-hez, irodahelyiség bérléséhez, kérelembenyújtáshoz stb. kapcsolódó szabályokat.</w:t>
      </w:r>
    </w:p>
    <w:p w:rsidR="00611B5E" w:rsidRPr="0025345D" w:rsidRDefault="00611B5E" w:rsidP="00611B5E">
      <w:r>
        <w:lastRenderedPageBreak/>
        <w:t>Ennek alapján a kifizetési kérelem benyújtását követően havi (iroda bérleti díj és rezsi, bér és járulékok) és 3 havi (egyéb dologi és személyi) jellegű elszámolás van.</w:t>
      </w:r>
    </w:p>
    <w:p w:rsidR="00011C3B" w:rsidRPr="00F92037" w:rsidRDefault="007E5FDF" w:rsidP="00FE0173">
      <w:pPr>
        <w:pStyle w:val="bra-cmetbla"/>
      </w:pPr>
      <w:fldSimple w:instr=" SEQ táblázat \* ARABIC ">
        <w:r w:rsidR="00E5031F">
          <w:rPr>
            <w:noProof/>
          </w:rPr>
          <w:t>102</w:t>
        </w:r>
      </w:fldSimple>
      <w:r w:rsidR="00FE0173">
        <w:t xml:space="preserve">. táblázat: </w:t>
      </w:r>
      <w:r w:rsidR="00011C3B" w:rsidRPr="00F92037">
        <w:t>A helyi akciócsoport működtetése, készségek elsajátítása, a térség élénkítése (431) indikátorainak megvalósulása</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
        <w:gridCol w:w="6033"/>
        <w:gridCol w:w="1486"/>
        <w:gridCol w:w="1497"/>
      </w:tblGrid>
      <w:tr w:rsidR="00011C3B" w:rsidRPr="008B76DD" w:rsidTr="00011C3B">
        <w:trPr>
          <w:jc w:val="center"/>
        </w:trPr>
        <w:tc>
          <w:tcPr>
            <w:tcW w:w="484" w:type="dxa"/>
            <w:shd w:val="clear" w:color="auto" w:fill="B3B3B3"/>
          </w:tcPr>
          <w:p w:rsidR="00011C3B" w:rsidRPr="008B76DD" w:rsidRDefault="00011C3B" w:rsidP="00011C3B">
            <w:pPr>
              <w:keepNext/>
              <w:keepLines/>
              <w:spacing w:after="0"/>
              <w:jc w:val="center"/>
              <w:rPr>
                <w:b/>
                <w:bCs/>
                <w:sz w:val="20"/>
                <w:szCs w:val="20"/>
                <w:lang w:bidi="sa-IN"/>
              </w:rPr>
            </w:pPr>
          </w:p>
        </w:tc>
        <w:tc>
          <w:tcPr>
            <w:tcW w:w="6033" w:type="dxa"/>
            <w:shd w:val="clear" w:color="auto" w:fill="B3B3B3"/>
            <w:vAlign w:val="center"/>
          </w:tcPr>
          <w:p w:rsidR="00011C3B" w:rsidRPr="008B76DD" w:rsidRDefault="00011C3B" w:rsidP="00011C3B">
            <w:pPr>
              <w:keepNext/>
              <w:keepLines/>
              <w:spacing w:after="0"/>
              <w:jc w:val="center"/>
              <w:rPr>
                <w:b/>
                <w:bCs/>
                <w:sz w:val="20"/>
                <w:szCs w:val="20"/>
                <w:lang w:bidi="sa-IN"/>
              </w:rPr>
            </w:pPr>
            <w:r w:rsidRPr="008B76DD">
              <w:rPr>
                <w:b/>
                <w:bCs/>
                <w:sz w:val="20"/>
                <w:szCs w:val="20"/>
                <w:lang w:bidi="sa-IN"/>
              </w:rPr>
              <w:t>Indikátor</w:t>
            </w:r>
          </w:p>
        </w:tc>
        <w:tc>
          <w:tcPr>
            <w:tcW w:w="1486" w:type="dxa"/>
            <w:shd w:val="clear" w:color="auto" w:fill="B3B3B3"/>
            <w:vAlign w:val="center"/>
          </w:tcPr>
          <w:p w:rsidR="00011C3B" w:rsidRPr="008B76DD" w:rsidRDefault="00011C3B" w:rsidP="00011C3B">
            <w:pPr>
              <w:keepNext/>
              <w:keepLines/>
              <w:spacing w:after="0"/>
              <w:jc w:val="center"/>
              <w:rPr>
                <w:b/>
                <w:bCs/>
                <w:sz w:val="20"/>
                <w:szCs w:val="20"/>
                <w:lang w:bidi="sa-IN"/>
              </w:rPr>
            </w:pPr>
            <w:r w:rsidRPr="008B76DD">
              <w:rPr>
                <w:b/>
                <w:sz w:val="20"/>
                <w:szCs w:val="20"/>
              </w:rPr>
              <w:t>Program szerinti tervadat</w:t>
            </w:r>
          </w:p>
        </w:tc>
        <w:tc>
          <w:tcPr>
            <w:tcW w:w="1497" w:type="dxa"/>
            <w:shd w:val="clear" w:color="auto" w:fill="B3B3B3"/>
            <w:vAlign w:val="center"/>
          </w:tcPr>
          <w:p w:rsidR="00011C3B" w:rsidRPr="008B76DD" w:rsidRDefault="00011C3B" w:rsidP="00011C3B">
            <w:pPr>
              <w:keepNext/>
              <w:keepLines/>
              <w:spacing w:after="0"/>
              <w:jc w:val="center"/>
              <w:rPr>
                <w:b/>
                <w:bCs/>
                <w:sz w:val="20"/>
                <w:szCs w:val="20"/>
                <w:lang w:bidi="sa-IN"/>
              </w:rPr>
            </w:pPr>
            <w:r w:rsidRPr="008B76DD">
              <w:rPr>
                <w:b/>
                <w:sz w:val="20"/>
                <w:szCs w:val="20"/>
              </w:rPr>
              <w:t>Indikátorok kumulált értéke</w:t>
            </w:r>
          </w:p>
        </w:tc>
      </w:tr>
      <w:tr w:rsidR="00011C3B" w:rsidRPr="008B76DD" w:rsidTr="00011C3B">
        <w:trPr>
          <w:jc w:val="center"/>
        </w:trPr>
        <w:tc>
          <w:tcPr>
            <w:tcW w:w="484" w:type="dxa"/>
          </w:tcPr>
          <w:p w:rsidR="00011C3B" w:rsidRPr="008B76DD" w:rsidRDefault="00011C3B" w:rsidP="00011C3B">
            <w:pPr>
              <w:keepNext/>
              <w:keepLines/>
              <w:spacing w:after="0"/>
              <w:jc w:val="center"/>
              <w:rPr>
                <w:b/>
                <w:bCs/>
                <w:sz w:val="20"/>
                <w:szCs w:val="20"/>
                <w:lang w:bidi="sa-IN"/>
              </w:rPr>
            </w:pPr>
            <w:r w:rsidRPr="008B76DD">
              <w:rPr>
                <w:b/>
                <w:bCs/>
                <w:sz w:val="20"/>
                <w:szCs w:val="20"/>
                <w:lang w:bidi="sa-IN"/>
              </w:rPr>
              <w:t>O</w:t>
            </w:r>
          </w:p>
        </w:tc>
        <w:tc>
          <w:tcPr>
            <w:tcW w:w="6033" w:type="dxa"/>
          </w:tcPr>
          <w:p w:rsidR="00011C3B" w:rsidRPr="008B76DD" w:rsidRDefault="00011C3B" w:rsidP="00011C3B">
            <w:pPr>
              <w:keepNext/>
              <w:keepLines/>
              <w:spacing w:after="0"/>
              <w:rPr>
                <w:b/>
                <w:bCs/>
                <w:sz w:val="20"/>
                <w:szCs w:val="20"/>
                <w:lang w:bidi="sa-IN"/>
              </w:rPr>
            </w:pPr>
            <w:r w:rsidRPr="008B76DD">
              <w:rPr>
                <w:b/>
                <w:bCs/>
                <w:sz w:val="20"/>
                <w:szCs w:val="20"/>
                <w:lang w:bidi="sa-IN"/>
              </w:rPr>
              <w:t>A képzési és az ösztönző tevékenységek száma</w:t>
            </w:r>
          </w:p>
          <w:p w:rsidR="00011C3B" w:rsidRPr="008B76DD" w:rsidRDefault="00011C3B" w:rsidP="00011C3B">
            <w:pPr>
              <w:keepNext/>
              <w:keepLines/>
              <w:spacing w:after="0"/>
              <w:rPr>
                <w:sz w:val="20"/>
                <w:szCs w:val="20"/>
                <w:lang w:bidi="sa-IN"/>
              </w:rPr>
            </w:pPr>
            <w:r w:rsidRPr="008B76DD">
              <w:rPr>
                <w:sz w:val="20"/>
                <w:szCs w:val="20"/>
                <w:lang w:bidi="sa-IN"/>
              </w:rPr>
              <w:t>Az intézkedés típusa</w:t>
            </w:r>
          </w:p>
          <w:p w:rsidR="00011C3B" w:rsidRPr="008B76DD" w:rsidRDefault="00011C3B" w:rsidP="00495C8B">
            <w:pPr>
              <w:keepNext/>
              <w:numPr>
                <w:ilvl w:val="0"/>
                <w:numId w:val="45"/>
              </w:numPr>
              <w:tabs>
                <w:tab w:val="clear" w:pos="510"/>
                <w:tab w:val="num" w:pos="650"/>
              </w:tabs>
              <w:suppressAutoHyphens w:val="0"/>
              <w:spacing w:after="0"/>
              <w:ind w:left="720"/>
              <w:jc w:val="left"/>
              <w:rPr>
                <w:sz w:val="20"/>
                <w:szCs w:val="20"/>
                <w:lang w:bidi="sa-IN"/>
              </w:rPr>
            </w:pPr>
            <w:r w:rsidRPr="008B76DD">
              <w:rPr>
                <w:sz w:val="20"/>
                <w:szCs w:val="20"/>
                <w:lang w:bidi="sa-IN"/>
              </w:rPr>
              <w:t>Az érintett terület elemzése</w:t>
            </w:r>
          </w:p>
          <w:p w:rsidR="00011C3B" w:rsidRPr="008B76DD" w:rsidRDefault="00011C3B" w:rsidP="00495C8B">
            <w:pPr>
              <w:keepNext/>
              <w:numPr>
                <w:ilvl w:val="0"/>
                <w:numId w:val="45"/>
              </w:numPr>
              <w:tabs>
                <w:tab w:val="clear" w:pos="510"/>
                <w:tab w:val="num" w:pos="650"/>
              </w:tabs>
              <w:suppressAutoHyphens w:val="0"/>
              <w:spacing w:after="0"/>
              <w:ind w:left="720"/>
              <w:jc w:val="left"/>
              <w:rPr>
                <w:sz w:val="20"/>
                <w:szCs w:val="20"/>
                <w:lang w:bidi="sa-IN"/>
              </w:rPr>
            </w:pPr>
            <w:r w:rsidRPr="008B76DD">
              <w:rPr>
                <w:sz w:val="20"/>
                <w:szCs w:val="20"/>
                <w:lang w:bidi="sa-IN"/>
              </w:rPr>
              <w:t>A területtel kapcsolatos adatszolgáltatásra vonatkozó intézkedések</w:t>
            </w:r>
          </w:p>
          <w:p w:rsidR="00011C3B" w:rsidRPr="008B76DD" w:rsidRDefault="00011C3B" w:rsidP="00495C8B">
            <w:pPr>
              <w:keepNext/>
              <w:numPr>
                <w:ilvl w:val="0"/>
                <w:numId w:val="45"/>
              </w:numPr>
              <w:tabs>
                <w:tab w:val="clear" w:pos="510"/>
                <w:tab w:val="num" w:pos="650"/>
              </w:tabs>
              <w:suppressAutoHyphens w:val="0"/>
              <w:spacing w:after="0"/>
              <w:ind w:left="720"/>
              <w:jc w:val="left"/>
              <w:rPr>
                <w:sz w:val="20"/>
                <w:szCs w:val="20"/>
                <w:lang w:bidi="sa-IN"/>
              </w:rPr>
            </w:pPr>
            <w:r w:rsidRPr="008B76DD">
              <w:rPr>
                <w:sz w:val="20"/>
                <w:szCs w:val="20"/>
                <w:lang w:bidi="sa-IN"/>
              </w:rPr>
              <w:t>A személyi állomány képzése</w:t>
            </w:r>
          </w:p>
          <w:p w:rsidR="00011C3B" w:rsidRPr="008B76DD" w:rsidRDefault="00011C3B" w:rsidP="00495C8B">
            <w:pPr>
              <w:keepNext/>
              <w:numPr>
                <w:ilvl w:val="0"/>
                <w:numId w:val="45"/>
              </w:numPr>
              <w:tabs>
                <w:tab w:val="clear" w:pos="510"/>
                <w:tab w:val="num" w:pos="650"/>
              </w:tabs>
              <w:suppressAutoHyphens w:val="0"/>
              <w:spacing w:after="0"/>
              <w:ind w:left="720"/>
              <w:jc w:val="left"/>
              <w:rPr>
                <w:sz w:val="20"/>
                <w:szCs w:val="20"/>
                <w:lang w:bidi="sa-IN"/>
              </w:rPr>
            </w:pPr>
            <w:r w:rsidRPr="008B76DD">
              <w:rPr>
                <w:sz w:val="20"/>
                <w:szCs w:val="20"/>
                <w:lang w:bidi="sa-IN"/>
              </w:rPr>
              <w:t>Promóciós események</w:t>
            </w:r>
          </w:p>
          <w:p w:rsidR="00011C3B" w:rsidRPr="008B76DD" w:rsidRDefault="00011C3B" w:rsidP="00495C8B">
            <w:pPr>
              <w:keepNext/>
              <w:numPr>
                <w:ilvl w:val="0"/>
                <w:numId w:val="45"/>
              </w:numPr>
              <w:tabs>
                <w:tab w:val="clear" w:pos="510"/>
                <w:tab w:val="num" w:pos="650"/>
              </w:tabs>
              <w:suppressAutoHyphens w:val="0"/>
              <w:spacing w:after="0"/>
              <w:ind w:left="720"/>
              <w:jc w:val="left"/>
              <w:rPr>
                <w:sz w:val="20"/>
                <w:szCs w:val="20"/>
                <w:lang w:bidi="sa-IN"/>
              </w:rPr>
            </w:pPr>
            <w:r w:rsidRPr="008B76DD">
              <w:rPr>
                <w:sz w:val="20"/>
                <w:szCs w:val="20"/>
                <w:lang w:bidi="sa-IN"/>
              </w:rPr>
              <w:t>Egyéb</w:t>
            </w:r>
          </w:p>
        </w:tc>
        <w:tc>
          <w:tcPr>
            <w:tcW w:w="1486" w:type="dxa"/>
          </w:tcPr>
          <w:p w:rsidR="00011C3B" w:rsidRPr="008B76DD" w:rsidRDefault="00011C3B" w:rsidP="00011C3B">
            <w:pPr>
              <w:keepNext/>
              <w:keepLines/>
              <w:spacing w:after="0"/>
              <w:jc w:val="right"/>
              <w:rPr>
                <w:sz w:val="20"/>
                <w:szCs w:val="20"/>
              </w:rPr>
            </w:pPr>
            <w:r w:rsidRPr="008B76DD">
              <w:rPr>
                <w:sz w:val="20"/>
                <w:szCs w:val="20"/>
              </w:rPr>
              <w:t>210</w:t>
            </w:r>
            <w:r w:rsidRPr="008B76DD">
              <w:rPr>
                <w:sz w:val="20"/>
                <w:szCs w:val="20"/>
              </w:rPr>
              <w:br/>
            </w:r>
          </w:p>
          <w:p w:rsidR="00011C3B" w:rsidRPr="008B76DD" w:rsidRDefault="00011C3B" w:rsidP="00011C3B">
            <w:pPr>
              <w:keepNext/>
              <w:keepLines/>
              <w:spacing w:after="0"/>
              <w:jc w:val="right"/>
              <w:rPr>
                <w:sz w:val="20"/>
                <w:szCs w:val="20"/>
              </w:rPr>
            </w:pPr>
            <w:r w:rsidRPr="008B76DD">
              <w:rPr>
                <w:sz w:val="20"/>
                <w:szCs w:val="20"/>
              </w:rPr>
              <w:t>18</w:t>
            </w:r>
          </w:p>
          <w:p w:rsidR="00011C3B" w:rsidRPr="008B76DD" w:rsidRDefault="00011C3B" w:rsidP="00011C3B">
            <w:pPr>
              <w:keepNext/>
              <w:keepLines/>
              <w:spacing w:after="0"/>
              <w:jc w:val="right"/>
              <w:rPr>
                <w:sz w:val="20"/>
                <w:szCs w:val="20"/>
              </w:rPr>
            </w:pPr>
            <w:r w:rsidRPr="008B76DD">
              <w:rPr>
                <w:sz w:val="20"/>
                <w:szCs w:val="20"/>
              </w:rPr>
              <w:t>21</w:t>
            </w:r>
          </w:p>
          <w:p w:rsidR="00011C3B" w:rsidRPr="008B76DD" w:rsidRDefault="00011C3B" w:rsidP="00011C3B">
            <w:pPr>
              <w:keepNext/>
              <w:keepLines/>
              <w:spacing w:after="0"/>
              <w:jc w:val="right"/>
              <w:rPr>
                <w:sz w:val="20"/>
                <w:szCs w:val="20"/>
              </w:rPr>
            </w:pPr>
          </w:p>
          <w:p w:rsidR="00011C3B" w:rsidRPr="008B76DD" w:rsidRDefault="00011C3B" w:rsidP="00011C3B">
            <w:pPr>
              <w:keepNext/>
              <w:keepLines/>
              <w:spacing w:after="0"/>
              <w:jc w:val="right"/>
              <w:rPr>
                <w:sz w:val="20"/>
                <w:szCs w:val="20"/>
              </w:rPr>
            </w:pPr>
            <w:r w:rsidRPr="008B76DD">
              <w:rPr>
                <w:sz w:val="20"/>
                <w:szCs w:val="20"/>
              </w:rPr>
              <w:t>21</w:t>
            </w:r>
          </w:p>
          <w:p w:rsidR="00011C3B" w:rsidRPr="008B76DD" w:rsidRDefault="00011C3B" w:rsidP="00011C3B">
            <w:pPr>
              <w:keepNext/>
              <w:keepLines/>
              <w:spacing w:after="0"/>
              <w:jc w:val="right"/>
              <w:rPr>
                <w:sz w:val="20"/>
                <w:szCs w:val="20"/>
              </w:rPr>
            </w:pPr>
            <w:r w:rsidRPr="008B76DD">
              <w:rPr>
                <w:sz w:val="20"/>
                <w:szCs w:val="20"/>
              </w:rPr>
              <w:t>105</w:t>
            </w:r>
          </w:p>
          <w:p w:rsidR="00011C3B" w:rsidRPr="008B76DD" w:rsidRDefault="00011C3B" w:rsidP="00011C3B">
            <w:pPr>
              <w:keepNext/>
              <w:keepLines/>
              <w:spacing w:after="0"/>
              <w:jc w:val="right"/>
              <w:rPr>
                <w:sz w:val="20"/>
                <w:szCs w:val="20"/>
              </w:rPr>
            </w:pPr>
            <w:r w:rsidRPr="008B76DD">
              <w:rPr>
                <w:sz w:val="20"/>
                <w:szCs w:val="20"/>
              </w:rPr>
              <w:t>46</w:t>
            </w:r>
          </w:p>
        </w:tc>
        <w:tc>
          <w:tcPr>
            <w:tcW w:w="1497" w:type="dxa"/>
          </w:tcPr>
          <w:p w:rsidR="00011C3B" w:rsidRPr="008B76DD" w:rsidRDefault="00011C3B" w:rsidP="00011C3B">
            <w:pPr>
              <w:keepNext/>
              <w:keepLines/>
              <w:spacing w:after="0"/>
              <w:jc w:val="right"/>
              <w:rPr>
                <w:sz w:val="20"/>
                <w:szCs w:val="20"/>
              </w:rPr>
            </w:pPr>
            <w:r>
              <w:rPr>
                <w:sz w:val="20"/>
                <w:szCs w:val="20"/>
              </w:rPr>
              <w:t>35 435</w:t>
            </w:r>
          </w:p>
          <w:p w:rsidR="00011C3B" w:rsidRPr="008B76DD" w:rsidRDefault="00011C3B" w:rsidP="00011C3B">
            <w:pPr>
              <w:keepNext/>
              <w:keepLines/>
              <w:spacing w:after="0"/>
              <w:jc w:val="right"/>
              <w:rPr>
                <w:sz w:val="20"/>
                <w:szCs w:val="20"/>
              </w:rPr>
            </w:pPr>
          </w:p>
          <w:p w:rsidR="00011C3B" w:rsidRPr="008B76DD" w:rsidRDefault="00011C3B" w:rsidP="00011C3B">
            <w:pPr>
              <w:keepNext/>
              <w:keepLines/>
              <w:spacing w:after="0"/>
              <w:jc w:val="right"/>
              <w:rPr>
                <w:sz w:val="20"/>
                <w:szCs w:val="20"/>
              </w:rPr>
            </w:pPr>
            <w:r>
              <w:rPr>
                <w:sz w:val="20"/>
                <w:szCs w:val="20"/>
              </w:rPr>
              <w:t>8 570</w:t>
            </w:r>
          </w:p>
          <w:p w:rsidR="00011C3B" w:rsidRPr="008B76DD" w:rsidRDefault="00011C3B" w:rsidP="00011C3B">
            <w:pPr>
              <w:keepNext/>
              <w:keepLines/>
              <w:spacing w:after="0"/>
              <w:jc w:val="right"/>
              <w:rPr>
                <w:sz w:val="20"/>
                <w:szCs w:val="20"/>
              </w:rPr>
            </w:pPr>
            <w:r>
              <w:rPr>
                <w:sz w:val="20"/>
                <w:szCs w:val="20"/>
              </w:rPr>
              <w:t>9 588</w:t>
            </w:r>
          </w:p>
          <w:p w:rsidR="00011C3B" w:rsidRPr="008B76DD" w:rsidRDefault="00011C3B" w:rsidP="00011C3B">
            <w:pPr>
              <w:keepNext/>
              <w:keepLines/>
              <w:spacing w:after="0"/>
              <w:jc w:val="right"/>
              <w:rPr>
                <w:sz w:val="20"/>
                <w:szCs w:val="20"/>
              </w:rPr>
            </w:pPr>
          </w:p>
          <w:p w:rsidR="00011C3B" w:rsidRPr="008B76DD" w:rsidRDefault="00011C3B" w:rsidP="00011C3B">
            <w:pPr>
              <w:keepNext/>
              <w:keepLines/>
              <w:spacing w:after="0"/>
              <w:jc w:val="right"/>
              <w:rPr>
                <w:sz w:val="20"/>
                <w:szCs w:val="20"/>
              </w:rPr>
            </w:pPr>
            <w:r>
              <w:rPr>
                <w:sz w:val="20"/>
                <w:szCs w:val="20"/>
              </w:rPr>
              <w:t>975</w:t>
            </w:r>
          </w:p>
          <w:p w:rsidR="00011C3B" w:rsidRPr="008B76DD" w:rsidRDefault="00011C3B" w:rsidP="00011C3B">
            <w:pPr>
              <w:keepNext/>
              <w:keepLines/>
              <w:spacing w:after="0"/>
              <w:jc w:val="right"/>
              <w:rPr>
                <w:sz w:val="20"/>
                <w:szCs w:val="20"/>
              </w:rPr>
            </w:pPr>
            <w:r>
              <w:rPr>
                <w:sz w:val="20"/>
                <w:szCs w:val="20"/>
              </w:rPr>
              <w:t>4 060</w:t>
            </w:r>
          </w:p>
          <w:p w:rsidR="00011C3B" w:rsidRPr="008B76DD" w:rsidRDefault="00011C3B" w:rsidP="00011C3B">
            <w:pPr>
              <w:keepNext/>
              <w:keepLines/>
              <w:spacing w:after="0"/>
              <w:jc w:val="right"/>
              <w:rPr>
                <w:sz w:val="20"/>
                <w:szCs w:val="20"/>
              </w:rPr>
            </w:pPr>
            <w:r>
              <w:rPr>
                <w:sz w:val="20"/>
                <w:szCs w:val="20"/>
              </w:rPr>
              <w:t>12 242</w:t>
            </w:r>
          </w:p>
        </w:tc>
      </w:tr>
      <w:tr w:rsidR="00011C3B" w:rsidRPr="008B76DD" w:rsidTr="00011C3B">
        <w:trPr>
          <w:jc w:val="center"/>
        </w:trPr>
        <w:tc>
          <w:tcPr>
            <w:tcW w:w="484" w:type="dxa"/>
          </w:tcPr>
          <w:p w:rsidR="00011C3B" w:rsidRPr="008B76DD" w:rsidRDefault="00011C3B" w:rsidP="00011C3B">
            <w:pPr>
              <w:keepNext/>
              <w:keepLines/>
              <w:spacing w:after="0"/>
              <w:jc w:val="center"/>
              <w:rPr>
                <w:sz w:val="20"/>
                <w:szCs w:val="20"/>
                <w:lang w:bidi="sa-IN"/>
              </w:rPr>
            </w:pPr>
            <w:r w:rsidRPr="008B76DD">
              <w:rPr>
                <w:sz w:val="20"/>
                <w:szCs w:val="20"/>
                <w:lang w:bidi="sa-IN"/>
              </w:rPr>
              <w:t>R</w:t>
            </w:r>
          </w:p>
        </w:tc>
        <w:tc>
          <w:tcPr>
            <w:tcW w:w="6033" w:type="dxa"/>
          </w:tcPr>
          <w:p w:rsidR="00011C3B" w:rsidRPr="008B76DD" w:rsidRDefault="00011C3B" w:rsidP="00011C3B">
            <w:pPr>
              <w:keepNext/>
              <w:keepLines/>
              <w:spacing w:after="0"/>
              <w:rPr>
                <w:sz w:val="20"/>
                <w:szCs w:val="20"/>
                <w:lang w:bidi="sa-IN"/>
              </w:rPr>
            </w:pPr>
            <w:r w:rsidRPr="008B76DD">
              <w:rPr>
                <w:sz w:val="20"/>
                <w:szCs w:val="20"/>
                <w:lang w:bidi="sa-IN"/>
              </w:rPr>
              <w:t>A készségfejlesztő képzést sikeresen elvégző résztvevők száma (fő)</w:t>
            </w:r>
          </w:p>
        </w:tc>
        <w:tc>
          <w:tcPr>
            <w:tcW w:w="1486" w:type="dxa"/>
          </w:tcPr>
          <w:p w:rsidR="00011C3B" w:rsidRPr="008B76DD" w:rsidRDefault="00011C3B" w:rsidP="00011C3B">
            <w:pPr>
              <w:keepNext/>
              <w:keepLines/>
              <w:spacing w:after="0"/>
              <w:jc w:val="right"/>
              <w:rPr>
                <w:sz w:val="20"/>
                <w:szCs w:val="20"/>
              </w:rPr>
            </w:pPr>
            <w:r w:rsidRPr="008B76DD">
              <w:rPr>
                <w:sz w:val="20"/>
                <w:szCs w:val="20"/>
              </w:rPr>
              <w:t xml:space="preserve">1 500 </w:t>
            </w:r>
          </w:p>
        </w:tc>
        <w:tc>
          <w:tcPr>
            <w:tcW w:w="1497" w:type="dxa"/>
          </w:tcPr>
          <w:p w:rsidR="00011C3B" w:rsidRPr="008B76DD" w:rsidRDefault="00011C3B" w:rsidP="00011C3B">
            <w:pPr>
              <w:keepNext/>
              <w:keepLines/>
              <w:spacing w:after="0"/>
              <w:jc w:val="right"/>
              <w:rPr>
                <w:sz w:val="20"/>
                <w:szCs w:val="20"/>
              </w:rPr>
            </w:pPr>
            <w:r w:rsidRPr="00017030">
              <w:rPr>
                <w:sz w:val="20"/>
                <w:szCs w:val="20"/>
              </w:rPr>
              <w:t>366</w:t>
            </w:r>
          </w:p>
        </w:tc>
      </w:tr>
    </w:tbl>
    <w:p w:rsidR="00011C3B" w:rsidRDefault="00011C3B" w:rsidP="00011C3B">
      <w:pPr>
        <w:pStyle w:val="Normlforrs"/>
      </w:pPr>
      <w:r w:rsidRPr="00C003F8">
        <w:t>Forrás: MVH</w:t>
      </w:r>
    </w:p>
    <w:p w:rsidR="00B27B03" w:rsidRPr="00C003F8" w:rsidRDefault="00B27B03" w:rsidP="00053C2D">
      <w:pPr>
        <w:pStyle w:val="Normlforrs"/>
        <w:jc w:val="both"/>
      </w:pPr>
      <w:r w:rsidRPr="00053C2D">
        <w:rPr>
          <w:i w:val="0"/>
          <w:szCs w:val="22"/>
        </w:rPr>
        <w:t>A HACS-ok működésének finanszírozása történik az intézkedésből. A megvalósítás a tervezett célértékeket output értékeit jelentősen meghaladta, a következő időszak tervezése során a tapasztalatokat szükséges felhasználni</w:t>
      </w:r>
      <w:r>
        <w:t xml:space="preserve">. </w:t>
      </w:r>
    </w:p>
    <w:p w:rsidR="00011C3B" w:rsidRPr="00F92037" w:rsidRDefault="007E5FDF" w:rsidP="00F92037">
      <w:pPr>
        <w:pStyle w:val="bra-cmetbla"/>
      </w:pPr>
      <w:fldSimple w:instr=" SEQ táblázat \* ARABIC ">
        <w:r w:rsidR="00E5031F">
          <w:rPr>
            <w:noProof/>
          </w:rPr>
          <w:t>103</w:t>
        </w:r>
      </w:fldSimple>
      <w:r w:rsidR="00FE0173">
        <w:t xml:space="preserve">. táblázat: </w:t>
      </w:r>
      <w:r w:rsidR="00011C3B" w:rsidRPr="00F92037">
        <w:t>A helyi akciócsoport működtetése, készségek elsajátítása, a térség élénkítése támogatási jogcím 2012. évi eredményei</w:t>
      </w:r>
    </w:p>
    <w:p w:rsidR="00011C3B" w:rsidRPr="00F92037" w:rsidRDefault="00B452BF" w:rsidP="00F92037">
      <w:pPr>
        <w:pStyle w:val="bra-cmetbla"/>
      </w:pPr>
      <w:r w:rsidRPr="00F92037">
        <w:rPr>
          <w:noProof/>
        </w:rPr>
        <w:drawing>
          <wp:inline distT="0" distB="0" distL="0" distR="0" wp14:anchorId="17CD670D" wp14:editId="3DF721D5">
            <wp:extent cx="5167630" cy="1882140"/>
            <wp:effectExtent l="0" t="0" r="0" b="3810"/>
            <wp:docPr id="67"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67630" cy="1882140"/>
                    </a:xfrm>
                    <a:prstGeom prst="rect">
                      <a:avLst/>
                    </a:prstGeom>
                    <a:noFill/>
                    <a:ln>
                      <a:noFill/>
                    </a:ln>
                  </pic:spPr>
                </pic:pic>
              </a:graphicData>
            </a:graphic>
          </wp:inline>
        </w:drawing>
      </w:r>
    </w:p>
    <w:p w:rsidR="00011C3B" w:rsidRDefault="00011C3B" w:rsidP="00011C3B">
      <w:pPr>
        <w:pStyle w:val="Normlforrs"/>
      </w:pPr>
      <w:r w:rsidRPr="00C003F8">
        <w:t>Forrás: MVH</w:t>
      </w:r>
    </w:p>
    <w:p w:rsidR="00011C3B" w:rsidRPr="00C003F8" w:rsidRDefault="00011C3B" w:rsidP="004869BB">
      <w:pPr>
        <w:rPr>
          <w:lang w:bidi="sa-IN"/>
        </w:rPr>
      </w:pPr>
      <w:r w:rsidRPr="00563A12">
        <w:t xml:space="preserve">A jogcímre 2012-ben </w:t>
      </w:r>
      <w:r w:rsidR="00053C2D">
        <w:t xml:space="preserve">19 támogatási kérelem érkezett be, ennek oka, hogy a LEDAER HACS-ok jogi személyiségének kötelező módosítását követően 19 LEADER HACS területen új szervezet lett kiválasztva. E szervezetek által benyújtott támogatási kérelmeket jeleníti meg a táblázat. </w:t>
      </w:r>
    </w:p>
    <w:p w:rsidR="00CF7C1C" w:rsidRPr="00F35797" w:rsidRDefault="00CF7C1C" w:rsidP="00EA0B08">
      <w:pPr>
        <w:pStyle w:val="Cmsor1"/>
      </w:pPr>
      <w:bookmarkStart w:id="364" w:name="_Toc328638737"/>
      <w:bookmarkStart w:id="365" w:name="_Toc215481017"/>
      <w:bookmarkStart w:id="366" w:name="_Toc230595628"/>
      <w:bookmarkStart w:id="367" w:name="_Toc232860191"/>
      <w:bookmarkStart w:id="368" w:name="_Toc360176829"/>
      <w:bookmarkEnd w:id="348"/>
      <w:bookmarkEnd w:id="349"/>
      <w:r w:rsidRPr="00F35797">
        <w:lastRenderedPageBreak/>
        <w:t>A program pénzügyi végrehajtása</w:t>
      </w:r>
      <w:bookmarkEnd w:id="368"/>
    </w:p>
    <w:p w:rsidR="00CF7C1C" w:rsidRPr="00C22DBB" w:rsidRDefault="00CF7C1C" w:rsidP="00FE0173">
      <w:pPr>
        <w:pStyle w:val="Cmsor6"/>
      </w:pPr>
      <w:r w:rsidRPr="00C22DBB">
        <w:t>Kifizetések</w:t>
      </w:r>
    </w:p>
    <w:p w:rsidR="00CF7C1C" w:rsidRPr="000C2441" w:rsidRDefault="00CF7C1C" w:rsidP="004869BB">
      <w:r w:rsidRPr="000C2441">
        <w:t>A Program hét éves program. A 2007-2013 évekre vonatkozó EMVA hozzájárulás 3 805 843 392 euró, a Bizottság a 2009-2013 időszakra az Új kihívásokra további 54 248 000 euró EMVA forrást engedélyezett, így a Program megvalósítására rendelkezésre álló EMVA keret összesen 3 860 091 392 euró. A Program teljes forráskerete a hazai társfinanszírozási résszel együtt 5 256 813 362 euró.</w:t>
      </w:r>
    </w:p>
    <w:p w:rsidR="00CF7C1C" w:rsidRPr="000C2441" w:rsidRDefault="00CF7C1C" w:rsidP="004869BB">
      <w:r w:rsidRPr="000C2441">
        <w:t>2012-ben a Program keretében meghirdetett támogatási jogcímekre vonatkozóan mindösszesen 627 893 213 euró (EU + hazai) támogatási összeg került kifizetésre (konvergencia + nem konvergencia célkitűzés alá eső régiók együttesen).</w:t>
      </w:r>
    </w:p>
    <w:p w:rsidR="00CF7C1C" w:rsidRPr="000C2441" w:rsidRDefault="00CF7C1C" w:rsidP="004869BB">
      <w:r w:rsidRPr="000C2441">
        <w:t>A 2012. évi kifizetések 4,14%-a (pontosan 25</w:t>
      </w:r>
      <w:r w:rsidR="00A37C00">
        <w:t> </w:t>
      </w:r>
      <w:r w:rsidRPr="000C2441">
        <w:t>969</w:t>
      </w:r>
      <w:r w:rsidR="00A37C00">
        <w:t> </w:t>
      </w:r>
      <w:r w:rsidRPr="000C2441">
        <w:t>118 euró) - az 1320/2006/EK Bizottsági rendeletben megfogalmazott átmeneti rendelkezések értelmében - az NVT keretében vállalt kötelezettségek Programra áthúzódó kifizetésének teljesítését szolgálta. Az Európai Mezőgazdasági és Vidékfejlesztési Alapból társfinanszírozott Program kedvezményezettek felé teljesített kifizetések 2012.01.01. - 2012.12.31. elnevezésű táblázat Jogcím megnevezéseinél is jeleztük, hogy az alábbi jogcímek esetében került sor NVT keretében meghirdetett intézkedésekre vállalt kötelezettségek a Program forráskerete terhére történő kifizetésre:</w:t>
      </w:r>
    </w:p>
    <w:p w:rsidR="00CF7C1C" w:rsidRPr="000C2441" w:rsidRDefault="00CF7C1C" w:rsidP="004869BB">
      <w:r w:rsidRPr="000C2441">
        <w:t>Agrár-környezetgazdálkodás</w:t>
      </w:r>
    </w:p>
    <w:p w:rsidR="00CF7C1C" w:rsidRPr="000C2441" w:rsidRDefault="00CF7C1C" w:rsidP="004869BB">
      <w:r w:rsidRPr="000C2441">
        <w:t>Az Európai Unió környezetvédelmi, állatjóléti és –higiéniai követelményeinek való megfelelés</w:t>
      </w:r>
    </w:p>
    <w:p w:rsidR="00CF7C1C" w:rsidRPr="000C2441" w:rsidRDefault="00CF7C1C" w:rsidP="004869BB">
      <w:r w:rsidRPr="000C2441">
        <w:t>Mezőgazdasági területek erdősítése</w:t>
      </w:r>
    </w:p>
    <w:p w:rsidR="00CF7C1C" w:rsidRPr="000C2441" w:rsidRDefault="00CF7C1C" w:rsidP="004869BB">
      <w:r w:rsidRPr="000C2441">
        <w:t>Szerkezetátalakítás alatt álló félig önellátó gazdaságok támogatása</w:t>
      </w:r>
    </w:p>
    <w:p w:rsidR="00CF7C1C" w:rsidRPr="000C2441" w:rsidRDefault="00CF7C1C" w:rsidP="004869BB">
      <w:r w:rsidRPr="000C2441">
        <w:t>Termelői csoportok létrehozásának és működtetésének támogatása.</w:t>
      </w:r>
    </w:p>
    <w:p w:rsidR="00CF7C1C" w:rsidRPr="000C2441" w:rsidRDefault="00CF7C1C" w:rsidP="004869BB">
      <w:r w:rsidRPr="000C2441">
        <w:t>Konvergencia célkitűzés alá eső régiókban 2012.01.01. – 2012.12.31. között a kedvezményezettek felé 580</w:t>
      </w:r>
      <w:r w:rsidR="00A37C00">
        <w:t> </w:t>
      </w:r>
      <w:r w:rsidRPr="000C2441">
        <w:t>733</w:t>
      </w:r>
      <w:r w:rsidR="00A37C00">
        <w:t> </w:t>
      </w:r>
      <w:r w:rsidRPr="000C2441">
        <w:t>647 euró kifizetése történt meg, ez az összes kifizetés 94,08%-a.</w:t>
      </w:r>
    </w:p>
    <w:p w:rsidR="00CF7C1C" w:rsidRPr="000C2441" w:rsidRDefault="00CF7C1C" w:rsidP="004869BB">
      <w:r w:rsidRPr="000C2441">
        <w:t>Nem konvergencia célkitűzés alá eső régiókban 2012.01.01. – 2012.12.31. között a kedvezményezettek felé 47</w:t>
      </w:r>
      <w:r w:rsidR="00A37C00">
        <w:t> </w:t>
      </w:r>
      <w:r w:rsidRPr="000C2441">
        <w:t>159</w:t>
      </w:r>
      <w:r w:rsidR="00A37C00">
        <w:t> </w:t>
      </w:r>
      <w:r w:rsidRPr="000C2441">
        <w:t>566 euró kifizetése történt meg, ami az összes kifizetés 7,51%-a.</w:t>
      </w:r>
    </w:p>
    <w:p w:rsidR="00CF7C1C" w:rsidRPr="000C2441" w:rsidRDefault="00CF7C1C" w:rsidP="004869BB">
      <w:r w:rsidRPr="000C2441">
        <w:t>A kedvezményezetteknek történő kifizetések forintban történnek, a jelentésben az euró adatok egységesen 292,3 Ft/euró árfolyamon kerültek átszámításra.</w:t>
      </w:r>
    </w:p>
    <w:p w:rsidR="00CF7C1C" w:rsidRPr="000C2441" w:rsidRDefault="00CF7C1C" w:rsidP="004869BB">
      <w:r w:rsidRPr="000C2441">
        <w:t>2012-ben tehát forintban az összesen kifizetett támogatás (EU + hazai; konvergencia és nem konvergencia) 183 533 187 499 Ft volt.</w:t>
      </w:r>
    </w:p>
    <w:p w:rsidR="00CF7C1C" w:rsidRPr="000C2441" w:rsidRDefault="00CF7C1C" w:rsidP="004869BB">
      <w:r w:rsidRPr="000C2441">
        <w:t>A táblázatban szereplő adatok és a Bizottságtól lehívásra került összegek eltérnek, mely eltérés oka az alábbiakkal magyarázható.</w:t>
      </w:r>
    </w:p>
    <w:p w:rsidR="00CF7C1C" w:rsidRPr="000C2441" w:rsidRDefault="00CF7C1C" w:rsidP="004869BB">
      <w:r w:rsidRPr="000C2441">
        <w:t>Egyrészt a jelentés készítésénél és az uniós forráslehívások euró összegének számítása során alkalmazott eltérő árfolyam miatt, mely a jelentésben egységesen 292,3 Ft/euró, míg a Bizottság felé jelentett költségnyilatkozat az uniós rendelkezéseknek megfelelő elszámolási árfolyam, mely kifizetésenként eltérő.</w:t>
      </w:r>
    </w:p>
    <w:p w:rsidR="00CF7C1C" w:rsidRPr="000C2441" w:rsidRDefault="00CF7C1C" w:rsidP="004869BB">
      <w:r w:rsidRPr="000C2441">
        <w:t>Másrészt a kedvezményezetti kifizetések időben a következő negyedéves bizottsági költséglehívásba kerülnek be, így a 2011. év végén teljesített kedvezményezetti kifizetések a 2012. évi első negyedéves bizottsági költséglehívásba, míg a 2012. év végi kifizetések már a 2013. év első negyedéves lehívásba kerülnek be.</w:t>
      </w:r>
    </w:p>
    <w:p w:rsidR="00CF7C1C" w:rsidRPr="000C2441" w:rsidRDefault="00CF7C1C" w:rsidP="004869BB">
      <w:r w:rsidRPr="000C2441">
        <w:t>Harmadrészt 2009 novemberében a Bizottság engedélyezte az ún. „frontloading” keretében +10% EU többletforrás lehívásának lehetőségét. Így a kifizetések során alkalmazott EU-hazai arányok a következő időszakok tekintetében eltérően kerültek alkalmazásra a kifizetések során:</w:t>
      </w:r>
    </w:p>
    <w:p w:rsidR="00CF7C1C" w:rsidRPr="000C2441" w:rsidRDefault="00CF7C1C" w:rsidP="004869BB">
      <w:r w:rsidRPr="000C2441">
        <w:lastRenderedPageBreak/>
        <w:t>A Program kifizetések megkezdésétől (2007.) - 2009.10.15-ig terjedő időszak, a Programban rögzített EU hazai arány szerint;</w:t>
      </w:r>
    </w:p>
    <w:p w:rsidR="00CF7C1C" w:rsidRPr="000C2441" w:rsidRDefault="00CF7C1C" w:rsidP="004869BB">
      <w:r w:rsidRPr="000C2441">
        <w:t>2009.10.16. - 2009.12.31. időszakra vonatkozó, ún. „frontloading” miatt 10%-kal emelt EU és ezáltal 10%-alcsökkentett hazai arány szerint;</w:t>
      </w:r>
    </w:p>
    <w:p w:rsidR="00CF7C1C" w:rsidRPr="000C2441" w:rsidRDefault="00CF7C1C" w:rsidP="004869BB">
      <w:r w:rsidRPr="000C2441">
        <w:t>2010.01.01-től a Bizottság által visszaszámított EU-hazai arány szerint.</w:t>
      </w:r>
    </w:p>
    <w:p w:rsidR="00CF7C1C" w:rsidRPr="000C2441" w:rsidRDefault="00CF7C1C" w:rsidP="004869BB">
      <w:r w:rsidRPr="000C2441">
        <w:t>A kifizetések 2012-ben a 2010.01.01-től érvényes EU-hazai aránnyal történtek, de a követelések térülése a mindenkori kifizetési EU-hazai aránynak megfelelően történt. Ez magyarázza, hogy a 2012. évi adatok EU-hazai arányai eltérnek a 2010.01.01-től érvényes kifizetési aránytól.</w:t>
      </w:r>
    </w:p>
    <w:p w:rsidR="00CF7C1C" w:rsidRDefault="00CF7C1C" w:rsidP="00727249">
      <w:pPr>
        <w:pStyle w:val="j-cmsor50"/>
      </w:pPr>
      <w:r w:rsidRPr="00C22DBB">
        <w:t>Előleg-konstrukciók</w:t>
      </w:r>
    </w:p>
    <w:p w:rsidR="00CF7C1C" w:rsidRPr="000C2441" w:rsidRDefault="00CF7C1C" w:rsidP="004869BB">
      <w:r w:rsidRPr="000C2441">
        <w:t xml:space="preserve">Az 1974/2006/EK rendelet és a 118/2012. (XI.22.) VM rendelet – az Európai Mezőgazdasági és Vidékfejlesztési Alapból az egyes beruházási jogcímek esetén – előlegfizetés biztosítását tette lehetővé. Előleg a megítélt támogatás maximum 30%-ig nyújtható, 110%-os készpénzletét vagy bankgarancia mellett. A VM rendelet alapján az ügyfél legkésőbb az utolsó kifizetési kérelem benyújtásával egyidejűleg köteles a </w:t>
      </w:r>
      <w:r w:rsidRPr="00D90F4C">
        <w:t>támogatási</w:t>
      </w:r>
      <w:r w:rsidRPr="000C2441">
        <w:t xml:space="preserve"> előleggel elszámolni. A 2012. évben igényelt előleg összege 115,9 millió forint volt. A 2012. évben előleggel kapcsolatos elszámolás nem történt.</w:t>
      </w:r>
    </w:p>
    <w:p w:rsidR="00CF7C1C" w:rsidRPr="000C2441" w:rsidRDefault="00CF7C1C" w:rsidP="00D90F4C">
      <w:pPr>
        <w:rPr>
          <w:rFonts w:cs="Times New Roman"/>
        </w:rPr>
      </w:pPr>
      <w:r w:rsidRPr="000C2441">
        <w:rPr>
          <w:rFonts w:cs="Times New Roman"/>
        </w:rPr>
        <w:t>A LEADER helyi akciócsoportok (a továbbiakban: HACS) a 482/2009/EK rendelet és a 220/2009. (X. 08.) Kormányrendelet alapján működési előleget vehettek igénybe, melyért 2,8%-os előleg-igénylési díjat kellett fizetniük. Az előleg összege a LEADER működési forrás legfeljebb 20%-a lehetett. A kormányrendelet alapján a HACS-oknak legkésőbb 2010. év végéig el kellett volna számolniuk a felvett előleggel. 2010 folyamán azonban több HACS jelezte, hogy likviditási nehézséget okoz számára a működési előleggel való elszámolás rendeletben rögzített 2010. december 31-i határidejének betartása, ezért a Kormány 2010. december 22-én a 294/2010. (XII. 22.) számú rendeletével lehetővé tette az elszámolás végső határidejének meghosszabbítását, annak érdekében, hogy a HACS-ok 2011. december 31-ig számolhassanak el a felvett előleggel.</w:t>
      </w:r>
    </w:p>
    <w:p w:rsidR="00CF7C1C" w:rsidRPr="000C2441" w:rsidRDefault="00CF7C1C" w:rsidP="00D90F4C">
      <w:pPr>
        <w:rPr>
          <w:rFonts w:cs="Times New Roman"/>
        </w:rPr>
      </w:pPr>
      <w:r w:rsidRPr="000C2441">
        <w:rPr>
          <w:rFonts w:cs="Times New Roman"/>
        </w:rPr>
        <w:t>A felvett előleg összege 1 508 907 265,- Ft volt. A kifizetett előlegből 2012. december 31-ig az elszámolt előleg összege 1</w:t>
      </w:r>
      <w:r w:rsidR="00A37C00">
        <w:rPr>
          <w:rFonts w:cs="Times New Roman"/>
        </w:rPr>
        <w:t> </w:t>
      </w:r>
      <w:r w:rsidRPr="000C2441">
        <w:rPr>
          <w:rFonts w:cs="Times New Roman"/>
        </w:rPr>
        <w:t>404,3 millió Ft volt. 2012. évben 463,1 millió Ft elszámolása történt meg. 2012. december 31-én fennálló követelés összege 104,6 millió Ft (104</w:t>
      </w:r>
      <w:r w:rsidR="00A37C00">
        <w:rPr>
          <w:rFonts w:cs="Times New Roman"/>
        </w:rPr>
        <w:t> </w:t>
      </w:r>
      <w:r w:rsidRPr="000C2441">
        <w:rPr>
          <w:rFonts w:cs="Times New Roman"/>
        </w:rPr>
        <w:t>618</w:t>
      </w:r>
      <w:r w:rsidR="00A37C00">
        <w:rPr>
          <w:rFonts w:cs="Times New Roman"/>
        </w:rPr>
        <w:t> </w:t>
      </w:r>
      <w:r w:rsidRPr="000C2441">
        <w:rPr>
          <w:rFonts w:cs="Times New Roman"/>
        </w:rPr>
        <w:t>337 forint).</w:t>
      </w:r>
    </w:p>
    <w:p w:rsidR="00CF7C1C" w:rsidRPr="000C2441" w:rsidRDefault="00CF7C1C" w:rsidP="00D90F4C">
      <w:pPr>
        <w:rPr>
          <w:rFonts w:cs="Times New Roman"/>
        </w:rPr>
      </w:pPr>
      <w:r w:rsidRPr="000C2441">
        <w:rPr>
          <w:rFonts w:cs="Times New Roman"/>
        </w:rPr>
        <w:t xml:space="preserve">2011 folyamán </w:t>
      </w:r>
      <w:r w:rsidRPr="00D90F4C">
        <w:t>azonban</w:t>
      </w:r>
      <w:r w:rsidRPr="000C2441">
        <w:rPr>
          <w:rFonts w:cs="Times New Roman"/>
        </w:rPr>
        <w:t xml:space="preserve"> több HACS jelezte, hogy likviditási nehézséget okoz számára a működési előleggel való elszámolás rendeletben rögzített 2011. december 31-i határidejének betartása, ezért a Kormány a 379/2011. (XII. 31.) Korm. rendelettel lehetővé tette az Egyesületek számára, hogy az előleggel 2012. június 30-ig számolhassanak el. Kivételt képeznek a nonprofit gazdasági társaságok, amelyek esetében ez a határidő 2012. április 30.</w:t>
      </w:r>
    </w:p>
    <w:p w:rsidR="00CF7C1C" w:rsidRDefault="00CF7C1C" w:rsidP="004869BB"/>
    <w:p w:rsidR="00CF7C1C" w:rsidRDefault="00CF7C1C" w:rsidP="00FE0173">
      <w:pPr>
        <w:pStyle w:val="Kpalrs"/>
        <w:sectPr w:rsidR="00CF7C1C" w:rsidSect="00CF7C1C">
          <w:headerReference w:type="default" r:id="rId83"/>
          <w:footerReference w:type="even" r:id="rId84"/>
          <w:headerReference w:type="first" r:id="rId85"/>
          <w:footerReference w:type="first" r:id="rId86"/>
          <w:pgSz w:w="11906" w:h="16838"/>
          <w:pgMar w:top="1418" w:right="1418" w:bottom="1418" w:left="1418" w:header="709" w:footer="709" w:gutter="0"/>
          <w:cols w:space="708"/>
          <w:docGrid w:linePitch="360"/>
        </w:sectPr>
      </w:pPr>
    </w:p>
    <w:p w:rsidR="00CF7C1C" w:rsidRDefault="007E5FDF" w:rsidP="00F92037">
      <w:pPr>
        <w:pStyle w:val="bra-cmetbla"/>
      </w:pPr>
      <w:fldSimple w:instr=" SEQ táblázat \* ARABIC ">
        <w:r w:rsidR="00E5031F">
          <w:rPr>
            <w:noProof/>
          </w:rPr>
          <w:t>104</w:t>
        </w:r>
      </w:fldSimple>
      <w:r w:rsidR="00FE0173">
        <w:t>. táblázat</w:t>
      </w:r>
      <w:r w:rsidR="009C4E1A">
        <w:t xml:space="preserve">: </w:t>
      </w:r>
      <w:r w:rsidR="00CF7C1C" w:rsidRPr="00F92037">
        <w:t>Az Európai Mezőgazdasági és Vidékfejlesztési Alapból (EMVA) társfinanszírozott Program kedvezményezettek felé teljesített kifizetések 2012.01.01. - 2012.12.31.</w:t>
      </w:r>
    </w:p>
    <w:tbl>
      <w:tblPr>
        <w:tblW w:w="5087" w:type="pct"/>
        <w:tblCellMar>
          <w:left w:w="70" w:type="dxa"/>
          <w:right w:w="70" w:type="dxa"/>
        </w:tblCellMar>
        <w:tblLook w:val="04A0" w:firstRow="1" w:lastRow="0" w:firstColumn="1" w:lastColumn="0" w:noHBand="0" w:noVBand="1"/>
      </w:tblPr>
      <w:tblGrid>
        <w:gridCol w:w="192"/>
        <w:gridCol w:w="288"/>
        <w:gridCol w:w="320"/>
        <w:gridCol w:w="1524"/>
        <w:gridCol w:w="2160"/>
        <w:gridCol w:w="557"/>
        <w:gridCol w:w="644"/>
        <w:gridCol w:w="307"/>
        <w:gridCol w:w="288"/>
        <w:gridCol w:w="573"/>
        <w:gridCol w:w="225"/>
        <w:gridCol w:w="602"/>
        <w:gridCol w:w="276"/>
        <w:gridCol w:w="552"/>
        <w:gridCol w:w="245"/>
        <w:gridCol w:w="616"/>
        <w:gridCol w:w="219"/>
        <w:gridCol w:w="608"/>
        <w:gridCol w:w="363"/>
        <w:gridCol w:w="466"/>
        <w:gridCol w:w="360"/>
        <w:gridCol w:w="501"/>
        <w:gridCol w:w="447"/>
        <w:gridCol w:w="380"/>
        <w:gridCol w:w="829"/>
        <w:gridCol w:w="846"/>
      </w:tblGrid>
      <w:tr w:rsidR="006E6B08" w:rsidRPr="006E6B08" w:rsidTr="001842E1">
        <w:trPr>
          <w:gridBefore w:val="1"/>
          <w:wBefore w:w="67" w:type="pct"/>
          <w:trHeight w:val="210"/>
        </w:trPr>
        <w:tc>
          <w:tcPr>
            <w:tcW w:w="4933" w:type="pct"/>
            <w:gridSpan w:val="25"/>
            <w:tcBorders>
              <w:top w:val="single" w:sz="8" w:space="0" w:color="auto"/>
              <w:left w:val="single" w:sz="8" w:space="0" w:color="auto"/>
              <w:bottom w:val="single" w:sz="8" w:space="0" w:color="auto"/>
              <w:right w:val="single" w:sz="8" w:space="0" w:color="000000"/>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 xml:space="preserve">Az Európai Mezőgazdasági és Vidékfejlesztési Alapból (EMVA) társfinanszírozott Program </w:t>
            </w:r>
          </w:p>
        </w:tc>
      </w:tr>
      <w:tr w:rsidR="006E6B08" w:rsidRPr="006E6B08" w:rsidTr="001842E1">
        <w:trPr>
          <w:gridBefore w:val="1"/>
          <w:wBefore w:w="67" w:type="pct"/>
          <w:trHeight w:val="210"/>
        </w:trPr>
        <w:tc>
          <w:tcPr>
            <w:tcW w:w="100" w:type="pct"/>
            <w:vMerge w:val="restart"/>
            <w:tcBorders>
              <w:top w:val="nil"/>
              <w:left w:val="single" w:sz="8" w:space="0" w:color="auto"/>
              <w:bottom w:val="nil"/>
              <w:right w:val="single" w:sz="8" w:space="0" w:color="auto"/>
            </w:tcBorders>
            <w:shd w:val="clear" w:color="000000" w:fill="C0C0C0"/>
            <w:textDirection w:val="btLr"/>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Tengely</w:t>
            </w:r>
          </w:p>
        </w:tc>
        <w:tc>
          <w:tcPr>
            <w:tcW w:w="111" w:type="pct"/>
            <w:vMerge w:val="restart"/>
            <w:tcBorders>
              <w:top w:val="nil"/>
              <w:left w:val="single" w:sz="8" w:space="0" w:color="auto"/>
              <w:bottom w:val="nil"/>
              <w:right w:val="single" w:sz="8" w:space="0" w:color="auto"/>
            </w:tcBorders>
            <w:shd w:val="clear" w:color="000000" w:fill="C0C0C0"/>
            <w:textDirection w:val="btLr"/>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Inzézkedés kód</w:t>
            </w:r>
          </w:p>
        </w:tc>
        <w:tc>
          <w:tcPr>
            <w:tcW w:w="530" w:type="pct"/>
            <w:vMerge w:val="restart"/>
            <w:tcBorders>
              <w:top w:val="nil"/>
              <w:left w:val="single" w:sz="8" w:space="0" w:color="auto"/>
              <w:bottom w:val="single" w:sz="8" w:space="0" w:color="000000"/>
              <w:right w:val="single" w:sz="8"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Intézkedés</w:t>
            </w:r>
          </w:p>
        </w:tc>
        <w:tc>
          <w:tcPr>
            <w:tcW w:w="1275" w:type="pct"/>
            <w:gridSpan w:val="4"/>
            <w:vMerge w:val="restart"/>
            <w:tcBorders>
              <w:top w:val="nil"/>
              <w:left w:val="nil"/>
              <w:bottom w:val="single" w:sz="8" w:space="0" w:color="000000"/>
              <w:right w:val="single" w:sz="8"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Jogcím</w:t>
            </w:r>
          </w:p>
        </w:tc>
        <w:tc>
          <w:tcPr>
            <w:tcW w:w="2916" w:type="pct"/>
            <w:gridSpan w:val="18"/>
            <w:tcBorders>
              <w:top w:val="single" w:sz="8" w:space="0" w:color="auto"/>
              <w:left w:val="nil"/>
              <w:bottom w:val="single" w:sz="8" w:space="0" w:color="auto"/>
              <w:right w:val="single" w:sz="8" w:space="0" w:color="000000"/>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kedvezményezettek felé teljesített kifizetések 2012.01.01. - 2012.12.31.</w:t>
            </w:r>
          </w:p>
        </w:tc>
      </w:tr>
      <w:tr w:rsidR="006E6B08" w:rsidRPr="006E6B08" w:rsidTr="001842E1">
        <w:trPr>
          <w:gridBefore w:val="1"/>
          <w:wBefore w:w="67" w:type="pct"/>
          <w:trHeight w:val="195"/>
        </w:trPr>
        <w:tc>
          <w:tcPr>
            <w:tcW w:w="100" w:type="pct"/>
            <w:vMerge/>
            <w:tcBorders>
              <w:top w:val="nil"/>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111" w:type="pct"/>
            <w:vMerge/>
            <w:tcBorders>
              <w:top w:val="nil"/>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53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1275" w:type="pct"/>
            <w:gridSpan w:val="4"/>
            <w:vMerge/>
            <w:tcBorders>
              <w:top w:val="nil"/>
              <w:left w:val="nil"/>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874" w:type="pct"/>
            <w:gridSpan w:val="6"/>
            <w:tcBorders>
              <w:top w:val="nil"/>
              <w:left w:val="nil"/>
              <w:bottom w:val="single" w:sz="4" w:space="0" w:color="auto"/>
              <w:right w:val="single" w:sz="8" w:space="0" w:color="000000"/>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Közösségi euró</w:t>
            </w:r>
          </w:p>
        </w:tc>
        <w:tc>
          <w:tcPr>
            <w:tcW w:w="874" w:type="pct"/>
            <w:gridSpan w:val="6"/>
            <w:tcBorders>
              <w:top w:val="nil"/>
              <w:left w:val="nil"/>
              <w:bottom w:val="single" w:sz="4" w:space="0" w:color="auto"/>
              <w:right w:val="single" w:sz="8" w:space="0" w:color="000000"/>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Hazai euró</w:t>
            </w:r>
          </w:p>
        </w:tc>
        <w:tc>
          <w:tcPr>
            <w:tcW w:w="874" w:type="pct"/>
            <w:gridSpan w:val="5"/>
            <w:tcBorders>
              <w:top w:val="nil"/>
              <w:left w:val="nil"/>
              <w:bottom w:val="single" w:sz="4"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Összesen euró</w:t>
            </w:r>
          </w:p>
        </w:tc>
        <w:tc>
          <w:tcPr>
            <w:tcW w:w="294" w:type="pct"/>
            <w:vMerge w:val="restart"/>
            <w:tcBorders>
              <w:top w:val="nil"/>
              <w:left w:val="single" w:sz="8" w:space="0" w:color="auto"/>
              <w:bottom w:val="single" w:sz="4" w:space="0" w:color="000000"/>
              <w:right w:val="single" w:sz="8"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Ősszesen</w:t>
            </w:r>
          </w:p>
        </w:tc>
      </w:tr>
      <w:tr w:rsidR="006E6B08" w:rsidRPr="006E6B08" w:rsidTr="001842E1">
        <w:trPr>
          <w:gridBefore w:val="1"/>
          <w:wBefore w:w="67" w:type="pct"/>
          <w:trHeight w:val="795"/>
        </w:trPr>
        <w:tc>
          <w:tcPr>
            <w:tcW w:w="100" w:type="pct"/>
            <w:vMerge/>
            <w:tcBorders>
              <w:top w:val="nil"/>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111" w:type="pct"/>
            <w:vMerge/>
            <w:tcBorders>
              <w:top w:val="nil"/>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53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1275" w:type="pct"/>
            <w:gridSpan w:val="4"/>
            <w:vMerge/>
            <w:tcBorders>
              <w:top w:val="nil"/>
              <w:left w:val="nil"/>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c>
          <w:tcPr>
            <w:tcW w:w="299" w:type="pct"/>
            <w:gridSpan w:val="2"/>
            <w:tcBorders>
              <w:top w:val="nil"/>
              <w:left w:val="nil"/>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amelyből a 1320/2006/EK rendelet szerint átmeneti kiadás</w:t>
            </w:r>
          </w:p>
        </w:tc>
        <w:tc>
          <w:tcPr>
            <w:tcW w:w="287" w:type="pct"/>
            <w:gridSpan w:val="2"/>
            <w:tcBorders>
              <w:top w:val="nil"/>
              <w:left w:val="nil"/>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kifizetések a konvergencia célkitűzés alá eső régiókban</w:t>
            </w:r>
          </w:p>
        </w:tc>
        <w:tc>
          <w:tcPr>
            <w:tcW w:w="287" w:type="pct"/>
            <w:gridSpan w:val="2"/>
            <w:tcBorders>
              <w:top w:val="nil"/>
              <w:left w:val="nil"/>
              <w:bottom w:val="single" w:sz="8" w:space="0" w:color="auto"/>
              <w:right w:val="single" w:sz="8"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kifizetések a nem konvergencia régiókban</w:t>
            </w:r>
          </w:p>
        </w:tc>
        <w:tc>
          <w:tcPr>
            <w:tcW w:w="299" w:type="pct"/>
            <w:gridSpan w:val="2"/>
            <w:tcBorders>
              <w:top w:val="nil"/>
              <w:left w:val="nil"/>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amelyből a 1320/2006/EK rendelet szerint átmeneti kiadás</w:t>
            </w:r>
          </w:p>
        </w:tc>
        <w:tc>
          <w:tcPr>
            <w:tcW w:w="287" w:type="pct"/>
            <w:gridSpan w:val="2"/>
            <w:tcBorders>
              <w:top w:val="nil"/>
              <w:left w:val="nil"/>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kifizetések a konvergencia célkitűzés alá eső régiókban</w:t>
            </w:r>
          </w:p>
        </w:tc>
        <w:tc>
          <w:tcPr>
            <w:tcW w:w="287" w:type="pct"/>
            <w:gridSpan w:val="2"/>
            <w:tcBorders>
              <w:top w:val="nil"/>
              <w:left w:val="nil"/>
              <w:bottom w:val="single" w:sz="8" w:space="0" w:color="auto"/>
              <w:right w:val="single" w:sz="8"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kifizetések a nem konvergencia régiókban</w:t>
            </w:r>
          </w:p>
        </w:tc>
        <w:tc>
          <w:tcPr>
            <w:tcW w:w="299" w:type="pct"/>
            <w:gridSpan w:val="2"/>
            <w:tcBorders>
              <w:top w:val="nil"/>
              <w:left w:val="nil"/>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amelyből a 1320/2006/EK rendelet szerint átmeneti kiadás</w:t>
            </w:r>
          </w:p>
        </w:tc>
        <w:tc>
          <w:tcPr>
            <w:tcW w:w="287" w:type="pct"/>
            <w:gridSpan w:val="2"/>
            <w:tcBorders>
              <w:top w:val="nil"/>
              <w:left w:val="nil"/>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kifizetések a konvergencia célkitűzés alá eső régiókban</w:t>
            </w:r>
          </w:p>
        </w:tc>
        <w:tc>
          <w:tcPr>
            <w:tcW w:w="287" w:type="pct"/>
            <w:tcBorders>
              <w:top w:val="nil"/>
              <w:left w:val="nil"/>
              <w:bottom w:val="single" w:sz="8" w:space="0" w:color="auto"/>
              <w:right w:val="nil"/>
            </w:tcBorders>
            <w:shd w:val="clear" w:color="000000" w:fill="C0C0C0"/>
            <w:vAlign w:val="center"/>
            <w:hideMark/>
          </w:tcPr>
          <w:p w:rsidR="006E6B08" w:rsidRPr="006E6B08" w:rsidRDefault="006E6B08" w:rsidP="006E6B08">
            <w:pPr>
              <w:suppressAutoHyphens w:val="0"/>
              <w:spacing w:after="0"/>
              <w:ind w:firstLine="0"/>
              <w:jc w:val="center"/>
              <w:rPr>
                <w:rFonts w:eastAsia="Times New Roman" w:cs="Times New Roman"/>
                <w:b/>
                <w:bCs/>
                <w:kern w:val="0"/>
                <w:sz w:val="12"/>
                <w:szCs w:val="12"/>
              </w:rPr>
            </w:pPr>
            <w:r w:rsidRPr="006E6B08">
              <w:rPr>
                <w:rFonts w:eastAsia="Times New Roman" w:cs="Times New Roman"/>
                <w:b/>
                <w:bCs/>
                <w:kern w:val="0"/>
                <w:sz w:val="12"/>
                <w:szCs w:val="12"/>
              </w:rPr>
              <w:t>kifizetések a nem konvergencia régiókban</w:t>
            </w:r>
          </w:p>
        </w:tc>
        <w:tc>
          <w:tcPr>
            <w:tcW w:w="294"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p>
        </w:tc>
      </w:tr>
      <w:tr w:rsidR="006E6B08" w:rsidRPr="006E6B08" w:rsidTr="001842E1">
        <w:trPr>
          <w:gridBefore w:val="1"/>
          <w:wBefore w:w="67" w:type="pct"/>
          <w:trHeight w:val="165"/>
        </w:trPr>
        <w:tc>
          <w:tcPr>
            <w:tcW w:w="100" w:type="pct"/>
            <w:vMerge w:val="restart"/>
            <w:tcBorders>
              <w:top w:val="single" w:sz="8" w:space="0" w:color="auto"/>
              <w:left w:val="single" w:sz="8" w:space="0" w:color="auto"/>
              <w:bottom w:val="nil"/>
              <w:right w:val="single" w:sz="8" w:space="0" w:color="auto"/>
            </w:tcBorders>
            <w:shd w:val="clear" w:color="000000" w:fill="FFFFFF"/>
            <w:textDirection w:val="btLr"/>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EMVA I. tengely: Mezőgazdaság, élelmiszer-feldolgozás és erdészeti ágazat versenyképességének javítása</w:t>
            </w:r>
          </w:p>
        </w:tc>
        <w:tc>
          <w:tcPr>
            <w:tcW w:w="111" w:type="pct"/>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111</w:t>
            </w:r>
          </w:p>
        </w:tc>
        <w:tc>
          <w:tcPr>
            <w:tcW w:w="530"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Szakképzési és tájékoztatási tevékenységek</w:t>
            </w:r>
          </w:p>
        </w:tc>
        <w:tc>
          <w:tcPr>
            <w:tcW w:w="127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Mezőgazdasághoz és erdőgazdálkodáshoz kapcsolódó szakmai képzések</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723 428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77 498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250 314</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78 602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973 742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156 100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1 129 842</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single" w:sz="8" w:space="0" w:color="auto"/>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Általános agrárpolitikai és ügyfélszolgálati tájékoztatás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2 634 501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1 212 439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911 566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1 229 700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3 546 067</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2 442 139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5 988 206</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112</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Fiatal gazdák induló támogatása</w:t>
            </w:r>
          </w:p>
        </w:tc>
        <w:tc>
          <w:tcPr>
            <w:tcW w:w="1275" w:type="pct"/>
            <w:gridSpan w:val="4"/>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Fiatal mezőgazdasági termelők számára nyújtandó támogatások </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1 075 923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-48 868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374 632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-48 958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1 450 555</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-97 826</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1 352 729</w:t>
            </w:r>
          </w:p>
        </w:tc>
      </w:tr>
      <w:tr w:rsidR="006E6B08" w:rsidRPr="006E6B08" w:rsidTr="001842E1">
        <w:trPr>
          <w:gridBefore w:val="1"/>
          <w:wBefore w:w="67" w:type="pct"/>
          <w:trHeight w:val="330"/>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113</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Mezőgazdasági termelők gazdaságátadási támogatása</w:t>
            </w:r>
          </w:p>
        </w:tc>
        <w:tc>
          <w:tcPr>
            <w:tcW w:w="1275" w:type="pct"/>
            <w:gridSpan w:val="4"/>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Mezőgazdasági termelők gazdaságátadásához nyújtandó támogatás </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165 318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9 459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57 202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9 594</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222 520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19 053</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241 573</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114</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Szaktanácsadói szolgáltatások igénybevétele</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Szaktanácsadási szolgáltatások igénybevételéhez nyújtandó támogatások </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1 031 163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43 982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356 801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44 606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1 387 964</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88 588</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1 476 552</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121</w:t>
            </w:r>
          </w:p>
        </w:tc>
        <w:tc>
          <w:tcPr>
            <w:tcW w:w="530"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mezőgazdasági üzemek korszerűsítése</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Mezőgazdasági termékek értéknövelése (üzemi diverzifikáció)</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637 321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46 290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220 521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46 949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857 842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93 239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951 081</w:t>
            </w:r>
          </w:p>
        </w:tc>
      </w:tr>
      <w:tr w:rsidR="006E6B08" w:rsidRPr="006E6B08" w:rsidTr="001842E1">
        <w:trPr>
          <w:gridBefore w:val="1"/>
          <w:wBefore w:w="67" w:type="pct"/>
          <w:trHeight w:val="330"/>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Mezőgazdasági energiafelhasználás megújuló energiaforrásokból történő előállításhoz nyújtandó támogatás (Kazán csere)</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Fás- és lágyszárú energiaültetvények telepítéséhez nyújtandó támogatás </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83 959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12 658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29 325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12 838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113 284</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25 496</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138 780</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Kertészet korszerűsítéséhez nyújtandó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5 438 680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588 580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1 881 922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596 966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7 320 602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1 185 546</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8 506 148</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Kertészeti gépek, technológiai berendezések beszerzése</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-3 158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-9 552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5 040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-5 907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1 882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-15 459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-13 577</w:t>
            </w:r>
          </w:p>
        </w:tc>
      </w:tr>
      <w:tr w:rsidR="006E6B08" w:rsidRPr="006E6B08" w:rsidTr="001842E1">
        <w:trPr>
          <w:gridBefore w:val="1"/>
          <w:wBefore w:w="67" w:type="pct"/>
          <w:trHeight w:val="330"/>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Az öntözés, a melioráció és a területi vízgazdálkodás mezőgazdasági üzemi és közösségi létesítményeinek fejlesztéséhez nyújtandó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2 668 359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99 017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923 283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107 992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3 591 642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207 009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3 798 651</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Növénytermesztés létesítményeinek korszerűsítéséhez nyújtott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10 917 221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547 527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3 798 180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555 969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14 715 401</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1 103 496</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15 818 897</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Ültetvények korszerűsítéséhez, telepítéséhez nyújtandó támogatás </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1 558 574</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157 279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539 284</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159 519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2 097 858</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316 798</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2 414 656</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Állattartó telepek korszerűsítéséhez nyújtandó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62 918 749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1 752 872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22 099 041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1 779 859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85 017 790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3 532 731</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88 550 521</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Önálló, építéssel nem járó gépek, technológiai berendezések beszerzéséhez nyújtandó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-2 939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2 991</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2 425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3 034</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-514</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6 025</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5 511</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122</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Az erdők gazdasági értékének javítása</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Az erdészeti célra használt géppark fejlesztése és korszerűsítése</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1 113 702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385 381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1 499 083</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1 499 083</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123</w:t>
            </w:r>
          </w:p>
        </w:tc>
        <w:tc>
          <w:tcPr>
            <w:tcW w:w="530"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mezőgazdasági termékek értéknövelése</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Mezőgazdasági termékek értéknöveléséhez nyújtandó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22 625 758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3 323 079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7 847 580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3 378 272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30 473 338</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6 701 351</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37 174 689</w:t>
            </w:r>
          </w:p>
        </w:tc>
      </w:tr>
      <w:tr w:rsidR="006E6B08" w:rsidRPr="006E6B08" w:rsidTr="001842E1">
        <w:trPr>
          <w:gridBefore w:val="1"/>
          <w:wBefore w:w="67" w:type="pct"/>
          <w:trHeight w:val="330"/>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Nem élelmiszeripari célú kiskapacitású, növényi alapú nyersszesz, nyersolaj előállító üzemek létesítéséhez nyújtandó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355 123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122 878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478 001</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478 001</w:t>
            </w:r>
          </w:p>
        </w:tc>
      </w:tr>
      <w:tr w:rsidR="006E6B08" w:rsidRPr="006E6B08" w:rsidTr="001842E1">
        <w:trPr>
          <w:gridBefore w:val="1"/>
          <w:wBefore w:w="67" w:type="pct"/>
          <w:trHeight w:val="330"/>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125</w:t>
            </w:r>
          </w:p>
        </w:tc>
        <w:tc>
          <w:tcPr>
            <w:tcW w:w="530"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mezőgazdaság és az erdészet fejlesztéséhez és korszerűsítéséhez kapcsolódó infrastruktúra fejlesztés</w:t>
            </w:r>
          </w:p>
        </w:tc>
        <w:tc>
          <w:tcPr>
            <w:tcW w:w="1275" w:type="pct"/>
            <w:gridSpan w:val="4"/>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Az öntözés, a melioráció és a területi vízgazdálkodás mezőgazdasági üzemi és közösségi létesítményeinek fejlesztése</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7 260 228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91 076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2 512 156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92 373</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9 772 384</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183 449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9 955 833</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mezőgazdasági utak fejlesztéséhez nyújtandó támogatások</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6 248 341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379 013</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2 162 030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384 409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8 410 371</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763 422</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9 173 793</w:t>
            </w:r>
          </w:p>
        </w:tc>
      </w:tr>
      <w:tr w:rsidR="006E6B08" w:rsidRPr="006E6B08" w:rsidTr="001842E1">
        <w:trPr>
          <w:gridBefore w:val="1"/>
          <w:wBefore w:w="67" w:type="pct"/>
          <w:trHeight w:val="25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131</w:t>
            </w:r>
          </w:p>
        </w:tc>
        <w:tc>
          <w:tcPr>
            <w:tcW w:w="530"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Az EU környezetvédelmi, állatjóléti és higiéniai követelményeinek való megfelelés támogatása</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juh és kecske állatállomány elektronikus jelölése kapcsán nyújtandó támogatás</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982 978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57 573</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340 121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58 392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1 323 099</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115 965</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1 439 064</w:t>
            </w:r>
          </w:p>
        </w:tc>
      </w:tr>
      <w:tr w:rsidR="006E6B08" w:rsidRPr="006E6B08" w:rsidTr="001842E1">
        <w:trPr>
          <w:gridBefore w:val="1"/>
          <w:wBefore w:w="67" w:type="pct"/>
          <w:trHeight w:val="40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Az EU környezetvédelmi, állatjóléti és higiéniai követelményeinek való megfelelés támogatása (NVT)</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799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799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277</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277</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1 076</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1 076</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1 076</w:t>
            </w:r>
          </w:p>
        </w:tc>
      </w:tr>
      <w:tr w:rsidR="006E6B08" w:rsidRPr="006E6B08" w:rsidTr="001842E1">
        <w:trPr>
          <w:gridBefore w:val="1"/>
          <w:wBefore w:w="67" w:type="pct"/>
          <w:trHeight w:val="330"/>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141</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szerkezetátalakítás alatt álló, félig önellátó gazdaságok támogatása (NVT)</w:t>
            </w:r>
          </w:p>
        </w:tc>
        <w:tc>
          <w:tcPr>
            <w:tcW w:w="1275" w:type="pct"/>
            <w:gridSpan w:val="4"/>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Szerkezetátalakítás alatt álló félig önellátó gazdaságok támogatása (NVT)</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839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839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300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300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1 139</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1 139</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1 139</w:t>
            </w:r>
          </w:p>
        </w:tc>
      </w:tr>
      <w:tr w:rsidR="006E6B08" w:rsidRPr="006E6B08" w:rsidTr="001842E1">
        <w:trPr>
          <w:gridBefore w:val="1"/>
          <w:wBefore w:w="67" w:type="pct"/>
          <w:trHeight w:val="165"/>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142</w:t>
            </w:r>
          </w:p>
        </w:tc>
        <w:tc>
          <w:tcPr>
            <w:tcW w:w="5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Termelői csoportok </w:t>
            </w:r>
            <w:r w:rsidRPr="006E6B08">
              <w:rPr>
                <w:rFonts w:eastAsia="Times New Roman" w:cs="Times New Roman"/>
                <w:kern w:val="0"/>
                <w:sz w:val="12"/>
                <w:szCs w:val="12"/>
              </w:rPr>
              <w:lastRenderedPageBreak/>
              <w:t>létrehozásának támogatása</w:t>
            </w:r>
          </w:p>
        </w:tc>
        <w:tc>
          <w:tcPr>
            <w:tcW w:w="1275" w:type="pct"/>
            <w:gridSpan w:val="4"/>
            <w:tcBorders>
              <w:top w:val="nil"/>
              <w:left w:val="single" w:sz="4" w:space="0" w:color="auto"/>
              <w:bottom w:val="nil"/>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lastRenderedPageBreak/>
              <w:t>Termelői csoportok létrehozásához és működéséhez nyújtandó támogatás</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r>
      <w:tr w:rsidR="006E6B08" w:rsidRPr="006E6B08" w:rsidTr="001842E1">
        <w:trPr>
          <w:gridBefore w:val="1"/>
          <w:wBefore w:w="67" w:type="pct"/>
          <w:trHeight w:val="180"/>
        </w:trPr>
        <w:tc>
          <w:tcPr>
            <w:tcW w:w="100" w:type="pct"/>
            <w:vMerge/>
            <w:tcBorders>
              <w:top w:val="single" w:sz="8" w:space="0" w:color="auto"/>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single" w:sz="4" w:space="0" w:color="auto"/>
              <w:left w:val="single" w:sz="4" w:space="0" w:color="auto"/>
              <w:bottom w:val="nil"/>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Termelői csoportok létrehozásához és működéséhez nyújtandó támogatás (NVT)</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10 029 441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9 738 023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291 418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3 665 030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3 369 462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295 567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13 694 471</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13 107 485</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586 985</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13 694 470</w:t>
            </w:r>
          </w:p>
        </w:tc>
      </w:tr>
      <w:tr w:rsidR="006E6B08" w:rsidRPr="006E6B08" w:rsidTr="001842E1">
        <w:trPr>
          <w:gridBefore w:val="1"/>
          <w:wBefore w:w="67" w:type="pct"/>
          <w:trHeight w:val="210"/>
        </w:trPr>
        <w:tc>
          <w:tcPr>
            <w:tcW w:w="2017" w:type="pct"/>
            <w:gridSpan w:val="7"/>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left"/>
              <w:rPr>
                <w:rFonts w:eastAsia="Times New Roman" w:cs="Times New Roman"/>
                <w:b/>
                <w:bCs/>
                <w:color w:val="000000"/>
                <w:kern w:val="0"/>
                <w:sz w:val="12"/>
                <w:szCs w:val="12"/>
              </w:rPr>
            </w:pPr>
            <w:r w:rsidRPr="006E6B08">
              <w:rPr>
                <w:rFonts w:eastAsia="Times New Roman" w:cs="Times New Roman"/>
                <w:b/>
                <w:bCs/>
                <w:color w:val="000000"/>
                <w:kern w:val="0"/>
                <w:sz w:val="12"/>
                <w:szCs w:val="12"/>
              </w:rPr>
              <w:lastRenderedPageBreak/>
              <w:t>EMVA I. tengely: Mezőgazdaság, élelmiszer-feldolgozás és erdészeti ágazat versenyképességének javítása összesen</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10 031 079</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138 172 890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8 634 331</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3 665 607</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48 189 721</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8 779 776</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13 696 686</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186 362 611</w:t>
            </w:r>
          </w:p>
        </w:tc>
        <w:tc>
          <w:tcPr>
            <w:tcW w:w="287"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17 414 107</w:t>
            </w:r>
          </w:p>
        </w:tc>
        <w:tc>
          <w:tcPr>
            <w:tcW w:w="294"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203 776 718</w:t>
            </w:r>
          </w:p>
        </w:tc>
      </w:tr>
      <w:tr w:rsidR="006E6B08" w:rsidRPr="006E6B08" w:rsidTr="001842E1">
        <w:trPr>
          <w:gridBefore w:val="1"/>
          <w:wBefore w:w="67" w:type="pct"/>
          <w:trHeight w:val="165"/>
        </w:trPr>
        <w:tc>
          <w:tcPr>
            <w:tcW w:w="100" w:type="pct"/>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EMVA II. tengely: A környezet és a vidék állapotának javítása, fejlesztése</w:t>
            </w: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212</w:t>
            </w:r>
          </w:p>
        </w:tc>
        <w:tc>
          <w:tcPr>
            <w:tcW w:w="530" w:type="pct"/>
            <w:vMerge w:val="restart"/>
            <w:tcBorders>
              <w:top w:val="nil"/>
              <w:left w:val="single" w:sz="8" w:space="0" w:color="auto"/>
              <w:bottom w:val="single" w:sz="4" w:space="0" w:color="000000"/>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hegyvidéki területeken kívüli hátrányos helyzetű területek mezőgazdasági termelőinek nyújtott kifizetések</w:t>
            </w:r>
          </w:p>
        </w:tc>
        <w:tc>
          <w:tcPr>
            <w:tcW w:w="1275" w:type="pct"/>
            <w:gridSpan w:val="4"/>
            <w:tcBorders>
              <w:top w:val="single" w:sz="4" w:space="0" w:color="auto"/>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kedvezőtlen adottságú területeken történő gazdálkodáshoz nyújtandó kompenzációs támogatás</w:t>
            </w:r>
          </w:p>
        </w:tc>
        <w:tc>
          <w:tcPr>
            <w:tcW w:w="299" w:type="pct"/>
            <w:gridSpan w:val="2"/>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6 884 955</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512 643</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1 767 219</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423 937</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8 652 174</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936 580</w:t>
            </w:r>
          </w:p>
        </w:tc>
        <w:tc>
          <w:tcPr>
            <w:tcW w:w="294"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9 588 754</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Kedvezőtlen adottságú területek támogatása (NVT)</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-836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-836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-683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-683</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-1 520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-1 519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-1 519</w:t>
            </w:r>
          </w:p>
        </w:tc>
      </w:tr>
      <w:tr w:rsidR="006E6B08" w:rsidRPr="006E6B08" w:rsidTr="001842E1">
        <w:trPr>
          <w:gridBefore w:val="1"/>
          <w:wBefore w:w="67" w:type="pct"/>
          <w:trHeight w:val="49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213</w:t>
            </w:r>
          </w:p>
        </w:tc>
        <w:tc>
          <w:tcPr>
            <w:tcW w:w="530" w:type="pct"/>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Natura 2000 gyepterületeken történő gazdálkodáshoz nyújtandó kompenzációs támogatás</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Natura 2000 gyepterületeken történő gazdálkodáshoz nyújtandó kompenzációs támogatás (Gyep)</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5 456 618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540 793</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1 400 650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447 195</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6 857 268</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987 988</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7 845 256</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214</w:t>
            </w:r>
          </w:p>
        </w:tc>
        <w:tc>
          <w:tcPr>
            <w:tcW w:w="530" w:type="pct"/>
            <w:vMerge w:val="restart"/>
            <w:tcBorders>
              <w:top w:val="nil"/>
              <w:left w:val="single" w:sz="8" w:space="0" w:color="auto"/>
              <w:bottom w:val="single" w:sz="4" w:space="0" w:color="000000"/>
              <w:right w:val="single" w:sz="8" w:space="0" w:color="auto"/>
            </w:tcBorders>
            <w:shd w:val="clear" w:color="auto" w:fill="auto"/>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Agrár-környezetgazdálkodási kifizetések</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Agrár-környezetgazdálkodási kifizetések (NVT)</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375 543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316 731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58 812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130 606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81 965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48 641</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506 150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398 696</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107 453</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506 149</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Agrár-környezetgazdálkodási kifizetések (ÚMVP)</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168 375 040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9 483 040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43 215 959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7 842 267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211 590 999</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17 325 307</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228 916 306</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Őshonos és veszélyeztetett mezőgazdasági állatfajták genetikai állományának tenyésztésben történő megőrzése</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2 224 927</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177 032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571 085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146 391</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2 796 012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323 423</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3 119 435</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Genetikai erőforrások megőrzése - növényi génmegörzés</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786 062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798 608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201 753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660 372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987 815</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1 458 980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2 446 795</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215</w:t>
            </w:r>
          </w:p>
        </w:tc>
        <w:tc>
          <w:tcPr>
            <w:tcW w:w="530" w:type="pct"/>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Állatjóléti kifizetések</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tejágazat szerkezetátalakítását kísérő állatjóléti támogatás</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444 610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96 599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49 400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52 015</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494 010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148 614</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642 624</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216</w:t>
            </w:r>
          </w:p>
        </w:tc>
        <w:tc>
          <w:tcPr>
            <w:tcW w:w="530" w:type="pct"/>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Nem termelő beruházásoknak nyújtott támogatás</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 Nem termelő mezőgazdasági beruházásokhoz nyújtandó támogatások</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1 240 597</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56 715</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318 408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46 898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1 559 005</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103 613</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1 662 618</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221</w:t>
            </w:r>
          </w:p>
        </w:tc>
        <w:tc>
          <w:tcPr>
            <w:tcW w:w="530" w:type="pct"/>
            <w:vMerge w:val="restart"/>
            <w:tcBorders>
              <w:top w:val="nil"/>
              <w:left w:val="single" w:sz="8" w:space="0" w:color="auto"/>
              <w:bottom w:val="single" w:sz="4" w:space="0" w:color="000000"/>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mezőgazdasági földterület első erdősítése</w:t>
            </w:r>
          </w:p>
        </w:tc>
        <w:tc>
          <w:tcPr>
            <w:tcW w:w="1275" w:type="pct"/>
            <w:gridSpan w:val="4"/>
            <w:tcBorders>
              <w:top w:val="nil"/>
              <w:left w:val="single" w:sz="4" w:space="0" w:color="auto"/>
              <w:bottom w:val="nil"/>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Mezőgazdasági területek erdősítéséhez nyújtandó támogatás </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12 263 209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644 390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3 148 102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532 849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15 411 311</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1 177 239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16 588 550</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single" w:sz="4" w:space="0" w:color="auto"/>
              <w:left w:val="single" w:sz="4" w:space="0" w:color="auto"/>
              <w:bottom w:val="nil"/>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Mezőgazdasági területek erdősítéséhez nyújtandó támogatás  (NVT)</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9 130 108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8 613 991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516 117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2 637 694</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2 210 912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426 782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11 767 802</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10 824 903</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942 899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11 767 802</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222</w:t>
            </w:r>
          </w:p>
        </w:tc>
        <w:tc>
          <w:tcPr>
            <w:tcW w:w="530" w:type="pct"/>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Agrár-erdészeti rendszerek első létrehozása mezőgazdasági földterületeken</w:t>
            </w:r>
          </w:p>
        </w:tc>
        <w:tc>
          <w:tcPr>
            <w:tcW w:w="1275" w:type="pct"/>
            <w:gridSpan w:val="4"/>
            <w:tcBorders>
              <w:top w:val="single" w:sz="4" w:space="0" w:color="auto"/>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Agrár-erdészeti rendszerek mezőgazdasági földterületeken történő első létrehozásához nyújtandó támogatás</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115 911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29 750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145 661</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145 661</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225</w:t>
            </w:r>
          </w:p>
        </w:tc>
        <w:tc>
          <w:tcPr>
            <w:tcW w:w="530" w:type="pct"/>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Erdő-környezetvédelmi kifizetések</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Erdő-környezetvédelmi intézkedésekhez nyújtandó támogatások</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872 020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5 254</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223 908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4 345</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1 095 928</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9 599</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1 105 527</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226</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Erdészeti potenciál helyreállítása és megelőző intézkedések</w:t>
            </w:r>
          </w:p>
        </w:tc>
        <w:tc>
          <w:tcPr>
            <w:tcW w:w="1275" w:type="pct"/>
            <w:gridSpan w:val="4"/>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 xml:space="preserve">Erdészeti potenciál helyreállítására nyújtandó támogatások </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481 296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9 452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123 528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7 816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604 824</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17 268</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622 092</w:t>
            </w:r>
          </w:p>
        </w:tc>
      </w:tr>
      <w:tr w:rsidR="006E6B08" w:rsidRPr="006E6B08" w:rsidTr="001842E1">
        <w:trPr>
          <w:gridBefore w:val="1"/>
          <w:wBefore w:w="67" w:type="pct"/>
          <w:trHeight w:val="34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8"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227</w:t>
            </w:r>
          </w:p>
        </w:tc>
        <w:tc>
          <w:tcPr>
            <w:tcW w:w="530" w:type="pct"/>
            <w:tcBorders>
              <w:top w:val="nil"/>
              <w:left w:val="nil"/>
              <w:bottom w:val="single" w:sz="8"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Erdőterületeket érintő, nem termelő jellegű beruházások</w:t>
            </w:r>
          </w:p>
        </w:tc>
        <w:tc>
          <w:tcPr>
            <w:tcW w:w="1275" w:type="pct"/>
            <w:gridSpan w:val="4"/>
            <w:tcBorders>
              <w:top w:val="nil"/>
              <w:left w:val="nil"/>
              <w:bottom w:val="single" w:sz="8"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Erdőszerkezet átalakításához nyújtandó támogatások</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501 861</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5 315</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128 806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4 395</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630 667</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9 710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640 377</w:t>
            </w:r>
          </w:p>
        </w:tc>
      </w:tr>
      <w:tr w:rsidR="006E6B08" w:rsidRPr="006E6B08" w:rsidTr="001842E1">
        <w:trPr>
          <w:gridBefore w:val="1"/>
          <w:wBefore w:w="67" w:type="pct"/>
          <w:trHeight w:val="210"/>
        </w:trPr>
        <w:tc>
          <w:tcPr>
            <w:tcW w:w="2017" w:type="pct"/>
            <w:gridSpan w:val="7"/>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left"/>
              <w:rPr>
                <w:rFonts w:eastAsia="Times New Roman" w:cs="Times New Roman"/>
                <w:b/>
                <w:bCs/>
                <w:color w:val="000000"/>
                <w:kern w:val="0"/>
                <w:sz w:val="12"/>
                <w:szCs w:val="12"/>
              </w:rPr>
            </w:pPr>
            <w:r w:rsidRPr="006E6B08">
              <w:rPr>
                <w:rFonts w:eastAsia="Times New Roman" w:cs="Times New Roman"/>
                <w:b/>
                <w:bCs/>
                <w:color w:val="000000"/>
                <w:kern w:val="0"/>
                <w:sz w:val="12"/>
                <w:szCs w:val="12"/>
              </w:rPr>
              <w:t>EMVA II. tengely: A környezet és a vidék állapotának javítása, fejlesztése összesen</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9 504 815</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208 577 828</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12 903 934</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2 767 617</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53 471 445</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10 643 220</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12 272 432</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262 049 273</w:t>
            </w:r>
          </w:p>
        </w:tc>
        <w:tc>
          <w:tcPr>
            <w:tcW w:w="287"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23 547 154</w:t>
            </w:r>
          </w:p>
        </w:tc>
        <w:tc>
          <w:tcPr>
            <w:tcW w:w="294"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285 596 427</w:t>
            </w:r>
          </w:p>
        </w:tc>
      </w:tr>
      <w:tr w:rsidR="006E6B08" w:rsidRPr="006E6B08" w:rsidTr="001842E1">
        <w:trPr>
          <w:gridBefore w:val="1"/>
          <w:wBefore w:w="67" w:type="pct"/>
          <w:trHeight w:val="330"/>
        </w:trPr>
        <w:tc>
          <w:tcPr>
            <w:tcW w:w="100" w:type="pct"/>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EMVA III. tengely: Az életminőség javítása vidéki területeken, és a diverzifikáció ösztönzése</w:t>
            </w:r>
          </w:p>
        </w:tc>
        <w:tc>
          <w:tcPr>
            <w:tcW w:w="111" w:type="pct"/>
            <w:tcBorders>
              <w:top w:val="single" w:sz="4" w:space="0" w:color="auto"/>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312</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Mikrovállalkozások létrehozásának és fejlesztésének támogatása</w:t>
            </w:r>
          </w:p>
        </w:tc>
        <w:tc>
          <w:tcPr>
            <w:tcW w:w="127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mikrovállalkozások létrehozására és fejlesztésére nyújtandó támogatások</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14 515 083</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371 952</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4 869 910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372 366</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19 384 993</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744 318</w:t>
            </w:r>
          </w:p>
        </w:tc>
        <w:tc>
          <w:tcPr>
            <w:tcW w:w="294"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20 129 311</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313</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turisztikai tevékenységek ösztönzése</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Turisztikai tevékenységek ösztönzéséhez nyújtandó támogatások</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11 313 962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268 313</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3 795 925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268 612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15 109 887</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536 925</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15 646 812</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321</w:t>
            </w:r>
          </w:p>
        </w:tc>
        <w:tc>
          <w:tcPr>
            <w:tcW w:w="530"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vidéki gazdaság és a lakosság számára nyújtott alapszolgáltatások</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vidéki gazdaság és lakosság számára nyújtott alapszolgáltatások körében az integrált közösségi és szolgáltató tér kialakítására és működtetésére igénybe vehető támogatások (IKSZT)</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17 983 486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505 906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6 033 583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506 469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24 017 069</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1 012 375</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25 029 444</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vidéki gazdaság és lakosság számára nyújtott alapszolgáltatások körében a kistérségi közlekedési szolgáltatások fejlesztésére igénybe vehető támogatások ("Tanya busz")</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-3 672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-1 224</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-4 896</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-4 896</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322</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Falumegújítás és -fejlesztés</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Falumegújításra és -fejlesztésre igénybe vehető támogatások</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14 309 786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687 071</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4 801 048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687 837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19 110 834</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1 374 908</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20 485 742</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323</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vidéki örökség megőrzése és fenntartható fejlesztése</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vidéki örökség megőrzéséhez igénybe vehető támogatások</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13 079 839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664 266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4 388 380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665 006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17 468 219</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1 329 272</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18 797 491</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341</w:t>
            </w:r>
          </w:p>
        </w:tc>
        <w:tc>
          <w:tcPr>
            <w:tcW w:w="53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Készségek elsajátítása, ösztönzés és végrehajtás</w:t>
            </w:r>
          </w:p>
        </w:tc>
        <w:tc>
          <w:tcPr>
            <w:tcW w:w="1275" w:type="pct"/>
            <w:gridSpan w:val="4"/>
            <w:tcBorders>
              <w:top w:val="nil"/>
              <w:left w:val="single" w:sz="4" w:space="0" w:color="auto"/>
              <w:bottom w:val="single" w:sz="4" w:space="0" w:color="auto"/>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helyi Vidékfejlesztési Közösségek és a LEADER helyi akciócsoportok finanszírozása ( 59. cikk)</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-443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2 219</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443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2 222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4 441</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4 441</w:t>
            </w:r>
          </w:p>
        </w:tc>
      </w:tr>
      <w:tr w:rsidR="006E6B08" w:rsidRPr="006E6B08" w:rsidTr="001842E1">
        <w:trPr>
          <w:gridBefore w:val="1"/>
          <w:wBefore w:w="67" w:type="pct"/>
          <w:trHeight w:val="18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single" w:sz="4" w:space="0" w:color="auto"/>
              <w:bottom w:val="nil"/>
              <w:right w:val="single" w:sz="4"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Készségek elsajátítására, ösztönzésére és végrehajtására igénybe vehető támogatás (HVI)</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1 260 404</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57 096</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423 585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57 160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1 683 989</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114 256</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1 798 245</w:t>
            </w:r>
          </w:p>
        </w:tc>
      </w:tr>
      <w:tr w:rsidR="006E6B08" w:rsidRPr="006E6B08" w:rsidTr="001842E1">
        <w:trPr>
          <w:gridBefore w:val="1"/>
          <w:wBefore w:w="67" w:type="pct"/>
          <w:trHeight w:val="210"/>
        </w:trPr>
        <w:tc>
          <w:tcPr>
            <w:tcW w:w="2017" w:type="pct"/>
            <w:gridSpan w:val="7"/>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left"/>
              <w:rPr>
                <w:rFonts w:eastAsia="Times New Roman" w:cs="Times New Roman"/>
                <w:b/>
                <w:bCs/>
                <w:color w:val="000000"/>
                <w:kern w:val="0"/>
                <w:sz w:val="12"/>
                <w:szCs w:val="12"/>
              </w:rPr>
            </w:pPr>
            <w:r w:rsidRPr="006E6B08">
              <w:rPr>
                <w:rFonts w:eastAsia="Times New Roman" w:cs="Times New Roman"/>
                <w:b/>
                <w:bCs/>
                <w:color w:val="000000"/>
                <w:kern w:val="0"/>
                <w:sz w:val="12"/>
                <w:szCs w:val="12"/>
              </w:rPr>
              <w:t>EMVA III. tengely: Az életminőség javítása vidéki területeken, és a diverzifikáció ösztönzése</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72 458 445</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2 556 823</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24 311 650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2 559 672</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96 770 095</w:t>
            </w:r>
          </w:p>
        </w:tc>
        <w:tc>
          <w:tcPr>
            <w:tcW w:w="287"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5 116 495</w:t>
            </w:r>
          </w:p>
        </w:tc>
        <w:tc>
          <w:tcPr>
            <w:tcW w:w="294"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101 886 590</w:t>
            </w:r>
          </w:p>
        </w:tc>
      </w:tr>
      <w:tr w:rsidR="006E6B08" w:rsidRPr="006E6B08" w:rsidTr="001842E1">
        <w:trPr>
          <w:gridBefore w:val="1"/>
          <w:wBefore w:w="67" w:type="pct"/>
          <w:trHeight w:val="165"/>
        </w:trPr>
        <w:tc>
          <w:tcPr>
            <w:tcW w:w="100" w:type="pct"/>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EMVA IV. tengely: LEADER</w:t>
            </w: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411</w:t>
            </w:r>
          </w:p>
        </w:tc>
        <w:tc>
          <w:tcPr>
            <w:tcW w:w="530" w:type="pct"/>
            <w:vMerge w:val="restart"/>
            <w:tcBorders>
              <w:top w:val="nil"/>
              <w:left w:val="single" w:sz="8" w:space="0" w:color="auto"/>
              <w:bottom w:val="single" w:sz="4"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helyi fejlesztési stratégiák megvalósítása</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Helyi fejlesztési stratégiák végrehajtása, Versenyképesség</w:t>
            </w:r>
          </w:p>
        </w:tc>
        <w:tc>
          <w:tcPr>
            <w:tcW w:w="299" w:type="pct"/>
            <w:gridSpan w:val="2"/>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2 478 062</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88 775</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629 088</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72 980</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3 107 150</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161 755</w:t>
            </w:r>
          </w:p>
        </w:tc>
        <w:tc>
          <w:tcPr>
            <w:tcW w:w="294"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3 268 905</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412</w:t>
            </w: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Helyi fejlesztési stratégiák végrehajtása, Környezet/földgazdálkodás</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342 637</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23 401</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86 983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19 237</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429 620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42 638</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472 258</w:t>
            </w:r>
          </w:p>
        </w:tc>
      </w:tr>
      <w:tr w:rsidR="006E6B08" w:rsidRPr="006E6B08" w:rsidTr="001842E1">
        <w:trPr>
          <w:gridBefore w:val="1"/>
          <w:wBefore w:w="67" w:type="pct"/>
          <w:trHeight w:val="16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413</w:t>
            </w:r>
          </w:p>
        </w:tc>
        <w:tc>
          <w:tcPr>
            <w:tcW w:w="530" w:type="pct"/>
            <w:vMerge/>
            <w:tcBorders>
              <w:top w:val="nil"/>
              <w:left w:val="single" w:sz="8" w:space="0" w:color="auto"/>
              <w:bottom w:val="single" w:sz="4"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Helyi fejlesztési stratégiák végrehajtása, Életminőség/diverzifikáció</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9 129 493</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282 391</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2 317 639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232 150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11 447 132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514 541</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11 961 673</w:t>
            </w:r>
          </w:p>
        </w:tc>
      </w:tr>
      <w:tr w:rsidR="006E6B08" w:rsidRPr="006E6B08" w:rsidTr="001842E1">
        <w:trPr>
          <w:gridBefore w:val="1"/>
          <w:wBefore w:w="67" w:type="pct"/>
          <w:trHeight w:val="330"/>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421</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Térségek közötti és nemzetközi együttműködések</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Együttműködési projektek végrehajtása</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648 310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76 392</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164 582</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62 801</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812 892</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139 193</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952 085</w:t>
            </w:r>
          </w:p>
        </w:tc>
      </w:tr>
      <w:tr w:rsidR="006E6B08" w:rsidRPr="006E6B08" w:rsidTr="001842E1">
        <w:trPr>
          <w:gridBefore w:val="1"/>
          <w:wBefore w:w="67" w:type="pct"/>
          <w:trHeight w:val="345"/>
        </w:trPr>
        <w:tc>
          <w:tcPr>
            <w:tcW w:w="100"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tcBorders>
              <w:top w:val="nil"/>
              <w:left w:val="nil"/>
              <w:bottom w:val="single" w:sz="8"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431</w:t>
            </w:r>
          </w:p>
        </w:tc>
        <w:tc>
          <w:tcPr>
            <w:tcW w:w="530" w:type="pct"/>
            <w:tcBorders>
              <w:top w:val="nil"/>
              <w:left w:val="nil"/>
              <w:bottom w:val="single" w:sz="8"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helyi akciócsoport működtetése, készségek elsajátítása, a térség élénkítése</w:t>
            </w:r>
          </w:p>
        </w:tc>
        <w:tc>
          <w:tcPr>
            <w:tcW w:w="1275" w:type="pct"/>
            <w:gridSpan w:val="4"/>
            <w:tcBorders>
              <w:top w:val="nil"/>
              <w:left w:val="nil"/>
              <w:bottom w:val="single" w:sz="8"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A helyi akciócsoport működtetése, készségek elsajátítása, a térség élénkítése támogatás</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4 813 246</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185 675</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-247 188</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38 008</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 </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4 566 058</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223 683</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4 789 741</w:t>
            </w:r>
          </w:p>
        </w:tc>
      </w:tr>
      <w:tr w:rsidR="006E6B08" w:rsidRPr="006E6B08" w:rsidTr="001842E1">
        <w:trPr>
          <w:gridBefore w:val="1"/>
          <w:wBefore w:w="67" w:type="pct"/>
          <w:trHeight w:val="210"/>
        </w:trPr>
        <w:tc>
          <w:tcPr>
            <w:tcW w:w="2017" w:type="pct"/>
            <w:gridSpan w:val="7"/>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left"/>
              <w:rPr>
                <w:rFonts w:eastAsia="Times New Roman" w:cs="Times New Roman"/>
                <w:b/>
                <w:bCs/>
                <w:color w:val="000000"/>
                <w:kern w:val="0"/>
                <w:sz w:val="12"/>
                <w:szCs w:val="12"/>
              </w:rPr>
            </w:pPr>
            <w:r w:rsidRPr="006E6B08">
              <w:rPr>
                <w:rFonts w:eastAsia="Times New Roman" w:cs="Times New Roman"/>
                <w:b/>
                <w:bCs/>
                <w:color w:val="000000"/>
                <w:kern w:val="0"/>
                <w:sz w:val="12"/>
                <w:szCs w:val="12"/>
              </w:rPr>
              <w:t>EMVA IV. tengely: LEADER összesen</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17 411 748</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656 634</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2 951 104</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425 176</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20 362 852</w:t>
            </w:r>
          </w:p>
        </w:tc>
        <w:tc>
          <w:tcPr>
            <w:tcW w:w="287"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1 081 810</w:t>
            </w:r>
          </w:p>
        </w:tc>
        <w:tc>
          <w:tcPr>
            <w:tcW w:w="294"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21 444 662</w:t>
            </w:r>
          </w:p>
        </w:tc>
      </w:tr>
      <w:tr w:rsidR="006E6B08" w:rsidRPr="006E6B08" w:rsidTr="001842E1">
        <w:trPr>
          <w:gridBefore w:val="1"/>
          <w:wBefore w:w="67" w:type="pct"/>
          <w:trHeight w:val="330"/>
        </w:trPr>
        <w:tc>
          <w:tcPr>
            <w:tcW w:w="100" w:type="pct"/>
            <w:vMerge w:val="restart"/>
            <w:tcBorders>
              <w:top w:val="nil"/>
              <w:left w:val="single" w:sz="8" w:space="0" w:color="auto"/>
              <w:bottom w:val="nil"/>
              <w:right w:val="single" w:sz="8" w:space="0" w:color="auto"/>
            </w:tcBorders>
            <w:shd w:val="clear" w:color="000000" w:fill="FFFFFF"/>
            <w:textDirection w:val="btLr"/>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EMVA TS</w:t>
            </w:r>
          </w:p>
        </w:tc>
        <w:tc>
          <w:tcPr>
            <w:tcW w:w="11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6E6B08" w:rsidRPr="006E6B08" w:rsidRDefault="006E6B08" w:rsidP="006E6B08">
            <w:pPr>
              <w:suppressAutoHyphens w:val="0"/>
              <w:spacing w:after="0"/>
              <w:ind w:firstLine="0"/>
              <w:jc w:val="center"/>
              <w:rPr>
                <w:rFonts w:eastAsia="Times New Roman" w:cs="Times New Roman"/>
                <w:kern w:val="0"/>
                <w:sz w:val="12"/>
                <w:szCs w:val="12"/>
              </w:rPr>
            </w:pPr>
            <w:r w:rsidRPr="006E6B08">
              <w:rPr>
                <w:rFonts w:eastAsia="Times New Roman" w:cs="Times New Roman"/>
                <w:kern w:val="0"/>
                <w:sz w:val="12"/>
                <w:szCs w:val="12"/>
              </w:rPr>
              <w:t>511</w:t>
            </w:r>
          </w:p>
        </w:tc>
        <w:tc>
          <w:tcPr>
            <w:tcW w:w="530" w:type="pct"/>
            <w:tcBorders>
              <w:top w:val="nil"/>
              <w:left w:val="nil"/>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3. tevékenység</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Értékelés, információnyújtás, a nyilvánosság folyamatos tájékoztatása a pályázható intézkedésekről és az ÚMVP eredményeiről</w:t>
            </w:r>
          </w:p>
        </w:tc>
        <w:tc>
          <w:tcPr>
            <w:tcW w:w="299" w:type="pct"/>
            <w:gridSpan w:val="2"/>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12 005</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4 228</w:t>
            </w:r>
          </w:p>
        </w:tc>
        <w:tc>
          <w:tcPr>
            <w:tcW w:w="28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16 233</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16 233</w:t>
            </w:r>
          </w:p>
        </w:tc>
      </w:tr>
      <w:tr w:rsidR="006E6B08" w:rsidRPr="006E6B08" w:rsidTr="001842E1">
        <w:trPr>
          <w:gridBefore w:val="1"/>
          <w:wBefore w:w="67" w:type="pct"/>
          <w:trHeight w:val="165"/>
        </w:trPr>
        <w:tc>
          <w:tcPr>
            <w:tcW w:w="100" w:type="pct"/>
            <w:vMerge/>
            <w:tcBorders>
              <w:top w:val="nil"/>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1. tevékenység</w:t>
            </w:r>
          </w:p>
        </w:tc>
        <w:tc>
          <w:tcPr>
            <w:tcW w:w="1275" w:type="pct"/>
            <w:gridSpan w:val="4"/>
            <w:tcBorders>
              <w:top w:val="nil"/>
              <w:left w:val="nil"/>
              <w:bottom w:val="single" w:sz="4"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Magyar Nemzeti Vidéki Hálózat</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1 138 275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400 925</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1 539 200</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1 539 200</w:t>
            </w:r>
          </w:p>
        </w:tc>
      </w:tr>
      <w:tr w:rsidR="006E6B08" w:rsidRPr="006E6B08" w:rsidTr="001842E1">
        <w:trPr>
          <w:gridBefore w:val="1"/>
          <w:wBefore w:w="67" w:type="pct"/>
          <w:trHeight w:val="180"/>
        </w:trPr>
        <w:tc>
          <w:tcPr>
            <w:tcW w:w="100" w:type="pct"/>
            <w:vMerge/>
            <w:tcBorders>
              <w:top w:val="nil"/>
              <w:left w:val="single" w:sz="8" w:space="0" w:color="auto"/>
              <w:bottom w:val="nil"/>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111" w:type="pct"/>
            <w:vMerge/>
            <w:tcBorders>
              <w:top w:val="nil"/>
              <w:left w:val="single" w:sz="8" w:space="0" w:color="auto"/>
              <w:bottom w:val="single" w:sz="8" w:space="0" w:color="000000"/>
              <w:right w:val="single" w:sz="8" w:space="0" w:color="auto"/>
            </w:tcBorders>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530" w:type="pct"/>
            <w:tcBorders>
              <w:top w:val="nil"/>
              <w:left w:val="nil"/>
              <w:bottom w:val="single" w:sz="8"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2. tevékenység</w:t>
            </w:r>
          </w:p>
        </w:tc>
        <w:tc>
          <w:tcPr>
            <w:tcW w:w="1275" w:type="pct"/>
            <w:gridSpan w:val="4"/>
            <w:tcBorders>
              <w:top w:val="nil"/>
              <w:left w:val="nil"/>
              <w:bottom w:val="single" w:sz="8" w:space="0" w:color="auto"/>
              <w:right w:val="single" w:sz="8" w:space="0" w:color="auto"/>
            </w:tcBorders>
            <w:shd w:val="clear" w:color="auto" w:fill="auto"/>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ÚMVP tevékenységei előkészítésének, nyomon követésének és ellenőrzésének támogatása</w:t>
            </w:r>
          </w:p>
        </w:tc>
        <w:tc>
          <w:tcPr>
            <w:tcW w:w="299"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10 082 214</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3 551 169</w:t>
            </w:r>
          </w:p>
        </w:tc>
        <w:tc>
          <w:tcPr>
            <w:tcW w:w="287"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9" w:type="pct"/>
            <w:gridSpan w:val="2"/>
            <w:tcBorders>
              <w:top w:val="nil"/>
              <w:left w:val="single" w:sz="8" w:space="0" w:color="auto"/>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87" w:type="pct"/>
            <w:gridSpan w:val="2"/>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13 633 383</w:t>
            </w:r>
          </w:p>
        </w:tc>
        <w:tc>
          <w:tcPr>
            <w:tcW w:w="287" w:type="pct"/>
            <w:tcBorders>
              <w:top w:val="nil"/>
              <w:left w:val="nil"/>
              <w:bottom w:val="single" w:sz="4" w:space="0" w:color="auto"/>
              <w:right w:val="single" w:sz="4"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0</w:t>
            </w:r>
          </w:p>
        </w:tc>
        <w:tc>
          <w:tcPr>
            <w:tcW w:w="294" w:type="pct"/>
            <w:tcBorders>
              <w:top w:val="nil"/>
              <w:left w:val="single" w:sz="8" w:space="0" w:color="auto"/>
              <w:bottom w:val="single" w:sz="4" w:space="0" w:color="auto"/>
              <w:right w:val="single" w:sz="8" w:space="0" w:color="auto"/>
            </w:tcBorders>
            <w:shd w:val="clear" w:color="000000" w:fill="FFFFFF"/>
            <w:vAlign w:val="center"/>
            <w:hideMark/>
          </w:tcPr>
          <w:p w:rsidR="006E6B08" w:rsidRPr="006E6B08" w:rsidRDefault="006E6B08" w:rsidP="006E6B08">
            <w:pPr>
              <w:suppressAutoHyphens w:val="0"/>
              <w:spacing w:after="0"/>
              <w:ind w:firstLine="0"/>
              <w:jc w:val="right"/>
              <w:rPr>
                <w:rFonts w:eastAsia="Times New Roman" w:cs="Times New Roman"/>
                <w:kern w:val="0"/>
                <w:sz w:val="12"/>
                <w:szCs w:val="12"/>
              </w:rPr>
            </w:pPr>
            <w:r w:rsidRPr="006E6B08">
              <w:rPr>
                <w:rFonts w:eastAsia="Times New Roman" w:cs="Times New Roman"/>
                <w:kern w:val="0"/>
                <w:sz w:val="12"/>
                <w:szCs w:val="12"/>
              </w:rPr>
              <w:t>13 633 383</w:t>
            </w:r>
          </w:p>
        </w:tc>
      </w:tr>
      <w:tr w:rsidR="006E6B08" w:rsidRPr="006E6B08" w:rsidTr="001842E1">
        <w:trPr>
          <w:gridBefore w:val="1"/>
          <w:wBefore w:w="67" w:type="pct"/>
          <w:trHeight w:val="210"/>
        </w:trPr>
        <w:tc>
          <w:tcPr>
            <w:tcW w:w="2017" w:type="pct"/>
            <w:gridSpan w:val="7"/>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left"/>
              <w:rPr>
                <w:rFonts w:eastAsia="Times New Roman" w:cs="Times New Roman"/>
                <w:b/>
                <w:bCs/>
                <w:color w:val="000000"/>
                <w:kern w:val="0"/>
                <w:sz w:val="12"/>
                <w:szCs w:val="12"/>
              </w:rPr>
            </w:pPr>
            <w:r w:rsidRPr="006E6B08">
              <w:rPr>
                <w:rFonts w:eastAsia="Times New Roman" w:cs="Times New Roman"/>
                <w:b/>
                <w:bCs/>
                <w:color w:val="000000"/>
                <w:kern w:val="0"/>
                <w:sz w:val="12"/>
                <w:szCs w:val="12"/>
              </w:rPr>
              <w:t>EMVA Technikai Segítségnyújtás összesen</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11 232 494</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3 956 322</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99"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87" w:type="pct"/>
            <w:gridSpan w:val="2"/>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15 188 816</w:t>
            </w:r>
          </w:p>
        </w:tc>
        <w:tc>
          <w:tcPr>
            <w:tcW w:w="287"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0</w:t>
            </w:r>
          </w:p>
        </w:tc>
        <w:tc>
          <w:tcPr>
            <w:tcW w:w="294" w:type="pct"/>
            <w:tcBorders>
              <w:top w:val="single" w:sz="8" w:space="0" w:color="auto"/>
              <w:left w:val="single" w:sz="8" w:space="0" w:color="auto"/>
              <w:bottom w:val="single" w:sz="8" w:space="0" w:color="auto"/>
              <w:right w:val="single" w:sz="4" w:space="0" w:color="auto"/>
            </w:tcBorders>
            <w:shd w:val="clear" w:color="000000" w:fill="CCCCFF"/>
            <w:vAlign w:val="center"/>
            <w:hideMark/>
          </w:tcPr>
          <w:p w:rsidR="006E6B08" w:rsidRPr="006E6B08" w:rsidRDefault="006E6B08" w:rsidP="006E6B08">
            <w:pPr>
              <w:suppressAutoHyphens w:val="0"/>
              <w:spacing w:after="0"/>
              <w:ind w:firstLine="0"/>
              <w:jc w:val="right"/>
              <w:rPr>
                <w:rFonts w:eastAsia="Times New Roman" w:cs="Times New Roman"/>
                <w:b/>
                <w:bCs/>
                <w:color w:val="000000"/>
                <w:kern w:val="0"/>
                <w:sz w:val="12"/>
                <w:szCs w:val="12"/>
              </w:rPr>
            </w:pPr>
            <w:r w:rsidRPr="006E6B08">
              <w:rPr>
                <w:rFonts w:eastAsia="Times New Roman" w:cs="Times New Roman"/>
                <w:b/>
                <w:bCs/>
                <w:color w:val="000000"/>
                <w:kern w:val="0"/>
                <w:sz w:val="12"/>
                <w:szCs w:val="12"/>
              </w:rPr>
              <w:t>15 188 816</w:t>
            </w:r>
          </w:p>
        </w:tc>
      </w:tr>
      <w:tr w:rsidR="006E6B08" w:rsidRPr="006E6B08" w:rsidTr="001842E1">
        <w:trPr>
          <w:gridBefore w:val="1"/>
          <w:wBefore w:w="67" w:type="pct"/>
          <w:trHeight w:val="210"/>
        </w:trPr>
        <w:tc>
          <w:tcPr>
            <w:tcW w:w="2017" w:type="pct"/>
            <w:gridSpan w:val="7"/>
            <w:tcBorders>
              <w:top w:val="single" w:sz="8" w:space="0" w:color="auto"/>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left"/>
              <w:rPr>
                <w:rFonts w:eastAsia="Times New Roman" w:cs="Times New Roman"/>
                <w:b/>
                <w:bCs/>
                <w:kern w:val="0"/>
                <w:sz w:val="12"/>
                <w:szCs w:val="12"/>
              </w:rPr>
            </w:pPr>
            <w:r w:rsidRPr="006E6B08">
              <w:rPr>
                <w:rFonts w:eastAsia="Times New Roman" w:cs="Times New Roman"/>
                <w:b/>
                <w:bCs/>
                <w:kern w:val="0"/>
                <w:sz w:val="12"/>
                <w:szCs w:val="12"/>
              </w:rPr>
              <w:t>EMVA Összesen</w:t>
            </w:r>
          </w:p>
        </w:tc>
        <w:tc>
          <w:tcPr>
            <w:tcW w:w="299"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19 535 894</w:t>
            </w:r>
          </w:p>
        </w:tc>
        <w:tc>
          <w:tcPr>
            <w:tcW w:w="287"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447 853 405</w:t>
            </w:r>
          </w:p>
        </w:tc>
        <w:tc>
          <w:tcPr>
            <w:tcW w:w="287"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24 751 722</w:t>
            </w:r>
          </w:p>
        </w:tc>
        <w:tc>
          <w:tcPr>
            <w:tcW w:w="299"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6 433 224</w:t>
            </w:r>
          </w:p>
        </w:tc>
        <w:tc>
          <w:tcPr>
            <w:tcW w:w="287"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132 880 242</w:t>
            </w:r>
          </w:p>
        </w:tc>
        <w:tc>
          <w:tcPr>
            <w:tcW w:w="287"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22 407 844</w:t>
            </w:r>
          </w:p>
        </w:tc>
        <w:tc>
          <w:tcPr>
            <w:tcW w:w="299"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25 969 118</w:t>
            </w:r>
          </w:p>
        </w:tc>
        <w:tc>
          <w:tcPr>
            <w:tcW w:w="287" w:type="pct"/>
            <w:gridSpan w:val="2"/>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580 733 647</w:t>
            </w:r>
          </w:p>
        </w:tc>
        <w:tc>
          <w:tcPr>
            <w:tcW w:w="287" w:type="pct"/>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47 159 566</w:t>
            </w:r>
          </w:p>
        </w:tc>
        <w:tc>
          <w:tcPr>
            <w:tcW w:w="294" w:type="pct"/>
            <w:tcBorders>
              <w:top w:val="nil"/>
              <w:left w:val="single" w:sz="8" w:space="0" w:color="auto"/>
              <w:bottom w:val="single" w:sz="8" w:space="0" w:color="auto"/>
              <w:right w:val="single" w:sz="4" w:space="0" w:color="auto"/>
            </w:tcBorders>
            <w:shd w:val="clear" w:color="000000" w:fill="C0C0C0"/>
            <w:vAlign w:val="center"/>
            <w:hideMark/>
          </w:tcPr>
          <w:p w:rsidR="006E6B08" w:rsidRPr="006E6B08" w:rsidRDefault="006E6B08" w:rsidP="006E6B08">
            <w:pPr>
              <w:suppressAutoHyphens w:val="0"/>
              <w:spacing w:after="0"/>
              <w:ind w:firstLine="0"/>
              <w:jc w:val="right"/>
              <w:rPr>
                <w:rFonts w:eastAsia="Times New Roman" w:cs="Times New Roman"/>
                <w:b/>
                <w:bCs/>
                <w:kern w:val="0"/>
                <w:sz w:val="12"/>
                <w:szCs w:val="12"/>
              </w:rPr>
            </w:pPr>
            <w:r w:rsidRPr="006E6B08">
              <w:rPr>
                <w:rFonts w:eastAsia="Times New Roman" w:cs="Times New Roman"/>
                <w:b/>
                <w:bCs/>
                <w:kern w:val="0"/>
                <w:sz w:val="12"/>
                <w:szCs w:val="12"/>
              </w:rPr>
              <w:t>627 893 213</w:t>
            </w:r>
          </w:p>
        </w:tc>
      </w:tr>
      <w:tr w:rsidR="006E6B08" w:rsidRPr="006E6B08" w:rsidTr="001842E1">
        <w:trPr>
          <w:gridBefore w:val="1"/>
          <w:wBefore w:w="67" w:type="pct"/>
          <w:trHeight w:val="165"/>
        </w:trPr>
        <w:tc>
          <w:tcPr>
            <w:tcW w:w="2017" w:type="pct"/>
            <w:gridSpan w:val="7"/>
            <w:tcBorders>
              <w:top w:val="nil"/>
              <w:left w:val="nil"/>
              <w:bottom w:val="nil"/>
              <w:right w:val="nil"/>
            </w:tcBorders>
            <w:shd w:val="clear" w:color="auto" w:fill="auto"/>
            <w:noWrap/>
            <w:vAlign w:val="center"/>
            <w:hideMark/>
          </w:tcPr>
          <w:p w:rsidR="006E6B08" w:rsidRPr="006E6B08" w:rsidRDefault="006E6B08" w:rsidP="006E6B08">
            <w:pPr>
              <w:suppressAutoHyphens w:val="0"/>
              <w:spacing w:after="0"/>
              <w:ind w:firstLine="0"/>
              <w:jc w:val="left"/>
              <w:rPr>
                <w:rFonts w:eastAsia="Times New Roman" w:cs="Times New Roman"/>
                <w:kern w:val="0"/>
                <w:sz w:val="12"/>
                <w:szCs w:val="12"/>
              </w:rPr>
            </w:pPr>
            <w:r w:rsidRPr="006E6B08">
              <w:rPr>
                <w:rFonts w:eastAsia="Times New Roman" w:cs="Times New Roman"/>
                <w:kern w:val="0"/>
                <w:sz w:val="12"/>
                <w:szCs w:val="12"/>
              </w:rPr>
              <w:t>Megjegyzés: a kifizetések forintban teljesültek, az alkalmazott EKB árfolyam 292,3 Ft/euró</w:t>
            </w:r>
          </w:p>
        </w:tc>
        <w:tc>
          <w:tcPr>
            <w:tcW w:w="299"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87"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87"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99"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87"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87"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99"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87" w:type="pct"/>
            <w:gridSpan w:val="2"/>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87" w:type="pct"/>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c>
          <w:tcPr>
            <w:tcW w:w="294" w:type="pct"/>
            <w:tcBorders>
              <w:top w:val="nil"/>
              <w:left w:val="nil"/>
              <w:bottom w:val="nil"/>
              <w:right w:val="nil"/>
            </w:tcBorders>
            <w:shd w:val="clear" w:color="auto" w:fill="auto"/>
            <w:noWrap/>
            <w:vAlign w:val="bottom"/>
            <w:hideMark/>
          </w:tcPr>
          <w:p w:rsidR="006E6B08" w:rsidRPr="006E6B08" w:rsidRDefault="006E6B08" w:rsidP="006E6B08">
            <w:pPr>
              <w:suppressAutoHyphens w:val="0"/>
              <w:spacing w:after="0"/>
              <w:ind w:firstLine="0"/>
              <w:jc w:val="left"/>
              <w:rPr>
                <w:rFonts w:eastAsia="Times New Roman" w:cs="Times New Roman"/>
                <w:kern w:val="0"/>
                <w:sz w:val="12"/>
                <w:szCs w:val="12"/>
              </w:rPr>
            </w:pPr>
          </w:p>
        </w:tc>
      </w:tr>
      <w:tr w:rsidR="006E6B08" w:rsidRPr="006E6B08" w:rsidTr="001842E1">
        <w:tblPrEx>
          <w:jc w:val="center"/>
          <w:tblLook w:val="0000" w:firstRow="0" w:lastRow="0" w:firstColumn="0" w:lastColumn="0" w:noHBand="0" w:noVBand="0"/>
        </w:tblPrEx>
        <w:trPr>
          <w:gridAfter w:val="3"/>
          <w:wAfter w:w="714" w:type="pct"/>
          <w:jc w:val="center"/>
        </w:trPr>
        <w:tc>
          <w:tcPr>
            <w:tcW w:w="1559" w:type="pct"/>
            <w:gridSpan w:val="5"/>
            <w:tcBorders>
              <w:top w:val="nil"/>
              <w:left w:val="nil"/>
              <w:bottom w:val="nil"/>
              <w:right w:val="nil"/>
            </w:tcBorders>
            <w:shd w:val="clear" w:color="auto" w:fill="auto"/>
            <w:noWrap/>
            <w:vAlign w:val="center"/>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194" w:type="pct"/>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224" w:type="pct"/>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207"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277"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305"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277"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290"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337"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287"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c>
          <w:tcPr>
            <w:tcW w:w="329" w:type="pct"/>
            <w:gridSpan w:val="2"/>
            <w:tcBorders>
              <w:top w:val="nil"/>
              <w:left w:val="nil"/>
              <w:bottom w:val="nil"/>
              <w:right w:val="nil"/>
            </w:tcBorders>
            <w:shd w:val="clear" w:color="auto" w:fill="auto"/>
            <w:noWrap/>
            <w:vAlign w:val="bottom"/>
          </w:tcPr>
          <w:p w:rsidR="006E6B08" w:rsidRPr="006E6B08" w:rsidRDefault="006E6B08" w:rsidP="006E6B08">
            <w:pPr>
              <w:suppressAutoHyphens w:val="0"/>
              <w:spacing w:after="200" w:line="276" w:lineRule="auto"/>
              <w:ind w:firstLine="0"/>
              <w:jc w:val="left"/>
              <w:rPr>
                <w:rFonts w:eastAsiaTheme="minorHAnsi" w:cs="Times New Roman"/>
                <w:kern w:val="0"/>
                <w:sz w:val="16"/>
                <w:szCs w:val="16"/>
                <w:lang w:eastAsia="en-US"/>
              </w:rPr>
            </w:pPr>
          </w:p>
        </w:tc>
      </w:tr>
    </w:tbl>
    <w:p w:rsidR="00CF7C1C" w:rsidRPr="00380857" w:rsidRDefault="00CF7C1C" w:rsidP="00380857">
      <w:pPr>
        <w:pStyle w:val="Normlforrs"/>
      </w:pPr>
      <w:r w:rsidRPr="00380857">
        <w:t>Forrás: MVH</w:t>
      </w:r>
    </w:p>
    <w:p w:rsidR="00CF7C1C" w:rsidRDefault="00CF7C1C" w:rsidP="00727249">
      <w:pPr>
        <w:pStyle w:val="j-cmsor50"/>
        <w:sectPr w:rsidR="00CF7C1C" w:rsidSect="00CF7C1C">
          <w:headerReference w:type="default" r:id="rId87"/>
          <w:footerReference w:type="even" r:id="rId88"/>
          <w:headerReference w:type="first" r:id="rId89"/>
          <w:footerReference w:type="first" r:id="rId90"/>
          <w:pgSz w:w="16838" w:h="11906" w:orient="landscape"/>
          <w:pgMar w:top="1418" w:right="1418" w:bottom="1418" w:left="1418" w:header="709" w:footer="709" w:gutter="0"/>
          <w:cols w:space="708"/>
          <w:docGrid w:linePitch="360"/>
        </w:sectPr>
      </w:pPr>
    </w:p>
    <w:p w:rsidR="00CF7C1C" w:rsidRPr="00836323" w:rsidRDefault="00CF7C1C" w:rsidP="00727249">
      <w:pPr>
        <w:pStyle w:val="j-cmsor50"/>
      </w:pPr>
      <w:r w:rsidRPr="00836323">
        <w:lastRenderedPageBreak/>
        <w:t>Elszámolás az Európai Bizottsággal</w:t>
      </w:r>
    </w:p>
    <w:p w:rsidR="00CF7C1C" w:rsidRPr="000C2441" w:rsidRDefault="00CF7C1C" w:rsidP="004869BB">
      <w:r w:rsidRPr="000C2441">
        <w:t xml:space="preserve">A Kifizető Ügynökség számlájára a Bizottság 2007-ben, két részletben, összesen 266 409 037,44 euró összegű előleg átutalást teljesített. Az MVH 2007-ben egy alkalommal nyújtott be kiadásigazoló nyilatkozatot összesen 1 569 249,15 euró összeggel a Bizottság részére, mely átutalását a Bizottság még 2007-ben teljesítette. A Bizottság </w:t>
      </w:r>
      <w:r w:rsidRPr="000C2441">
        <w:rPr>
          <w:b/>
        </w:rPr>
        <w:t>2007-ben</w:t>
      </w:r>
      <w:r w:rsidRPr="000C2441">
        <w:t xml:space="preserve"> az előleg összegét is figyelembe véve mindösszesen </w:t>
      </w:r>
      <w:r w:rsidRPr="000C2441">
        <w:rPr>
          <w:b/>
        </w:rPr>
        <w:t>267 978 286,59</w:t>
      </w:r>
      <w:r w:rsidRPr="000C2441">
        <w:t xml:space="preserve"> </w:t>
      </w:r>
      <w:r w:rsidRPr="000C2441">
        <w:rPr>
          <w:b/>
        </w:rPr>
        <w:t>euró</w:t>
      </w:r>
      <w:r w:rsidRPr="000C2441">
        <w:t xml:space="preserve"> átutalását teljesítette a Kifizető Ügynökség számlájára.</w:t>
      </w:r>
    </w:p>
    <w:p w:rsidR="00CF7C1C" w:rsidRPr="000C2441" w:rsidRDefault="00CF7C1C" w:rsidP="004869BB">
      <w:r w:rsidRPr="000C2441">
        <w:t xml:space="preserve">2008-ban a Bizottság nem utalt előleget, viszont négyszer történt Kifizető Ügynökségi igénylés, összesen 148 885 197,45 euró összeggel. A 2007. évi számlaelszámolás korrekciós összege (Clearance of accounts) 0,00 euró volt. A Bizottság </w:t>
      </w:r>
      <w:r w:rsidRPr="000C2441">
        <w:rPr>
          <w:b/>
        </w:rPr>
        <w:t>2008-ban</w:t>
      </w:r>
      <w:r w:rsidRPr="000C2441">
        <w:t xml:space="preserve"> </w:t>
      </w:r>
      <w:r w:rsidRPr="000C2441">
        <w:rPr>
          <w:b/>
        </w:rPr>
        <w:t>148 885 197,46</w:t>
      </w:r>
      <w:r w:rsidRPr="000C2441">
        <w:t xml:space="preserve"> </w:t>
      </w:r>
      <w:r w:rsidRPr="000C2441">
        <w:rPr>
          <w:b/>
        </w:rPr>
        <w:t>euró</w:t>
      </w:r>
      <w:r w:rsidRPr="000C2441">
        <w:t xml:space="preserve"> összeg átutalását teljesítette a Kifizető Ügynökség számlájára.</w:t>
      </w:r>
    </w:p>
    <w:p w:rsidR="00CF7C1C" w:rsidRPr="000C2441" w:rsidRDefault="00CF7C1C" w:rsidP="004869BB">
      <w:r w:rsidRPr="000C2441">
        <w:t xml:space="preserve">2009-ben szintén négyszer történt Kifizető Ügynökségi igénylés, összesen </w:t>
      </w:r>
      <w:r w:rsidRPr="000C2441">
        <w:rPr>
          <w:bCs/>
        </w:rPr>
        <w:t>497</w:t>
      </w:r>
      <w:r w:rsidR="00A37C00">
        <w:rPr>
          <w:bCs/>
        </w:rPr>
        <w:t> </w:t>
      </w:r>
      <w:r w:rsidRPr="000C2441">
        <w:rPr>
          <w:bCs/>
        </w:rPr>
        <w:t>184</w:t>
      </w:r>
      <w:r w:rsidR="00A37C00">
        <w:rPr>
          <w:bCs/>
        </w:rPr>
        <w:t> </w:t>
      </w:r>
      <w:r w:rsidRPr="000C2441">
        <w:rPr>
          <w:bCs/>
        </w:rPr>
        <w:t xml:space="preserve">390,53 </w:t>
      </w:r>
      <w:r w:rsidRPr="000C2441">
        <w:t xml:space="preserve">euró összeggel. A 2008. évi számlaelszámolás korrekciós összege (Clearance of accounts) -2,04 euró volt, amelyet a Bizottság a 2009Q2-es -– 2. negyedév - jelentés terhére teljesített. A Bizottság </w:t>
      </w:r>
      <w:r w:rsidRPr="000C2441">
        <w:rPr>
          <w:b/>
        </w:rPr>
        <w:t>2009-ben</w:t>
      </w:r>
      <w:r w:rsidRPr="000C2441">
        <w:t xml:space="preserve"> </w:t>
      </w:r>
      <w:r w:rsidRPr="000C2441">
        <w:rPr>
          <w:b/>
        </w:rPr>
        <w:t>497 184 388,46 euró</w:t>
      </w:r>
      <w:r w:rsidRPr="000C2441">
        <w:t xml:space="preserve"> összeg átutalását teljesítette a Kifizető Ügynökség számlájára.</w:t>
      </w:r>
    </w:p>
    <w:p w:rsidR="00CF7C1C" w:rsidRPr="000C2441" w:rsidRDefault="00CF7C1C" w:rsidP="004869BB">
      <w:r w:rsidRPr="000C2441">
        <w:t>A Bizottság 2010-ben a Kifizető Ügynökség számlájára egy részletben, összesen 3 797 359,96 euró összegű előleg átutalását teljesítette az Új kihívásokra. 2010-ben szintén négyszer történt Kifizető Ügynökségi igénylés, összesen 455 193 632,22</w:t>
      </w:r>
      <w:r w:rsidRPr="000C2441">
        <w:rPr>
          <w:b/>
          <w:bCs/>
        </w:rPr>
        <w:t xml:space="preserve"> </w:t>
      </w:r>
      <w:r w:rsidRPr="000C2441">
        <w:t xml:space="preserve">euró összeggel. A Bizottság </w:t>
      </w:r>
      <w:r w:rsidRPr="000C2441">
        <w:rPr>
          <w:b/>
        </w:rPr>
        <w:t>2010-ben</w:t>
      </w:r>
      <w:r w:rsidRPr="000C2441">
        <w:t xml:space="preserve"> az előleg összegét is figyelembe véve mindösszesen </w:t>
      </w:r>
      <w:r w:rsidRPr="000C2441">
        <w:rPr>
          <w:b/>
        </w:rPr>
        <w:t>455 292 132,37 euró</w:t>
      </w:r>
      <w:r w:rsidRPr="000C2441">
        <w:t xml:space="preserve"> átutalását teljesítette a Kifizető Ügynökség számlájára. A Kifizető Ügynökségi igénylés és a Bizottsági utalás közötti eltérést a Bizottsági korrekciók összege (-3 698 859,82 euró) okozza, amely egyrészt a LEADER helyi akciócsoportok (HACS) részére nyújtott működési előleg korrekciós összege (-3</w:t>
      </w:r>
      <w:r w:rsidR="00A37C00">
        <w:t> </w:t>
      </w:r>
      <w:r w:rsidRPr="000C2441">
        <w:t>698</w:t>
      </w:r>
      <w:r w:rsidR="00A37C00">
        <w:t> </w:t>
      </w:r>
      <w:r w:rsidRPr="000C2441">
        <w:t>852,08 euró a 2010Q3 – 3. negyedév - időszakban), másrészt a 2009. évi számlaelszámolás korrekciós összege (Clearance of accounts) (-7,74 euró), mely utóbbit a Bizottság a 2010Q2-es - 2. negyedév - jelentés terhére számolt el.</w:t>
      </w:r>
    </w:p>
    <w:p w:rsidR="00CF7C1C" w:rsidRPr="000C2441" w:rsidRDefault="00CF7C1C" w:rsidP="004869BB">
      <w:r w:rsidRPr="000C2441">
        <w:t>2011-ben a Bizottság nem utalt előleget, viszont három részletben (-1 265 786,65 euró a 2011Q1 – 1. negyedév - időszakban; -1 265 786,65 euró a 2011Q2 – 2. negyedév - időszakban; -1 265 786,66 euró a 2011Q3 – 3. negyedév - időszakban) levonásra került az Új kihívásokra tévesen utalt 3 797 359,96 euró összegű előleg. Négyszer történt Kifizető Ügynökségi igénylés, összesen 436 452 585,87</w:t>
      </w:r>
      <w:r w:rsidRPr="000C2441">
        <w:rPr>
          <w:b/>
        </w:rPr>
        <w:t xml:space="preserve"> </w:t>
      </w:r>
      <w:r w:rsidRPr="000C2441">
        <w:t>euró összeggel. A 2010. évi számlaelszámolás korrekciós összege (Clearance of accounts), amelyet a Bizottság a 2011Q1-es – 1. negyedév - jelentés utalásakor teljesített (+29</w:t>
      </w:r>
      <w:r w:rsidR="00A37C00">
        <w:t> </w:t>
      </w:r>
      <w:r w:rsidRPr="000C2441">
        <w:t xml:space="preserve">937,35 euró), a Bizottság C(2011)2927 számú, 2011.04.29-én kelt végrehajtási határozata alapján. A Bizottság </w:t>
      </w:r>
      <w:r w:rsidRPr="000C2441">
        <w:rPr>
          <w:b/>
        </w:rPr>
        <w:t>2011-ben</w:t>
      </w:r>
      <w:r w:rsidRPr="000C2441">
        <w:t xml:space="preserve"> </w:t>
      </w:r>
      <w:r w:rsidRPr="000C2441">
        <w:rPr>
          <w:b/>
        </w:rPr>
        <w:t>432</w:t>
      </w:r>
      <w:r w:rsidR="00A37C00">
        <w:rPr>
          <w:b/>
        </w:rPr>
        <w:t> </w:t>
      </w:r>
      <w:r w:rsidRPr="000C2441">
        <w:rPr>
          <w:b/>
        </w:rPr>
        <w:t>685</w:t>
      </w:r>
      <w:r w:rsidR="00A37C00">
        <w:rPr>
          <w:b/>
        </w:rPr>
        <w:t> </w:t>
      </w:r>
      <w:r w:rsidRPr="000C2441">
        <w:rPr>
          <w:b/>
        </w:rPr>
        <w:t>163,25 euró</w:t>
      </w:r>
      <w:r w:rsidRPr="000C2441">
        <w:t xml:space="preserve"> összeg átutalását teljesítette a Kifizető Ügynökség számlájára.</w:t>
      </w:r>
    </w:p>
    <w:p w:rsidR="00CF7C1C" w:rsidRPr="000C2441" w:rsidRDefault="00CF7C1C" w:rsidP="004869BB">
      <w:r w:rsidRPr="000C2441">
        <w:t>2012-ben szintén négyszer történt Kifizető Ügynökségi igénylés, összesen 443 956 972,22</w:t>
      </w:r>
      <w:r w:rsidRPr="000C2441">
        <w:rPr>
          <w:b/>
        </w:rPr>
        <w:t xml:space="preserve"> </w:t>
      </w:r>
      <w:r w:rsidRPr="000C2441">
        <w:t xml:space="preserve">euró összeggel. A 2011. évi számlaelszámolás korrekciós összege (Clearance of accounts), amelyet a Bizottság a 2012Q1-es – 1. negyedév - jelentés utalásakor teljesített (+164 237,37 euró). A Bizottság </w:t>
      </w:r>
      <w:r w:rsidRPr="000C2441">
        <w:rPr>
          <w:b/>
        </w:rPr>
        <w:t>2012-ben</w:t>
      </w:r>
      <w:r w:rsidRPr="000C2441">
        <w:t xml:space="preserve"> </w:t>
      </w:r>
      <w:r w:rsidRPr="000C2441">
        <w:rPr>
          <w:b/>
        </w:rPr>
        <w:t>441 187 273,23 euró</w:t>
      </w:r>
      <w:r w:rsidRPr="000C2441">
        <w:t xml:space="preserve"> összeg átutalását teljesítette a Kifizető Ügynökség számlájára.</w:t>
      </w:r>
    </w:p>
    <w:p w:rsidR="00CF7C1C" w:rsidRDefault="00CF7C1C" w:rsidP="004869BB">
      <w:pPr>
        <w:rPr>
          <w:b/>
        </w:rPr>
      </w:pPr>
      <w:r w:rsidRPr="000C2441">
        <w:t>A fentiek szerint halmozottan a 2007-2012</w:t>
      </w:r>
      <w:r w:rsidRPr="00D32A03">
        <w:t xml:space="preserve">. években az EU által átutalt előleg és támogatás összege mindösszesen </w:t>
      </w:r>
      <w:r w:rsidRPr="00536503">
        <w:rPr>
          <w:b/>
        </w:rPr>
        <w:t>2 243 212 441,35</w:t>
      </w:r>
      <w:r w:rsidRPr="00D32A03">
        <w:rPr>
          <w:b/>
          <w:bCs/>
        </w:rPr>
        <w:t xml:space="preserve"> </w:t>
      </w:r>
      <w:r w:rsidRPr="00D32A03">
        <w:t>euró</w:t>
      </w:r>
      <w:r w:rsidRPr="00D32A03">
        <w:rPr>
          <w:b/>
        </w:rPr>
        <w:t>.</w:t>
      </w:r>
    </w:p>
    <w:p w:rsidR="00CF7C1C" w:rsidRDefault="00CF7C1C" w:rsidP="004869BB">
      <w:r>
        <w:br w:type="page"/>
      </w:r>
    </w:p>
    <w:p w:rsidR="00CF7C1C" w:rsidRPr="00DF677B" w:rsidRDefault="00CF7C1C" w:rsidP="004869BB">
      <w:r w:rsidRPr="00DF677B">
        <w:lastRenderedPageBreak/>
        <w:t>A fenti összegeket és azok részletező adatait, negyedéves bontásban az alábbi táblázat tartalmazza.</w:t>
      </w:r>
    </w:p>
    <w:p w:rsidR="00CF7C1C" w:rsidRPr="00380857" w:rsidRDefault="007E5FDF" w:rsidP="00380857">
      <w:pPr>
        <w:pStyle w:val="bra-cmetbla"/>
      </w:pPr>
      <w:fldSimple w:instr=" SEQ táblázat \* ARABIC ">
        <w:r w:rsidR="00E5031F">
          <w:rPr>
            <w:noProof/>
          </w:rPr>
          <w:t>105</w:t>
        </w:r>
      </w:fldSimple>
      <w:r w:rsidR="00FE0173" w:rsidRPr="00DF677B">
        <w:t>. táblázat</w:t>
      </w:r>
      <w:r w:rsidR="00DF677B" w:rsidRPr="00DF677B">
        <w:t>:</w:t>
      </w:r>
      <w:r w:rsidR="00DF677B">
        <w:t xml:space="preserve"> </w:t>
      </w:r>
      <w:r w:rsidR="00DF677B" w:rsidRPr="00DF677B">
        <w:t>Pénzügyi kapcsolat az Európai Bizottsággal</w:t>
      </w:r>
    </w:p>
    <w:tbl>
      <w:tblPr>
        <w:tblW w:w="8520" w:type="dxa"/>
        <w:tblInd w:w="70" w:type="dxa"/>
        <w:tblCellMar>
          <w:left w:w="70" w:type="dxa"/>
          <w:right w:w="70" w:type="dxa"/>
        </w:tblCellMar>
        <w:tblLook w:val="04A0" w:firstRow="1" w:lastRow="0" w:firstColumn="1" w:lastColumn="0" w:noHBand="0" w:noVBand="1"/>
      </w:tblPr>
      <w:tblGrid>
        <w:gridCol w:w="6740"/>
        <w:gridCol w:w="1780"/>
      </w:tblGrid>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EMVA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r w:rsidRPr="00C22DBB">
              <w:rPr>
                <w:rFonts w:eastAsia="Times New Roman" w:cs="Times New Roman"/>
                <w:b/>
                <w:bCs/>
                <w:sz w:val="20"/>
                <w:szCs w:val="20"/>
              </w:rPr>
              <w:t xml:space="preserve"> Összeg (euró) </w:t>
            </w:r>
          </w:p>
        </w:tc>
      </w:tr>
      <w:tr w:rsidR="00DF677B" w:rsidRPr="00C22DBB" w:rsidTr="00DF677B">
        <w:trPr>
          <w:trHeight w:val="270"/>
        </w:trPr>
        <w:tc>
          <w:tcPr>
            <w:tcW w:w="85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r w:rsidRPr="00C22DBB">
              <w:rPr>
                <w:rFonts w:eastAsia="Times New Roman" w:cs="Times New Roman"/>
                <w:b/>
                <w:bCs/>
                <w:sz w:val="20"/>
                <w:szCs w:val="20"/>
              </w:rPr>
              <w:t>EU által átutalt előleg</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2007.11.05</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133 204 518,72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2007.12.19</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133 204 518,72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előleg 2007.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266 409 037,44    </w:t>
            </w:r>
          </w:p>
        </w:tc>
      </w:tr>
      <w:tr w:rsidR="00DF677B" w:rsidRPr="00C22DBB" w:rsidTr="00DF677B">
        <w:trPr>
          <w:trHeight w:val="270"/>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2010.11.19</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3 797 359,96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előleg 2010.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3 797 359,96    </w:t>
            </w:r>
          </w:p>
        </w:tc>
      </w:tr>
      <w:tr w:rsidR="00DF677B" w:rsidRPr="00C22DBB" w:rsidTr="00DF677B">
        <w:trPr>
          <w:trHeight w:val="270"/>
        </w:trPr>
        <w:tc>
          <w:tcPr>
            <w:tcW w:w="6740" w:type="dxa"/>
            <w:tcBorders>
              <w:top w:val="nil"/>
              <w:left w:val="nil"/>
              <w:bottom w:val="nil"/>
              <w:right w:val="nil"/>
            </w:tcBorders>
            <w:shd w:val="clear" w:color="auto" w:fill="auto"/>
            <w:vAlign w:val="center"/>
            <w:hideMark/>
          </w:tcPr>
          <w:p w:rsidR="00DF677B" w:rsidRPr="00C22DBB" w:rsidRDefault="00DF677B" w:rsidP="00DF677B">
            <w:pPr>
              <w:spacing w:after="0"/>
              <w:rPr>
                <w:rFonts w:eastAsia="Times New Roman" w:cs="Times New Roman"/>
                <w:b/>
                <w:bCs/>
                <w:sz w:val="20"/>
                <w:szCs w:val="20"/>
              </w:rPr>
            </w:pPr>
          </w:p>
        </w:tc>
        <w:tc>
          <w:tcPr>
            <w:tcW w:w="1780" w:type="dxa"/>
            <w:tcBorders>
              <w:top w:val="nil"/>
              <w:left w:val="nil"/>
              <w:bottom w:val="nil"/>
              <w:right w:val="nil"/>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p>
        </w:tc>
      </w:tr>
      <w:tr w:rsidR="00DF677B" w:rsidRPr="00C22DBB" w:rsidTr="00DF677B">
        <w:trPr>
          <w:trHeight w:val="270"/>
        </w:trPr>
        <w:tc>
          <w:tcPr>
            <w:tcW w:w="85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r w:rsidRPr="00C22DBB">
              <w:rPr>
                <w:rFonts w:eastAsia="Times New Roman" w:cs="Times New Roman"/>
                <w:b/>
                <w:bCs/>
                <w:sz w:val="20"/>
                <w:szCs w:val="20"/>
              </w:rPr>
              <w:t xml:space="preserve">EU által levont előleg ("-"=levont)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2011.06.16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-1 265 786,65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2011.08.19</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-1 265 786,65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2011.12.07</w:t>
            </w:r>
          </w:p>
        </w:tc>
        <w:tc>
          <w:tcPr>
            <w:tcW w:w="1780" w:type="dxa"/>
            <w:tcBorders>
              <w:top w:val="nil"/>
              <w:left w:val="nil"/>
              <w:bottom w:val="nil"/>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-1 265 786,66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előleg 2011.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-3 797 359,96    </w:t>
            </w:r>
          </w:p>
        </w:tc>
      </w:tr>
      <w:tr w:rsidR="00DF677B" w:rsidRPr="00C22DBB" w:rsidTr="00DF677B">
        <w:trPr>
          <w:trHeight w:val="270"/>
        </w:trPr>
        <w:tc>
          <w:tcPr>
            <w:tcW w:w="6740" w:type="dxa"/>
            <w:tcBorders>
              <w:top w:val="nil"/>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előleg összesen (2007-2011.)</w:t>
            </w:r>
          </w:p>
        </w:tc>
        <w:tc>
          <w:tcPr>
            <w:tcW w:w="1780" w:type="dxa"/>
            <w:tcBorders>
              <w:top w:val="nil"/>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266 409 037,44    </w:t>
            </w:r>
          </w:p>
        </w:tc>
      </w:tr>
      <w:tr w:rsidR="00DF677B" w:rsidRPr="00C22DBB" w:rsidTr="00DF677B">
        <w:trPr>
          <w:trHeight w:val="270"/>
        </w:trPr>
        <w:tc>
          <w:tcPr>
            <w:tcW w:w="6740" w:type="dxa"/>
            <w:tcBorders>
              <w:top w:val="nil"/>
              <w:left w:val="nil"/>
              <w:bottom w:val="single" w:sz="8" w:space="0" w:color="auto"/>
              <w:right w:val="nil"/>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 </w:t>
            </w:r>
          </w:p>
        </w:tc>
        <w:tc>
          <w:tcPr>
            <w:tcW w:w="1780" w:type="dxa"/>
            <w:tcBorders>
              <w:top w:val="nil"/>
              <w:left w:val="nil"/>
              <w:bottom w:val="single" w:sz="8" w:space="0" w:color="auto"/>
              <w:right w:val="nil"/>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r w:rsidRPr="00C22DBB">
              <w:rPr>
                <w:rFonts w:eastAsia="Times New Roman" w:cs="Times New Roman"/>
                <w:b/>
                <w:bCs/>
                <w:sz w:val="20"/>
                <w:szCs w:val="20"/>
              </w:rPr>
              <w:t> </w:t>
            </w:r>
          </w:p>
        </w:tc>
      </w:tr>
      <w:tr w:rsidR="00DF677B" w:rsidRPr="00C22DBB" w:rsidTr="00DF677B">
        <w:trPr>
          <w:trHeight w:val="270"/>
        </w:trPr>
        <w:tc>
          <w:tcPr>
            <w:tcW w:w="85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r w:rsidRPr="00C22DBB">
              <w:rPr>
                <w:rFonts w:eastAsia="Times New Roman" w:cs="Times New Roman"/>
                <w:b/>
                <w:bCs/>
                <w:sz w:val="20"/>
                <w:szCs w:val="20"/>
              </w:rPr>
              <w:t>Kifizető ügynökségi igénylés</w:t>
            </w:r>
          </w:p>
        </w:tc>
      </w:tr>
      <w:tr w:rsidR="00DF677B" w:rsidRPr="00C22DBB" w:rsidTr="00DF677B">
        <w:trPr>
          <w:trHeight w:val="270"/>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2007.11.21</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1 569 249,15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Kifizető ügynökségi igénylés 2007.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1 569 249,15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2008.01.16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52 944 204,32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2008.04.22</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16 668 304,04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2008.07.09</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34 734 352,96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2008.11.03</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44 538 336,13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Kifizető ügynökségi igénylés 2008.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148 885 197,45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2009.01.16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156 246 669,72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2009.04.22</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96 671 967,12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2009.07.27</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155 032 082,53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2009.10.28</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89 233 671,16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Kifizető ügynökségi igénylés 2009.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497 184 390,53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2010.01.20</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146 605 565,86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2010.04.21</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114 137 435,60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2010.07.13</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112 972 145,48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2010.11.05</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81 478 485,28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Kifizető ügynökségi igénylés 2010.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455 193 632,22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2011.01.25</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101 803 301,83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2011.04.19</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155 198 882,60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2011.07.11</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113 558 494,29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2011.10.26</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65 891 907,15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Kifizető ügynökségi igénylés 2011.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436 452 585,87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2012.01.18</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120 237 858,08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2012.04.18</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154 957 675,44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2012.07.11</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85 933 967,94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2012.10.26</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82 827 470,76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Kifizető ügynökségi igénylés 2012.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443 956 972,22    </w:t>
            </w:r>
          </w:p>
        </w:tc>
      </w:tr>
      <w:tr w:rsidR="00DF677B" w:rsidRPr="00C22DBB" w:rsidTr="00DF677B">
        <w:trPr>
          <w:trHeight w:val="270"/>
        </w:trPr>
        <w:tc>
          <w:tcPr>
            <w:tcW w:w="6740" w:type="dxa"/>
            <w:tcBorders>
              <w:top w:val="nil"/>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Kifizető ügynökségi igénylés összesen (2007-2012.)</w:t>
            </w:r>
          </w:p>
        </w:tc>
        <w:tc>
          <w:tcPr>
            <w:tcW w:w="1780" w:type="dxa"/>
            <w:tcBorders>
              <w:top w:val="nil"/>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1 983 242 027,44    </w:t>
            </w:r>
          </w:p>
        </w:tc>
      </w:tr>
      <w:tr w:rsidR="00DF677B" w:rsidRPr="00C22DBB" w:rsidTr="00DF677B">
        <w:trPr>
          <w:trHeight w:val="270"/>
        </w:trPr>
        <w:tc>
          <w:tcPr>
            <w:tcW w:w="6740" w:type="dxa"/>
            <w:tcBorders>
              <w:top w:val="nil"/>
              <w:left w:val="nil"/>
              <w:bottom w:val="nil"/>
              <w:right w:val="nil"/>
            </w:tcBorders>
            <w:shd w:val="clear" w:color="auto" w:fill="auto"/>
            <w:vAlign w:val="center"/>
            <w:hideMark/>
          </w:tcPr>
          <w:p w:rsidR="00DF677B" w:rsidRDefault="00DF677B" w:rsidP="00DF677B">
            <w:pPr>
              <w:spacing w:after="0"/>
              <w:rPr>
                <w:rFonts w:eastAsia="Times New Roman" w:cs="Times New Roman"/>
                <w:sz w:val="20"/>
                <w:szCs w:val="20"/>
              </w:rPr>
            </w:pPr>
          </w:p>
          <w:p w:rsidR="00DF677B" w:rsidRPr="00C22DBB" w:rsidRDefault="00DF677B" w:rsidP="00DF677B">
            <w:pPr>
              <w:spacing w:after="0"/>
              <w:rPr>
                <w:rFonts w:eastAsia="Times New Roman" w:cs="Times New Roman"/>
                <w:sz w:val="20"/>
                <w:szCs w:val="20"/>
              </w:rPr>
            </w:pPr>
          </w:p>
        </w:tc>
        <w:tc>
          <w:tcPr>
            <w:tcW w:w="1780" w:type="dxa"/>
            <w:tcBorders>
              <w:top w:val="nil"/>
              <w:left w:val="nil"/>
              <w:bottom w:val="nil"/>
              <w:right w:val="nil"/>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p>
        </w:tc>
      </w:tr>
      <w:tr w:rsidR="00DF677B" w:rsidRPr="00C22DBB" w:rsidTr="00DF677B">
        <w:trPr>
          <w:trHeight w:val="270"/>
        </w:trPr>
        <w:tc>
          <w:tcPr>
            <w:tcW w:w="85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F677B" w:rsidRPr="00C22DBB" w:rsidRDefault="00DF677B" w:rsidP="00DF677B">
            <w:pPr>
              <w:spacing w:after="0"/>
              <w:jc w:val="center"/>
              <w:rPr>
                <w:rFonts w:eastAsia="Times New Roman" w:cs="Times New Roman"/>
                <w:b/>
                <w:bCs/>
                <w:sz w:val="20"/>
                <w:szCs w:val="20"/>
              </w:rPr>
            </w:pPr>
            <w:r w:rsidRPr="00C22DBB">
              <w:rPr>
                <w:rFonts w:eastAsia="Times New Roman" w:cs="Times New Roman"/>
                <w:b/>
                <w:bCs/>
                <w:sz w:val="20"/>
                <w:szCs w:val="20"/>
              </w:rPr>
              <w:lastRenderedPageBreak/>
              <w:t>EU által átutalt támogatás összesen</w:t>
            </w:r>
          </w:p>
        </w:tc>
      </w:tr>
      <w:tr w:rsidR="00DF677B" w:rsidRPr="00C22DBB" w:rsidTr="00DF677B">
        <w:trPr>
          <w:trHeight w:val="270"/>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2007.11.29</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1 569 249,15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támogatás 2007.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1 569 249,15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2008.03.05</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52 944 204,32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2008.05.30</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16 668 304,04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2008.08.05</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34 734 352,96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2008.11.24</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44 538 336,14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támogatás 2008.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148 885 197,46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2009.02.26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156 246 669,69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2009.05.19</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96 671 967,12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2009.09.09</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155 032 080,49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2009.12.07</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89 233 671,16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támogatás 2009.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497 184 388,46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2010.02.24</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146 605 565,85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2010.05.27</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114 137 435,61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2010.08.11</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112 972 137,74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2010.12.27</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77 779 633,20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támogatás 2010.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451 494 772,40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2011.03.01</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101 803 301,83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2011.06.16</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155 228 819,95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2011.08.19</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113 558 494,29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2011.12.07</w:t>
            </w:r>
          </w:p>
        </w:tc>
        <w:tc>
          <w:tcPr>
            <w:tcW w:w="1780" w:type="dxa"/>
            <w:tcBorders>
              <w:top w:val="nil"/>
              <w:left w:val="nil"/>
              <w:bottom w:val="nil"/>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65 891 907,14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támogatás 2011.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436 482 523,21    </w:t>
            </w:r>
          </w:p>
        </w:tc>
      </w:tr>
      <w:tr w:rsidR="00DF677B" w:rsidRPr="00C22DBB" w:rsidTr="00DF677B">
        <w:trPr>
          <w:trHeight w:val="255"/>
        </w:trPr>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2012.03.13</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51 313 343,47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2012.03.28</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36 654 652,57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2012.04.11</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32 269 862,04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2012.05.15</w:t>
            </w:r>
          </w:p>
        </w:tc>
        <w:tc>
          <w:tcPr>
            <w:tcW w:w="1780" w:type="dxa"/>
            <w:tcBorders>
              <w:top w:val="nil"/>
              <w:left w:val="nil"/>
              <w:bottom w:val="nil"/>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164 237,37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2012.05.16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154 957 675,40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2012.08.06</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85 933 967,94    </w:t>
            </w:r>
          </w:p>
        </w:tc>
      </w:tr>
      <w:tr w:rsidR="00DF677B" w:rsidRPr="00C22DBB" w:rsidTr="00DF677B">
        <w:trPr>
          <w:trHeight w:val="255"/>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2012.12.10</w:t>
            </w:r>
          </w:p>
        </w:tc>
        <w:tc>
          <w:tcPr>
            <w:tcW w:w="1780" w:type="dxa"/>
            <w:tcBorders>
              <w:top w:val="nil"/>
              <w:left w:val="nil"/>
              <w:bottom w:val="single" w:sz="4" w:space="0" w:color="auto"/>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46 910 951,65    </w:t>
            </w:r>
          </w:p>
        </w:tc>
      </w:tr>
      <w:tr w:rsidR="00DF677B" w:rsidRPr="00C22DBB" w:rsidTr="00DF677B">
        <w:trPr>
          <w:trHeight w:val="270"/>
        </w:trPr>
        <w:tc>
          <w:tcPr>
            <w:tcW w:w="6740" w:type="dxa"/>
            <w:tcBorders>
              <w:top w:val="nil"/>
              <w:left w:val="single" w:sz="4" w:space="0" w:color="auto"/>
              <w:bottom w:val="single" w:sz="4" w:space="0" w:color="auto"/>
              <w:right w:val="single" w:sz="4" w:space="0" w:color="auto"/>
            </w:tcBorders>
            <w:shd w:val="clear" w:color="auto" w:fill="auto"/>
            <w:hideMark/>
          </w:tcPr>
          <w:p w:rsidR="00DF677B" w:rsidRPr="00C22DBB" w:rsidRDefault="00DF677B" w:rsidP="00DF677B">
            <w:pPr>
              <w:spacing w:after="0"/>
              <w:ind w:firstLineChars="200" w:firstLine="400"/>
              <w:rPr>
                <w:rFonts w:eastAsia="Times New Roman" w:cs="Times New Roman"/>
                <w:sz w:val="20"/>
                <w:szCs w:val="20"/>
              </w:rPr>
            </w:pPr>
            <w:r w:rsidRPr="00C22DBB">
              <w:rPr>
                <w:rFonts w:eastAsia="Times New Roman" w:cs="Times New Roman"/>
                <w:sz w:val="20"/>
                <w:szCs w:val="20"/>
              </w:rPr>
              <w:t>2012.12.20</w:t>
            </w:r>
          </w:p>
        </w:tc>
        <w:tc>
          <w:tcPr>
            <w:tcW w:w="1780" w:type="dxa"/>
            <w:tcBorders>
              <w:top w:val="nil"/>
              <w:left w:val="nil"/>
              <w:bottom w:val="nil"/>
              <w:right w:val="single" w:sz="4" w:space="0" w:color="auto"/>
            </w:tcBorders>
            <w:shd w:val="clear" w:color="auto" w:fill="auto"/>
            <w:vAlign w:val="center"/>
            <w:hideMark/>
          </w:tcPr>
          <w:p w:rsidR="00DF677B" w:rsidRPr="00C22DBB" w:rsidRDefault="00DF677B" w:rsidP="00DF677B">
            <w:pPr>
              <w:spacing w:after="0"/>
              <w:jc w:val="right"/>
              <w:rPr>
                <w:rFonts w:eastAsia="Times New Roman" w:cs="Times New Roman"/>
                <w:sz w:val="20"/>
                <w:szCs w:val="20"/>
              </w:rPr>
            </w:pPr>
            <w:r w:rsidRPr="00C22DBB">
              <w:rPr>
                <w:rFonts w:eastAsia="Times New Roman" w:cs="Times New Roman"/>
                <w:sz w:val="20"/>
                <w:szCs w:val="20"/>
              </w:rPr>
              <w:t xml:space="preserve">32 982 582,79    </w:t>
            </w:r>
          </w:p>
        </w:tc>
      </w:tr>
      <w:tr w:rsidR="00DF677B" w:rsidRPr="00C22DBB" w:rsidTr="00DF677B">
        <w:trPr>
          <w:trHeight w:val="270"/>
        </w:trPr>
        <w:tc>
          <w:tcPr>
            <w:tcW w:w="67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támogatás 2012. összesen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441 187 273,23    </w:t>
            </w:r>
          </w:p>
        </w:tc>
      </w:tr>
      <w:tr w:rsidR="00DF677B" w:rsidRPr="00C22DBB" w:rsidTr="00DF677B">
        <w:trPr>
          <w:trHeight w:val="270"/>
        </w:trPr>
        <w:tc>
          <w:tcPr>
            <w:tcW w:w="6740" w:type="dxa"/>
            <w:tcBorders>
              <w:top w:val="nil"/>
              <w:left w:val="single" w:sz="8" w:space="0" w:color="auto"/>
              <w:bottom w:val="single" w:sz="8" w:space="0" w:color="auto"/>
              <w:right w:val="single" w:sz="4" w:space="0" w:color="auto"/>
            </w:tcBorders>
            <w:shd w:val="clear" w:color="auto" w:fill="auto"/>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támogatás összesen (2007-2012.)</w:t>
            </w:r>
          </w:p>
        </w:tc>
        <w:tc>
          <w:tcPr>
            <w:tcW w:w="1780" w:type="dxa"/>
            <w:tcBorders>
              <w:top w:val="nil"/>
              <w:left w:val="nil"/>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1 976 803 403,91    </w:t>
            </w:r>
          </w:p>
        </w:tc>
      </w:tr>
      <w:tr w:rsidR="00DF677B" w:rsidRPr="00C22DBB" w:rsidTr="00DF677B">
        <w:trPr>
          <w:trHeight w:val="270"/>
        </w:trPr>
        <w:tc>
          <w:tcPr>
            <w:tcW w:w="6740" w:type="dxa"/>
            <w:tcBorders>
              <w:top w:val="nil"/>
              <w:left w:val="single" w:sz="8" w:space="0" w:color="auto"/>
              <w:bottom w:val="single" w:sz="8" w:space="0" w:color="auto"/>
              <w:right w:val="nil"/>
            </w:tcBorders>
            <w:shd w:val="clear" w:color="auto" w:fill="auto"/>
            <w:noWrap/>
            <w:vAlign w:val="center"/>
            <w:hideMark/>
          </w:tcPr>
          <w:p w:rsidR="00DF677B" w:rsidRPr="00C22DBB" w:rsidRDefault="00DF677B" w:rsidP="00DF677B">
            <w:pPr>
              <w:spacing w:after="0"/>
              <w:rPr>
                <w:rFonts w:eastAsia="Times New Roman" w:cs="Times New Roman"/>
                <w:b/>
                <w:bCs/>
                <w:sz w:val="20"/>
                <w:szCs w:val="20"/>
              </w:rPr>
            </w:pPr>
            <w:r w:rsidRPr="00C22DBB">
              <w:rPr>
                <w:rFonts w:eastAsia="Times New Roman" w:cs="Times New Roman"/>
                <w:b/>
                <w:bCs/>
                <w:sz w:val="20"/>
                <w:szCs w:val="20"/>
              </w:rPr>
              <w:t>EU által átutalt előleg és támogatás összesen (2007-2012.)</w:t>
            </w:r>
          </w:p>
        </w:tc>
        <w:tc>
          <w:tcPr>
            <w:tcW w:w="1780" w:type="dxa"/>
            <w:tcBorders>
              <w:top w:val="nil"/>
              <w:left w:val="single" w:sz="4" w:space="0" w:color="auto"/>
              <w:bottom w:val="single" w:sz="8" w:space="0" w:color="auto"/>
              <w:right w:val="single" w:sz="8" w:space="0" w:color="auto"/>
            </w:tcBorders>
            <w:shd w:val="clear" w:color="auto" w:fill="auto"/>
            <w:vAlign w:val="center"/>
            <w:hideMark/>
          </w:tcPr>
          <w:p w:rsidR="00DF677B" w:rsidRPr="00C22DBB" w:rsidRDefault="00DF677B" w:rsidP="00DF677B">
            <w:pPr>
              <w:spacing w:after="0"/>
              <w:jc w:val="right"/>
              <w:rPr>
                <w:rFonts w:eastAsia="Times New Roman" w:cs="Times New Roman"/>
                <w:b/>
                <w:bCs/>
                <w:sz w:val="20"/>
                <w:szCs w:val="20"/>
              </w:rPr>
            </w:pPr>
            <w:r w:rsidRPr="00C22DBB">
              <w:rPr>
                <w:rFonts w:eastAsia="Times New Roman" w:cs="Times New Roman"/>
                <w:b/>
                <w:bCs/>
                <w:sz w:val="20"/>
                <w:szCs w:val="20"/>
              </w:rPr>
              <w:t xml:space="preserve">2 243 212 441,35    </w:t>
            </w:r>
          </w:p>
        </w:tc>
      </w:tr>
    </w:tbl>
    <w:p w:rsidR="00CF7C1C" w:rsidRPr="003C0B32" w:rsidRDefault="00CF7C1C" w:rsidP="00CF7C1C">
      <w:pPr>
        <w:pStyle w:val="Normlforrs"/>
      </w:pPr>
      <w:r w:rsidRPr="003C0B32">
        <w:t>Forrás: MVH</w:t>
      </w:r>
    </w:p>
    <w:p w:rsidR="00CF7C1C" w:rsidRPr="000C2441" w:rsidRDefault="00CF7C1C" w:rsidP="004869BB">
      <w:r w:rsidRPr="000C2441">
        <w:t xml:space="preserve">A </w:t>
      </w:r>
      <w:r w:rsidRPr="000C2441">
        <w:rPr>
          <w:b/>
        </w:rPr>
        <w:t>2007-13-as EMVA kerethez</w:t>
      </w:r>
      <w:r w:rsidRPr="000C2441">
        <w:t xml:space="preserve">, azaz </w:t>
      </w:r>
      <w:r w:rsidRPr="000C2441">
        <w:rPr>
          <w:b/>
        </w:rPr>
        <w:t>3 860 091 392</w:t>
      </w:r>
      <w:r w:rsidRPr="000C2441">
        <w:t xml:space="preserve"> </w:t>
      </w:r>
      <w:r w:rsidRPr="000C2441">
        <w:rPr>
          <w:b/>
        </w:rPr>
        <w:t>euróhoz</w:t>
      </w:r>
      <w:r w:rsidRPr="000C2441">
        <w:t xml:space="preserve"> viszonyítva a program jelenlegi pénzügyi teljesítése 58,11%.</w:t>
      </w:r>
    </w:p>
    <w:p w:rsidR="00CF7C1C" w:rsidRPr="000C2441" w:rsidRDefault="00CF7C1C" w:rsidP="004869BB">
      <w:r w:rsidRPr="000C2441">
        <w:t xml:space="preserve">Az „n+2” szabályt szem előtt tartva, </w:t>
      </w:r>
      <w:r w:rsidRPr="000C2441">
        <w:rPr>
          <w:b/>
        </w:rPr>
        <w:t>a 2012. év végi „n+2” kötelezettség 2 164 573 405 euró</w:t>
      </w:r>
      <w:r w:rsidRPr="000C2441">
        <w:t>, amely a 2007-2010. évi Bizottsági kötelezettségvállalás, azaz a 2007. évi, 2008. évi, 2009. évi és a 2010. évi EMVA keretek összege.</w:t>
      </w:r>
      <w:r w:rsidRPr="000C2441">
        <w:rPr>
          <w:b/>
        </w:rPr>
        <w:t xml:space="preserve"> </w:t>
      </w:r>
      <w:r w:rsidRPr="000C2441">
        <w:t xml:space="preserve">Az EU 2007-2010. évre vonatkozó kötelezettségvállalásához viszonyítva </w:t>
      </w:r>
      <w:r w:rsidRPr="000C2441">
        <w:rPr>
          <w:b/>
        </w:rPr>
        <w:t>a pénzügyi teljesítés</w:t>
      </w:r>
      <w:r w:rsidRPr="000C2441">
        <w:t xml:space="preserve"> </w:t>
      </w:r>
      <w:r w:rsidRPr="000C2441">
        <w:rPr>
          <w:b/>
        </w:rPr>
        <w:t xml:space="preserve">103,63%. </w:t>
      </w:r>
      <w:r w:rsidRPr="000C2441">
        <w:t xml:space="preserve">2012. év végéig összesen </w:t>
      </w:r>
      <w:r w:rsidRPr="000C2441">
        <w:rPr>
          <w:b/>
        </w:rPr>
        <w:t>2 243 212 414,35</w:t>
      </w:r>
      <w:r w:rsidRPr="000C2441">
        <w:rPr>
          <w:rFonts w:eastAsia="Times New Roman"/>
          <w:b/>
          <w:bCs/>
          <w:kern w:val="0"/>
        </w:rPr>
        <w:t xml:space="preserve"> </w:t>
      </w:r>
      <w:r w:rsidRPr="000C2441">
        <w:rPr>
          <w:b/>
        </w:rPr>
        <w:t>euró került lehívásra</w:t>
      </w:r>
      <w:r w:rsidRPr="000C2441">
        <w:t xml:space="preserve"> az EU-tól (beleszámítva a Bizottság által utalt előlegeket is), tehát a 2012. év végi „n+2” kötelezettség teljesítése megtörtént.</w:t>
      </w:r>
    </w:p>
    <w:p w:rsidR="00CF7C1C" w:rsidRPr="00D32A03" w:rsidRDefault="00CF7C1C" w:rsidP="00727249">
      <w:pPr>
        <w:pStyle w:val="j-cmsor50"/>
      </w:pPr>
      <w:r w:rsidRPr="00D32A03">
        <w:t xml:space="preserve"> Kifizetési előrejelzések</w:t>
      </w:r>
    </w:p>
    <w:p w:rsidR="00CF7C1C" w:rsidRPr="000C2441" w:rsidRDefault="00CF7C1C" w:rsidP="004869BB">
      <w:r w:rsidRPr="000C2441">
        <w:t xml:space="preserve">Az MVH évente két alkalommal küld a Bizottságnak kifizetési előrejelzést, az egyes intézkedésekért, jogcímekért felelős szakterületek előrejelzései alapján. Az előrejelzések forintban </w:t>
      </w:r>
      <w:r w:rsidRPr="000C2441">
        <w:lastRenderedPageBreak/>
        <w:t>történnek, az elmúlt évben az euró árfolyamának jelentős változása is befolyásolta az euróban történő lehívások összegét.</w:t>
      </w:r>
    </w:p>
    <w:p w:rsidR="00CF7C1C" w:rsidRPr="000C2441" w:rsidRDefault="00CF7C1C" w:rsidP="004869BB">
      <w:r w:rsidRPr="000C2441">
        <w:t xml:space="preserve">A 2012-re előre jelzett kifizetési igény </w:t>
      </w:r>
      <w:r w:rsidRPr="000C2441">
        <w:rPr>
          <w:b/>
        </w:rPr>
        <w:t>426 340 851</w:t>
      </w:r>
      <w:r w:rsidRPr="000C2441">
        <w:rPr>
          <w:b/>
          <w:bCs/>
        </w:rPr>
        <w:t xml:space="preserve"> </w:t>
      </w:r>
      <w:r w:rsidRPr="000C2441">
        <w:rPr>
          <w:b/>
        </w:rPr>
        <w:t>euró</w:t>
      </w:r>
      <w:r w:rsidRPr="000C2441">
        <w:t xml:space="preserve"> volt, mely összegből 2012-ben a tényleges lehívás összege </w:t>
      </w:r>
      <w:r w:rsidRPr="000C2441">
        <w:rPr>
          <w:b/>
        </w:rPr>
        <w:t>441 187 273</w:t>
      </w:r>
      <w:r w:rsidRPr="000C2441">
        <w:t xml:space="preserve"> </w:t>
      </w:r>
      <w:r w:rsidRPr="000C2441">
        <w:rPr>
          <w:b/>
        </w:rPr>
        <w:t>euró</w:t>
      </w:r>
      <w:r w:rsidRPr="000C2441">
        <w:t xml:space="preserve"> volt, tehát az előrejelzésekhez viszonyítva a tényleges teljesülés 103,48%-os volt.</w:t>
      </w:r>
    </w:p>
    <w:p w:rsidR="00CF7C1C" w:rsidRPr="000C2441" w:rsidRDefault="00CF7C1C" w:rsidP="004869BB">
      <w:r w:rsidRPr="000C2441">
        <w:t>A táblázatok összehasonlításából látható, hogy az egyes negyedévekben váltakozva történt alul- illetve túlteljesítés a lehívások tekintetében a leadott előrejelzésekhez képest. 2012-ben a Bizottság a 2011Q4 és a 2013Q3 kifizető ügynökségi igény esetében 3-3 részletben teljesítette a lehívás összegének átutalását Magyarország számára. 2012Q3 3. részletének átutalására 2013-ban került sor.</w:t>
      </w:r>
    </w:p>
    <w:p w:rsidR="00CF7C1C" w:rsidRPr="000C2441" w:rsidRDefault="00CF7C1C" w:rsidP="004869BB">
      <w:r w:rsidRPr="000C2441">
        <w:t>Az 1. negyedév előrejelzése 95,99%-ban került alulteljesítésre, a 2011. évi utolsó negyedéves kedvezményezetti kifizetések költségnyilatkozatba helyezésének 2012-re történő átcsúszása miatt. A 2. negyedévi EU által utalt támogatás összege, az előre jelzetthez képest 100%-os teljesítést mutat, a 3. negyedévi Bizottsági utalás 115,27%-os túlteljesítést mutat, tehát a 3. negyedévre koncentrálódott több kifizetés, ami a kedvezményezettek kifizetési kérelmeivel magyarázható. A 3. negyedévi kifizetés adatait torzítja, hogy a 2012Q3 3. részletének átutalására csak 2013-ban került sor, azért a 2012. évi végrehajtási jelentésben nem került beszámításra, így a túlteljesítés alacsonyabb értéket mutat a tényleges teljesítésnél.</w:t>
      </w:r>
    </w:p>
    <w:p w:rsidR="00CF7C1C" w:rsidRDefault="007E5FDF" w:rsidP="00FE0173">
      <w:pPr>
        <w:pStyle w:val="bra-cmetbla"/>
      </w:pPr>
      <w:fldSimple w:instr=" SEQ táblázat \* ARABIC ">
        <w:r w:rsidR="00E5031F">
          <w:rPr>
            <w:noProof/>
          </w:rPr>
          <w:t>106</w:t>
        </w:r>
      </w:fldSimple>
      <w:r w:rsidR="00FE0173">
        <w:t>. táblázat</w:t>
      </w:r>
    </w:p>
    <w:tbl>
      <w:tblPr>
        <w:tblW w:w="5640" w:type="dxa"/>
        <w:jc w:val="center"/>
        <w:tblCellMar>
          <w:left w:w="70" w:type="dxa"/>
          <w:right w:w="70" w:type="dxa"/>
        </w:tblCellMar>
        <w:tblLook w:val="04A0" w:firstRow="1" w:lastRow="0" w:firstColumn="1" w:lastColumn="0" w:noHBand="0" w:noVBand="1"/>
      </w:tblPr>
      <w:tblGrid>
        <w:gridCol w:w="3195"/>
        <w:gridCol w:w="2445"/>
      </w:tblGrid>
      <w:tr w:rsidR="00CF7C1C" w:rsidRPr="00C22DBB" w:rsidTr="00CF7C1C">
        <w:trPr>
          <w:trHeight w:val="270"/>
          <w:jc w:val="center"/>
        </w:trPr>
        <w:tc>
          <w:tcPr>
            <w:tcW w:w="3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C1C" w:rsidRPr="00C22DBB" w:rsidRDefault="00CF7C1C" w:rsidP="00CF7C1C">
            <w:pPr>
              <w:spacing w:after="0"/>
              <w:rPr>
                <w:rFonts w:eastAsia="Times New Roman" w:cs="Times New Roman"/>
                <w:b/>
                <w:bCs/>
              </w:rPr>
            </w:pPr>
            <w:r w:rsidRPr="00C22DBB">
              <w:rPr>
                <w:rFonts w:eastAsia="Times New Roman" w:cs="Times New Roman"/>
                <w:b/>
                <w:bCs/>
              </w:rPr>
              <w:t>2012/01. negyedév</w:t>
            </w:r>
          </w:p>
        </w:tc>
        <w:tc>
          <w:tcPr>
            <w:tcW w:w="2445" w:type="dxa"/>
            <w:tcBorders>
              <w:top w:val="single" w:sz="8" w:space="0" w:color="auto"/>
              <w:left w:val="nil"/>
              <w:bottom w:val="single" w:sz="8" w:space="0" w:color="auto"/>
              <w:right w:val="single" w:sz="8" w:space="0" w:color="auto"/>
            </w:tcBorders>
            <w:shd w:val="clear" w:color="auto" w:fill="auto"/>
            <w:vAlign w:val="center"/>
            <w:hideMark/>
          </w:tcPr>
          <w:p w:rsidR="00CF7C1C" w:rsidRPr="00C22DBB" w:rsidRDefault="00CF7C1C" w:rsidP="00CF7C1C">
            <w:pPr>
              <w:spacing w:after="0"/>
              <w:jc w:val="right"/>
              <w:rPr>
                <w:rFonts w:eastAsia="Times New Roman" w:cs="Times New Roman"/>
              </w:rPr>
            </w:pPr>
            <w:r w:rsidRPr="00C22DBB">
              <w:rPr>
                <w:rFonts w:eastAsia="Times New Roman" w:cs="Times New Roman"/>
              </w:rPr>
              <w:t>161 423 862,58</w:t>
            </w:r>
          </w:p>
        </w:tc>
      </w:tr>
      <w:tr w:rsidR="00CF7C1C" w:rsidRPr="00C22DBB" w:rsidTr="00CF7C1C">
        <w:trPr>
          <w:trHeight w:val="270"/>
          <w:jc w:val="center"/>
        </w:trPr>
        <w:tc>
          <w:tcPr>
            <w:tcW w:w="3195" w:type="dxa"/>
            <w:tcBorders>
              <w:top w:val="nil"/>
              <w:left w:val="single" w:sz="8" w:space="0" w:color="auto"/>
              <w:bottom w:val="single" w:sz="8" w:space="0" w:color="auto"/>
              <w:right w:val="single" w:sz="8" w:space="0" w:color="auto"/>
            </w:tcBorders>
            <w:shd w:val="clear" w:color="auto" w:fill="auto"/>
            <w:vAlign w:val="center"/>
            <w:hideMark/>
          </w:tcPr>
          <w:p w:rsidR="00CF7C1C" w:rsidRPr="00C22DBB" w:rsidRDefault="00CF7C1C" w:rsidP="00CF7C1C">
            <w:pPr>
              <w:spacing w:after="0"/>
              <w:rPr>
                <w:rFonts w:eastAsia="Times New Roman" w:cs="Times New Roman"/>
                <w:b/>
                <w:bCs/>
              </w:rPr>
            </w:pPr>
            <w:r w:rsidRPr="00C22DBB">
              <w:rPr>
                <w:rFonts w:eastAsia="Times New Roman" w:cs="Times New Roman"/>
                <w:b/>
                <w:bCs/>
              </w:rPr>
              <w:t>2012/02. negyedév</w:t>
            </w:r>
          </w:p>
        </w:tc>
        <w:tc>
          <w:tcPr>
            <w:tcW w:w="2445" w:type="dxa"/>
            <w:tcBorders>
              <w:top w:val="nil"/>
              <w:left w:val="nil"/>
              <w:bottom w:val="single" w:sz="8" w:space="0" w:color="auto"/>
              <w:right w:val="single" w:sz="8" w:space="0" w:color="auto"/>
            </w:tcBorders>
            <w:shd w:val="clear" w:color="auto" w:fill="auto"/>
            <w:vAlign w:val="center"/>
            <w:hideMark/>
          </w:tcPr>
          <w:p w:rsidR="00CF7C1C" w:rsidRPr="00C22DBB" w:rsidRDefault="00CF7C1C" w:rsidP="00CF7C1C">
            <w:pPr>
              <w:spacing w:after="0"/>
              <w:jc w:val="right"/>
              <w:rPr>
                <w:rFonts w:eastAsia="Times New Roman" w:cs="Times New Roman"/>
              </w:rPr>
            </w:pPr>
            <w:r w:rsidRPr="00C22DBB">
              <w:rPr>
                <w:rFonts w:eastAsia="Times New Roman" w:cs="Times New Roman"/>
              </w:rPr>
              <w:t>85 933 967,94</w:t>
            </w:r>
          </w:p>
        </w:tc>
      </w:tr>
      <w:tr w:rsidR="00CF7C1C" w:rsidRPr="00C22DBB" w:rsidTr="00CF7C1C">
        <w:trPr>
          <w:trHeight w:val="270"/>
          <w:jc w:val="center"/>
        </w:trPr>
        <w:tc>
          <w:tcPr>
            <w:tcW w:w="3195" w:type="dxa"/>
            <w:tcBorders>
              <w:top w:val="nil"/>
              <w:left w:val="single" w:sz="8" w:space="0" w:color="auto"/>
              <w:bottom w:val="single" w:sz="8" w:space="0" w:color="auto"/>
              <w:right w:val="single" w:sz="8" w:space="0" w:color="auto"/>
            </w:tcBorders>
            <w:shd w:val="clear" w:color="auto" w:fill="auto"/>
            <w:vAlign w:val="center"/>
            <w:hideMark/>
          </w:tcPr>
          <w:p w:rsidR="00CF7C1C" w:rsidRPr="00C22DBB" w:rsidRDefault="00CF7C1C" w:rsidP="00CF7C1C">
            <w:pPr>
              <w:spacing w:after="0"/>
              <w:rPr>
                <w:rFonts w:eastAsia="Times New Roman" w:cs="Times New Roman"/>
                <w:b/>
                <w:bCs/>
              </w:rPr>
            </w:pPr>
            <w:r w:rsidRPr="00C22DBB">
              <w:rPr>
                <w:rFonts w:eastAsia="Times New Roman" w:cs="Times New Roman"/>
                <w:b/>
                <w:bCs/>
              </w:rPr>
              <w:t>2012/03. negyedév</w:t>
            </w:r>
          </w:p>
        </w:tc>
        <w:tc>
          <w:tcPr>
            <w:tcW w:w="2445" w:type="dxa"/>
            <w:tcBorders>
              <w:top w:val="nil"/>
              <w:left w:val="nil"/>
              <w:bottom w:val="single" w:sz="8" w:space="0" w:color="auto"/>
              <w:right w:val="single" w:sz="8" w:space="0" w:color="auto"/>
            </w:tcBorders>
            <w:shd w:val="clear" w:color="auto" w:fill="auto"/>
            <w:vAlign w:val="center"/>
            <w:hideMark/>
          </w:tcPr>
          <w:p w:rsidR="00CF7C1C" w:rsidRPr="00C22DBB" w:rsidRDefault="00CF7C1C" w:rsidP="00CF7C1C">
            <w:pPr>
              <w:spacing w:after="0"/>
              <w:jc w:val="right"/>
              <w:rPr>
                <w:rFonts w:eastAsia="Times New Roman" w:cs="Times New Roman"/>
              </w:rPr>
            </w:pPr>
            <w:r w:rsidRPr="00C22DBB">
              <w:rPr>
                <w:rFonts w:eastAsia="Times New Roman" w:cs="Times New Roman"/>
              </w:rPr>
              <w:t>69 307 063,69</w:t>
            </w:r>
          </w:p>
        </w:tc>
      </w:tr>
      <w:tr w:rsidR="00CF7C1C" w:rsidRPr="00C22DBB" w:rsidTr="00CF7C1C">
        <w:trPr>
          <w:trHeight w:val="270"/>
          <w:jc w:val="center"/>
        </w:trPr>
        <w:tc>
          <w:tcPr>
            <w:tcW w:w="3195" w:type="dxa"/>
            <w:tcBorders>
              <w:top w:val="nil"/>
              <w:left w:val="single" w:sz="8" w:space="0" w:color="auto"/>
              <w:bottom w:val="nil"/>
              <w:right w:val="single" w:sz="8" w:space="0" w:color="auto"/>
            </w:tcBorders>
            <w:shd w:val="clear" w:color="auto" w:fill="auto"/>
            <w:vAlign w:val="center"/>
            <w:hideMark/>
          </w:tcPr>
          <w:p w:rsidR="00CF7C1C" w:rsidRPr="00C22DBB" w:rsidRDefault="00CF7C1C" w:rsidP="00CF7C1C">
            <w:pPr>
              <w:spacing w:after="0"/>
              <w:rPr>
                <w:rFonts w:eastAsia="Times New Roman" w:cs="Times New Roman"/>
                <w:b/>
                <w:bCs/>
              </w:rPr>
            </w:pPr>
            <w:r w:rsidRPr="00C22DBB">
              <w:rPr>
                <w:rFonts w:eastAsia="Times New Roman" w:cs="Times New Roman"/>
                <w:b/>
                <w:bCs/>
              </w:rPr>
              <w:t>2012/04. negyedév</w:t>
            </w:r>
          </w:p>
        </w:tc>
        <w:tc>
          <w:tcPr>
            <w:tcW w:w="2445" w:type="dxa"/>
            <w:tcBorders>
              <w:top w:val="nil"/>
              <w:left w:val="nil"/>
              <w:bottom w:val="single" w:sz="8" w:space="0" w:color="auto"/>
              <w:right w:val="single" w:sz="8" w:space="0" w:color="auto"/>
            </w:tcBorders>
            <w:shd w:val="clear" w:color="auto" w:fill="auto"/>
            <w:vAlign w:val="center"/>
            <w:hideMark/>
          </w:tcPr>
          <w:p w:rsidR="00CF7C1C" w:rsidRPr="00C22DBB" w:rsidRDefault="00CF7C1C" w:rsidP="00CF7C1C">
            <w:pPr>
              <w:spacing w:after="0"/>
              <w:jc w:val="right"/>
              <w:rPr>
                <w:rFonts w:eastAsia="Times New Roman" w:cs="Times New Roman"/>
              </w:rPr>
            </w:pPr>
            <w:r w:rsidRPr="00C22DBB">
              <w:rPr>
                <w:rFonts w:eastAsia="Times New Roman" w:cs="Times New Roman"/>
              </w:rPr>
              <w:t>109 675 957,27</w:t>
            </w:r>
          </w:p>
        </w:tc>
      </w:tr>
      <w:tr w:rsidR="00CF7C1C" w:rsidRPr="00C22DBB" w:rsidTr="00CF7C1C">
        <w:trPr>
          <w:trHeight w:val="270"/>
          <w:jc w:val="center"/>
        </w:trPr>
        <w:tc>
          <w:tcPr>
            <w:tcW w:w="3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C1C" w:rsidRPr="00C22DBB" w:rsidRDefault="00CF7C1C" w:rsidP="00CF7C1C">
            <w:pPr>
              <w:spacing w:after="0"/>
              <w:rPr>
                <w:rFonts w:eastAsia="Times New Roman" w:cs="Times New Roman"/>
                <w:b/>
                <w:bCs/>
              </w:rPr>
            </w:pPr>
            <w:r w:rsidRPr="00C22DBB">
              <w:rPr>
                <w:rFonts w:eastAsia="Times New Roman" w:cs="Times New Roman"/>
                <w:b/>
                <w:bCs/>
              </w:rPr>
              <w:t>2012. összesen</w:t>
            </w:r>
          </w:p>
        </w:tc>
        <w:tc>
          <w:tcPr>
            <w:tcW w:w="2445" w:type="dxa"/>
            <w:tcBorders>
              <w:top w:val="nil"/>
              <w:left w:val="nil"/>
              <w:bottom w:val="single" w:sz="8" w:space="0" w:color="auto"/>
              <w:right w:val="single" w:sz="8" w:space="0" w:color="auto"/>
            </w:tcBorders>
            <w:shd w:val="clear" w:color="auto" w:fill="auto"/>
            <w:vAlign w:val="center"/>
            <w:hideMark/>
          </w:tcPr>
          <w:p w:rsidR="00CF7C1C" w:rsidRPr="00C22DBB" w:rsidRDefault="00CF7C1C" w:rsidP="00CF7C1C">
            <w:pPr>
              <w:spacing w:after="0"/>
              <w:jc w:val="right"/>
              <w:rPr>
                <w:rFonts w:eastAsia="Times New Roman" w:cs="Times New Roman"/>
                <w:b/>
                <w:bCs/>
              </w:rPr>
            </w:pPr>
            <w:r w:rsidRPr="00C22DBB">
              <w:rPr>
                <w:rFonts w:eastAsia="Times New Roman" w:cs="Times New Roman"/>
                <w:b/>
                <w:bCs/>
              </w:rPr>
              <w:t>426 340 851,48</w:t>
            </w:r>
          </w:p>
        </w:tc>
      </w:tr>
    </w:tbl>
    <w:p w:rsidR="00CF7C1C" w:rsidRDefault="00CF7C1C" w:rsidP="00CF7C1C">
      <w:pPr>
        <w:pStyle w:val="Normlforrs"/>
      </w:pPr>
    </w:p>
    <w:p w:rsidR="00CF7C1C" w:rsidRPr="00F35797" w:rsidRDefault="00CF7C1C" w:rsidP="00CF7C1C">
      <w:pPr>
        <w:pStyle w:val="Normlforrs"/>
      </w:pPr>
      <w:r w:rsidRPr="00F35797">
        <w:t>Forrás: MVH</w:t>
      </w:r>
      <w:bookmarkEnd w:id="364"/>
    </w:p>
    <w:p w:rsidR="00495AF5" w:rsidRPr="00386887" w:rsidRDefault="00495AF5" w:rsidP="00F17E25">
      <w:pPr>
        <w:pStyle w:val="Cmsor1"/>
      </w:pPr>
      <w:bookmarkStart w:id="369" w:name="_Toc264307466"/>
      <w:bookmarkStart w:id="370" w:name="_Toc360176830"/>
      <w:r w:rsidRPr="00386887">
        <w:lastRenderedPageBreak/>
        <w:t>A folyamatos értékelési tevékenység összegzése</w:t>
      </w:r>
      <w:bookmarkEnd w:id="369"/>
      <w:bookmarkEnd w:id="370"/>
    </w:p>
    <w:p w:rsidR="00081832" w:rsidRPr="006C404F" w:rsidRDefault="00081832" w:rsidP="004869BB">
      <w:r w:rsidRPr="006C404F">
        <w:t>A 1698/2005/EK rendelet II. fejezetének 86. cikke kötelezővé teszi a folyamatos értékelést, a (3), (4) és (5) bekezdés</w:t>
      </w:r>
      <w:r w:rsidR="002D1895">
        <w:t>ek</w:t>
      </w:r>
      <w:r w:rsidRPr="006C404F">
        <w:t xml:space="preserve"> szerint a programért felelős hatóságoknak erről jelentést kell készíteniük és a rendelet 82. cikke (2) bekezdésének megfelelően a jelentés összegzését csatolniuk kell az éves időközi jelentésekhez. </w:t>
      </w:r>
    </w:p>
    <w:p w:rsidR="00620423" w:rsidRPr="006C404F" w:rsidRDefault="00A924E0" w:rsidP="004869BB">
      <w:r w:rsidRPr="006C404F">
        <w:t xml:space="preserve">Az értékelések hatékony és sikeres elvégzéséhez az Irányító Hatóság értékelési rendszert hozott létre. A rendszer lényege az értékelések szisztematikus megközelítése, az értékelési szükségletek módszeres felmérése és végrehajtása, valamint az értékelési eredmények átgondolt és előre megtervezett felhasználása.  </w:t>
      </w:r>
    </w:p>
    <w:p w:rsidR="00081832" w:rsidRPr="006C404F" w:rsidRDefault="00081832" w:rsidP="004869BB">
      <w:r w:rsidRPr="006C404F">
        <w:t xml:space="preserve">Kialakításra került egy un. </w:t>
      </w:r>
      <w:r w:rsidRPr="00A52991">
        <w:rPr>
          <w:b/>
        </w:rPr>
        <w:t>belső értékelési terv</w:t>
      </w:r>
      <w:r w:rsidRPr="006C404F">
        <w:t xml:space="preserve">, amely a jelenlegi programozási időszak végéig részletesen </w:t>
      </w:r>
      <w:r w:rsidR="002D1895">
        <w:t>összegz</w:t>
      </w:r>
      <w:r w:rsidRPr="006C404F">
        <w:t>i az elvégezni kívánt értékelési feladatokat, és a feladatok elvégzéséhez rendelt forrásokat.</w:t>
      </w:r>
      <w:r w:rsidR="00A14570">
        <w:t xml:space="preserve"> Az értékelési terv a klasszikus értékelési feladatokon kívül nagy hangsúlyt helyez a monitoring rendszer továbbfejlesztésére, sőt a kapacitásépítésre vonatkozó tevékenységeket is magában foglalja. </w:t>
      </w:r>
    </w:p>
    <w:p w:rsidR="002D4911" w:rsidRPr="006C404F" w:rsidRDefault="002D4911" w:rsidP="004869BB">
      <w:r w:rsidRPr="00A52991">
        <w:rPr>
          <w:b/>
        </w:rPr>
        <w:t xml:space="preserve">A vidékfejlesztési program Irányító Hatósága a folyamatos értékekések területén </w:t>
      </w:r>
      <w:r w:rsidR="00010D2A" w:rsidRPr="00A52991">
        <w:rPr>
          <w:b/>
        </w:rPr>
        <w:t xml:space="preserve">2012-ben </w:t>
      </w:r>
      <w:r w:rsidRPr="00A52991">
        <w:rPr>
          <w:b/>
        </w:rPr>
        <w:t>kettős feladatot látott el</w:t>
      </w:r>
      <w:r w:rsidR="00010D2A" w:rsidRPr="006C404F">
        <w:t>:</w:t>
      </w:r>
      <w:r w:rsidRPr="006C404F">
        <w:t xml:space="preserve"> egyrészt biztosította, hogy a jelenlegi programra vonatkozó ongoing értékelési tevékenység a 2010-ben elvégzett félidei értékelést követően, részben annak tapasztalatara, illetve kritikájára építve tovább folytatódjon</w:t>
      </w:r>
      <w:r w:rsidR="00010D2A" w:rsidRPr="006C404F">
        <w:t>, m</w:t>
      </w:r>
      <w:r w:rsidRPr="006C404F">
        <w:t>ásrészt megkezdte a 2014-2020</w:t>
      </w:r>
      <w:r w:rsidR="002D1895">
        <w:t xml:space="preserve"> közötti programozási időszakra vonatkozó</w:t>
      </w:r>
      <w:r w:rsidRPr="006C404F">
        <w:t xml:space="preserve"> új vidékfejlesztési program értékelési feladatainak előkészítését. </w:t>
      </w:r>
    </w:p>
    <w:p w:rsidR="00AC3F65" w:rsidRPr="006C404F" w:rsidRDefault="003829A7" w:rsidP="004869BB">
      <w:r w:rsidRPr="006C404F">
        <w:t xml:space="preserve">A Vidékfejlesztési Főosztály által koordinált folyamatos értékelési tevékenységekhez </w:t>
      </w:r>
      <w:r w:rsidR="00A52991">
        <w:t xml:space="preserve">2012-ben </w:t>
      </w:r>
      <w:r w:rsidRPr="006C404F">
        <w:t xml:space="preserve">szorosan kapcsolódott két </w:t>
      </w:r>
      <w:r w:rsidRPr="00A52991">
        <w:rPr>
          <w:b/>
        </w:rPr>
        <w:t xml:space="preserve">nemzetközi vonatkozású </w:t>
      </w:r>
      <w:r w:rsidR="00010D2A" w:rsidRPr="00A52991">
        <w:rPr>
          <w:b/>
        </w:rPr>
        <w:t>esemény</w:t>
      </w:r>
      <w:r w:rsidR="00A52991">
        <w:rPr>
          <w:b/>
        </w:rPr>
        <w:t xml:space="preserve"> is</w:t>
      </w:r>
      <w:r w:rsidR="00010D2A" w:rsidRPr="006C404F">
        <w:t>:</w:t>
      </w:r>
      <w:r w:rsidR="00A8334B">
        <w:t xml:space="preserve"> </w:t>
      </w:r>
      <w:r w:rsidR="00010D2A" w:rsidRPr="006C404F">
        <w:t>2012. január 25-én, Budapesten került sor a DG AGRI Értékelési Főosztály</w:t>
      </w:r>
      <w:r w:rsidR="002D1895">
        <w:t>ának</w:t>
      </w:r>
      <w:r w:rsidR="00010D2A" w:rsidRPr="006C404F">
        <w:t xml:space="preserve"> munkáját segítő Heldpesk által </w:t>
      </w:r>
      <w:r w:rsidR="0088263B">
        <w:t>kezdeményezett</w:t>
      </w:r>
      <w:r w:rsidR="00A8334B">
        <w:t xml:space="preserve"> egynapos szakmai egyeztető meg</w:t>
      </w:r>
      <w:r w:rsidR="0088263B">
        <w:t>b</w:t>
      </w:r>
      <w:r w:rsidR="00A8334B">
        <w:t>e</w:t>
      </w:r>
      <w:r w:rsidR="0088263B">
        <w:t>szélé</w:t>
      </w:r>
      <w:r w:rsidR="00A8334B">
        <w:t>s</w:t>
      </w:r>
      <w:r w:rsidR="0088263B">
        <w:t xml:space="preserve">re, </w:t>
      </w:r>
      <w:r w:rsidR="00010D2A" w:rsidRPr="006C404F">
        <w:t>melynek célja egyrészt az volt, hogy a Helpdesk részletesen megismerje a jelenlegi vidékfejlesztési programmal kapcsolatos értékelési és monitoring feladatokat,</w:t>
      </w:r>
      <w:r w:rsidR="00CC31B5">
        <w:t xml:space="preserve"> </w:t>
      </w:r>
      <w:r w:rsidR="00010D2A" w:rsidRPr="006C404F">
        <w:t xml:space="preserve">a folyamatos értékelési tevékenység keretében eddig elért eredményeket, valamint a következő évekre tervezett értékelési feladatokat. </w:t>
      </w:r>
      <w:r w:rsidR="00A8334B">
        <w:t xml:space="preserve"> </w:t>
      </w:r>
      <w:r w:rsidR="006C404F" w:rsidRPr="003E35A2">
        <w:t>Szintén a Helpdeskkel együttműködve, 2012.  október 8-án és 9-én Budapesten került megrendezésre az a Jó Gyakorlat Műhelymunka, melynek célja az volt, hogy a következő programozási időszakra történő felkészülés jegyében megvizsgálja és áttekintse az adatokat, az adatgyűjtés módszertanát, az adatszolgáltatók körét</w:t>
      </w:r>
      <w:r w:rsidR="002D1895" w:rsidRPr="003E35A2">
        <w:t>, valamint az adatok gyűjtése során szerzett tapasztalatokat/jó gyakorlatokat, melyek a jelenlegi monitoring és értékelési rendszer fejlesztése, valamint a következő programozási időszak előkészítése szempontjából kiemelkedően fontosak</w:t>
      </w:r>
      <w:r w:rsidR="006C404F" w:rsidRPr="003E35A2">
        <w:t xml:space="preserve">.  </w:t>
      </w:r>
    </w:p>
    <w:p w:rsidR="00620423" w:rsidRPr="006C404F" w:rsidRDefault="00620423" w:rsidP="004869BB">
      <w:r w:rsidRPr="00053C2D">
        <w:t xml:space="preserve">A folyamatos értékelési tevékenységről szóló </w:t>
      </w:r>
      <w:r w:rsidRPr="00053C2D">
        <w:rPr>
          <w:b/>
        </w:rPr>
        <w:t xml:space="preserve">részletes </w:t>
      </w:r>
      <w:r w:rsidRPr="00053C2D">
        <w:t xml:space="preserve">összegző jelentést </w:t>
      </w:r>
      <w:r w:rsidR="003829A7" w:rsidRPr="00053C2D">
        <w:t xml:space="preserve">a </w:t>
      </w:r>
      <w:r w:rsidRPr="00053C2D">
        <w:t>4. sz. melléklet tartalmazza.</w:t>
      </w:r>
    </w:p>
    <w:p w:rsidR="00CF7C1C" w:rsidRPr="00F35797" w:rsidRDefault="00CF7C1C" w:rsidP="00EA0B08">
      <w:pPr>
        <w:pStyle w:val="Cmsor1"/>
      </w:pPr>
      <w:bookmarkStart w:id="371" w:name="_Toc328638739"/>
      <w:bookmarkStart w:id="372" w:name="_Toc360176831"/>
      <w:r>
        <w:lastRenderedPageBreak/>
        <w:t>A Program</w:t>
      </w:r>
      <w:r w:rsidRPr="00F35797">
        <w:t xml:space="preserve"> Irányító Hatóság és a Monitoring Bizottság lépései a program végrehajtásának minősége és eredményessége biztosítása céljából</w:t>
      </w:r>
      <w:bookmarkEnd w:id="371"/>
      <w:bookmarkEnd w:id="372"/>
    </w:p>
    <w:p w:rsidR="0056491B" w:rsidRDefault="0056491B" w:rsidP="0056491B">
      <w:pPr>
        <w:pStyle w:val="Cmsor2"/>
      </w:pPr>
      <w:bookmarkStart w:id="373" w:name="_Toc296349778"/>
      <w:bookmarkStart w:id="374" w:name="_Toc172390038"/>
      <w:bookmarkStart w:id="375" w:name="_Toc215481024"/>
      <w:bookmarkStart w:id="376" w:name="_Toc230595640"/>
      <w:bookmarkStart w:id="377" w:name="_Toc232860197"/>
      <w:bookmarkStart w:id="378" w:name="_Toc360176832"/>
      <w:bookmarkEnd w:id="365"/>
      <w:bookmarkEnd w:id="366"/>
      <w:bookmarkEnd w:id="367"/>
      <w:bookmarkEnd w:id="373"/>
      <w:r>
        <w:t>Irányító Hatósági feladatok</w:t>
      </w:r>
      <w:bookmarkEnd w:id="378"/>
    </w:p>
    <w:p w:rsidR="00A84FA0" w:rsidRPr="00896E03" w:rsidRDefault="00A84FA0" w:rsidP="00DB48A3">
      <w:pPr>
        <w:pStyle w:val="Cmsor3"/>
      </w:pPr>
      <w:bookmarkStart w:id="379" w:name="_Toc360176833"/>
      <w:r w:rsidRPr="00896E03">
        <w:t>Az ÚMVP végrehajtásának biztosítására létrehozott adminisztratív kapacitás</w:t>
      </w:r>
      <w:bookmarkEnd w:id="374"/>
      <w:bookmarkEnd w:id="375"/>
      <w:bookmarkEnd w:id="376"/>
      <w:bookmarkEnd w:id="377"/>
      <w:bookmarkEnd w:id="379"/>
    </w:p>
    <w:p w:rsidR="003F74CF" w:rsidRPr="00715E86" w:rsidRDefault="00E030C4" w:rsidP="00715E86">
      <w:pPr>
        <w:pStyle w:val="Cmsor4"/>
      </w:pPr>
      <w:bookmarkStart w:id="380" w:name="_Toc230595641"/>
      <w:r w:rsidRPr="00715E86">
        <w:t>Irányító Hatóság - VM</w:t>
      </w:r>
      <w:r w:rsidR="00C75398" w:rsidRPr="00715E86">
        <w:t xml:space="preserve"> </w:t>
      </w:r>
      <w:r w:rsidRPr="00715E86">
        <w:t>V</w:t>
      </w:r>
      <w:r w:rsidR="00C75398" w:rsidRPr="00715E86">
        <w:t xml:space="preserve">idékfejlesztésért </w:t>
      </w:r>
      <w:r w:rsidRPr="00715E86">
        <w:t>F</w:t>
      </w:r>
      <w:r w:rsidR="00C75398" w:rsidRPr="00715E86">
        <w:t xml:space="preserve">elelős </w:t>
      </w:r>
      <w:r w:rsidRPr="00715E86">
        <w:t>H</w:t>
      </w:r>
      <w:r w:rsidR="00C75398" w:rsidRPr="00715E86">
        <w:t xml:space="preserve">elyettes </w:t>
      </w:r>
      <w:r w:rsidRPr="00715E86">
        <w:t>Á</w:t>
      </w:r>
      <w:r w:rsidR="00C75398" w:rsidRPr="00715E86">
        <w:t>llamtitkár</w:t>
      </w:r>
      <w:r w:rsidRPr="00715E86">
        <w:t>ság</w:t>
      </w:r>
      <w:r w:rsidR="00A84FA0" w:rsidRPr="00715E86">
        <w:t xml:space="preserve"> </w:t>
      </w:r>
      <w:bookmarkEnd w:id="380"/>
    </w:p>
    <w:p w:rsidR="00EF7197" w:rsidRPr="00AB5DC5" w:rsidRDefault="00EF7197" w:rsidP="00AB5DC5">
      <w:r w:rsidRPr="00AB5DC5">
        <w:t>Az 1698/2005/EK tanácsi rendelet 75. cikke szerint a Program Irányító Hatósága felel a program hatékony, sikeres és rendszeres ellenőrzéséért és irányításáért, és felhatalmazással rendelkezik arra, hogy elvégezze mindazokat a feladatokat, amelyeket a fent említett rendelet az Irányító Hatóság számára előír.</w:t>
      </w:r>
    </w:p>
    <w:p w:rsidR="00EF7197" w:rsidRPr="00AB5DC5" w:rsidRDefault="00EF7197" w:rsidP="00AB5DC5">
      <w:r w:rsidRPr="00AB5DC5">
        <w:t xml:space="preserve">A Vidékfejlesztési Minisztérium Szervezeti és Működési Szabályzata határozza meg a szervezet működési rendjét. </w:t>
      </w:r>
    </w:p>
    <w:p w:rsidR="00EF7197" w:rsidRPr="00AB5DC5" w:rsidRDefault="00EF7197" w:rsidP="00AB5DC5">
      <w:r w:rsidRPr="00AB5DC5">
        <w:t>A Program konkrét végrehajtá</w:t>
      </w:r>
      <w:r w:rsidR="00403337" w:rsidRPr="00AB5DC5">
        <w:t>sáért a minisztériumon belül a Vidékfejlesztésért Felelős H</w:t>
      </w:r>
      <w:r w:rsidRPr="00AB5DC5">
        <w:t xml:space="preserve">elyettes </w:t>
      </w:r>
      <w:r w:rsidR="00403337" w:rsidRPr="00AB5DC5">
        <w:t>Á</w:t>
      </w:r>
      <w:r w:rsidRPr="00AB5DC5">
        <w:t>llamtitkár</w:t>
      </w:r>
      <w:r w:rsidR="00403337" w:rsidRPr="00AB5DC5">
        <w:t>, mint Irányító Hatóság</w:t>
      </w:r>
      <w:r w:rsidRPr="00AB5DC5">
        <w:t xml:space="preserve"> </w:t>
      </w:r>
      <w:r w:rsidR="00403337" w:rsidRPr="00AB5DC5">
        <w:t xml:space="preserve">vezető </w:t>
      </w:r>
      <w:r w:rsidRPr="00AB5DC5">
        <w:t xml:space="preserve">közvetlen irányítása alá </w:t>
      </w:r>
      <w:r w:rsidR="00403337" w:rsidRPr="00AB5DC5">
        <w:t>tartozó három szervezeti egység felel</w:t>
      </w:r>
      <w:r w:rsidRPr="00AB5DC5">
        <w:t xml:space="preserve">.  </w:t>
      </w:r>
    </w:p>
    <w:p w:rsidR="00EF7197" w:rsidRPr="00AB5DC5" w:rsidRDefault="00403337" w:rsidP="00DA27DF">
      <w:r w:rsidRPr="00AB5DC5">
        <w:t>Az Irányító Hatóság vezetőjét feladatai ellátásában</w:t>
      </w:r>
      <w:r w:rsidR="00EF7197" w:rsidRPr="00AB5DC5">
        <w:t xml:space="preserve"> a Vidékfejlesztési Főosztály (VFF) segíti, szoros együttműködésben a Pénzügy, Felügyeleti és Akkreditációs Főosztállyal (PFAF), valamint az Agrárfejlesztési Főosztállyal (AFF). </w:t>
      </w:r>
    </w:p>
    <w:p w:rsidR="00EF7197" w:rsidRPr="00AB5DC5" w:rsidRDefault="00EF7197" w:rsidP="00D90F4C">
      <w:r w:rsidRPr="00AB5DC5">
        <w:t xml:space="preserve">A Program végrehajtására vonatkozó </w:t>
      </w:r>
      <w:r w:rsidR="00403337" w:rsidRPr="00AB5DC5">
        <w:t xml:space="preserve">irányító hatósági </w:t>
      </w:r>
      <w:r w:rsidRPr="00AB5DC5">
        <w:t xml:space="preserve">feladatok megoszlanak a három főosztály között, azonban a Vidékfejlesztési Főosztályon belül kialakított Irányító Hatósági és Monitoring osztály látja el az IH feladatok koordinálását. </w:t>
      </w:r>
    </w:p>
    <w:p w:rsidR="00EF7197" w:rsidRPr="00DA27DF" w:rsidRDefault="00EF7197" w:rsidP="00D90F4C">
      <w:r w:rsidRPr="00DA27DF">
        <w:t>Az Agrárfejlesztési Főosztályon belül a Mezőgazdasági, Versenyképességi és Szerkezetátalakítási Osztály a Program I. tengely</w:t>
      </w:r>
      <w:r w:rsidR="00403337" w:rsidRPr="00DA27DF">
        <w:t>, míg Környezetgazdálkodási Osztály</w:t>
      </w:r>
      <w:r w:rsidR="00403337" w:rsidRPr="00661475">
        <w:rPr>
          <w:szCs w:val="22"/>
        </w:rPr>
        <w:t xml:space="preserve"> a II. tengely vonatkozásában</w:t>
      </w:r>
      <w:r w:rsidRPr="00DA27DF">
        <w:t xml:space="preserve"> felel többek között a Stratégia, a Program és az Új Széchenyi Terv (ÚSZT) közötti koherencia megteremtéséért, a tervező munkával kapcsolatos tárcaközi képviselet nemz</w:t>
      </w:r>
      <w:r w:rsidR="00403337" w:rsidRPr="00DA27DF">
        <w:t>eti és uniós szintű ellátásáért,</w:t>
      </w:r>
      <w:r w:rsidRPr="00DA27DF">
        <w:t xml:space="preserve"> </w:t>
      </w:r>
      <w:r w:rsidR="00EE059D">
        <w:rPr>
          <w:szCs w:val="22"/>
        </w:rPr>
        <w:t xml:space="preserve">a </w:t>
      </w:r>
      <w:r w:rsidR="00EE059D" w:rsidRPr="00EF7197">
        <w:rPr>
          <w:szCs w:val="22"/>
        </w:rPr>
        <w:t>programmódosítás</w:t>
      </w:r>
      <w:r w:rsidR="00EE059D">
        <w:rPr>
          <w:szCs w:val="22"/>
        </w:rPr>
        <w:t>ok szakmai kidolgozásáért</w:t>
      </w:r>
      <w:r w:rsidR="00EE059D" w:rsidRPr="00EF7197">
        <w:rPr>
          <w:szCs w:val="22"/>
        </w:rPr>
        <w:t>, stratégiamódosításra vonatkozó javaslatok kidolgozásáért, irányító hatósági közlemények megjelentetéséért, tájékoztatók közzétételéért</w:t>
      </w:r>
      <w:r w:rsidR="00EE059D">
        <w:rPr>
          <w:szCs w:val="22"/>
        </w:rPr>
        <w:t>,</w:t>
      </w:r>
      <w:r w:rsidR="00EE059D" w:rsidRPr="00DA27DF">
        <w:t xml:space="preserve"> </w:t>
      </w:r>
      <w:r w:rsidRPr="00DA27DF">
        <w:t xml:space="preserve">az intézkedések pénzügyi tervezési és jogi szabályozási feladatainak ellátásáért, szakmai összefogásáért, lebonyolításáért és koordinálásáért, az intézkedések végrehajtásával összefüggő szakmai munka és jogszabály-alkotási feladatok kezdeményezéséért és koordinálásáért. </w:t>
      </w:r>
    </w:p>
    <w:p w:rsidR="00EF7197" w:rsidRPr="00EF7197" w:rsidRDefault="00EF7197" w:rsidP="00D90F4C">
      <w:pPr>
        <w:rPr>
          <w:color w:val="000000"/>
          <w:szCs w:val="22"/>
        </w:rPr>
      </w:pPr>
      <w:r w:rsidRPr="00661475">
        <w:t xml:space="preserve">A Vidékfejlesztési Főosztály </w:t>
      </w:r>
      <w:r w:rsidRPr="00661475">
        <w:rPr>
          <w:szCs w:val="22"/>
        </w:rPr>
        <w:t xml:space="preserve">három osztályból áll: Vidékfejlesztési Osztály, </w:t>
      </w:r>
      <w:r w:rsidR="00661475" w:rsidRPr="00661475">
        <w:rPr>
          <w:szCs w:val="22"/>
        </w:rPr>
        <w:t>Irányító Hatósági és Monitoring Osztály, Térségi Programok Osztálya</w:t>
      </w:r>
      <w:r w:rsidRPr="00661475">
        <w:rPr>
          <w:szCs w:val="22"/>
        </w:rPr>
        <w:t>.</w:t>
      </w:r>
      <w:r w:rsidRPr="00EF7197">
        <w:rPr>
          <w:szCs w:val="22"/>
        </w:rPr>
        <w:t xml:space="preserve"> A főosztályon belül a </w:t>
      </w:r>
      <w:r w:rsidRPr="008630E9">
        <w:rPr>
          <w:szCs w:val="22"/>
        </w:rPr>
        <w:t>Vidékfejlesztési Osztály felel többek között a P</w:t>
      </w:r>
      <w:r w:rsidR="00EE059D" w:rsidRPr="008630E9">
        <w:rPr>
          <w:szCs w:val="22"/>
        </w:rPr>
        <w:t>rogram III-IV. tengelye vonatkozásában</w:t>
      </w:r>
      <w:r w:rsidR="00EE059D" w:rsidRPr="00DA27DF">
        <w:t xml:space="preserve"> a Stratégia, a Program és az Új Széchenyi Terv (ÚSZT) közötti koherencia megteremtéséért</w:t>
      </w:r>
      <w:r w:rsidRPr="008630E9">
        <w:rPr>
          <w:szCs w:val="22"/>
        </w:rPr>
        <w:t xml:space="preserve">, </w:t>
      </w:r>
      <w:r w:rsidR="00EE059D" w:rsidRPr="008630E9">
        <w:rPr>
          <w:szCs w:val="22"/>
        </w:rPr>
        <w:t xml:space="preserve">a </w:t>
      </w:r>
      <w:r w:rsidRPr="008630E9">
        <w:rPr>
          <w:szCs w:val="22"/>
        </w:rPr>
        <w:t>programmódosítás</w:t>
      </w:r>
      <w:r w:rsidR="00EE059D" w:rsidRPr="008630E9">
        <w:rPr>
          <w:szCs w:val="22"/>
        </w:rPr>
        <w:t>ok szakmai kidolgozásáért</w:t>
      </w:r>
      <w:r w:rsidRPr="008630E9">
        <w:rPr>
          <w:szCs w:val="22"/>
        </w:rPr>
        <w:t xml:space="preserve">, stratégiamódosításra vonatkozó javaslatok kidolgozásáért, irányító hatósági közlemények megjelentetéséért, tájékoztatók közzétételéért, </w:t>
      </w:r>
      <w:r w:rsidR="00EE059D" w:rsidRPr="00DA27DF">
        <w:t>az intézkedések pénzügyi tervezési és jogi szabályozási feladatainak ellátásáért, szakmai összefogásáért, lebonyolításáért és koordinálásáért, az intézkedések végrehajtásával összefüggő szakmai munka és jogszabály-alkotási feladatok kezdeményezéséért és koordinálásáért</w:t>
      </w:r>
      <w:r w:rsidRPr="008630E9">
        <w:rPr>
          <w:szCs w:val="22"/>
        </w:rPr>
        <w:t xml:space="preserve">, a LEADER HACS-ok munkájának napi </w:t>
      </w:r>
      <w:r w:rsidR="00EE059D" w:rsidRPr="008630E9">
        <w:rPr>
          <w:szCs w:val="22"/>
        </w:rPr>
        <w:t>szintű koordinálásáért a NAKV</w:t>
      </w:r>
      <w:r w:rsidRPr="008630E9">
        <w:rPr>
          <w:szCs w:val="22"/>
        </w:rPr>
        <w:t>I közreműködésével</w:t>
      </w:r>
      <w:r w:rsidR="00EE059D" w:rsidRPr="008630E9">
        <w:rPr>
          <w:szCs w:val="22"/>
        </w:rPr>
        <w:t>, a NAKVI szakmai felügyeletéért, a Magyar Nemzeti Vidéki Hálózat (MNVH) szakmai koordinálásáért, valamint a vidékfejlesztéshez kapcsolódó stratégiai tervezésért</w:t>
      </w:r>
      <w:r w:rsidRPr="008630E9">
        <w:rPr>
          <w:szCs w:val="22"/>
        </w:rPr>
        <w:t xml:space="preserve">. </w:t>
      </w:r>
      <w:r w:rsidR="00EE059D" w:rsidRPr="008630E9">
        <w:rPr>
          <w:szCs w:val="22"/>
        </w:rPr>
        <w:t xml:space="preserve">A Program végrehajtásával kapcsolatban az Irányító Hatósági és Monitoring Osztály látja el az IH feladatok </w:t>
      </w:r>
      <w:r w:rsidR="00EE059D" w:rsidRPr="008630E9">
        <w:rPr>
          <w:szCs w:val="22"/>
        </w:rPr>
        <w:lastRenderedPageBreak/>
        <w:t>koordinációját (programmódosítás, MB Titkársági feladatok, EU Bizottsággal történő</w:t>
      </w:r>
      <w:r w:rsidR="00EE059D" w:rsidRPr="00EF7197">
        <w:rPr>
          <w:szCs w:val="22"/>
        </w:rPr>
        <w:t xml:space="preserve"> egyeztetések, levelezések), a m</w:t>
      </w:r>
      <w:r w:rsidR="00EE059D" w:rsidRPr="00EF7197">
        <w:rPr>
          <w:color w:val="000000"/>
          <w:szCs w:val="22"/>
        </w:rPr>
        <w:t>onitoring tevéken</w:t>
      </w:r>
      <w:r w:rsidR="00EE059D">
        <w:rPr>
          <w:color w:val="000000"/>
          <w:szCs w:val="22"/>
        </w:rPr>
        <w:t>ységgel kapcsolatos feladatokat,</w:t>
      </w:r>
      <w:r w:rsidR="00EE059D" w:rsidRPr="00EF7197">
        <w:rPr>
          <w:color w:val="000000"/>
          <w:szCs w:val="22"/>
        </w:rPr>
        <w:t xml:space="preserve"> a</w:t>
      </w:r>
      <w:r w:rsidR="00EE059D">
        <w:rPr>
          <w:color w:val="000000"/>
          <w:szCs w:val="22"/>
        </w:rPr>
        <w:t xml:space="preserve"> Program előrehaladását bemutató jelentések készítését</w:t>
      </w:r>
      <w:r w:rsidR="00EE059D" w:rsidRPr="00EF7197">
        <w:rPr>
          <w:color w:val="000000"/>
          <w:szCs w:val="22"/>
        </w:rPr>
        <w:t>, az értékelések koordinálást</w:t>
      </w:r>
      <w:r w:rsidR="00EE059D">
        <w:rPr>
          <w:szCs w:val="22"/>
        </w:rPr>
        <w:t>.</w:t>
      </w:r>
      <w:r w:rsidR="00935803">
        <w:rPr>
          <w:szCs w:val="22"/>
        </w:rPr>
        <w:t xml:space="preserve"> </w:t>
      </w:r>
      <w:r w:rsidRPr="00EF7197">
        <w:rPr>
          <w:szCs w:val="22"/>
        </w:rPr>
        <w:t xml:space="preserve">A </w:t>
      </w:r>
      <w:r w:rsidRPr="008630E9">
        <w:rPr>
          <w:szCs w:val="22"/>
        </w:rPr>
        <w:t>Térségi Programok Osztálya</w:t>
      </w:r>
      <w:r w:rsidRPr="00EF7197">
        <w:rPr>
          <w:szCs w:val="22"/>
        </w:rPr>
        <w:t xml:space="preserve"> </w:t>
      </w:r>
      <w:r w:rsidRPr="00935803">
        <w:rPr>
          <w:szCs w:val="22"/>
        </w:rPr>
        <w:t>elsősorban</w:t>
      </w:r>
      <w:r w:rsidR="00935803" w:rsidRPr="00935803">
        <w:rPr>
          <w:szCs w:val="22"/>
        </w:rPr>
        <w:t xml:space="preserve"> </w:t>
      </w:r>
      <w:r w:rsidRPr="00935803">
        <w:rPr>
          <w:szCs w:val="22"/>
        </w:rPr>
        <w:t>a</w:t>
      </w:r>
      <w:r w:rsidRPr="00EF7197">
        <w:rPr>
          <w:szCs w:val="22"/>
        </w:rPr>
        <w:t xml:space="preserve"> munkahelyteremtést és a foglalkoztatás bővítését célzó, mintaértékű kistérségi programok, valamint a kistérségek területén átnyúló térségi programok kidolgozásáért felel. Az osztály feladatainak ellátása során részt vesz továbbá </w:t>
      </w:r>
      <w:r w:rsidRPr="00EF7197">
        <w:rPr>
          <w:color w:val="000000"/>
          <w:szCs w:val="22"/>
        </w:rPr>
        <w:t>a Program szakmai végrehajtásában</w:t>
      </w:r>
      <w:r w:rsidR="00935803">
        <w:rPr>
          <w:color w:val="000000"/>
          <w:szCs w:val="22"/>
        </w:rPr>
        <w:t>, különös tekintettel az MNVH-ra</w:t>
      </w:r>
      <w:r w:rsidRPr="00EF7197">
        <w:rPr>
          <w:color w:val="000000"/>
          <w:szCs w:val="22"/>
        </w:rPr>
        <w:t xml:space="preserve">, a magyar vidékfejlesztési stratégia és a 2014-2020-ra vonatkozó vidékfejlesztési program kidolgozásában, azok tervezési munkáiban. </w:t>
      </w:r>
    </w:p>
    <w:p w:rsidR="00EF7197" w:rsidRPr="008630E9" w:rsidRDefault="00EF7197" w:rsidP="00D90F4C">
      <w:pPr>
        <w:rPr>
          <w:szCs w:val="22"/>
        </w:rPr>
      </w:pPr>
      <w:r w:rsidRPr="008630E9">
        <w:rPr>
          <w:bCs/>
        </w:rPr>
        <w:t xml:space="preserve">A </w:t>
      </w:r>
      <w:r w:rsidRPr="00DA27DF">
        <w:t>Pénzügy, Felügyeleti és Akkreditációs Főosztály három osztályra tagozódik</w:t>
      </w:r>
      <w:r w:rsidR="008630E9" w:rsidRPr="00DA27DF">
        <w:t xml:space="preserve">. </w:t>
      </w:r>
      <w:r w:rsidRPr="008630E9">
        <w:rPr>
          <w:szCs w:val="22"/>
        </w:rPr>
        <w:t xml:space="preserve">A Pénzügyi Osztály elsősorban az agrárgazdaság és a vidékfejlesztési programok fő pénzügyi folyamatainak tervezését, allokálását, elemzését végzi, </w:t>
      </w:r>
      <w:r w:rsidR="008630E9" w:rsidRPr="008630E9">
        <w:rPr>
          <w:szCs w:val="22"/>
        </w:rPr>
        <w:t>feladata</w:t>
      </w:r>
      <w:r w:rsidRPr="008630E9">
        <w:t xml:space="preserve"> a Program pénzügyi kereteinek nyornonkövetése, a források optimális allokálás</w:t>
      </w:r>
      <w:r w:rsidR="008630E9" w:rsidRPr="008630E9">
        <w:t>a</w:t>
      </w:r>
      <w:r w:rsidRPr="008630E9">
        <w:t>, a kötelezettségvállalások operatív irányítás</w:t>
      </w:r>
      <w:r w:rsidR="008630E9" w:rsidRPr="008630E9">
        <w:t>a</w:t>
      </w:r>
      <w:r w:rsidRPr="008630E9">
        <w:t xml:space="preserve">. </w:t>
      </w:r>
      <w:r w:rsidR="008630E9" w:rsidRPr="008630E9">
        <w:t>Ellátja a Program TS intézkedésével kapcsolatos feladatokat</w:t>
      </w:r>
      <w:r w:rsidRPr="008630E9">
        <w:rPr>
          <w:szCs w:val="22"/>
        </w:rPr>
        <w:t>.</w:t>
      </w:r>
      <w:r w:rsidR="008630E9" w:rsidRPr="008630E9">
        <w:rPr>
          <w:szCs w:val="22"/>
        </w:rPr>
        <w:t xml:space="preserve"> </w:t>
      </w:r>
      <w:r w:rsidRPr="008630E9">
        <w:rPr>
          <w:szCs w:val="22"/>
        </w:rPr>
        <w:t xml:space="preserve">Az Akkreditációs Osztály látja el az EMVA és az EMGA végrehajtásának felügyeletével kapcsolatos illetékes hatósági feladatokat, </w:t>
      </w:r>
      <w:r w:rsidR="008630E9" w:rsidRPr="008630E9">
        <w:rPr>
          <w:szCs w:val="22"/>
        </w:rPr>
        <w:t>ö</w:t>
      </w:r>
      <w:r w:rsidRPr="008630E9">
        <w:rPr>
          <w:szCs w:val="22"/>
        </w:rPr>
        <w:t>sszefogja és koordinálja az auditokat, ellenőrzéseket és a hozzájuk</w:t>
      </w:r>
      <w:r w:rsidR="008630E9" w:rsidRPr="008630E9">
        <w:rPr>
          <w:szCs w:val="22"/>
        </w:rPr>
        <w:t xml:space="preserve"> kapcsolódó adatszolgáltatást. </w:t>
      </w:r>
      <w:r w:rsidRPr="008630E9">
        <w:rPr>
          <w:szCs w:val="22"/>
        </w:rPr>
        <w:t>A Felügyeleti Osztály felel a Program keretében meghirdetett intézkedések engedélyezési eljárásainak szakmai felülvizsgálatáért, a források optimális allokálásának és a támogatási alapon történő meghozatalának biztosításáért, a Programhoz kapcsolódó pályáztatás során használatos értékelési pontrendszer jóváhagyásáért és betartatásáért, a Program végrehajtásához kapcsolódó, fiatal mezőgazdasági termelői minőség regisztrációjával kapcsolatos engedélyezési feladatok ellátásáért.</w:t>
      </w:r>
    </w:p>
    <w:p w:rsidR="00935803" w:rsidRDefault="00EF7197" w:rsidP="00D90F4C">
      <w:r w:rsidRPr="003F5A62">
        <w:t>A főosztályok saját ügyrendet alakítottak ki, melynek célja, hogy a VM-ben a Szervezeti és Működési Szabályzatban, valamint annak függelékében felsorolt feladatokat főosztályi-, illetve</w:t>
      </w:r>
      <w:r w:rsidRPr="00EF7197">
        <w:t xml:space="preserve"> osztályi szintre lebontsa. </w:t>
      </w:r>
      <w:r w:rsidRPr="003F5A62">
        <w:t>Az ügyrend felülvizsgálatára évente kerül sor, és szükség esetén a jogszabályokban, illetve feladatkörökben bekövetkezett változásoknak megfelelően az Ügyrend módosításra kerül.</w:t>
      </w:r>
    </w:p>
    <w:p w:rsidR="00935803" w:rsidRDefault="00935803" w:rsidP="00D90F4C">
      <w:pPr>
        <w:rPr>
          <w:szCs w:val="22"/>
        </w:rPr>
      </w:pPr>
      <w:r w:rsidRPr="008630E9">
        <w:rPr>
          <w:szCs w:val="22"/>
        </w:rPr>
        <w:t>A</w:t>
      </w:r>
      <w:r w:rsidR="008630E9" w:rsidRPr="008630E9">
        <w:rPr>
          <w:szCs w:val="22"/>
        </w:rPr>
        <w:t xml:space="preserve"> Vidékfejlesztésért Felelős Államtitkárság</w:t>
      </w:r>
      <w:r w:rsidRPr="008630E9">
        <w:rPr>
          <w:szCs w:val="22"/>
        </w:rPr>
        <w:t xml:space="preserve"> 2012-</w:t>
      </w:r>
      <w:r w:rsidR="008630E9" w:rsidRPr="008630E9">
        <w:rPr>
          <w:szCs w:val="22"/>
        </w:rPr>
        <w:t>ben megkezdte a felkészülést a</w:t>
      </w:r>
      <w:r w:rsidR="008630E9">
        <w:rPr>
          <w:b/>
          <w:szCs w:val="22"/>
        </w:rPr>
        <w:t xml:space="preserve"> </w:t>
      </w:r>
      <w:r w:rsidRPr="00304F2B">
        <w:rPr>
          <w:szCs w:val="22"/>
        </w:rPr>
        <w:t>2014-2020-as programozási időszak</w:t>
      </w:r>
      <w:r w:rsidR="008630E9">
        <w:rPr>
          <w:szCs w:val="22"/>
        </w:rPr>
        <w:t>ra és a jelenlegi időszak tapasztalatait felhasználva látja el a tervezési munka VM-en belüli koordinációját</w:t>
      </w:r>
      <w:r w:rsidRPr="00304F2B">
        <w:rPr>
          <w:szCs w:val="22"/>
        </w:rPr>
        <w:t xml:space="preserve"> a NAKVI-val történő szoros együttműködésben</w:t>
      </w:r>
      <w:r w:rsidR="008630E9">
        <w:rPr>
          <w:szCs w:val="22"/>
        </w:rPr>
        <w:t>, ezáltal is biztosítva a két programozási időszak közötti folytonosságot</w:t>
      </w:r>
      <w:r w:rsidRPr="00304F2B">
        <w:rPr>
          <w:szCs w:val="22"/>
        </w:rPr>
        <w:t>.</w:t>
      </w:r>
      <w:r w:rsidRPr="009D2AB7">
        <w:rPr>
          <w:szCs w:val="22"/>
        </w:rPr>
        <w:t xml:space="preserve"> </w:t>
      </w:r>
      <w:r>
        <w:rPr>
          <w:szCs w:val="22"/>
        </w:rPr>
        <w:t xml:space="preserve">A </w:t>
      </w:r>
      <w:r w:rsidR="00AD2404">
        <w:rPr>
          <w:szCs w:val="22"/>
        </w:rPr>
        <w:t>Helyettes Államtitkárság</w:t>
      </w:r>
      <w:r>
        <w:rPr>
          <w:szCs w:val="22"/>
        </w:rPr>
        <w:t xml:space="preserve"> munkatársai aktív szerepet vállalnak a tervezési munkacsoportok munkájában, részt vesznek a programalkotás teljes folyamatában. </w:t>
      </w:r>
    </w:p>
    <w:p w:rsidR="00EF7197" w:rsidRPr="00D53DF7" w:rsidRDefault="00EF7197" w:rsidP="00FE0173">
      <w:pPr>
        <w:pStyle w:val="Cmsor6"/>
      </w:pPr>
      <w:r w:rsidRPr="00EF7197">
        <w:t xml:space="preserve">A program irányításához szükséges adminisztratív kapacitások a Program végrehajtásában illetékes valamennyi szervezeti egységnél </w:t>
      </w:r>
      <w:r w:rsidRPr="003F5A62">
        <w:t>2012-ben is biztosítva voltak.</w:t>
      </w:r>
      <w:r>
        <w:t xml:space="preserve"> </w:t>
      </w:r>
      <w:r w:rsidRPr="00D53DF7">
        <w:t xml:space="preserve"> </w:t>
      </w:r>
    </w:p>
    <w:p w:rsidR="00A84FA0" w:rsidRPr="00CC31B5" w:rsidRDefault="00A84FA0" w:rsidP="00715E86">
      <w:pPr>
        <w:pStyle w:val="Cmsor4"/>
        <w:rPr>
          <w:lang w:eastAsia="ar-SA"/>
        </w:rPr>
      </w:pPr>
      <w:bookmarkStart w:id="381" w:name="_Toc230595642"/>
      <w:r w:rsidRPr="00CC31B5">
        <w:rPr>
          <w:lang w:eastAsia="ar-SA"/>
        </w:rPr>
        <w:t>Mezőgazdasági és Vidékfejlesztési Hivatal</w:t>
      </w:r>
      <w:bookmarkEnd w:id="381"/>
    </w:p>
    <w:p w:rsidR="00EF7245" w:rsidRPr="00EF7245" w:rsidRDefault="00EF7245" w:rsidP="00634CDA">
      <w:r w:rsidRPr="00EF7245">
        <w:t>A</w:t>
      </w:r>
      <w:r w:rsidR="00B05C80">
        <w:t xml:space="preserve"> </w:t>
      </w:r>
      <w:r w:rsidRPr="00EF7245">
        <w:t xml:space="preserve">Mezőgazdasági és Vidékfejlesztési Hivatal </w:t>
      </w:r>
      <w:r w:rsidR="00C14753">
        <w:t>(a továbbiakban: MVH), mint Kifizető Ü</w:t>
      </w:r>
      <w:r w:rsidRPr="00EF7245">
        <w:t xml:space="preserve">gynökség függetlenségét alapvetően a nemzeti jogszabályi szintű rendelkezések biztosítják, melyek értelmében az MVH a vidékfejlesztési miniszter irányítása alatt álló, önálló jogi személyiséggel rendelkező, országos hatáskörű hivatal, önállóan gazdálkodó költségvetési szerv, amely a Vidékfejlesztési Minisztérium költségvetési fejezetén belül önálló </w:t>
      </w:r>
      <w:r w:rsidR="00C14753">
        <w:t>költségvetéssel rendelkezik. 2012-ben a Hivatal</w:t>
      </w:r>
      <w:r w:rsidRPr="00EF7245">
        <w:t xml:space="preserve"> szervezeti kereteit a Mezőgazdasági és Vidékfejlesztési Hivatalról szóló</w:t>
      </w:r>
      <w:r w:rsidR="00C14753">
        <w:t xml:space="preserve"> 256/2007. (X.</w:t>
      </w:r>
      <w:r w:rsidRPr="00EF7245">
        <w:t xml:space="preserve">4.) Korm. rendelet határozza meg. A jogszabályokban meghatározott feladatait Központja, illetve önálló jogi személyiséggel nem rendelkező területi szervei (Kirendeltségek) által látja el. </w:t>
      </w:r>
    </w:p>
    <w:p w:rsidR="00EF7245" w:rsidRPr="00EF7245" w:rsidRDefault="00EF7245" w:rsidP="00634CDA">
      <w:pPr>
        <w:rPr>
          <w:rFonts w:eastAsia="Times New Roman"/>
        </w:rPr>
      </w:pPr>
      <w:r w:rsidRPr="00EF7245">
        <w:t>Az MVH-ban a 2012. év során jelentős szervezeti változások nem történtek.</w:t>
      </w:r>
    </w:p>
    <w:p w:rsidR="00E72D80" w:rsidRPr="00CC31B5" w:rsidRDefault="00A57ED1" w:rsidP="00715E86">
      <w:pPr>
        <w:pStyle w:val="Cmsor4"/>
        <w:rPr>
          <w:lang w:bidi="sa-IN"/>
        </w:rPr>
      </w:pPr>
      <w:r w:rsidRPr="00CC31B5">
        <w:rPr>
          <w:lang w:bidi="sa-IN"/>
        </w:rPr>
        <w:lastRenderedPageBreak/>
        <w:t>N</w:t>
      </w:r>
      <w:r w:rsidR="00C14753">
        <w:rPr>
          <w:lang w:bidi="sa-IN"/>
        </w:rPr>
        <w:t>emzeti Agrárszaktanácsadási, Képzési és Vidékfejlesztési Intézet</w:t>
      </w:r>
      <w:r w:rsidRPr="00CC31B5">
        <w:rPr>
          <w:lang w:bidi="sa-IN"/>
        </w:rPr>
        <w:t xml:space="preserve"> </w:t>
      </w:r>
    </w:p>
    <w:p w:rsidR="00B3398B" w:rsidRDefault="00B015B5" w:rsidP="00D90F4C">
      <w:r w:rsidRPr="00B015B5">
        <w:t xml:space="preserve">2012 tavaszától a </w:t>
      </w:r>
      <w:r w:rsidR="00B3398B">
        <w:t xml:space="preserve">korábbi </w:t>
      </w:r>
      <w:r w:rsidRPr="00B015B5">
        <w:t>VM V</w:t>
      </w:r>
      <w:r w:rsidR="00C14753">
        <w:t>idékfejlesztési Képzési és Szaktanácsadási Intézet (VKSZI)</w:t>
      </w:r>
      <w:r w:rsidRPr="00B015B5">
        <w:t xml:space="preserve"> </w:t>
      </w:r>
      <w:r w:rsidR="00B3398B">
        <w:t xml:space="preserve">Nemzeti Agrárszaktanácsadási, Képzési és Vidékfejlesztési Intézet (NAKVI) </w:t>
      </w:r>
      <w:r w:rsidRPr="00B015B5">
        <w:t xml:space="preserve">néven folytatja kibővült tevékenységét. </w:t>
      </w:r>
    </w:p>
    <w:p w:rsidR="00B3398B" w:rsidRDefault="00B015B5" w:rsidP="00D90F4C">
      <w:r w:rsidRPr="00B015B5">
        <w:t>A Vidékfejlesztési Minisztérium háttérintézményeként általános országos hatáskörrel rendelkez</w:t>
      </w:r>
      <w:r w:rsidR="00B3398B">
        <w:t xml:space="preserve">ik a </w:t>
      </w:r>
      <w:r w:rsidRPr="00B015B5">
        <w:t>vidékfejlesztés, a képzés és a szaktanácsadás területén</w:t>
      </w:r>
      <w:r w:rsidR="00B3398B">
        <w:t xml:space="preserve">. </w:t>
      </w:r>
    </w:p>
    <w:p w:rsidR="00F140D3" w:rsidRDefault="00B015B5" w:rsidP="00D90F4C">
      <w:r w:rsidRPr="00B015B5">
        <w:t xml:space="preserve">A NAKVI feladata többek között az Európai Mezőgazdasági Vidékfejlesztési Alap társfinanszírozásában megvalósuló </w:t>
      </w:r>
      <w:r w:rsidR="00C14753">
        <w:t>v</w:t>
      </w:r>
      <w:r w:rsidRPr="00B015B5">
        <w:t xml:space="preserve">idékfejlesztési </w:t>
      </w:r>
      <w:r w:rsidR="00C14753">
        <w:t>p</w:t>
      </w:r>
      <w:r w:rsidRPr="00B015B5">
        <w:t xml:space="preserve">rogram végrehajtása, intézkedéseihez szakmai, módszertani és tájékoztatási hátteret nyújt. </w:t>
      </w:r>
    </w:p>
    <w:p w:rsidR="00F140D3" w:rsidRPr="00B015B5" w:rsidRDefault="00F140D3" w:rsidP="00D90F4C">
      <w:r>
        <w:t xml:space="preserve">A NAKVI közreműködik a </w:t>
      </w:r>
      <w:r w:rsidR="00C14753">
        <w:t>Program</w:t>
      </w:r>
      <w:r>
        <w:t xml:space="preserve"> megvalósításának, végrehajtásának és értékelésének szakmai koordinációjában, támogatásában. A</w:t>
      </w:r>
      <w:r w:rsidR="00C14753">
        <w:t xml:space="preserve"> </w:t>
      </w:r>
      <w:r>
        <w:t>P</w:t>
      </w:r>
      <w:r w:rsidR="00C14753">
        <w:t>rogram</w:t>
      </w:r>
      <w:r>
        <w:t xml:space="preserve"> nyilvánosságának megteremtése keretében végrehajtja az országos, regionális és helyi szintű tájékoztatási feladatokat. </w:t>
      </w:r>
    </w:p>
    <w:p w:rsidR="00AB3312" w:rsidRDefault="00B015B5" w:rsidP="00D90F4C">
      <w:r w:rsidRPr="00B015B5">
        <w:t>Az Intézet emellett a hazai és európai uniós vidékfejlesztési programok monitoring és tervezési feladataiért is felel, ellátja a vidékfejlesztési projektek megvalósítására közzétett felhívásokkal kapcsolatos megbízásokat, pályázati rendszert működtet</w:t>
      </w:r>
      <w:r w:rsidR="00B3398B">
        <w:t>,</w:t>
      </w:r>
      <w:r w:rsidRPr="00B015B5">
        <w:t xml:space="preserve"> és ellenőrzi a megvalósítás végrehajtását.</w:t>
      </w:r>
      <w:r w:rsidR="00AB3312">
        <w:t xml:space="preserve"> </w:t>
      </w:r>
    </w:p>
    <w:p w:rsidR="00F140D3" w:rsidRDefault="00B015B5" w:rsidP="00D90F4C">
      <w:r w:rsidRPr="00B015B5">
        <w:t>Ezen felül olyan területek is az Intézethez tartoznak, amelyek a vidékhez kapcsolódnak és annak szerves részét képezik: ilyen az Esélyegyenlőségi, illetve a Magyar Tanyákért Programiroda, valamint az Integrált Közösségi és Szolgáltató Terek (IKSZT) programjának lebonyolítása is.</w:t>
      </w:r>
      <w:r w:rsidR="00F140D3">
        <w:t xml:space="preserve"> </w:t>
      </w:r>
    </w:p>
    <w:p w:rsidR="00B015B5" w:rsidRDefault="00F140D3" w:rsidP="00D90F4C">
      <w:r>
        <w:t>A NAKVI az IKSZT-k működéséről rendszeres adatgyűjtést, monitoring tevékenységet végez, melynek</w:t>
      </w:r>
      <w:r w:rsidR="00C14753">
        <w:t xml:space="preserve"> eredményéről beszámol a </w:t>
      </w:r>
      <w:r>
        <w:t>P</w:t>
      </w:r>
      <w:r w:rsidR="00C14753">
        <w:t>rogram</w:t>
      </w:r>
      <w:r>
        <w:t xml:space="preserve"> Irányító Hatóságnak. Ezen kívül a NAKVI javaslatot tesz az IKSZT-t összehangolt szakmai munkájának minőségügyi rendszerére és annak üzemeltetésére, valamint az IKSZT munkatársak felkészítését célzó képzési portfólió kialakítására. Elvégzi továbbá az IKSZT-k szakmai beszámolóinak ellenőrzését és értékelését, a feladatok ellátása érdekében folyamatosan működteti az IKSZT Programirodát. </w:t>
      </w:r>
    </w:p>
    <w:p w:rsidR="00F140D3" w:rsidRDefault="00F140D3" w:rsidP="00D90F4C">
      <w:r>
        <w:t xml:space="preserve">A NAKVI közreműködik a LEADER HACS-ok munkájának koordinálásában, módszertani támogatásában, a vidékfejlesztéssel kapcsolatos aktuális információkkal történő ellátásában, szakmai beszámolóinak ellenőrzésében, és javaslatot tesz a beszámolók értékelésére. </w:t>
      </w:r>
    </w:p>
    <w:p w:rsidR="00B015B5" w:rsidRPr="00B015B5" w:rsidRDefault="00B015B5" w:rsidP="00D90F4C">
      <w:r w:rsidRPr="00B015B5">
        <w:t>A Magyar Nemzeti Vidéki Hálózat munkája, ezen belül az Állandó Titkárság feladatainak ellátása szervesen illeszkedik a NAKVI tevékenységébe.</w:t>
      </w:r>
    </w:p>
    <w:p w:rsidR="00AB3312" w:rsidRDefault="00B015B5" w:rsidP="00D90F4C">
      <w:r w:rsidRPr="00B015B5">
        <w:t xml:space="preserve">A szaktanácsadás területén </w:t>
      </w:r>
      <w:r w:rsidR="00B3398B">
        <w:t xml:space="preserve">a NAKVI </w:t>
      </w:r>
      <w:r w:rsidRPr="00B015B5">
        <w:t>országos hatáskörrel rendelkez</w:t>
      </w:r>
      <w:r w:rsidR="00B3398B">
        <w:t xml:space="preserve">ik, </w:t>
      </w:r>
      <w:r w:rsidRPr="00B015B5">
        <w:t>nyilvántartj</w:t>
      </w:r>
      <w:r w:rsidR="00B3398B">
        <w:t>a a</w:t>
      </w:r>
      <w:r w:rsidRPr="00B015B5">
        <w:t xml:space="preserve"> szaktanácsadói névjegyzéket, és működtet</w:t>
      </w:r>
      <w:r w:rsidR="00B3398B">
        <w:t xml:space="preserve">i </w:t>
      </w:r>
      <w:r w:rsidRPr="00B015B5">
        <w:t xml:space="preserve">a szaktanácsadói rendszerhez kötelező képzési struktúrát. </w:t>
      </w:r>
      <w:r w:rsidR="00AB3312">
        <w:t>Megszervezi a</w:t>
      </w:r>
      <w:r w:rsidR="00C14753">
        <w:t xml:space="preserve"> </w:t>
      </w:r>
      <w:r w:rsidR="00AB3312">
        <w:t>P</w:t>
      </w:r>
      <w:r w:rsidR="00C14753">
        <w:t>rogram</w:t>
      </w:r>
      <w:r w:rsidR="00AB3312">
        <w:t xml:space="preserve"> I. és II. tengely intézkedéscsoportjához kapcsolódó képzéseket, szaktanácsadók alapképzését és kötelező továbbképzését, a vizsgaszervezési feladatokat, vezeti a Képzőszervezetek Katalógusát, minősíti a képzőszervezeteket és ellenőrzi azok képzéseit. </w:t>
      </w:r>
    </w:p>
    <w:p w:rsidR="00A84FA0" w:rsidRPr="002657B7" w:rsidRDefault="008A4C04" w:rsidP="00715E86">
      <w:pPr>
        <w:pStyle w:val="Cmsor4"/>
        <w:rPr>
          <w:lang w:bidi="sa-IN"/>
        </w:rPr>
      </w:pPr>
      <w:r w:rsidRPr="002657B7">
        <w:rPr>
          <w:lang w:bidi="sa-IN"/>
        </w:rPr>
        <w:t>Nemzeti Élelmiszerlánc-biztonsági Hivatal</w:t>
      </w:r>
    </w:p>
    <w:p w:rsidR="008A4C04" w:rsidRDefault="008A4C04" w:rsidP="00D90F4C">
      <w:r w:rsidRPr="008A4C04">
        <w:t>A Nemzeti Élelmiszerlánc-biztonsági Hivatal</w:t>
      </w:r>
      <w:r>
        <w:t xml:space="preserve"> (NÉBIH)</w:t>
      </w:r>
      <w:r w:rsidRPr="008A4C04">
        <w:t xml:space="preserve"> 2012. március 15-ével jött létre a Mezőgazdasági Szakigazgatási Hivatal és a Magyar Élelmiszer-biztonsági Hivatal összevonásával</w:t>
      </w:r>
      <w:r>
        <w:t xml:space="preserve">. </w:t>
      </w:r>
    </w:p>
    <w:p w:rsidR="00C7299D" w:rsidRDefault="001615C4" w:rsidP="00D90F4C">
      <w:r w:rsidRPr="0029360B">
        <w:t>A</w:t>
      </w:r>
      <w:r w:rsidR="003B0670">
        <w:t xml:space="preserve"> NÉBIH</w:t>
      </w:r>
      <w:r w:rsidRPr="0029360B">
        <w:t xml:space="preserve"> a vidékfejlesztési miniszter irányítása alatt működő, önálló jogi személyiséggel rendelkező, önállóan működő és gazdálkodó központi költségvetési szerv, amely az egész országra kiterjedő illetékességgel rendelkezik.</w:t>
      </w:r>
      <w:r w:rsidR="00C7299D">
        <w:t xml:space="preserve"> </w:t>
      </w:r>
      <w:r w:rsidR="003B0670">
        <w:t>A NÉBIH</w:t>
      </w:r>
      <w:r w:rsidRPr="0029360B">
        <w:t xml:space="preserve"> feladatköre rendkívül szerteágazó, melyet </w:t>
      </w:r>
      <w:r w:rsidR="003B0670" w:rsidRPr="003B0670">
        <w:t>14 szakmai</w:t>
      </w:r>
      <w:r w:rsidR="003B0670">
        <w:t xml:space="preserve"> </w:t>
      </w:r>
      <w:r w:rsidRPr="0029360B">
        <w:t>igazgató</w:t>
      </w:r>
      <w:r w:rsidR="003B0670">
        <w:t xml:space="preserve">ság lát el. </w:t>
      </w:r>
    </w:p>
    <w:p w:rsidR="000E7AF5" w:rsidRDefault="003B0670" w:rsidP="00D90F4C">
      <w:r w:rsidRPr="00053C2D">
        <w:t>A NÉBIH átruházott feladatként látja el az erdészeti támogatási feladatokat a 48/2007</w:t>
      </w:r>
      <w:r w:rsidR="00EC56C8" w:rsidRPr="00053C2D">
        <w:t xml:space="preserve">. </w:t>
      </w:r>
      <w:r w:rsidR="00B86B07" w:rsidRPr="00053C2D">
        <w:t>F</w:t>
      </w:r>
      <w:r w:rsidRPr="00053C2D">
        <w:t>VM rendeletbe</w:t>
      </w:r>
      <w:r w:rsidR="00B86B07" w:rsidRPr="00053C2D">
        <w:t>n kapott felhatalmazás alapján. A végrehajtás pontos feltételrendszere</w:t>
      </w:r>
      <w:r w:rsidR="00B86B07">
        <w:t xml:space="preserve"> évente, szerződésben kerül rögzítésre. </w:t>
      </w:r>
    </w:p>
    <w:p w:rsidR="00B93D52" w:rsidRDefault="00B93D52" w:rsidP="00D90F4C">
      <w:r>
        <w:t>A NÉBIH a</w:t>
      </w:r>
      <w:r w:rsidR="00EC56C8">
        <w:t xml:space="preserve"> </w:t>
      </w:r>
      <w:r>
        <w:t>P</w:t>
      </w:r>
      <w:r w:rsidR="00EC56C8">
        <w:t>rogram</w:t>
      </w:r>
      <w:r>
        <w:t xml:space="preserve"> kapcsán a következő jogcímeknél látja el </w:t>
      </w:r>
      <w:r w:rsidR="003117FE">
        <w:t xml:space="preserve">a támogatási </w:t>
      </w:r>
      <w:r w:rsidR="00452994">
        <w:t xml:space="preserve">–és kifizetési </w:t>
      </w:r>
      <w:r w:rsidR="003117FE">
        <w:t>kérelmek elbírálásához kapcsolódó végrehajtási feladatokat</w:t>
      </w:r>
      <w:r w:rsidR="00452994">
        <w:t>, valamint helyszíni ellenőrzési</w:t>
      </w:r>
      <w:r w:rsidR="00452994" w:rsidRPr="00E62D4A">
        <w:t xml:space="preserve"> </w:t>
      </w:r>
      <w:r w:rsidR="00452994">
        <w:t>feladatokat</w:t>
      </w:r>
      <w:r w:rsidR="003117FE">
        <w:t>:</w:t>
      </w:r>
      <w:r w:rsidR="009851FE">
        <w:t xml:space="preserve"> </w:t>
      </w:r>
      <w:r w:rsidR="009851FE">
        <w:lastRenderedPageBreak/>
        <w:t>M</w:t>
      </w:r>
      <w:r w:rsidR="003117FE">
        <w:t>ezőgazdasági területek erdősítése; Erdészeti potenciál helyreállítása; Erdő-környezetvédelmi intézkedések; Erdőszerkezet áta</w:t>
      </w:r>
      <w:r w:rsidR="009851FE">
        <w:t xml:space="preserve">lakítás; Agrár-erdészeti rendszerek jogcímek. </w:t>
      </w:r>
    </w:p>
    <w:p w:rsidR="009851FE" w:rsidRDefault="009851FE" w:rsidP="00D90F4C">
      <w:r>
        <w:t xml:space="preserve">Ellátja továbbá a 2010. évben, és az azt megelőző években benyújtott támogatási kérelmek alapján indult, folyamatban lévő, illetve megismételt eljárásokkal kapcsolatos feladatokat a Fás szárú energia ültetvények; a Lágy szárú energiaültetvények; az Ültetvények korszerűsítése, korszerű ültetvények létesítése; Kertészeti ültetvények korszerűsítése, korszerű ültetvények létesítése </w:t>
      </w:r>
      <w:r w:rsidR="00EC56C8">
        <w:t>jogcíme</w:t>
      </w:r>
      <w:r>
        <w:t xml:space="preserve">k kapcsán. </w:t>
      </w:r>
    </w:p>
    <w:p w:rsidR="009851FE" w:rsidRPr="00EC56C8" w:rsidRDefault="009851FE" w:rsidP="00D90F4C">
      <w:r>
        <w:t xml:space="preserve">A NÉBIH továbbá ellátja a Fiatal erdők állományneveléséhez </w:t>
      </w:r>
      <w:r w:rsidR="001553F9">
        <w:t>nyújtott támogatás esetében a támogatási kérelmek ügyintézését, valamint a kifizetési kérelmek helyszíni ellenőrzését. A Natura</w:t>
      </w:r>
      <w:r w:rsidR="00CC79FE">
        <w:t> </w:t>
      </w:r>
      <w:r w:rsidR="001553F9">
        <w:t>2000 erdőterületek kompenzációs támogatása esetében ellátja az egységes kérelem felületen az MVH-</w:t>
      </w:r>
      <w:r w:rsidR="001553F9" w:rsidRPr="00EC56C8">
        <w:t xml:space="preserve">hoz benyújtott adatok alapján az ügyintézést és a helyszíni ellenőrzést. </w:t>
      </w:r>
    </w:p>
    <w:p w:rsidR="008054BA" w:rsidRDefault="001553F9" w:rsidP="00D90F4C">
      <w:r w:rsidRPr="00EC56C8">
        <w:t xml:space="preserve">Az NVT </w:t>
      </w:r>
      <w:r w:rsidR="00EC56C8" w:rsidRPr="00EC56C8">
        <w:t xml:space="preserve">ÚMVP-re áthúzódó kifizetései </w:t>
      </w:r>
      <w:r w:rsidRPr="00EC56C8">
        <w:t xml:space="preserve">kapcsán a NÉBIH a </w:t>
      </w:r>
      <w:r w:rsidR="00452994" w:rsidRPr="00EC56C8">
        <w:t xml:space="preserve">Mezőgazdasági területek erdősítése </w:t>
      </w:r>
      <w:r w:rsidRPr="00EC56C8">
        <w:t>jogcím esetéb</w:t>
      </w:r>
      <w:r w:rsidR="00E62D4A" w:rsidRPr="00EC56C8">
        <w:t>e</w:t>
      </w:r>
      <w:r w:rsidRPr="00EC56C8">
        <w:t>n végzi el a kifizetési kérelmek elbírálásához</w:t>
      </w:r>
      <w:r>
        <w:t xml:space="preserve"> </w:t>
      </w:r>
      <w:r w:rsidR="00E62D4A">
        <w:t>kapcsolódó</w:t>
      </w:r>
      <w:r>
        <w:t xml:space="preserve"> végrehatási</w:t>
      </w:r>
      <w:r w:rsidR="00452994">
        <w:t xml:space="preserve">, </w:t>
      </w:r>
      <w:r>
        <w:t>valamint</w:t>
      </w:r>
      <w:r w:rsidR="00452994">
        <w:t xml:space="preserve"> helyszíni ellenőrzési feladatokat.</w:t>
      </w:r>
    </w:p>
    <w:p w:rsidR="008054BA" w:rsidRPr="00896E03" w:rsidRDefault="00A008F5" w:rsidP="00DB48A3">
      <w:pPr>
        <w:pStyle w:val="Cmsor3"/>
      </w:pPr>
      <w:bookmarkStart w:id="382" w:name="_Toc328638742"/>
      <w:bookmarkStart w:id="383" w:name="_Toc360176834"/>
      <w:r w:rsidRPr="00896E03">
        <w:t>I</w:t>
      </w:r>
      <w:r w:rsidR="008054BA" w:rsidRPr="00896E03">
        <w:t>nformatikai fejlesztések</w:t>
      </w:r>
      <w:bookmarkEnd w:id="382"/>
      <w:bookmarkEnd w:id="383"/>
    </w:p>
    <w:p w:rsidR="008054BA" w:rsidRDefault="008054BA" w:rsidP="00715E86">
      <w:pPr>
        <w:pStyle w:val="Cmsor4"/>
      </w:pPr>
      <w:r w:rsidRPr="0063041A">
        <w:t>I</w:t>
      </w:r>
      <w:r w:rsidR="00A008F5">
        <w:t xml:space="preserve">ntegrált </w:t>
      </w:r>
      <w:r w:rsidRPr="0063041A">
        <w:t>I</w:t>
      </w:r>
      <w:r w:rsidR="00A008F5">
        <w:t>rányítási és Ellenőrzési Rendszer - II</w:t>
      </w:r>
      <w:r w:rsidRPr="0063041A">
        <w:t>ER</w:t>
      </w:r>
    </w:p>
    <w:p w:rsidR="008054BA" w:rsidRDefault="008054BA" w:rsidP="008054BA">
      <w:r>
        <w:t>A Program jogcímeire beérkező támogatási és kifizetési kérelmek feldolgozásának folyamatát a beérkezéstől a bírálaton át a kötelezettségvállalásig illetve kifizetésig, az Integrált Igazgatási és Ellenőrzési Rendszer (IIER) mint informatikai rendszer támogatja.</w:t>
      </w:r>
    </w:p>
    <w:p w:rsidR="008054BA" w:rsidRDefault="008054BA" w:rsidP="008054BA">
      <w:r>
        <w:t xml:space="preserve">Az IIER </w:t>
      </w:r>
      <w:r>
        <w:rPr>
          <w:i/>
        </w:rPr>
        <w:t>informatikai rendszerének</w:t>
      </w:r>
      <w:r>
        <w:t xml:space="preserve"> szerepe az intézmény ügyviteli folyamatainak támogatása, a különféle jogcímeken </w:t>
      </w:r>
      <w:r w:rsidR="00A008F5">
        <w:t>igényelhető</w:t>
      </w:r>
      <w:r>
        <w:t xml:space="preserve"> támogatások kérelmeinek feldolgozásához, ellenőrzéséhez, elosztásához és kifizetéséhez kapcsolódó funkciók szoftveralkalmazásban történő leképezése és megvalósítása.</w:t>
      </w:r>
      <w:r>
        <w:rPr>
          <w:b/>
        </w:rPr>
        <w:t xml:space="preserve"> </w:t>
      </w:r>
      <w:r>
        <w:t xml:space="preserve">Az informatikai rendszer tehát nem azonos magával az </w:t>
      </w:r>
      <w:r>
        <w:rPr>
          <w:i/>
        </w:rPr>
        <w:t>ügyviteli rendszerrel</w:t>
      </w:r>
      <w:r>
        <w:t xml:space="preserve"> és annak folyamataival, jóllehet a szoftver alkalmazás funkciói megvalósítják az ügyvitel egyes lépéseit. </w:t>
      </w:r>
    </w:p>
    <w:p w:rsidR="008054BA" w:rsidRDefault="008054BA" w:rsidP="008054BA">
      <w:r>
        <w:t>A támogatások lebonyolítását több száz komplett modul támogatja, melyek komplexitása önmagukban is óriási – egyetlen modul a támogatások teljes könyvelése és jelentési rendszere</w:t>
      </w:r>
      <w:r>
        <w:rPr>
          <w:b/>
        </w:rPr>
        <w:t xml:space="preserve">. </w:t>
      </w:r>
      <w:r>
        <w:t>Az IIER működése mögött szigorú, akkreditált informatikai biztonsági rendszer van, melyben a tevékenységek több szintű megosztása segít a kockázatok csökkentésében.</w:t>
      </w:r>
    </w:p>
    <w:p w:rsidR="008054BA" w:rsidRDefault="008054BA" w:rsidP="008054BA">
      <w:r>
        <w:t>Az IIER informatikai rendszere biztosítja:</w:t>
      </w:r>
    </w:p>
    <w:p w:rsidR="008054BA" w:rsidRPr="00D90F4C" w:rsidRDefault="008054BA" w:rsidP="00D90F4C">
      <w:pPr>
        <w:pStyle w:val="Normlbogy"/>
      </w:pPr>
      <w:r w:rsidRPr="00D90F4C">
        <w:t>az intézkedések alapján igényelt támogatások iránti kérelmek számítógépes befogadását, nyilvántartását, feldolgozását;</w:t>
      </w:r>
    </w:p>
    <w:p w:rsidR="008054BA" w:rsidRPr="00D90F4C" w:rsidRDefault="008054BA" w:rsidP="00D90F4C">
      <w:pPr>
        <w:pStyle w:val="Normlbogy"/>
      </w:pPr>
      <w:r w:rsidRPr="00D90F4C">
        <w:t>a kérelmek feldolgozását megvalósító ügyviteli folyamatok szoftveres támogatását;</w:t>
      </w:r>
    </w:p>
    <w:p w:rsidR="008054BA" w:rsidRPr="00D90F4C" w:rsidRDefault="008054BA" w:rsidP="00D90F4C">
      <w:pPr>
        <w:pStyle w:val="Normlbogy"/>
      </w:pPr>
      <w:r w:rsidRPr="00D90F4C">
        <w:t>a kérelmek feldolgozása során szükséges adminisztratív ellenőrzések manuális és automatizált számítógépes támogatását annak érdekében, hogy a támogatások a jogszabályok szerinti jogosultak számára, pontosan a szabályok szerint kalkulálva kerüljenek odaítélésre és kifizetésre, kiszűrve a különböző okokból adódó hibákat, tévedéseket és visszaéléseket;</w:t>
      </w:r>
    </w:p>
    <w:p w:rsidR="008054BA" w:rsidRPr="00D90F4C" w:rsidRDefault="008054BA" w:rsidP="00D90F4C">
      <w:pPr>
        <w:pStyle w:val="Normlbogy"/>
      </w:pPr>
      <w:r w:rsidRPr="00D90F4C">
        <w:t>a kérelmek elbírálása során a jogszabályok által előírt mértékben és módon történő helyszíni ellenőrzésekhez szükséges háttértámogatást: az ellenőrzésre történő kiválasztás alapjául szolgáló elemzéseket, az ellenőrzések elvégzésének előkészítéséhez szükséges információkat, az ellenőrzések eredményeinek visszacsatolását a számítógépes feldolgozási folyamatba;</w:t>
      </w:r>
    </w:p>
    <w:p w:rsidR="008054BA" w:rsidRPr="00D90F4C" w:rsidRDefault="008054BA" w:rsidP="00D90F4C">
      <w:pPr>
        <w:pStyle w:val="Normlbogy"/>
      </w:pPr>
      <w:r w:rsidRPr="00D90F4C">
        <w:t>az érintett jogcímek alapján jogosult támogatások kérelmezőnkénti meghatározását;</w:t>
      </w:r>
    </w:p>
    <w:p w:rsidR="008054BA" w:rsidRPr="00D90F4C" w:rsidRDefault="008054BA" w:rsidP="00D90F4C">
      <w:pPr>
        <w:pStyle w:val="Normlbogy"/>
      </w:pPr>
      <w:r w:rsidRPr="00D90F4C">
        <w:t>a kifizetések technikai lebonyolításához szükséges információkat a kifizetési megbízásokat kezelő rendszer számára;</w:t>
      </w:r>
    </w:p>
    <w:p w:rsidR="008054BA" w:rsidRPr="00D90F4C" w:rsidRDefault="008054BA" w:rsidP="00D90F4C">
      <w:pPr>
        <w:pStyle w:val="Normlbogy"/>
      </w:pPr>
      <w:r w:rsidRPr="00D90F4C">
        <w:t>az ügyviteli folyamat monitorozásának számítógépes támogatását;</w:t>
      </w:r>
    </w:p>
    <w:p w:rsidR="008054BA" w:rsidRPr="00D90F4C" w:rsidRDefault="008054BA" w:rsidP="00D90F4C">
      <w:pPr>
        <w:pStyle w:val="Normlbogy"/>
      </w:pPr>
      <w:r w:rsidRPr="00D90F4C">
        <w:t>a különböző uniós és hazai testületek és szervezetek irányába történő adatszolgáltatási, ill. jelentés készítési kötelezettségek számítógépes támogatását.</w:t>
      </w:r>
    </w:p>
    <w:p w:rsidR="008054BA" w:rsidRDefault="008054BA" w:rsidP="00D90F4C">
      <w:r>
        <w:lastRenderedPageBreak/>
        <w:t>Az IIER informatikai rendszerének a közvetlen megvalósításra kerülő funkcionalitás mellett további célja, hogy a Kifizető Ügynökségnek egy olyan számítógépes ügyviteli keretrendszer álljon rendelkezésére, amely moduláris felépítésével és többcélú felhasználást biztosító komponenseivel rugalmas keretrendszert alkot, és képes a jövőben további feldolgozási folyamatok irányába történő bővítésekre is.</w:t>
      </w:r>
    </w:p>
    <w:p w:rsidR="002C0C11" w:rsidRDefault="008054BA" w:rsidP="008054BA">
      <w:r>
        <w:t xml:space="preserve">Az IIER mint folyamatrendszernek </w:t>
      </w:r>
      <w:r w:rsidR="002C0C11">
        <w:t xml:space="preserve">része </w:t>
      </w:r>
      <w:r>
        <w:t xml:space="preserve">a kérelem-feldolgozás, mint alapfolyamat, mely egy vertikális adminisztratív folyamatként értelmezhető, ehhez kapcsolódnak a különböző speciális ellenőrzési tevékenységek. A folyamatok kezelése az IIER-ben állapotvezérelt. A jogcím folyamatállapotai, illetve a folyamatlépések mögötti adatok, programozott tevékenységek, ellenőrzések és kimenetek (pl. határozat, átutalás) definiálnak egy-egy jogcímet, melyek nagyban különbözhetnek. </w:t>
      </w:r>
    </w:p>
    <w:p w:rsidR="008054BA" w:rsidRDefault="008054BA" w:rsidP="008054BA">
      <w:r>
        <w:t>Az IIER felhasználói csak szigorú azonosítás után, a személyre szabott jogosultságaikkal használhatják a rendszert, ami nem csak minden módosítást, de minden olvasási hozzáférést is naplóz. A kérelmen az arra jogosult ügyintézői kör a folyamat soron következő lépését végezheti el, és azt a teljes befejezésig nem zárhatja le, ezt a beépített informatikai ellenőrzések biztosítják.</w:t>
      </w:r>
    </w:p>
    <w:p w:rsidR="008054BA" w:rsidRDefault="008054BA" w:rsidP="008054BA">
      <w:r>
        <w:t>A Kifizető Ügynökség az ügyviteli folyamatok és szoftver-elemek tervezése során törekszik a standardizált (több jogcímben/eljárásban is alkalmazható) megoldások kialakítására, hogy erőforrást és időt takarítson meg az újabb és újabb jogcímek szoftveres támogatásának kialakítása során. Ezt a megközelítést az elkövetkező évek során is minél szélesebb körben fogja folytatni.</w:t>
      </w:r>
    </w:p>
    <w:p w:rsidR="008054BA" w:rsidRPr="00EA18E0" w:rsidRDefault="008054BA" w:rsidP="00715E86">
      <w:pPr>
        <w:pStyle w:val="Cmsor4"/>
      </w:pPr>
      <w:r w:rsidRPr="00EA18E0">
        <w:t>2012-ben végrehajtott informatikai fejlesztések az IIER és az IIER – Adattár vonatkozásában</w:t>
      </w:r>
    </w:p>
    <w:p w:rsidR="008054BA" w:rsidRDefault="008054BA" w:rsidP="008054BA">
      <w:pPr>
        <w:tabs>
          <w:tab w:val="num" w:pos="567"/>
        </w:tabs>
      </w:pPr>
      <w:r>
        <w:t>A 2012. évi technológiai/IT infrastrukturális fejlesztések közül ki kell emelni az elektronikus kérelembenyújtás kritikus részeinek</w:t>
      </w:r>
      <w:r w:rsidR="002C0C11">
        <w:t>,</w:t>
      </w:r>
      <w:r>
        <w:t xml:space="preserve"> a rendszer rendelkezésre állási szintje növelését megcélzó továbbfejlesztését, a Hivatali Kapu–Hivatali Kapu kapcsolat kifejlesztés</w:t>
      </w:r>
      <w:r w:rsidR="002C0C11">
        <w:t>é</w:t>
      </w:r>
      <w:r>
        <w:t xml:space="preserve">t és bevezetését, és nem utolsó sorban az elektronikus ügyintézéshez kapcsolódó infrastrukturális és alkalmazás fejlesztési feladatok elindítását, ami megfelelő alapot teremt arra, hogy 2013-ban a Kifizető Ügynökség megtegye az első lépéseket az elektronikus ügyintézés bevezetésével kapcsolatban. </w:t>
      </w:r>
    </w:p>
    <w:p w:rsidR="008054BA" w:rsidRDefault="008054BA" w:rsidP="008054BA">
      <w:r>
        <w:t>A 2011-es évet követően 2012-ben is kiemelt jelentősegű volt a Program intézkedéseinek kezelésére is kiterjedő IIER továbbfejlesztése, ezen belül az egyes jogcímekhez kapcsolódó jogszabályi környezet lekövetését biztosító, a kérelem-feldolgozást támogató modulok kialakítása, a végrehajtási rendszer (eljárások) kidolgozásában való közreműködés.</w:t>
      </w:r>
    </w:p>
    <w:p w:rsidR="008054BA" w:rsidRDefault="008054BA" w:rsidP="008054BA">
      <w:r>
        <w:t>2012-ben összesen 28 jogcím került meghirdetésre, továbbá tíz, 2011. év végén meghirdetett jogcím feladatainak jelentős része húzódott át 2012-re, tehát a kifizetési kérelmekkel együtt mintegy 50 jogcím informatikai fejlesztési feladatait kellett elvégezni. Ehhez kapcsolódóan százat is meghaladó számban került kialakításra különböző mértékű funkcionalitással rendelkező szoftvermodul.</w:t>
      </w:r>
    </w:p>
    <w:p w:rsidR="008054BA" w:rsidRDefault="008054BA" w:rsidP="008054BA">
      <w:r>
        <w:rPr>
          <w:bCs/>
        </w:rPr>
        <w:t>2012-ben is folytatódott a 2011-ben megkezdett horizontális funkciók kialakításának fejlesztési folyamata. A horizontális megoldások bővítésének</w:t>
      </w:r>
      <w:r>
        <w:t xml:space="preserve"> legfontosabb jellemzője, hogy a bevezetési időszakban jelentős fejlesztési erőforrásokat köt le, azonban a megvalósítás után jelentős hozadéka van nemcsak a fejlesztések felgyorsítása és kiszámíthatósága, de a Kifizető Ügynökség eljárásainak egységesítése, működésének átláthatósága és hatékonysága területén is. 2012-ben elindult többek között a Státusz-információs rendszer kialakítása, melynek célja egy olyan önálló modul létrehozása, mely megjeleníti a viszonyítási adatbázisban (MDM-Közös ügyfél-nyilvántartási rendszer, NAV lista, iktató rendszer) megváltozott adattal rendelkező ügyfeleket, kilistázza az ügyfelekhez kapcsolódó ügyeket. Az ügyek esetén lehetőséget biztosít a szakmai igazgatóságok által megadott visszajelzések kezelésére, illetve dokumentum nyomtatására. A </w:t>
      </w:r>
      <w:r w:rsidRPr="00053C2D">
        <w:t>SIR alapot biztosít</w:t>
      </w:r>
      <w:r>
        <w:t xml:space="preserve"> további, speciális ügycsoportok (pl. jogutódlás) ügyintézési folyamatainak későbbi kialakítására is. </w:t>
      </w:r>
    </w:p>
    <w:p w:rsidR="008054BA" w:rsidRDefault="008054BA" w:rsidP="008054BA">
      <w:r>
        <w:t xml:space="preserve">2012-ben elkezdődött a döntés-módosítás támogatásának továbbfejlesztése, melynek segítségével a saját hatáskörben hozott döntések meghozatalának, módosításának támogatása valósul meg, újraindult </w:t>
      </w:r>
      <w:r>
        <w:lastRenderedPageBreak/>
        <w:t xml:space="preserve">az előlegkérelmek ügyintézése, jelentős fejlesztések történtek a Gépkatalógus </w:t>
      </w:r>
      <w:r w:rsidR="002C0C11">
        <w:t xml:space="preserve">informatikai </w:t>
      </w:r>
      <w:r>
        <w:t xml:space="preserve">alkalmazása terén. </w:t>
      </w:r>
    </w:p>
    <w:p w:rsidR="008054BA" w:rsidRDefault="008054BA" w:rsidP="008054BA">
      <w:r>
        <w:t>2012-ben tovább bővült a WEB-es (elektronikus) benyújtási lehetőség, újabb és újabb intézkedések tekintetében vált lehetővé a papír alapú kérelmezés mellett on-line benyújtó felületeken benyújtani támogatási és kifizetési kérelmeket. Ennek a megoldásnak az előnyei érezhetővé váltak mind az ügyfél, mind a Kifizető Ügynökség oldalán, az ügyfelek elektronikus kitöltés előnyeit használva pontosabb, ellenőrzött adatokat tudnak benyújtani.</w:t>
      </w:r>
    </w:p>
    <w:p w:rsidR="008054BA" w:rsidRDefault="008054BA" w:rsidP="008054BA">
      <w:pPr>
        <w:tabs>
          <w:tab w:val="num" w:pos="567"/>
        </w:tabs>
      </w:pPr>
      <w:r>
        <w:t xml:space="preserve">A 2012-es évben több olyan úttörő jellegű fejlesztési feladat is megvalósult, amelyek megfelelő alapot szolgáltatnak a néhány éven belül bevezetésre tervezett teljes körű elektronikus ügyintézéshez (e-government). 2012-ben megvalósult a </w:t>
      </w:r>
      <w:r w:rsidR="002C0C11">
        <w:t xml:space="preserve">Program </w:t>
      </w:r>
      <w:r>
        <w:t xml:space="preserve">IV. tengely </w:t>
      </w:r>
      <w:r w:rsidR="002C0C11">
        <w:t xml:space="preserve">– LEADER - </w:t>
      </w:r>
      <w:r>
        <w:t xml:space="preserve">kérelmeinek teljes körű, 100%-os elektronikus benyújtása. Ez azt jelentette, hogy nem csupán a kérelem adatlapok, hanem a hozzájuk kapcsolódó, az ügyfeleknél papíron meglévő iratok is elektronikus úton, szkennelést követően, kép formátumban kerültek feltöltésre az ezt támogató elektronikus benyújtó felületen. Ezzel a megoldással lehetővé vált a papír alapú bejövő dokumentumok kiiktatása a támogatási rendszerből. Ezt a módszertant és technológiát fokozatosan terjeszti ki a Hivatal, és az elkövetkező években egyre több hasonló jellegű támogatási konstrukció bevezetése várható. </w:t>
      </w:r>
    </w:p>
    <w:p w:rsidR="008054BA" w:rsidRDefault="008054BA" w:rsidP="008054BA">
      <w:r>
        <w:t>A Hivatal folyamatosan naprakész információkkal tölti fel a 2011-ben bevezetett Ügyfél-tájékoztatási rendszerét. A 2011-es indulást követően 2012-ben újabb jogcímek, valamint korábbi jogcímek újabb időszakainak adatai kerültek bele a rendszerbe, így jelenleg már 83 jogcímmel kapcsolatban tudnak tájékozódni az ügyfeleink és összesen több mint 200 000 ügyfél számára biztosít gyors és korszerű tájékoztatást. 2012-ben bekerülő új jogcímek információtartalma is kibővült, így ezeknél a jogcímeknél is tájékoztatást kap az ügyfél a benyújtott kérelme aktuális állapotáról, a főbb kérelemkezelési események időpontjáról, a kifizetett támogatások összegéről valamint egyéb jogcím specifikus adatokról.</w:t>
      </w:r>
    </w:p>
    <w:p w:rsidR="008054BA" w:rsidRDefault="002C0C11" w:rsidP="004869BB">
      <w:r>
        <w:t>A K</w:t>
      </w:r>
      <w:r w:rsidR="008054BA">
        <w:t>ifizető</w:t>
      </w:r>
      <w:r>
        <w:t xml:space="preserve"> Ü</w:t>
      </w:r>
      <w:r w:rsidR="008054BA">
        <w:t xml:space="preserve">gynökség ügyviteli rendszerét támogató informatikai rendszerből származó információkat, adatokat az IIER Adattárban található strukturált lekérdezések, kimutatások támogatják. Az Adattár is folyamatos fejlesztés alatt áll, minden évben újabb és újabb vezetői információk, illetve ügyviteli folyamatokat támogató adatsorok előállítása válik lehetővé. 2012-ben az Adattárban többek között kifejlesztésre került egy ügyfél határidők figyelését támogató modul. A támogatott beruházási műveletek kapcsán jogszabályi előírások vonatkoznak egyes műveletek, eljárási cselekmények határidejére. E határidők az ügyfélre vonatkoznak, azonban a </w:t>
      </w:r>
      <w:r>
        <w:t>H</w:t>
      </w:r>
      <w:r w:rsidR="008054BA">
        <w:t>ivatalnak nyomon kell követnie a határidők betartását. Az Adattárban kialakított informatikai megoldás lehetővé teszi a jogcímek kérelmeire a jogszabályban meghatározott, ügyfélre vonatkozó határidők követését, ezzel biztosítja az időben történő beavatkozás lehetőségét.</w:t>
      </w:r>
    </w:p>
    <w:p w:rsidR="008054BA" w:rsidRDefault="008054BA" w:rsidP="008054BA">
      <w:pPr>
        <w:pStyle w:val="Cmsor2"/>
      </w:pPr>
      <w:bookmarkStart w:id="384" w:name="_Toc215481022"/>
      <w:bookmarkStart w:id="385" w:name="_Toc230595638"/>
      <w:bookmarkStart w:id="386" w:name="_Toc232860195"/>
      <w:bookmarkStart w:id="387" w:name="_Toc360176835"/>
      <w:r w:rsidRPr="00593B55">
        <w:t>A program irányítása során felmerült fő problémák és a meghozott intézkedések összegzése</w:t>
      </w:r>
      <w:bookmarkEnd w:id="384"/>
      <w:bookmarkEnd w:id="385"/>
      <w:bookmarkEnd w:id="386"/>
      <w:bookmarkEnd w:id="387"/>
      <w:r>
        <w:t xml:space="preserve"> </w:t>
      </w:r>
    </w:p>
    <w:p w:rsidR="008054BA" w:rsidRPr="00896E03" w:rsidRDefault="008054BA" w:rsidP="00DB48A3">
      <w:pPr>
        <w:pStyle w:val="Cmsor3"/>
      </w:pPr>
      <w:bookmarkStart w:id="388" w:name="_Toc215481023"/>
      <w:bookmarkStart w:id="389" w:name="_Toc230595639"/>
      <w:bookmarkStart w:id="390" w:name="_Toc232860196"/>
      <w:bookmarkStart w:id="391" w:name="_Toc360176836"/>
      <w:r w:rsidRPr="00896E03">
        <w:t>A program irányítása során felmerült fő problémá</w:t>
      </w:r>
      <w:bookmarkEnd w:id="388"/>
      <w:bookmarkEnd w:id="389"/>
      <w:bookmarkEnd w:id="390"/>
      <w:r w:rsidRPr="00896E03">
        <w:t>k</w:t>
      </w:r>
      <w:bookmarkEnd w:id="391"/>
    </w:p>
    <w:p w:rsidR="008054BA" w:rsidRPr="00EF7197" w:rsidRDefault="008054BA" w:rsidP="00AB5DC5">
      <w:r>
        <w:t xml:space="preserve">A program 2012. </w:t>
      </w:r>
      <w:r w:rsidRPr="00EF7197">
        <w:t>évi irányítása során nagyobb problémák nem merültek fel.</w:t>
      </w:r>
    </w:p>
    <w:p w:rsidR="001834A6" w:rsidRDefault="008054BA" w:rsidP="00AB5DC5">
      <w:r w:rsidRPr="00053C2D">
        <w:t>Az 1.1.4. fejezetben,</w:t>
      </w:r>
      <w:r w:rsidRPr="00EF7197">
        <w:t xml:space="preserve"> mely az országos, regionális és ágazati politikák változásait mutatja be a 201</w:t>
      </w:r>
      <w:r>
        <w:t>2</w:t>
      </w:r>
      <w:r w:rsidRPr="00EF7197">
        <w:t xml:space="preserve">. év vonatkozásában már bemutatásra kerültek azon fontosabb intézkedések, </w:t>
      </w:r>
      <w:r w:rsidR="00472D8F">
        <w:t>jogszabály</w:t>
      </w:r>
      <w:r w:rsidR="00EA0B08">
        <w:t>-</w:t>
      </w:r>
      <w:r w:rsidR="00472D8F">
        <w:t xml:space="preserve">módosítások, </w:t>
      </w:r>
      <w:r w:rsidRPr="00EF7197">
        <w:t>melyeket a tárca hozott meg annak érdekében, hogy elősegítse a vidékfejlesztési program minél sikeresebb megvalósítását</w:t>
      </w:r>
      <w:r w:rsidR="00CD5A2A">
        <w:t>, ezen jogszabályok</w:t>
      </w:r>
      <w:r w:rsidR="001834A6">
        <w:t>:</w:t>
      </w:r>
    </w:p>
    <w:p w:rsidR="001834A6" w:rsidRPr="007B66C7" w:rsidRDefault="005B70A7" w:rsidP="005B70A7">
      <w:pPr>
        <w:pStyle w:val="Normllista2"/>
      </w:pPr>
      <w:r>
        <w:rPr>
          <w:lang w:eastAsia="ko-KR"/>
        </w:rPr>
        <w:t xml:space="preserve">- </w:t>
      </w:r>
      <w:r w:rsidR="00CD5A2A">
        <w:rPr>
          <w:lang w:eastAsia="ko-KR"/>
        </w:rPr>
        <w:t>a</w:t>
      </w:r>
      <w:r w:rsidR="001834A6" w:rsidRPr="007B66C7">
        <w:rPr>
          <w:lang w:eastAsia="ko-KR"/>
        </w:rPr>
        <w:t>z Európai Mezőgazdasági Vidékfejlesztési Alap társfinanszírozásában megvalósuló támogatások igénybevételének általános szabályairól szóló 23/2007. (IV. 17.) FVM rendelet,</w:t>
      </w:r>
    </w:p>
    <w:p w:rsidR="00CD5A2A" w:rsidRPr="00CD5A2A" w:rsidRDefault="005B70A7" w:rsidP="005B70A7">
      <w:pPr>
        <w:pStyle w:val="Normllista2"/>
        <w:rPr>
          <w:lang w:eastAsia="ko-KR"/>
        </w:rPr>
      </w:pPr>
      <w:r>
        <w:rPr>
          <w:lang w:eastAsia="ko-KR"/>
        </w:rPr>
        <w:t xml:space="preserve">- </w:t>
      </w:r>
      <w:r w:rsidR="00CD5A2A">
        <w:rPr>
          <w:lang w:eastAsia="ko-KR"/>
        </w:rPr>
        <w:t>a</w:t>
      </w:r>
      <w:r w:rsidR="00CD5A2A" w:rsidRPr="00CD5A2A">
        <w:rPr>
          <w:lang w:eastAsia="ko-KR"/>
        </w:rPr>
        <w:t xml:space="preserve"> mezőgazdasági, agrár-vidékfejlesztési, valamint halászati támogatásokhoz és egyéb intéz</w:t>
      </w:r>
      <w:r>
        <w:rPr>
          <w:lang w:eastAsia="ko-KR"/>
        </w:rPr>
        <w:softHyphen/>
      </w:r>
      <w:r w:rsidR="00CD5A2A" w:rsidRPr="00CD5A2A">
        <w:rPr>
          <w:lang w:eastAsia="ko-KR"/>
        </w:rPr>
        <w:t>kedésekhez kapcsolódó eljárás egyes kérdéseiről szóló 2007. évi XVII. törvény módosítása</w:t>
      </w:r>
      <w:r w:rsidR="00CD5A2A">
        <w:rPr>
          <w:lang w:eastAsia="ko-KR"/>
        </w:rPr>
        <w:t>.</w:t>
      </w:r>
    </w:p>
    <w:p w:rsidR="008054BA" w:rsidRPr="005B70A7" w:rsidRDefault="008054BA" w:rsidP="005B70A7">
      <w:pPr>
        <w:pStyle w:val="Cmsor6"/>
      </w:pPr>
      <w:r w:rsidRPr="005B70A7">
        <w:lastRenderedPageBreak/>
        <w:t xml:space="preserve">Előlegfizetés </w:t>
      </w:r>
    </w:p>
    <w:p w:rsidR="008054BA" w:rsidRDefault="008054BA" w:rsidP="00DA27DF">
      <w:pPr>
        <w:rPr>
          <w:lang w:eastAsia="en-US"/>
        </w:rPr>
      </w:pPr>
      <w:r w:rsidRPr="00DA27DF">
        <w:t>Az Európai Mezőgazdasági és Vidékfejlesztési Alap társfinanszírozásában megvalósuló vidékfejlesztési program keretében rendelkezésre álló források maximális felhasználása érdekében szükséges volt a hatékony és eredményes lehívást biztosító feltételrendszer megteremtése, mely többek között</w:t>
      </w:r>
      <w:r w:rsidRPr="00231C49">
        <w:rPr>
          <w:i/>
          <w:lang w:eastAsia="en-US"/>
        </w:rPr>
        <w:t xml:space="preserve"> </w:t>
      </w:r>
      <w:r w:rsidRPr="00231C49">
        <w:rPr>
          <w:lang w:eastAsia="en-US"/>
        </w:rPr>
        <w:t xml:space="preserve">a források felhasználását segítő előleg biztosításával, eljárásrendek egyszerűsítésével, hitelezési lehetőség megteremtésével érhető el. </w:t>
      </w:r>
    </w:p>
    <w:p w:rsidR="008054BA" w:rsidRPr="00053C2D" w:rsidRDefault="008054BA" w:rsidP="00DA27DF">
      <w:r w:rsidRPr="00231C49">
        <w:rPr>
          <w:lang w:eastAsia="en-US"/>
        </w:rPr>
        <w:t xml:space="preserve">Az előleg biztosítása a jelenlegi gazdasági körülmények mellett kiemelkedő jelentőséggel bír, hiszen az utófinanszírozott programok esetében számos kedvezményezett számára jelent problémát a fejlesztések megkezdéséhez szükséges </w:t>
      </w:r>
      <w:r w:rsidR="00472D8F">
        <w:rPr>
          <w:lang w:eastAsia="en-US"/>
        </w:rPr>
        <w:t xml:space="preserve">saját </w:t>
      </w:r>
      <w:r w:rsidRPr="00231C49">
        <w:rPr>
          <w:lang w:eastAsia="en-US"/>
        </w:rPr>
        <w:t>forrás</w:t>
      </w:r>
      <w:r w:rsidR="00472D8F">
        <w:rPr>
          <w:lang w:eastAsia="en-US"/>
        </w:rPr>
        <w:t>/önerő</w:t>
      </w:r>
      <w:r w:rsidRPr="00231C49">
        <w:rPr>
          <w:lang w:eastAsia="en-US"/>
        </w:rPr>
        <w:t xml:space="preserve"> rendelkezésre állása, amely egyrészt előleggel, másrészt hitelekkel biztosítható. A bankok által nem szívesen hitelezettek körébe tartozó </w:t>
      </w:r>
      <w:r w:rsidRPr="00231C49">
        <w:rPr>
          <w:rFonts w:eastAsia="Batang"/>
          <w:lang w:eastAsia="en-US"/>
        </w:rPr>
        <w:t>mezőgazdasági ágazatban dolgozó üzemek, egyéni gazdaságok</w:t>
      </w:r>
      <w:r w:rsidRPr="00231C49">
        <w:rPr>
          <w:lang w:eastAsia="en-US"/>
        </w:rPr>
        <w:t xml:space="preserve"> csak kis része jut közvetlenül hitelhez, amely a tőkehiányos ágazatban a legtöbb termelő számára a beruházás egyetlen lehetősége lehet. Tekintettel a fentiekben leírtakra a Vidékfejlesztési Minisztérium a 118/2012 (XI.22.) VM ren</w:t>
      </w:r>
      <w:r w:rsidR="00472D8F">
        <w:rPr>
          <w:lang w:eastAsia="en-US"/>
        </w:rPr>
        <w:t>delet</w:t>
      </w:r>
      <w:r w:rsidRPr="00231C49">
        <w:rPr>
          <w:lang w:eastAsia="en-US"/>
        </w:rPr>
        <w:t xml:space="preserve"> alapján </w:t>
      </w:r>
      <w:r w:rsidRPr="00231C49">
        <w:rPr>
          <w:i/>
          <w:lang w:eastAsia="en-US"/>
        </w:rPr>
        <w:t xml:space="preserve">- az Európai Mezőgazdasági és Vidékfejlesztési Alapból az egyes beruházási jogcímek esetén </w:t>
      </w:r>
      <w:r w:rsidRPr="00053C2D">
        <w:rPr>
          <w:i/>
          <w:lang w:eastAsia="en-US"/>
        </w:rPr>
        <w:t>nyújtandó</w:t>
      </w:r>
      <w:r w:rsidRPr="00053C2D">
        <w:t xml:space="preserve"> – </w:t>
      </w:r>
      <w:r w:rsidR="00472D8F" w:rsidRPr="00053C2D">
        <w:t xml:space="preserve">2012-ben ismét </w:t>
      </w:r>
      <w:r w:rsidRPr="00053C2D">
        <w:t>támogatási előleg</w:t>
      </w:r>
      <w:r w:rsidR="00472D8F" w:rsidRPr="00053C2D">
        <w:t xml:space="preserve"> igénybevételét</w:t>
      </w:r>
      <w:r w:rsidRPr="00053C2D">
        <w:t xml:space="preserve"> tette lehetővé. </w:t>
      </w:r>
    </w:p>
    <w:p w:rsidR="008054BA" w:rsidRDefault="008054BA" w:rsidP="008054BA">
      <w:pPr>
        <w:suppressAutoHyphens w:val="0"/>
        <w:spacing w:after="200" w:line="276" w:lineRule="auto"/>
        <w:ind w:firstLine="0"/>
        <w:rPr>
          <w:rFonts w:eastAsia="Calibri" w:cs="Times New Roman"/>
          <w:kern w:val="0"/>
          <w:szCs w:val="22"/>
          <w:lang w:eastAsia="en-US"/>
        </w:rPr>
      </w:pPr>
      <w:r w:rsidRPr="00053C2D">
        <w:rPr>
          <w:rFonts w:eastAsia="Calibri" w:cs="Times New Roman"/>
          <w:kern w:val="0"/>
          <w:szCs w:val="22"/>
          <w:lang w:eastAsia="en-US"/>
        </w:rPr>
        <w:t>Előleg a megítélt támogatás maximum 30%-ig nyújtható, 110%-os készpénzletét vagy bankgarancia mellett. A VM rendelet alapján az ügyfél legkésőbb</w:t>
      </w:r>
      <w:r>
        <w:rPr>
          <w:rFonts w:eastAsia="Calibri" w:cs="Times New Roman"/>
          <w:kern w:val="0"/>
          <w:szCs w:val="22"/>
          <w:lang w:eastAsia="en-US"/>
        </w:rPr>
        <w:t xml:space="preserve"> az utolsó kifizetési kérelem benyújtásával egyidejűleg köteles a támogatási előleggel elszámolni. </w:t>
      </w:r>
    </w:p>
    <w:p w:rsidR="008054BA" w:rsidRPr="00472D8F" w:rsidRDefault="008054BA" w:rsidP="001A0512">
      <w:pPr>
        <w:suppressAutoHyphens w:val="0"/>
        <w:spacing w:after="0" w:line="276" w:lineRule="auto"/>
        <w:ind w:firstLine="0"/>
        <w:rPr>
          <w:rFonts w:eastAsia="Calibri" w:cs="Times New Roman"/>
          <w:kern w:val="0"/>
          <w:szCs w:val="22"/>
          <w:lang w:eastAsia="en-US"/>
        </w:rPr>
      </w:pPr>
      <w:r w:rsidRPr="00472D8F">
        <w:rPr>
          <w:rFonts w:eastAsia="Calibri" w:cs="Times New Roman"/>
          <w:kern w:val="0"/>
          <w:szCs w:val="22"/>
          <w:lang w:eastAsia="en-US"/>
        </w:rPr>
        <w:t xml:space="preserve">Támogatási előleget az alábbi jogcímek tekintetében lehetett igényelni: </w:t>
      </w:r>
    </w:p>
    <w:p w:rsidR="00472D8F" w:rsidRPr="00BD037E" w:rsidRDefault="00472D8F" w:rsidP="00BD037E">
      <w:pPr>
        <w:spacing w:after="0"/>
        <w:ind w:left="568" w:hanging="284"/>
      </w:pPr>
      <w:r w:rsidRPr="00BD037E">
        <w:t>121. Állattartó telepek korszerűsítése</w:t>
      </w:r>
    </w:p>
    <w:p w:rsidR="00472D8F" w:rsidRPr="00BD037E" w:rsidRDefault="00472D8F" w:rsidP="00BD037E">
      <w:pPr>
        <w:spacing w:after="0"/>
        <w:ind w:left="568" w:hanging="284"/>
      </w:pPr>
      <w:r w:rsidRPr="00BD037E">
        <w:t>121. Gyümölcs és kertészeti ültetvények korszerűsítése, létesítése</w:t>
      </w:r>
    </w:p>
    <w:p w:rsidR="00472D8F" w:rsidRPr="00BD037E" w:rsidRDefault="00472D8F" w:rsidP="00BD037E">
      <w:pPr>
        <w:spacing w:after="0"/>
        <w:ind w:left="568" w:hanging="284"/>
      </w:pPr>
      <w:r w:rsidRPr="00BD037E">
        <w:t>121. Kertészet korszerűsítése</w:t>
      </w:r>
    </w:p>
    <w:p w:rsidR="00472D8F" w:rsidRPr="00BD037E" w:rsidRDefault="00472D8F" w:rsidP="00BD037E">
      <w:pPr>
        <w:spacing w:after="0"/>
        <w:ind w:left="568" w:hanging="284"/>
      </w:pPr>
      <w:r w:rsidRPr="00BD037E">
        <w:t>123. Mezőgazdasági termékek értéknövelése</w:t>
      </w:r>
    </w:p>
    <w:p w:rsidR="00472D8F" w:rsidRPr="00BD037E" w:rsidRDefault="00472D8F" w:rsidP="00BD037E">
      <w:pPr>
        <w:spacing w:after="0"/>
        <w:ind w:left="568" w:hanging="284"/>
      </w:pPr>
      <w:r w:rsidRPr="00BD037E">
        <w:t>125. Mezőgazdasági utak fejlesztése</w:t>
      </w:r>
    </w:p>
    <w:p w:rsidR="00472D8F" w:rsidRPr="00BD037E" w:rsidRDefault="00472D8F" w:rsidP="00BD037E">
      <w:pPr>
        <w:spacing w:after="0"/>
        <w:ind w:left="568" w:hanging="284"/>
      </w:pPr>
      <w:r w:rsidRPr="00BD037E">
        <w:t>125.</w:t>
      </w:r>
      <w:r w:rsidR="00BD037E">
        <w:t> </w:t>
      </w:r>
      <w:r w:rsidRPr="00BD037E">
        <w:t>Öntözés, a melioráció és a területi vízgazdálkodás mezőgazdasági üzemi és közösségi létesítményeinek fejlesztése</w:t>
      </w:r>
    </w:p>
    <w:p w:rsidR="00472D8F" w:rsidRPr="00BD037E" w:rsidRDefault="00472D8F" w:rsidP="00BD037E">
      <w:pPr>
        <w:spacing w:after="0"/>
        <w:ind w:left="568" w:hanging="284"/>
      </w:pPr>
      <w:r w:rsidRPr="00BD037E">
        <w:t>311.</w:t>
      </w:r>
      <w:r w:rsidR="00BD037E">
        <w:t> </w:t>
      </w:r>
      <w:r w:rsidRPr="00BD037E">
        <w:t>Nem mezőgazdasági tevékenységgé történő diverzifikálás 312. Mikrovállalkozások létrehozása és fejlesztése</w:t>
      </w:r>
    </w:p>
    <w:p w:rsidR="00472D8F" w:rsidRPr="00BD037E" w:rsidRDefault="00472D8F" w:rsidP="00BD037E">
      <w:pPr>
        <w:spacing w:after="0"/>
        <w:ind w:left="568" w:hanging="284"/>
      </w:pPr>
      <w:r w:rsidRPr="00BD037E">
        <w:t>313. Turisztikai tevékenységek ösztönzése</w:t>
      </w:r>
    </w:p>
    <w:p w:rsidR="00472D8F" w:rsidRPr="00BD037E" w:rsidRDefault="00472D8F" w:rsidP="00BD037E">
      <w:pPr>
        <w:spacing w:after="0"/>
        <w:ind w:left="568" w:hanging="284"/>
      </w:pPr>
      <w:r w:rsidRPr="00BD037E">
        <w:t>321. Integrált közösségi és szolgáltató tér kialakítása és működtetése (IKSZT)</w:t>
      </w:r>
    </w:p>
    <w:p w:rsidR="00472D8F" w:rsidRPr="00BD037E" w:rsidRDefault="00472D8F" w:rsidP="00BD037E">
      <w:pPr>
        <w:spacing w:after="0"/>
        <w:ind w:left="568" w:hanging="284"/>
      </w:pPr>
      <w:r w:rsidRPr="00BD037E">
        <w:t>322. Falumegújítás-és fejlesztés</w:t>
      </w:r>
    </w:p>
    <w:p w:rsidR="00472D8F" w:rsidRPr="00BD037E" w:rsidRDefault="00472D8F" w:rsidP="00BD037E">
      <w:pPr>
        <w:spacing w:after="0"/>
        <w:ind w:left="568" w:hanging="284"/>
      </w:pPr>
      <w:r w:rsidRPr="00BD037E">
        <w:t xml:space="preserve">323. Vidéki örökség megőrzése </w:t>
      </w:r>
    </w:p>
    <w:p w:rsidR="00472D8F" w:rsidRPr="00BD037E" w:rsidRDefault="00472D8F" w:rsidP="00BD037E">
      <w:pPr>
        <w:spacing w:after="0"/>
        <w:ind w:left="568" w:hanging="284"/>
      </w:pPr>
      <w:r w:rsidRPr="00BD037E">
        <w:t>413. Helyi Vidékfejlesztési Stratégiák LEADER fejezetének végrehajtása</w:t>
      </w:r>
    </w:p>
    <w:p w:rsidR="008054BA" w:rsidRPr="00BD037E" w:rsidRDefault="008054BA" w:rsidP="00BD037E">
      <w:pPr>
        <w:spacing w:after="0"/>
        <w:ind w:left="568" w:hanging="284"/>
      </w:pPr>
      <w:r w:rsidRPr="00BD037E">
        <w:t>421. Területek közötti együttműködés</w:t>
      </w:r>
    </w:p>
    <w:p w:rsidR="008054BA" w:rsidRPr="00BD037E" w:rsidRDefault="008054BA" w:rsidP="00BD037E">
      <w:pPr>
        <w:spacing w:after="0"/>
        <w:ind w:left="568" w:hanging="284"/>
      </w:pPr>
      <w:r w:rsidRPr="00BD037E">
        <w:t>421.</w:t>
      </w:r>
      <w:r w:rsidR="00BD037E">
        <w:t> </w:t>
      </w:r>
      <w:r w:rsidRPr="00BD037E">
        <w:t>LEADER Európai Unión belüli és harmadik országbeli területekkel való nemzetközi együttműködés</w:t>
      </w:r>
    </w:p>
    <w:p w:rsidR="008054BA" w:rsidRPr="00896E03" w:rsidRDefault="00A007D6" w:rsidP="00DB48A3">
      <w:pPr>
        <w:pStyle w:val="Cmsor3"/>
      </w:pPr>
      <w:bookmarkStart w:id="392" w:name="_Toc328638741"/>
      <w:bookmarkStart w:id="393" w:name="_Toc360176837"/>
      <w:r w:rsidRPr="00896E03">
        <w:t>M</w:t>
      </w:r>
      <w:r w:rsidR="008054BA" w:rsidRPr="00896E03">
        <w:t>onitoring feladatok</w:t>
      </w:r>
      <w:bookmarkEnd w:id="392"/>
      <w:bookmarkEnd w:id="393"/>
    </w:p>
    <w:p w:rsidR="008054BA" w:rsidRPr="00313ED5" w:rsidRDefault="008054BA" w:rsidP="004869BB">
      <w:r w:rsidRPr="00313ED5">
        <w:t xml:space="preserve">Az IH Monitoring Munkacsoportot (MMCS) működtet, mely 2012-ben ismét teljes körűen áttekintette a szolgáltatandó output indikátorokhoz kapcsolódó adatok körét, </w:t>
      </w:r>
      <w:r w:rsidR="00A007D6" w:rsidRPr="00313ED5">
        <w:t xml:space="preserve">pontosította </w:t>
      </w:r>
      <w:r w:rsidRPr="00313ED5">
        <w:t>definiálás</w:t>
      </w:r>
      <w:r w:rsidR="00A007D6" w:rsidRPr="00313ED5">
        <w:t>uka</w:t>
      </w:r>
      <w:r w:rsidRPr="00313ED5">
        <w:t xml:space="preserve">t, </w:t>
      </w:r>
      <w:r w:rsidR="00A007D6" w:rsidRPr="00313ED5">
        <w:t xml:space="preserve">az adatok </w:t>
      </w:r>
      <w:r w:rsidRPr="00313ED5">
        <w:t xml:space="preserve">gyűjtési forrását </w:t>
      </w:r>
      <w:r w:rsidR="00A007D6" w:rsidRPr="00313ED5">
        <w:t>az adatminőség javítása érdekében</w:t>
      </w:r>
      <w:r w:rsidRPr="00313ED5">
        <w:t>. Előkészítette az újonnan beindult jogcímek monitoring indikátorainak gyűjtését. A Monitoring Munkacsoportok ülésein részt vettek a VM és az MVH jogcímfelelősei és egyéb szakmai (adatszolgáltató) szervezetek képviselői is. Az együttműködés eredménye, hogy az MMCS ülések keretében specifikált adatkör alapján az MVH az IIER keretein belül továbbfejlesztette a webes adatszolgáltatási felületet, mely egy irányított, ellenőrzött adatgyűjtési rendszer, valamint elkészítette az adatszolgáltatást segítő kitöltési útmutatókat.</w:t>
      </w:r>
    </w:p>
    <w:p w:rsidR="008054BA" w:rsidRPr="00313ED5" w:rsidRDefault="008054BA" w:rsidP="004869BB">
      <w:r w:rsidRPr="00313ED5">
        <w:t xml:space="preserve">A 2012. február 13. - 2012. március 12. között nyitva álló adatszolgáltatási időszakban az Európai Mezőgazdasági Vidékfejlesztési Alapból támogatott intézkedések monitoring adatszolgáltatási rendjére vonatkozó részletes szabályokról szóló 18/2009. (III.6.) FVM rendelet módosítása alapján a támogatási határozattal rendelkező ügyfelek eleget tehettek adatszolgáltatási kötelezettségüknek. </w:t>
      </w:r>
      <w:r w:rsidRPr="00313ED5">
        <w:lastRenderedPageBreak/>
        <w:t>Annak érdekében, hogy a potenciális kedvezményezettek számára az IH megkönnyítse a miniszteri rendelet keretében szabályozott monitoring adatszolgáltatás értelmezését, a rendelet meghirdetésével egy időben kapcsolódó Közlemény került megjelentetésre az MVH honlapján, melynek melléklete tartalmazta a Kitöltési Útmutatót, illetve video programot a web-es felület alkalmazására. Az ügyfelek részére az ügyfélszolgálati hálózatot működtető Magyar Agrárkamara munkatársai segítséget nyújtottak a rendelet értelmezésében és az elektronikus adatszolgáltatásban.</w:t>
      </w:r>
    </w:p>
    <w:p w:rsidR="008054BA" w:rsidRPr="00313ED5" w:rsidRDefault="008054BA" w:rsidP="004869BB">
      <w:r w:rsidRPr="00313ED5">
        <w:t>A</w:t>
      </w:r>
      <w:r w:rsidR="00A007D6" w:rsidRPr="00313ED5">
        <w:t xml:space="preserve"> nemzetgazdasági, ágazati,</w:t>
      </w:r>
      <w:r w:rsidRPr="00313ED5">
        <w:t xml:space="preserve"> valamint a kontextus indikátor-adatok</w:t>
      </w:r>
      <w:r w:rsidR="00A007D6" w:rsidRPr="00313ED5">
        <w:t xml:space="preserve">at </w:t>
      </w:r>
      <w:r w:rsidRPr="00313ED5">
        <w:t>2012</w:t>
      </w:r>
      <w:r w:rsidR="00A007D6" w:rsidRPr="00313ED5">
        <w:t>-ben is a</w:t>
      </w:r>
      <w:r w:rsidRPr="00313ED5">
        <w:t xml:space="preserve"> kompetens szakmai szervezetek (pl.: AKI, VÁTI, KSH, stb.) </w:t>
      </w:r>
      <w:r w:rsidR="00A007D6" w:rsidRPr="00313ED5">
        <w:t>szolgáltatták</w:t>
      </w:r>
      <w:r w:rsidRPr="00313ED5">
        <w:t xml:space="preserve">. </w:t>
      </w:r>
    </w:p>
    <w:p w:rsidR="00372938" w:rsidRDefault="008054BA" w:rsidP="004869BB">
      <w:r w:rsidRPr="008A6FD4">
        <w:t xml:space="preserve">2011-ig </w:t>
      </w:r>
      <w:r>
        <w:t>az eredmény- és hatásindikátorok jelentős</w:t>
      </w:r>
      <w:r w:rsidRPr="008A6FD4">
        <w:t xml:space="preserve"> része a kedvezményezett</w:t>
      </w:r>
      <w:r>
        <w:t>ekt</w:t>
      </w:r>
      <w:r w:rsidRPr="008A6FD4">
        <w:t>ől történt begyűjtésre</w:t>
      </w:r>
      <w:r>
        <w:t>, ami</w:t>
      </w:r>
      <w:r w:rsidRPr="008A6FD4">
        <w:t xml:space="preserve"> so</w:t>
      </w:r>
      <w:r w:rsidR="00372938">
        <w:t>k esetben jelentett nehézséget</w:t>
      </w:r>
      <w:r w:rsidRPr="008A6FD4">
        <w:t xml:space="preserve"> az adatok összetettsége, a számítási mó</w:t>
      </w:r>
      <w:r w:rsidR="00372938">
        <w:t>dszertanok komplexitása végett</w:t>
      </w:r>
      <w:r w:rsidRPr="008A6FD4">
        <w:t>.</w:t>
      </w:r>
      <w:r>
        <w:t xml:space="preserve"> M</w:t>
      </w:r>
      <w:r w:rsidRPr="008A6FD4">
        <w:t xml:space="preserve">ár a 2010-es </w:t>
      </w:r>
      <w:r>
        <w:t>M</w:t>
      </w:r>
      <w:r w:rsidRPr="008A6FD4">
        <w:t>id-term értékelés kapcsán is megfogalmazódott</w:t>
      </w:r>
      <w:r>
        <w:t>, hogy a</w:t>
      </w:r>
      <w:r w:rsidRPr="008A6FD4">
        <w:t>z adatok megfelelő időben és minőségben történő rendelkezésre állása elengedhetetlen, így az értékelők ajánlása alapján az IH 2011-ben kezdeményezte az adatgyűjtés és számítás eddig alkalmazott módszerének felülvizsgálatát.</w:t>
      </w:r>
      <w:r w:rsidR="00372938">
        <w:t xml:space="preserve"> </w:t>
      </w:r>
      <w:r w:rsidRPr="008A6FD4">
        <w:t>A felülvizsgálat 2012-ben folytatódott</w:t>
      </w:r>
      <w:r w:rsidR="00372938">
        <w:t xml:space="preserve"> és a külső szakértők segítségével kialakított módszertan alapján előállított adatok már szerepelnek a jelentésben</w:t>
      </w:r>
      <w:r w:rsidRPr="008A6FD4">
        <w:t xml:space="preserve">. </w:t>
      </w:r>
    </w:p>
    <w:p w:rsidR="008054BA" w:rsidRPr="00CE08AF" w:rsidRDefault="008054BA" w:rsidP="004869BB">
      <w:pPr>
        <w:rPr>
          <w:rStyle w:val="Stlus12pt"/>
          <w:szCs w:val="22"/>
        </w:rPr>
      </w:pPr>
      <w:r w:rsidRPr="00DF677B">
        <w:rPr>
          <w:rStyle w:val="Stlus12pt"/>
          <w:szCs w:val="22"/>
        </w:rPr>
        <w:t>Az AKG intézkedés vonatkozásában (sajátos környezeti hatásaira való tekintettel) az előző kötelezettségvállalási időszakot (NVT 2004-2009.) vizsgálva mind a Bizottság, mind az Európai Számvevőszék határozottan jelezte, hogy szükségesnek találja az intézkedés hatásainak specifikus vizsgálatát. Az NVT ex</w:t>
      </w:r>
      <w:r w:rsidR="00372938" w:rsidRPr="00DF677B">
        <w:rPr>
          <w:rStyle w:val="Stlus12pt"/>
          <w:szCs w:val="22"/>
        </w:rPr>
        <w:t>-</w:t>
      </w:r>
      <w:r w:rsidRPr="00DF677B">
        <w:rPr>
          <w:rStyle w:val="Stlus12pt"/>
          <w:szCs w:val="22"/>
        </w:rPr>
        <w:t>post, valamint az ÚMVP mid-term értékelés, is alátámasztotta, hogy az AKG intézkedés saját monitoring rendszer nélküli értékelése nem lehet megalapozott. A hatásvizsgálatot a Nemzeti Élelmiszerlác-biztonsági Hivatal végzi, a vizsgálat 2015. szeptember 30-ig zárul.</w:t>
      </w:r>
      <w:r>
        <w:rPr>
          <w:rStyle w:val="Stlus12pt"/>
          <w:szCs w:val="22"/>
        </w:rPr>
        <w:t xml:space="preserve">  </w:t>
      </w:r>
    </w:p>
    <w:p w:rsidR="008054BA" w:rsidRPr="00896E03" w:rsidRDefault="008054BA" w:rsidP="00DB48A3">
      <w:pPr>
        <w:pStyle w:val="Cmsor3"/>
      </w:pPr>
      <w:bookmarkStart w:id="394" w:name="_Toc328638743"/>
      <w:bookmarkStart w:id="395" w:name="_Toc360176838"/>
      <w:r w:rsidRPr="00896E03">
        <w:t>A Program Monitoring Bizottsága</w:t>
      </w:r>
      <w:bookmarkEnd w:id="394"/>
      <w:bookmarkEnd w:id="395"/>
    </w:p>
    <w:p w:rsidR="008054BA" w:rsidRPr="00EE71CC" w:rsidRDefault="008054BA" w:rsidP="00715E86">
      <w:pPr>
        <w:pStyle w:val="Cmsor4"/>
      </w:pPr>
      <w:bookmarkStart w:id="396" w:name="_Toc230595634"/>
      <w:r w:rsidRPr="00EE71CC">
        <w:t>MB Titkárság</w:t>
      </w:r>
      <w:bookmarkEnd w:id="396"/>
    </w:p>
    <w:p w:rsidR="008054BA" w:rsidRPr="009A71D3" w:rsidRDefault="008054BA" w:rsidP="004869BB">
      <w:r w:rsidRPr="009A71D3">
        <w:t xml:space="preserve">A Monitoring Bizottság mellett állandó Titkárság működik, amelyet az Irányító Hatóság biztosít. A Titkárság munkáját az elnök felügyeli. A Titkárság előkészíti az MB üléseit, segíti az ülések lebonyolítását, ellátja az MB döntéshozatalához szükséges dokumentációs tevékenységgel kapcsolatos feladatokat, valamint havi szinten tájékoztatja az MB tagjait a Program végrehajtásának előrehaladásáról. Emellett a Titkárság ellátja az Albizottságok működésével kapcsolatos feladatokat is. </w:t>
      </w:r>
    </w:p>
    <w:p w:rsidR="008054BA" w:rsidRPr="005B70A7" w:rsidRDefault="008054BA" w:rsidP="005B70A7">
      <w:pPr>
        <w:pStyle w:val="Cmsor6"/>
      </w:pPr>
      <w:r w:rsidRPr="005B70A7">
        <w:t>MB ülése</w:t>
      </w:r>
      <w:r w:rsidR="001B1626" w:rsidRPr="005B70A7">
        <w:t>k</w:t>
      </w:r>
    </w:p>
    <w:p w:rsidR="008054BA" w:rsidRPr="005B70A7" w:rsidRDefault="008054BA" w:rsidP="005B70A7">
      <w:pPr>
        <w:pStyle w:val="Cmsor6"/>
      </w:pPr>
      <w:r w:rsidRPr="005B70A7">
        <w:t>2012. június 22</w:t>
      </w:r>
      <w:r w:rsidR="001B1626" w:rsidRPr="005B70A7">
        <w:t>.</w:t>
      </w:r>
      <w:r w:rsidRPr="005B70A7">
        <w:t xml:space="preserve"> (VM Darányi Ignác Terem)</w:t>
      </w:r>
    </w:p>
    <w:p w:rsidR="001B1626" w:rsidRDefault="008054BA" w:rsidP="004869BB">
      <w:r>
        <w:t>Az ülés alkalmával került sor a 2011. évről szóló</w:t>
      </w:r>
      <w:r w:rsidR="001B1626">
        <w:t xml:space="preserve"> éves</w:t>
      </w:r>
      <w:r>
        <w:t xml:space="preserve"> végrehajtási jelentés megvitatására és jóváhagyására, amelyről a tagok egyhangúlag döntöttek. </w:t>
      </w:r>
    </w:p>
    <w:p w:rsidR="008054BA" w:rsidRDefault="008054BA" w:rsidP="004869BB">
      <w:r>
        <w:t xml:space="preserve">Ezt követően az MVH képviselői beszámoltak az ÚMVP 2012. I. féléves előrehaladásáról. </w:t>
      </w:r>
    </w:p>
    <w:p w:rsidR="008054BA" w:rsidRPr="009A71D3" w:rsidRDefault="008054BA" w:rsidP="004869BB">
      <w:r>
        <w:t xml:space="preserve">Ezután az albizottságok elnökei is beszámoltak az előző MB ülés óta eltelt időszakban megrendezésre került albizottsági ülésekről, illetve döntés született a Vidékfejlesztési Albizottság által felvetett állásfoglalás tekintetében arról, hogy a Vidékfejlesztési Albizottsága a közigazgatási eljáráson és szemléleten alapuló eljárásrendet hosszabb távon a célokhoz illeszkedő új eljárásrend bevezetésének a lehetőségét vizsgálja meg, és támogassa az ülésen bemutatott 13 egyszerűsítési javaslat megvalósítását és kéri az érintetteket, hogy a konkrét végrehajtási lépésekről tájékoztassák az MB-t. </w:t>
      </w:r>
      <w:r w:rsidRPr="009A71D3">
        <w:t xml:space="preserve"> </w:t>
      </w:r>
    </w:p>
    <w:p w:rsidR="008054BA" w:rsidRPr="009A71D3" w:rsidRDefault="008054BA" w:rsidP="004869BB">
      <w:r w:rsidRPr="009A71D3">
        <w:t>Ezt követően</w:t>
      </w:r>
      <w:r>
        <w:t xml:space="preserve"> az Magyar Nemzeti Vidéki Hálózat tevékenysége került bemutatásra, majd tájékoztatást kapott a MB a 2014-2020-as programozási időszakról és a KAP I. pillérre vonatkozó jogszabály-tervezetről, illetve az EMVA által finanszírozott támogatásokkal kapcsolatos egyszerűsítési program végrehajtásáról</w:t>
      </w:r>
      <w:r w:rsidRPr="009A71D3">
        <w:t>.</w:t>
      </w:r>
    </w:p>
    <w:p w:rsidR="008054BA" w:rsidRPr="003E6F74" w:rsidRDefault="008054BA" w:rsidP="00715E86">
      <w:pPr>
        <w:pStyle w:val="Cmsor4"/>
      </w:pPr>
      <w:bookmarkStart w:id="397" w:name="_Toc230595636"/>
      <w:r w:rsidRPr="003E6F74">
        <w:lastRenderedPageBreak/>
        <w:t>MB írásbeli eljárás</w:t>
      </w:r>
      <w:bookmarkEnd w:id="397"/>
      <w:r w:rsidR="001B1626">
        <w:t>ok</w:t>
      </w:r>
    </w:p>
    <w:p w:rsidR="008054BA" w:rsidRDefault="008054BA" w:rsidP="004869BB">
      <w:r w:rsidRPr="003E6F74">
        <w:t xml:space="preserve">2011-ben az MB Titkársága </w:t>
      </w:r>
      <w:r>
        <w:t xml:space="preserve">két </w:t>
      </w:r>
      <w:r w:rsidRPr="003E6F74">
        <w:t>írásbeli eljárást folytatott le. Az alábbi táblázat tartalmazza az írásbeli eljárás</w:t>
      </w:r>
      <w:r>
        <w:t>ok</w:t>
      </w:r>
      <w:r w:rsidRPr="003E6F74">
        <w:t xml:space="preserve"> tárgyát, időpontját illetve eredményét.</w:t>
      </w:r>
    </w:p>
    <w:p w:rsidR="008054BA" w:rsidRPr="00F92037" w:rsidRDefault="007E5FDF" w:rsidP="00DB48A3">
      <w:pPr>
        <w:pStyle w:val="bra-cmetbla"/>
      </w:pPr>
      <w:fldSimple w:instr=" SEQ táblázat \* ARABIC ">
        <w:r w:rsidR="00E5031F">
          <w:rPr>
            <w:noProof/>
          </w:rPr>
          <w:t>107</w:t>
        </w:r>
      </w:fldSimple>
      <w:r w:rsidR="00DB48A3">
        <w:t>. táblázat</w:t>
      </w:r>
      <w:r w:rsidR="008054BA" w:rsidRPr="00F92037">
        <w:t>Az MB írásbeli eljárásai 2012-ben</w:t>
      </w:r>
    </w:p>
    <w:tbl>
      <w:tblPr>
        <w:tblW w:w="9344" w:type="dxa"/>
        <w:tblInd w:w="-72" w:type="dxa"/>
        <w:tblCellMar>
          <w:left w:w="70" w:type="dxa"/>
          <w:right w:w="70" w:type="dxa"/>
        </w:tblCellMar>
        <w:tblLook w:val="0000" w:firstRow="0" w:lastRow="0" w:firstColumn="0" w:lastColumn="0" w:noHBand="0" w:noVBand="0"/>
      </w:tblPr>
      <w:tblGrid>
        <w:gridCol w:w="426"/>
        <w:gridCol w:w="5216"/>
        <w:gridCol w:w="1373"/>
        <w:gridCol w:w="1267"/>
        <w:gridCol w:w="1062"/>
      </w:tblGrid>
      <w:tr w:rsidR="008054BA" w:rsidRPr="00EE71CC" w:rsidTr="00CE65EC">
        <w:trPr>
          <w:cantSplit/>
          <w:trHeight w:val="558"/>
        </w:trPr>
        <w:tc>
          <w:tcPr>
            <w:tcW w:w="426" w:type="dxa"/>
            <w:tcBorders>
              <w:top w:val="single" w:sz="4" w:space="0" w:color="auto"/>
              <w:left w:val="single" w:sz="4" w:space="0" w:color="auto"/>
              <w:bottom w:val="single" w:sz="4" w:space="0" w:color="auto"/>
              <w:right w:val="single" w:sz="4" w:space="0" w:color="auto"/>
            </w:tcBorders>
            <w:shd w:val="clear" w:color="auto" w:fill="B3B3B3"/>
            <w:vAlign w:val="center"/>
          </w:tcPr>
          <w:p w:rsidR="008054BA" w:rsidRPr="00EE71CC" w:rsidRDefault="008054BA" w:rsidP="00CE65EC">
            <w:pPr>
              <w:keepNext/>
              <w:spacing w:after="0" w:line="276" w:lineRule="auto"/>
              <w:jc w:val="center"/>
              <w:rPr>
                <w:rFonts w:cs="Times New Roman"/>
                <w:b/>
                <w:sz w:val="20"/>
                <w:szCs w:val="20"/>
              </w:rPr>
            </w:pPr>
          </w:p>
        </w:tc>
        <w:tc>
          <w:tcPr>
            <w:tcW w:w="5216" w:type="dxa"/>
            <w:tcBorders>
              <w:top w:val="single" w:sz="4" w:space="0" w:color="auto"/>
              <w:left w:val="nil"/>
              <w:bottom w:val="single" w:sz="4" w:space="0" w:color="auto"/>
              <w:right w:val="single" w:sz="4" w:space="0" w:color="auto"/>
            </w:tcBorders>
            <w:shd w:val="clear" w:color="auto" w:fill="B3B3B3"/>
            <w:vAlign w:val="center"/>
          </w:tcPr>
          <w:p w:rsidR="008054BA" w:rsidRPr="00EE71CC" w:rsidRDefault="008054BA" w:rsidP="00CE65EC">
            <w:pPr>
              <w:keepNext/>
              <w:spacing w:after="0" w:line="276" w:lineRule="auto"/>
              <w:jc w:val="center"/>
              <w:rPr>
                <w:rFonts w:cs="Times New Roman"/>
                <w:b/>
                <w:iCs/>
                <w:sz w:val="20"/>
                <w:szCs w:val="20"/>
              </w:rPr>
            </w:pPr>
            <w:r w:rsidRPr="00EE71CC">
              <w:rPr>
                <w:rFonts w:cs="Times New Roman"/>
                <w:b/>
                <w:iCs/>
                <w:sz w:val="20"/>
                <w:szCs w:val="20"/>
              </w:rPr>
              <w:t>Cím</w:t>
            </w:r>
          </w:p>
        </w:tc>
        <w:tc>
          <w:tcPr>
            <w:tcW w:w="0" w:type="auto"/>
            <w:tcBorders>
              <w:top w:val="single" w:sz="4" w:space="0" w:color="auto"/>
              <w:left w:val="nil"/>
              <w:bottom w:val="single" w:sz="4" w:space="0" w:color="auto"/>
              <w:right w:val="single" w:sz="4" w:space="0" w:color="auto"/>
            </w:tcBorders>
            <w:shd w:val="clear" w:color="auto" w:fill="B3B3B3"/>
            <w:vAlign w:val="center"/>
          </w:tcPr>
          <w:p w:rsidR="008054BA" w:rsidRPr="00EE71CC" w:rsidRDefault="008054BA" w:rsidP="00CE65EC">
            <w:pPr>
              <w:keepNext/>
              <w:spacing w:after="0" w:line="276" w:lineRule="auto"/>
              <w:jc w:val="center"/>
              <w:rPr>
                <w:rFonts w:cs="Times New Roman"/>
                <w:b/>
                <w:iCs/>
                <w:sz w:val="20"/>
                <w:szCs w:val="20"/>
              </w:rPr>
            </w:pPr>
            <w:r w:rsidRPr="00EE71CC">
              <w:rPr>
                <w:rFonts w:cs="Times New Roman"/>
                <w:b/>
                <w:iCs/>
                <w:sz w:val="20"/>
                <w:szCs w:val="20"/>
              </w:rPr>
              <w:t>MB-nek kiküldve</w:t>
            </w:r>
          </w:p>
        </w:tc>
        <w:tc>
          <w:tcPr>
            <w:tcW w:w="1267" w:type="dxa"/>
            <w:tcBorders>
              <w:top w:val="single" w:sz="4" w:space="0" w:color="auto"/>
              <w:left w:val="nil"/>
              <w:bottom w:val="single" w:sz="4" w:space="0" w:color="auto"/>
              <w:right w:val="single" w:sz="4" w:space="0" w:color="auto"/>
            </w:tcBorders>
            <w:shd w:val="clear" w:color="auto" w:fill="B3B3B3"/>
            <w:vAlign w:val="center"/>
          </w:tcPr>
          <w:p w:rsidR="008054BA" w:rsidRPr="00EE71CC" w:rsidRDefault="008054BA" w:rsidP="00CE65EC">
            <w:pPr>
              <w:keepNext/>
              <w:spacing w:after="0" w:line="276" w:lineRule="auto"/>
              <w:jc w:val="center"/>
              <w:rPr>
                <w:rFonts w:cs="Times New Roman"/>
                <w:b/>
                <w:iCs/>
                <w:sz w:val="20"/>
                <w:szCs w:val="20"/>
              </w:rPr>
            </w:pPr>
            <w:r w:rsidRPr="00EE71CC">
              <w:rPr>
                <w:rFonts w:cs="Times New Roman"/>
                <w:b/>
                <w:iCs/>
                <w:sz w:val="20"/>
                <w:szCs w:val="20"/>
              </w:rPr>
              <w:t>Határidő</w:t>
            </w:r>
          </w:p>
        </w:tc>
        <w:tc>
          <w:tcPr>
            <w:tcW w:w="0" w:type="auto"/>
            <w:tcBorders>
              <w:top w:val="single" w:sz="4" w:space="0" w:color="auto"/>
              <w:left w:val="nil"/>
              <w:bottom w:val="single" w:sz="4" w:space="0" w:color="auto"/>
              <w:right w:val="single" w:sz="4" w:space="0" w:color="auto"/>
            </w:tcBorders>
            <w:shd w:val="clear" w:color="auto" w:fill="B3B3B3"/>
            <w:vAlign w:val="center"/>
          </w:tcPr>
          <w:p w:rsidR="008054BA" w:rsidRPr="00EE71CC" w:rsidRDefault="008054BA" w:rsidP="00CE65EC">
            <w:pPr>
              <w:keepNext/>
              <w:spacing w:after="0" w:line="276" w:lineRule="auto"/>
              <w:jc w:val="center"/>
              <w:rPr>
                <w:rFonts w:cs="Times New Roman"/>
                <w:b/>
                <w:iCs/>
                <w:sz w:val="20"/>
                <w:szCs w:val="20"/>
              </w:rPr>
            </w:pPr>
            <w:r w:rsidRPr="00EE71CC">
              <w:rPr>
                <w:rFonts w:cs="Times New Roman"/>
                <w:b/>
                <w:iCs/>
                <w:sz w:val="20"/>
                <w:szCs w:val="20"/>
              </w:rPr>
              <w:t>Eredmény</w:t>
            </w:r>
          </w:p>
        </w:tc>
      </w:tr>
      <w:tr w:rsidR="008054BA" w:rsidRPr="00EE71CC" w:rsidTr="00CE65EC">
        <w:trPr>
          <w:cantSplit/>
        </w:trPr>
        <w:tc>
          <w:tcPr>
            <w:tcW w:w="426" w:type="dxa"/>
            <w:tcBorders>
              <w:top w:val="nil"/>
              <w:left w:val="single" w:sz="4" w:space="0" w:color="auto"/>
              <w:bottom w:val="single" w:sz="4" w:space="0" w:color="auto"/>
              <w:right w:val="single" w:sz="4" w:space="0" w:color="auto"/>
            </w:tcBorders>
            <w:shd w:val="clear" w:color="auto" w:fill="auto"/>
            <w:vAlign w:val="center"/>
          </w:tcPr>
          <w:p w:rsidR="008054BA" w:rsidRPr="00EE71CC" w:rsidRDefault="008054BA" w:rsidP="002B6CB3">
            <w:pPr>
              <w:pStyle w:val="Tbla-kzp"/>
            </w:pPr>
            <w:r w:rsidRPr="00EE71CC">
              <w:t>1.</w:t>
            </w:r>
          </w:p>
        </w:tc>
        <w:tc>
          <w:tcPr>
            <w:tcW w:w="5216" w:type="dxa"/>
            <w:tcBorders>
              <w:top w:val="nil"/>
              <w:left w:val="nil"/>
              <w:bottom w:val="single" w:sz="4" w:space="0" w:color="auto"/>
              <w:right w:val="single" w:sz="4" w:space="0" w:color="auto"/>
            </w:tcBorders>
            <w:shd w:val="clear" w:color="auto" w:fill="auto"/>
            <w:vAlign w:val="center"/>
          </w:tcPr>
          <w:p w:rsidR="008054BA" w:rsidRPr="00EE71CC" w:rsidRDefault="008054BA" w:rsidP="002B6CB3">
            <w:pPr>
              <w:pStyle w:val="Tbla-bal"/>
            </w:pPr>
            <w:r w:rsidRPr="00EE71CC">
              <w:t>VFF/</w:t>
            </w:r>
            <w:r>
              <w:t>3</w:t>
            </w:r>
            <w:r w:rsidRPr="00EE71CC">
              <w:t>44/201</w:t>
            </w:r>
            <w:r>
              <w:t>2</w:t>
            </w:r>
            <w:r w:rsidRPr="00EE71CC">
              <w:t>.</w:t>
            </w:r>
            <w:r w:rsidRPr="00EE71CC">
              <w:br/>
              <w:t>Programmódosítás</w:t>
            </w:r>
            <w:r w:rsidR="00CE65EC">
              <w:t xml:space="preserve">: a </w:t>
            </w:r>
            <w:r>
              <w:t>III. tengelyen belüli forrásátcsoportosítás és IV. tengelyre vonatkozó szakmai módosítás</w:t>
            </w:r>
          </w:p>
        </w:tc>
        <w:tc>
          <w:tcPr>
            <w:tcW w:w="0" w:type="auto"/>
            <w:tcBorders>
              <w:top w:val="nil"/>
              <w:left w:val="nil"/>
              <w:bottom w:val="single" w:sz="4" w:space="0" w:color="auto"/>
              <w:right w:val="single" w:sz="4" w:space="0" w:color="auto"/>
            </w:tcBorders>
            <w:shd w:val="clear" w:color="auto" w:fill="auto"/>
            <w:vAlign w:val="center"/>
          </w:tcPr>
          <w:p w:rsidR="008054BA" w:rsidRPr="00EE71CC" w:rsidRDefault="008054BA" w:rsidP="002B6CB3">
            <w:pPr>
              <w:pStyle w:val="Tbla-kzp"/>
            </w:pPr>
            <w:r w:rsidRPr="00EE71CC">
              <w:t>201</w:t>
            </w:r>
            <w:r>
              <w:t>2</w:t>
            </w:r>
            <w:r w:rsidRPr="00EE71CC">
              <w:t xml:space="preserve">. </w:t>
            </w:r>
            <w:r>
              <w:t>II.</w:t>
            </w:r>
            <w:r w:rsidRPr="00EE71CC">
              <w:t xml:space="preserve"> </w:t>
            </w:r>
            <w:r>
              <w:t>28</w:t>
            </w:r>
            <w:r w:rsidRPr="00EE71CC">
              <w:t xml:space="preserve">. </w:t>
            </w:r>
          </w:p>
        </w:tc>
        <w:tc>
          <w:tcPr>
            <w:tcW w:w="1267" w:type="dxa"/>
            <w:tcBorders>
              <w:top w:val="nil"/>
              <w:left w:val="nil"/>
              <w:bottom w:val="single" w:sz="4" w:space="0" w:color="auto"/>
              <w:right w:val="single" w:sz="4" w:space="0" w:color="auto"/>
            </w:tcBorders>
            <w:shd w:val="clear" w:color="auto" w:fill="auto"/>
            <w:vAlign w:val="center"/>
          </w:tcPr>
          <w:p w:rsidR="008054BA" w:rsidRPr="00EE71CC" w:rsidRDefault="008054BA" w:rsidP="002B6CB3">
            <w:pPr>
              <w:pStyle w:val="Tbla-kzp"/>
              <w:rPr>
                <w:bCs/>
              </w:rPr>
            </w:pPr>
            <w:r w:rsidRPr="00EE71CC">
              <w:rPr>
                <w:bCs/>
              </w:rPr>
              <w:t>201</w:t>
            </w:r>
            <w:r>
              <w:rPr>
                <w:bCs/>
              </w:rPr>
              <w:t>2</w:t>
            </w:r>
            <w:r w:rsidRPr="00EE71CC">
              <w:rPr>
                <w:bCs/>
              </w:rPr>
              <w:t xml:space="preserve">. </w:t>
            </w:r>
            <w:r>
              <w:rPr>
                <w:bCs/>
              </w:rPr>
              <w:t>III</w:t>
            </w:r>
            <w:r w:rsidRPr="00EE71CC">
              <w:rPr>
                <w:bCs/>
              </w:rPr>
              <w:t xml:space="preserve">. </w:t>
            </w:r>
            <w:r>
              <w:rPr>
                <w:bCs/>
              </w:rPr>
              <w:t>7</w:t>
            </w:r>
            <w:r w:rsidRPr="00EE71CC">
              <w:rPr>
                <w:bCs/>
              </w:rPr>
              <w:t>.</w:t>
            </w:r>
          </w:p>
        </w:tc>
        <w:tc>
          <w:tcPr>
            <w:tcW w:w="0" w:type="auto"/>
            <w:tcBorders>
              <w:top w:val="nil"/>
              <w:left w:val="nil"/>
              <w:bottom w:val="single" w:sz="4" w:space="0" w:color="auto"/>
              <w:right w:val="single" w:sz="4" w:space="0" w:color="auto"/>
            </w:tcBorders>
            <w:shd w:val="clear" w:color="auto" w:fill="auto"/>
            <w:vAlign w:val="center"/>
          </w:tcPr>
          <w:p w:rsidR="008054BA" w:rsidRPr="00EE71CC" w:rsidRDefault="008054BA" w:rsidP="002B6CB3">
            <w:pPr>
              <w:pStyle w:val="Tbla-kzp"/>
            </w:pPr>
            <w:r w:rsidRPr="00EE71CC">
              <w:t>jóváhagyva</w:t>
            </w:r>
          </w:p>
        </w:tc>
      </w:tr>
      <w:tr w:rsidR="008054BA" w:rsidRPr="00EE71CC" w:rsidTr="00CE65EC">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8054BA" w:rsidRPr="00EE71CC" w:rsidRDefault="008054BA" w:rsidP="002B6CB3">
            <w:pPr>
              <w:pStyle w:val="Tbla-kzp"/>
            </w:pPr>
            <w:r>
              <w:t>2.</w:t>
            </w:r>
          </w:p>
        </w:tc>
        <w:tc>
          <w:tcPr>
            <w:tcW w:w="5216"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2B6CB3">
            <w:pPr>
              <w:pStyle w:val="Tbla-bal"/>
            </w:pPr>
            <w:r>
              <w:t>VFF/586/2012.</w:t>
            </w:r>
          </w:p>
          <w:p w:rsidR="008054BA" w:rsidRPr="00EE71CC" w:rsidRDefault="008054BA" w:rsidP="002B6CB3">
            <w:pPr>
              <w:pStyle w:val="Tbla-bal"/>
            </w:pPr>
            <w:r>
              <w:t>Programmódosítás</w:t>
            </w:r>
            <w:r w:rsidR="00CE65EC">
              <w:t xml:space="preserve">: az </w:t>
            </w:r>
            <w:r>
              <w:t>I., III. tengelyre és Technikai Segítségnyújtás intézkedésre vonatkozó szakmai módosítás</w:t>
            </w:r>
          </w:p>
        </w:tc>
        <w:tc>
          <w:tcPr>
            <w:tcW w:w="0" w:type="auto"/>
            <w:tcBorders>
              <w:top w:val="single" w:sz="4" w:space="0" w:color="auto"/>
              <w:left w:val="nil"/>
              <w:bottom w:val="single" w:sz="4" w:space="0" w:color="auto"/>
              <w:right w:val="single" w:sz="4" w:space="0" w:color="auto"/>
            </w:tcBorders>
            <w:shd w:val="clear" w:color="auto" w:fill="auto"/>
            <w:vAlign w:val="center"/>
          </w:tcPr>
          <w:p w:rsidR="008054BA" w:rsidRPr="00EE71CC" w:rsidRDefault="008054BA" w:rsidP="002B6CB3">
            <w:pPr>
              <w:pStyle w:val="Tbla-kzp"/>
            </w:pPr>
            <w:r>
              <w:t>2012. III. 14.</w:t>
            </w:r>
          </w:p>
        </w:tc>
        <w:tc>
          <w:tcPr>
            <w:tcW w:w="1267" w:type="dxa"/>
            <w:tcBorders>
              <w:top w:val="single" w:sz="4" w:space="0" w:color="auto"/>
              <w:left w:val="nil"/>
              <w:bottom w:val="single" w:sz="4" w:space="0" w:color="auto"/>
              <w:right w:val="single" w:sz="4" w:space="0" w:color="auto"/>
            </w:tcBorders>
            <w:shd w:val="clear" w:color="auto" w:fill="auto"/>
            <w:vAlign w:val="center"/>
          </w:tcPr>
          <w:p w:rsidR="008054BA" w:rsidRPr="00EE71CC" w:rsidRDefault="008054BA" w:rsidP="002B6CB3">
            <w:pPr>
              <w:pStyle w:val="Tbla-kzp"/>
              <w:rPr>
                <w:bCs/>
              </w:rPr>
            </w:pPr>
            <w:r>
              <w:rPr>
                <w:bCs/>
              </w:rPr>
              <w:t xml:space="preserve">2012. III. 22. </w:t>
            </w:r>
          </w:p>
        </w:tc>
        <w:tc>
          <w:tcPr>
            <w:tcW w:w="0" w:type="auto"/>
            <w:tcBorders>
              <w:top w:val="single" w:sz="4" w:space="0" w:color="auto"/>
              <w:left w:val="nil"/>
              <w:bottom w:val="single" w:sz="4" w:space="0" w:color="auto"/>
              <w:right w:val="single" w:sz="4" w:space="0" w:color="auto"/>
            </w:tcBorders>
            <w:shd w:val="clear" w:color="auto" w:fill="auto"/>
            <w:vAlign w:val="center"/>
          </w:tcPr>
          <w:p w:rsidR="008054BA" w:rsidRPr="00EE71CC" w:rsidRDefault="008054BA" w:rsidP="002B6CB3">
            <w:pPr>
              <w:pStyle w:val="Tbla-kzp"/>
            </w:pPr>
            <w:r w:rsidRPr="00EE71CC">
              <w:t>jóváhagyva</w:t>
            </w:r>
          </w:p>
        </w:tc>
      </w:tr>
    </w:tbl>
    <w:p w:rsidR="008054BA" w:rsidRPr="00A6423D" w:rsidRDefault="008054BA" w:rsidP="00715E86">
      <w:pPr>
        <w:pStyle w:val="Cmsor4"/>
      </w:pPr>
      <w:bookmarkStart w:id="398" w:name="_Toc230595637"/>
      <w:r w:rsidRPr="00A6423D">
        <w:t xml:space="preserve">MB </w:t>
      </w:r>
      <w:r w:rsidR="00CE65EC">
        <w:t xml:space="preserve">jogcímrendelet </w:t>
      </w:r>
      <w:r w:rsidRPr="00A6423D">
        <w:t>véleményez</w:t>
      </w:r>
      <w:r w:rsidR="00CE65EC">
        <w:t>ek</w:t>
      </w:r>
      <w:bookmarkEnd w:id="398"/>
    </w:p>
    <w:p w:rsidR="008054BA" w:rsidRPr="009A71D3" w:rsidRDefault="008054BA" w:rsidP="004869BB">
      <w:r w:rsidRPr="009A71D3">
        <w:t>201</w:t>
      </w:r>
      <w:r>
        <w:t>2</w:t>
      </w:r>
      <w:r w:rsidRPr="009A71D3">
        <w:t xml:space="preserve">-ben az MB Titkársága </w:t>
      </w:r>
      <w:r>
        <w:t>huszonöt</w:t>
      </w:r>
      <w:r w:rsidRPr="009A71D3">
        <w:t xml:space="preserve">, a Program végrehajtását érintő rendelet-tervezetet küldött ki az MB tagoknak véleményezésre. </w:t>
      </w:r>
    </w:p>
    <w:p w:rsidR="008054BA" w:rsidRPr="009A71D3" w:rsidRDefault="008054BA" w:rsidP="004869BB">
      <w:r w:rsidRPr="009A71D3">
        <w:t>Az alábbi táblázat tartalmazza a kiküldött, véleményezendő anyagok/dokumentumok tárgyát illetve időpontját.</w:t>
      </w:r>
    </w:p>
    <w:p w:rsidR="008054BA" w:rsidRPr="00F92037" w:rsidRDefault="007E5FDF" w:rsidP="00053C2D">
      <w:pPr>
        <w:pStyle w:val="bra-cmetbla"/>
      </w:pPr>
      <w:fldSimple w:instr=" SEQ táblázat \* ARABIC ">
        <w:r w:rsidR="00E5031F">
          <w:rPr>
            <w:noProof/>
          </w:rPr>
          <w:t>108</w:t>
        </w:r>
      </w:fldSimple>
      <w:r w:rsidR="00DB48A3">
        <w:t xml:space="preserve">. táblázat: </w:t>
      </w:r>
      <w:r w:rsidR="008054BA" w:rsidRPr="00F92037">
        <w:t>Az MB írásbeli véleményezési eljárásai 2012-ben</w:t>
      </w:r>
    </w:p>
    <w:tbl>
      <w:tblPr>
        <w:tblW w:w="9219" w:type="dxa"/>
        <w:jc w:val="center"/>
        <w:tblCellMar>
          <w:left w:w="70" w:type="dxa"/>
          <w:right w:w="70" w:type="dxa"/>
        </w:tblCellMar>
        <w:tblLook w:val="0000" w:firstRow="0" w:lastRow="0" w:firstColumn="0" w:lastColumn="0" w:noHBand="0" w:noVBand="0"/>
      </w:tblPr>
      <w:tblGrid>
        <w:gridCol w:w="520"/>
        <w:gridCol w:w="5813"/>
        <w:gridCol w:w="1539"/>
        <w:gridCol w:w="1347"/>
      </w:tblGrid>
      <w:tr w:rsidR="008054BA" w:rsidRPr="00EE71CC" w:rsidTr="00CE65EC">
        <w:trPr>
          <w:cantSplit/>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B3B3B3"/>
            <w:noWrap/>
            <w:vAlign w:val="center"/>
          </w:tcPr>
          <w:p w:rsidR="008054BA" w:rsidRPr="00EE71CC" w:rsidRDefault="008054BA" w:rsidP="00053C2D">
            <w:pPr>
              <w:keepNext/>
              <w:spacing w:after="0" w:line="276" w:lineRule="auto"/>
              <w:jc w:val="center"/>
              <w:rPr>
                <w:rFonts w:eastAsia="Times New Roman" w:cs="Times New Roman"/>
                <w:b/>
                <w:bCs/>
                <w:kern w:val="0"/>
                <w:sz w:val="20"/>
                <w:szCs w:val="20"/>
              </w:rPr>
            </w:pPr>
          </w:p>
        </w:tc>
        <w:tc>
          <w:tcPr>
            <w:tcW w:w="5813" w:type="dxa"/>
            <w:tcBorders>
              <w:top w:val="single" w:sz="4" w:space="0" w:color="auto"/>
              <w:left w:val="nil"/>
              <w:bottom w:val="single" w:sz="4" w:space="0" w:color="auto"/>
              <w:right w:val="single" w:sz="4" w:space="0" w:color="auto"/>
            </w:tcBorders>
            <w:shd w:val="clear" w:color="auto" w:fill="B3B3B3"/>
            <w:vAlign w:val="center"/>
          </w:tcPr>
          <w:p w:rsidR="008054BA" w:rsidRPr="00EE71CC" w:rsidRDefault="008054BA" w:rsidP="00053C2D">
            <w:pPr>
              <w:keepNext/>
              <w:spacing w:after="0" w:line="276" w:lineRule="auto"/>
              <w:jc w:val="center"/>
              <w:rPr>
                <w:rFonts w:eastAsia="Times New Roman" w:cs="Times New Roman"/>
                <w:b/>
                <w:bCs/>
                <w:kern w:val="0"/>
                <w:sz w:val="20"/>
                <w:szCs w:val="20"/>
              </w:rPr>
            </w:pPr>
            <w:r w:rsidRPr="00EE71CC">
              <w:rPr>
                <w:rFonts w:eastAsia="Times New Roman" w:cs="Times New Roman"/>
                <w:b/>
                <w:bCs/>
                <w:kern w:val="0"/>
                <w:sz w:val="20"/>
                <w:szCs w:val="20"/>
              </w:rPr>
              <w:t>Cím</w:t>
            </w:r>
          </w:p>
        </w:tc>
        <w:tc>
          <w:tcPr>
            <w:tcW w:w="1539" w:type="dxa"/>
            <w:tcBorders>
              <w:top w:val="single" w:sz="4" w:space="0" w:color="auto"/>
              <w:left w:val="nil"/>
              <w:bottom w:val="single" w:sz="4" w:space="0" w:color="auto"/>
              <w:right w:val="single" w:sz="4" w:space="0" w:color="auto"/>
            </w:tcBorders>
            <w:shd w:val="clear" w:color="auto" w:fill="B3B3B3"/>
            <w:vAlign w:val="center"/>
          </w:tcPr>
          <w:p w:rsidR="008054BA" w:rsidRPr="00EE71CC" w:rsidRDefault="008054BA" w:rsidP="00053C2D">
            <w:pPr>
              <w:keepNext/>
              <w:spacing w:after="0" w:line="276" w:lineRule="auto"/>
              <w:jc w:val="center"/>
              <w:rPr>
                <w:rFonts w:eastAsia="Times New Roman" w:cs="Times New Roman"/>
                <w:b/>
                <w:bCs/>
                <w:kern w:val="0"/>
                <w:sz w:val="20"/>
                <w:szCs w:val="20"/>
              </w:rPr>
            </w:pPr>
            <w:r w:rsidRPr="00EE71CC">
              <w:rPr>
                <w:rFonts w:eastAsia="Times New Roman" w:cs="Times New Roman"/>
                <w:b/>
                <w:bCs/>
                <w:kern w:val="0"/>
                <w:sz w:val="20"/>
                <w:szCs w:val="20"/>
              </w:rPr>
              <w:t>MB-nek kiküldve</w:t>
            </w:r>
          </w:p>
        </w:tc>
        <w:tc>
          <w:tcPr>
            <w:tcW w:w="1347" w:type="dxa"/>
            <w:tcBorders>
              <w:top w:val="single" w:sz="4" w:space="0" w:color="auto"/>
              <w:left w:val="nil"/>
              <w:bottom w:val="single" w:sz="4" w:space="0" w:color="auto"/>
              <w:right w:val="single" w:sz="4" w:space="0" w:color="auto"/>
            </w:tcBorders>
            <w:shd w:val="clear" w:color="auto" w:fill="B3B3B3"/>
            <w:noWrap/>
            <w:vAlign w:val="center"/>
          </w:tcPr>
          <w:p w:rsidR="008054BA" w:rsidRPr="00EE71CC" w:rsidRDefault="008054BA" w:rsidP="00053C2D">
            <w:pPr>
              <w:keepNext/>
              <w:spacing w:after="0" w:line="276" w:lineRule="auto"/>
              <w:jc w:val="center"/>
              <w:rPr>
                <w:rFonts w:eastAsia="Times New Roman" w:cs="Times New Roman"/>
                <w:b/>
                <w:bCs/>
                <w:kern w:val="0"/>
                <w:sz w:val="20"/>
                <w:szCs w:val="20"/>
              </w:rPr>
            </w:pPr>
            <w:r w:rsidRPr="00EE71CC">
              <w:rPr>
                <w:rFonts w:eastAsia="Times New Roman" w:cs="Times New Roman"/>
                <w:b/>
                <w:bCs/>
                <w:kern w:val="0"/>
                <w:sz w:val="20"/>
                <w:szCs w:val="20"/>
              </w:rPr>
              <w:t>Határidő</w:t>
            </w:r>
          </w:p>
        </w:tc>
      </w:tr>
      <w:tr w:rsidR="008054BA" w:rsidRPr="00EE71CC" w:rsidTr="00CE65EC">
        <w:trPr>
          <w:cantSplit/>
          <w:trHeight w:val="348"/>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053C2D">
            <w:pPr>
              <w:pStyle w:val="Tbla-kzp"/>
            </w:pPr>
            <w:r w:rsidRPr="00EE71CC">
              <w:t>1.</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Pr="00053C2D" w:rsidRDefault="008054BA" w:rsidP="00053C2D">
            <w:pPr>
              <w:pStyle w:val="Tbla-bal"/>
            </w:pPr>
            <w:r w:rsidRPr="00053C2D">
              <w:t>VfF/36/2012.; VfF/57/2012.</w:t>
            </w:r>
          </w:p>
          <w:p w:rsidR="008054BA" w:rsidRPr="00053C2D" w:rsidRDefault="008054BA" w:rsidP="00053C2D">
            <w:pPr>
              <w:pStyle w:val="Tbla-bal"/>
            </w:pPr>
            <w:r w:rsidRPr="00053C2D">
              <w:t>Az Európai Mezőgazdasági Vidékfejlesztési Alapból Natura 2000</w:t>
            </w:r>
            <w:r w:rsidR="00CE65EC" w:rsidRPr="00053C2D">
              <w:t xml:space="preserve"> </w:t>
            </w:r>
            <w:r w:rsidRPr="00053C2D">
              <w:t>erdőterületeket történő gazdálkodáshoz nyújtandó kompenzációs támogatás részletes szabályairól szóló előterjesztés</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Pr="00AE54AB" w:rsidRDefault="008054BA" w:rsidP="00053C2D">
            <w:pPr>
              <w:pStyle w:val="Normltblakzp"/>
              <w:keepNext/>
            </w:pPr>
            <w:r>
              <w:t>2012.I.9.</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Pr="00AE54AB" w:rsidRDefault="008054BA" w:rsidP="00053C2D">
            <w:pPr>
              <w:pStyle w:val="Normltblakzp"/>
              <w:keepNext/>
              <w:rPr>
                <w:bCs/>
              </w:rPr>
            </w:pPr>
            <w:r>
              <w:rPr>
                <w:bCs/>
              </w:rPr>
              <w:t>2012.I.12.</w:t>
            </w:r>
          </w:p>
        </w:tc>
      </w:tr>
      <w:tr w:rsidR="008054BA" w:rsidRPr="00EE71CC" w:rsidTr="00CE65EC">
        <w:trPr>
          <w:cantSplit/>
          <w:trHeight w:val="348"/>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053C2D">
            <w:pPr>
              <w:pStyle w:val="Tbla-kzp"/>
            </w:pPr>
            <w:r w:rsidRPr="00EE71CC">
              <w:t>2.</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053C2D">
            <w:pPr>
              <w:pStyle w:val="Tbla-bal"/>
            </w:pPr>
            <w:r>
              <w:t>VfF/55/2012.</w:t>
            </w:r>
          </w:p>
          <w:p w:rsidR="008054BA" w:rsidRPr="00AE54AB" w:rsidRDefault="008054BA" w:rsidP="00053C2D">
            <w:pPr>
              <w:pStyle w:val="Tbla-bal"/>
              <w:rPr>
                <w:rFonts w:eastAsia="Times New Roman" w:cs="Times New Roman"/>
                <w:bCs/>
                <w:kern w:val="0"/>
              </w:rPr>
            </w:pPr>
            <w:r>
              <w:t>Az Európai Mezőgazdasági Vidékfejlesztési Alapból gyümölcs és kertészeti ültetvények korszerűsítéséhez, létesítéséhez 2011. évtől nyújtandó támogatások igénybevételének részletes feltételeiről szóló 55/2011. (VI. 10.) VM rendelet és az Európai Mezőgazdasági Vidékfejlesztési Alapból a kertészet korszerűsítéséhez nyújtandó támogatások részletes feltételeiről szóló 103/2012. (XI. 9.) VM rendelet módosí</w:t>
            </w:r>
            <w:r w:rsidR="00FA020B">
              <w:t>tásáról szóló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Pr="00AE54AB" w:rsidRDefault="008054BA" w:rsidP="00053C2D">
            <w:pPr>
              <w:pStyle w:val="Normltblakzp"/>
              <w:keepNext/>
            </w:pPr>
            <w:r>
              <w:t>2012.I.23.</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Pr="00AE54AB" w:rsidRDefault="008054BA" w:rsidP="00053C2D">
            <w:pPr>
              <w:pStyle w:val="Normltblakzp"/>
              <w:keepNext/>
              <w:rPr>
                <w:bCs/>
              </w:rPr>
            </w:pPr>
            <w:r>
              <w:rPr>
                <w:bCs/>
              </w:rPr>
              <w:t>2012.I.26.</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053C2D">
            <w:pPr>
              <w:pStyle w:val="Tbla-kzp"/>
            </w:pPr>
            <w:r w:rsidRPr="00EE71CC">
              <w:t>3.</w:t>
            </w:r>
          </w:p>
        </w:tc>
        <w:tc>
          <w:tcPr>
            <w:tcW w:w="5813" w:type="dxa"/>
            <w:tcBorders>
              <w:top w:val="nil"/>
              <w:left w:val="nil"/>
              <w:bottom w:val="single" w:sz="4" w:space="0" w:color="auto"/>
              <w:right w:val="single" w:sz="4" w:space="0" w:color="auto"/>
            </w:tcBorders>
            <w:shd w:val="clear" w:color="auto" w:fill="auto"/>
            <w:vAlign w:val="center"/>
          </w:tcPr>
          <w:p w:rsidR="008054BA" w:rsidRDefault="008054BA" w:rsidP="00053C2D">
            <w:pPr>
              <w:pStyle w:val="Tbla-bal"/>
            </w:pPr>
            <w:r>
              <w:t>VfF/192/2012.</w:t>
            </w:r>
          </w:p>
          <w:p w:rsidR="008054BA" w:rsidRPr="00AE54AB" w:rsidRDefault="008054BA" w:rsidP="00053C2D">
            <w:pPr>
              <w:pStyle w:val="Tbla-bal"/>
            </w:pPr>
            <w:r>
              <w:t>Az Európai Mezőgazdasági Orientációs és Garancia Alapból és az Európai Vidékfejlesztési Alapból finanszírozott egyes agrártámogatási tárgyú miniszteri rendeletek módosításáról szóló VM rendelet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8054BA" w:rsidP="00053C2D">
            <w:pPr>
              <w:pStyle w:val="Normltblakzp"/>
              <w:keepNext/>
            </w:pPr>
            <w:r>
              <w:t>2012.II. 4.</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8054BA" w:rsidP="00053C2D">
            <w:pPr>
              <w:pStyle w:val="Normltblakzp"/>
              <w:keepNext/>
              <w:rPr>
                <w:bCs/>
              </w:rPr>
            </w:pPr>
            <w:r>
              <w:rPr>
                <w:bCs/>
              </w:rPr>
              <w:t>2012.</w:t>
            </w:r>
            <w:r w:rsidR="00FA020B">
              <w:rPr>
                <w:bCs/>
              </w:rPr>
              <w:t>II</w:t>
            </w:r>
            <w:r>
              <w:rPr>
                <w:bCs/>
              </w:rPr>
              <w:t xml:space="preserve"> 20.</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053C2D">
            <w:pPr>
              <w:pStyle w:val="Tbla-kzp"/>
            </w:pPr>
            <w:r w:rsidRPr="00EE71CC">
              <w:t>4.</w:t>
            </w:r>
          </w:p>
        </w:tc>
        <w:tc>
          <w:tcPr>
            <w:tcW w:w="5813" w:type="dxa"/>
            <w:tcBorders>
              <w:top w:val="nil"/>
              <w:left w:val="nil"/>
              <w:bottom w:val="single" w:sz="4" w:space="0" w:color="auto"/>
              <w:right w:val="single" w:sz="4" w:space="0" w:color="auto"/>
            </w:tcBorders>
            <w:shd w:val="clear" w:color="auto" w:fill="auto"/>
            <w:vAlign w:val="center"/>
          </w:tcPr>
          <w:p w:rsidR="008054BA" w:rsidRDefault="008054BA" w:rsidP="00053C2D">
            <w:pPr>
              <w:pStyle w:val="Tbla-bal"/>
            </w:pPr>
            <w:r>
              <w:t>VfF/322/2012.</w:t>
            </w:r>
          </w:p>
          <w:p w:rsidR="008054BA" w:rsidRPr="00AE54AB" w:rsidRDefault="008054BA" w:rsidP="00053C2D">
            <w:pPr>
              <w:pStyle w:val="Tbla-bal"/>
            </w:pPr>
            <w:r>
              <w:t>Az Európai Mezőgazdasági Vidékfejlesztési Alapból a Natura 2000 területek fenntartási terveinek készítéséhez nyújtandó támogatás igénybevételének részletes szabályairól szóló VM rendelet</w:t>
            </w:r>
            <w:r w:rsidR="00FA020B">
              <w:t xml:space="preserve">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8054BA" w:rsidP="00053C2D">
            <w:pPr>
              <w:pStyle w:val="Normltblakzp"/>
              <w:keepNext/>
            </w:pPr>
            <w:r>
              <w:t>2012.II.22.</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8054BA" w:rsidP="00053C2D">
            <w:pPr>
              <w:pStyle w:val="Normltblakzp"/>
              <w:keepNext/>
              <w:rPr>
                <w:bCs/>
              </w:rPr>
            </w:pPr>
            <w:r>
              <w:rPr>
                <w:bCs/>
              </w:rPr>
              <w:t>2012.II.24.</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053C2D">
            <w:pPr>
              <w:pStyle w:val="Tbla-kzp"/>
            </w:pPr>
            <w:r w:rsidRPr="00EE71CC">
              <w:t>5.</w:t>
            </w:r>
          </w:p>
        </w:tc>
        <w:tc>
          <w:tcPr>
            <w:tcW w:w="5813" w:type="dxa"/>
            <w:tcBorders>
              <w:top w:val="nil"/>
              <w:left w:val="nil"/>
              <w:bottom w:val="single" w:sz="4" w:space="0" w:color="auto"/>
              <w:right w:val="single" w:sz="4" w:space="0" w:color="auto"/>
            </w:tcBorders>
            <w:shd w:val="clear" w:color="auto" w:fill="auto"/>
            <w:vAlign w:val="center"/>
          </w:tcPr>
          <w:p w:rsidR="008054BA" w:rsidRDefault="008054BA" w:rsidP="00053C2D">
            <w:pPr>
              <w:pStyle w:val="Tbla-bal"/>
            </w:pPr>
            <w:r>
              <w:t>VfF/540/2012.</w:t>
            </w:r>
          </w:p>
          <w:p w:rsidR="008054BA" w:rsidRPr="00AE54AB" w:rsidRDefault="008054BA" w:rsidP="00053C2D">
            <w:pPr>
              <w:pStyle w:val="Tbla-bal"/>
              <w:rPr>
                <w:bCs/>
              </w:rPr>
            </w:pPr>
            <w:r>
              <w:t>Az Európai Mezőgazdasági Vidékfejlesztési Alap (EMVA) társfinanszírozásában megvalósuló nemzeti vidékfejlesztési program végrehajtásának gyorsításáról készült Kormány előterjesztés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8054BA" w:rsidP="00053C2D">
            <w:pPr>
              <w:pStyle w:val="Normltblakzp"/>
              <w:keepNext/>
            </w:pPr>
            <w:r>
              <w:t>2012.III.7.</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8054BA" w:rsidP="00053C2D">
            <w:pPr>
              <w:pStyle w:val="Normltblakzp"/>
              <w:keepNext/>
              <w:rPr>
                <w:bCs/>
              </w:rPr>
            </w:pPr>
            <w:r>
              <w:rPr>
                <w:bCs/>
              </w:rPr>
              <w:t>2012.III.9.</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053C2D">
            <w:pPr>
              <w:pStyle w:val="Tbla-kzp"/>
            </w:pPr>
            <w:r w:rsidRPr="00EE71CC">
              <w:t>6.</w:t>
            </w:r>
          </w:p>
        </w:tc>
        <w:tc>
          <w:tcPr>
            <w:tcW w:w="5813" w:type="dxa"/>
            <w:tcBorders>
              <w:top w:val="nil"/>
              <w:left w:val="nil"/>
              <w:bottom w:val="single" w:sz="4" w:space="0" w:color="auto"/>
              <w:right w:val="single" w:sz="4" w:space="0" w:color="auto"/>
            </w:tcBorders>
            <w:shd w:val="clear" w:color="auto" w:fill="auto"/>
            <w:vAlign w:val="center"/>
          </w:tcPr>
          <w:p w:rsidR="008054BA" w:rsidRDefault="008054BA" w:rsidP="00053C2D">
            <w:pPr>
              <w:pStyle w:val="Tbla-bal"/>
            </w:pPr>
            <w:r>
              <w:t>VfF/557/2012.</w:t>
            </w:r>
          </w:p>
          <w:p w:rsidR="008054BA" w:rsidRPr="00AE54AB" w:rsidRDefault="008054BA" w:rsidP="00053C2D">
            <w:pPr>
              <w:pStyle w:val="Tbla-bal"/>
            </w:pPr>
            <w:r>
              <w:t>Egyes agrártárgyú miniszteri rendeletek módosításáról szóló VM rendelet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8054BA" w:rsidP="00053C2D">
            <w:pPr>
              <w:pStyle w:val="Normltblakzp"/>
              <w:keepNext/>
            </w:pPr>
            <w:r>
              <w:t>2012.</w:t>
            </w:r>
            <w:r w:rsidR="00FA020B">
              <w:t>III.</w:t>
            </w:r>
            <w:r>
              <w:t>12.</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FA020B" w:rsidP="00053C2D">
            <w:pPr>
              <w:pStyle w:val="Normltblakzp"/>
              <w:keepNext/>
              <w:rPr>
                <w:bCs/>
              </w:rPr>
            </w:pPr>
            <w:r>
              <w:rPr>
                <w:bCs/>
              </w:rPr>
              <w:t>2012.III.14.</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rsidRPr="00EE71CC">
              <w:t>7.</w:t>
            </w:r>
          </w:p>
        </w:tc>
        <w:tc>
          <w:tcPr>
            <w:tcW w:w="5813" w:type="dxa"/>
            <w:tcBorders>
              <w:top w:val="nil"/>
              <w:left w:val="nil"/>
              <w:bottom w:val="single" w:sz="4" w:space="0" w:color="auto"/>
              <w:right w:val="single" w:sz="4" w:space="0" w:color="auto"/>
            </w:tcBorders>
            <w:shd w:val="clear" w:color="auto" w:fill="auto"/>
            <w:vAlign w:val="center"/>
          </w:tcPr>
          <w:p w:rsidR="008054BA" w:rsidRDefault="008054BA" w:rsidP="007B5AEF">
            <w:pPr>
              <w:pStyle w:val="Tbla-bal"/>
            </w:pPr>
            <w:r>
              <w:t>VfF/558/2012.</w:t>
            </w:r>
          </w:p>
          <w:p w:rsidR="008054BA" w:rsidRPr="00AE54AB" w:rsidRDefault="008054BA" w:rsidP="007B5AEF">
            <w:pPr>
              <w:pStyle w:val="Tbla-bal"/>
            </w:pPr>
            <w:r>
              <w:t>Az Európai Mezőgazdasági Vidékfejlesztési Alapból a mikrovállalkozások létrehozására és fejlesztésére LEADER Helyi Akciócsoportok közreműködésével 2012-ben nyújtandó támogatások részletes feltételeiről szóló VM rendelet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8054BA" w:rsidP="00AB5DC5">
            <w:pPr>
              <w:pStyle w:val="Normltblakzp"/>
            </w:pPr>
            <w:r>
              <w:t>2012.III.12.</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8054BA" w:rsidP="00AB5DC5">
            <w:pPr>
              <w:pStyle w:val="Normltblakzp"/>
              <w:rPr>
                <w:bCs/>
              </w:rPr>
            </w:pPr>
            <w:r>
              <w:rPr>
                <w:bCs/>
              </w:rPr>
              <w:t>2012.III.19.</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6" w:space="0" w:color="auto"/>
            </w:tcBorders>
            <w:shd w:val="clear" w:color="auto" w:fill="auto"/>
            <w:noWrap/>
            <w:vAlign w:val="center"/>
          </w:tcPr>
          <w:p w:rsidR="008054BA" w:rsidRPr="00EE71CC" w:rsidRDefault="008054BA" w:rsidP="002B6CB3">
            <w:pPr>
              <w:pStyle w:val="Tbla-kzp"/>
            </w:pPr>
            <w:r w:rsidRPr="00EE71CC">
              <w:t>8.</w:t>
            </w:r>
          </w:p>
        </w:tc>
        <w:tc>
          <w:tcPr>
            <w:tcW w:w="5813" w:type="dxa"/>
            <w:tcBorders>
              <w:top w:val="single" w:sz="4" w:space="0" w:color="auto"/>
              <w:left w:val="single" w:sz="6" w:space="0" w:color="auto"/>
              <w:bottom w:val="single" w:sz="4" w:space="0" w:color="auto"/>
              <w:right w:val="single" w:sz="6" w:space="0" w:color="auto"/>
            </w:tcBorders>
            <w:shd w:val="clear" w:color="auto" w:fill="auto"/>
            <w:vAlign w:val="center"/>
          </w:tcPr>
          <w:p w:rsidR="008054BA" w:rsidRDefault="008054BA" w:rsidP="007B5AEF">
            <w:pPr>
              <w:pStyle w:val="Tbla-bal"/>
            </w:pPr>
            <w:r>
              <w:t>VfF/559/2012.</w:t>
            </w:r>
          </w:p>
          <w:p w:rsidR="008054BA" w:rsidRPr="00AE54AB" w:rsidRDefault="008054BA" w:rsidP="007B5AEF">
            <w:pPr>
              <w:pStyle w:val="Tbla-bal"/>
            </w:pPr>
            <w:r>
              <w:t>Az Európai Mezőgazdasági Vidékfejlesztési Alapból nyújtandó, a vidéki gazdaság és lakosság számára nyújtott alapszolgáltatások körében az integrált közösségi és szolgáltató tér kialakítására és működtetésére igénybe vehető szolgáltatások részletes feltételeiről szóló 112/2009. (VII. 29.) FVM rendelet, valamint a szőlő- és gyümölcsös ültetvényekben felhasznált gázolajhoz nyújtott csekély összegű (de minimis) támogatásról szóló 46/2012. (IV. 17.) FVM rendelet módosítás</w:t>
            </w:r>
            <w:r w:rsidR="00FA020B">
              <w:t>áról szóló VM rendelet tervezet</w:t>
            </w:r>
          </w:p>
        </w:tc>
        <w:tc>
          <w:tcPr>
            <w:tcW w:w="1539" w:type="dxa"/>
            <w:tcBorders>
              <w:top w:val="single" w:sz="4" w:space="0" w:color="auto"/>
              <w:left w:val="single" w:sz="6" w:space="0" w:color="auto"/>
              <w:bottom w:val="single" w:sz="4" w:space="0" w:color="auto"/>
              <w:right w:val="single" w:sz="6" w:space="0" w:color="auto"/>
            </w:tcBorders>
            <w:shd w:val="clear" w:color="auto" w:fill="auto"/>
            <w:vAlign w:val="center"/>
          </w:tcPr>
          <w:p w:rsidR="008054BA" w:rsidRPr="00AE54AB" w:rsidRDefault="008054BA" w:rsidP="00AB5DC5">
            <w:pPr>
              <w:pStyle w:val="Normltblakzp"/>
            </w:pPr>
            <w:r>
              <w:t>2012.III.12.</w:t>
            </w:r>
          </w:p>
        </w:tc>
        <w:tc>
          <w:tcPr>
            <w:tcW w:w="1347" w:type="dxa"/>
            <w:tcBorders>
              <w:top w:val="single" w:sz="4" w:space="0" w:color="auto"/>
              <w:left w:val="single" w:sz="6" w:space="0" w:color="auto"/>
              <w:bottom w:val="single" w:sz="4" w:space="0" w:color="auto"/>
              <w:right w:val="single" w:sz="4" w:space="0" w:color="auto"/>
            </w:tcBorders>
            <w:shd w:val="clear" w:color="auto" w:fill="auto"/>
            <w:noWrap/>
            <w:vAlign w:val="center"/>
          </w:tcPr>
          <w:p w:rsidR="008054BA" w:rsidRPr="00AE54AB" w:rsidRDefault="008054BA" w:rsidP="00AB5DC5">
            <w:pPr>
              <w:pStyle w:val="Normltblakzp"/>
              <w:rPr>
                <w:bCs/>
              </w:rPr>
            </w:pPr>
            <w:r>
              <w:rPr>
                <w:bCs/>
              </w:rPr>
              <w:t>2012.III.20</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t>9.</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VfF/77/2012.</w:t>
            </w:r>
          </w:p>
          <w:p w:rsidR="008054BA" w:rsidRDefault="008054BA" w:rsidP="007B5AEF">
            <w:pPr>
              <w:pStyle w:val="Tbla-bal"/>
              <w:rPr>
                <w:bCs/>
              </w:rPr>
            </w:pPr>
            <w:r>
              <w:t>Az Európai Mezőgazdasági Vidékfejlesztési Alapból a turisztikai tevékenységek ösztönzéséhez 2012-ben LEADER Helyi Akciócsoportok közreműködésével 2012-től nyújtandó támogatások részletes feltételeiről szóló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2012.IV.10.</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2012.IV.13.</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t>10.</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VfF/1250/2012.</w:t>
            </w:r>
          </w:p>
          <w:p w:rsidR="008054BA" w:rsidRDefault="008054BA" w:rsidP="007B5AEF">
            <w:pPr>
              <w:pStyle w:val="Tbla-bal"/>
              <w:rPr>
                <w:bCs/>
              </w:rPr>
            </w:pPr>
            <w:r>
              <w:t>Az Európai Mezőgazdasági Vidékfejlesztési Alapból a falumegújításra és –fejlesztésre LEADER Helyi Akciócsoportok közreműködésével 2012-től igénybe vehető támogatások részletes feltételiről szóló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2012.V.23.</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FA020B" w:rsidP="00AB5DC5">
            <w:pPr>
              <w:pStyle w:val="Normltblakzp"/>
              <w:rPr>
                <w:bCs/>
              </w:rPr>
            </w:pPr>
            <w:r>
              <w:rPr>
                <w:bCs/>
              </w:rPr>
              <w:t>2012.</w:t>
            </w:r>
            <w:r w:rsidR="008054BA">
              <w:rPr>
                <w:bCs/>
              </w:rPr>
              <w:t>V.30.</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t>11</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VfF/1251/2012.</w:t>
            </w:r>
          </w:p>
          <w:p w:rsidR="008054BA" w:rsidRDefault="008054BA" w:rsidP="007B5AEF">
            <w:pPr>
              <w:pStyle w:val="Tbla-bal"/>
              <w:rPr>
                <w:bCs/>
              </w:rPr>
            </w:pPr>
            <w:r>
              <w:t>Az Európai Mezőgazdasági Vidékfejlesztési Alapból nyújtandó, a vidéki örökség megőrzéséhez LEADER Helyi Akciócsoportok közreműködésével 2012-től igénybe vehető támogatások részletes feltételeiről szóló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2012.V.23.</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2012.V.31.</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lastRenderedPageBreak/>
              <w:t>12.</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VfF/1311/2012.</w:t>
            </w:r>
          </w:p>
          <w:p w:rsidR="008054BA" w:rsidRDefault="008054BA" w:rsidP="007B5AEF">
            <w:pPr>
              <w:pStyle w:val="Tbla-bal"/>
              <w:rPr>
                <w:bCs/>
              </w:rPr>
            </w:pPr>
            <w:r>
              <w:t>Az Európai Mezőgazdasági Vidékfejlesztési Alapból a védett őshonos és a veszélyeztetett mezőgazdasági állatfajták genetikai állományának tenyésztésében történő megőrzésre nyújtandó támogatások részletes feltételeiről szóló 38/2012. (IV. 15.) FVM rendelet módosításáról szóló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2012.V.23.</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2012.VI.8.</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t>13.</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VfF/1434/2012.</w:t>
            </w:r>
          </w:p>
          <w:p w:rsidR="008054BA" w:rsidRDefault="008054BA" w:rsidP="007B5AEF">
            <w:pPr>
              <w:pStyle w:val="Tbla-bal"/>
              <w:rPr>
                <w:bCs/>
              </w:rPr>
            </w:pPr>
            <w:r>
              <w:t>Az Európai Mezőgazdasági Vidékfejlesztési Alapból a tejágazat szerkezetátalakítását kísérő állatjóléti támogatás részletes feltételeiről szóló 18/2012. (III. 9.) VM ren</w:t>
            </w:r>
            <w:r w:rsidR="00CE65EC">
              <w:t>d</w:t>
            </w:r>
            <w:r>
              <w:t>elet módosításáról készített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2012.VI.21.</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2012.VI.28.</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t>14.</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VfF/1645/2012.</w:t>
            </w:r>
          </w:p>
          <w:p w:rsidR="008054BA" w:rsidRDefault="008054BA" w:rsidP="007B5AEF">
            <w:pPr>
              <w:pStyle w:val="Tbla-bal"/>
              <w:rPr>
                <w:bCs/>
              </w:rPr>
            </w:pPr>
            <w:r>
              <w:t>Az Európai Mezőgazdasági Vidékfejlesztési Alapból a LEADER Európai Unión belüli és harmadik országbeli területekkel való nemzetközi együttműködés végrehajtásához 2012-től nyújtandó támogatások részletes feltételeiről szóló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2012.VII.13.</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2012.VII</w:t>
            </w:r>
            <w:r w:rsidR="00FA020B">
              <w:rPr>
                <w:bCs/>
              </w:rPr>
              <w:t>.</w:t>
            </w:r>
            <w:r>
              <w:rPr>
                <w:bCs/>
              </w:rPr>
              <w:t>19.</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15</w:t>
            </w:r>
            <w:r w:rsidRPr="00EE71CC">
              <w:t>.</w:t>
            </w:r>
          </w:p>
        </w:tc>
        <w:tc>
          <w:tcPr>
            <w:tcW w:w="5813" w:type="dxa"/>
            <w:tcBorders>
              <w:top w:val="nil"/>
              <w:left w:val="nil"/>
              <w:bottom w:val="single" w:sz="4" w:space="0" w:color="auto"/>
              <w:right w:val="single" w:sz="4" w:space="0" w:color="auto"/>
            </w:tcBorders>
            <w:shd w:val="clear" w:color="auto" w:fill="auto"/>
            <w:vAlign w:val="center"/>
          </w:tcPr>
          <w:p w:rsidR="008054BA" w:rsidRPr="00AE54AB" w:rsidRDefault="008054BA" w:rsidP="007B5AEF">
            <w:pPr>
              <w:pStyle w:val="Tbla-bal"/>
            </w:pPr>
            <w:r w:rsidRPr="00AE54AB">
              <w:t>VfF</w:t>
            </w:r>
            <w:r>
              <w:t>/2133/2012.</w:t>
            </w:r>
          </w:p>
          <w:p w:rsidR="008054BA" w:rsidRPr="00AE54AB" w:rsidRDefault="008054BA" w:rsidP="007B5AEF">
            <w:pPr>
              <w:pStyle w:val="Tbla-bal"/>
            </w:pPr>
            <w:r>
              <w:t>Az Európai Mezőgazdasági Vidékfejlesztési Alapból a szaktanácsadási szolgáltatások igénybevételéhez nyújtandó támogatások részletes feltételeiről szóló 52/2007. (VI.28.) FVM rendelet módosításáról szóló előterjesztés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FA020B" w:rsidP="00AB5DC5">
            <w:pPr>
              <w:pStyle w:val="Normltblakzp"/>
            </w:pPr>
            <w:r>
              <w:t>2012.IX.</w:t>
            </w:r>
            <w:r w:rsidR="008054BA">
              <w:t>13.</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8054BA" w:rsidP="00AB5DC5">
            <w:pPr>
              <w:pStyle w:val="Normltblakzp"/>
              <w:rPr>
                <w:bCs/>
              </w:rPr>
            </w:pPr>
            <w:r>
              <w:rPr>
                <w:bCs/>
              </w:rPr>
              <w:t>2012.IX.17.</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16</w:t>
            </w:r>
            <w:r w:rsidRPr="00EE71CC">
              <w:t>.</w:t>
            </w:r>
          </w:p>
        </w:tc>
        <w:tc>
          <w:tcPr>
            <w:tcW w:w="5813" w:type="dxa"/>
            <w:tcBorders>
              <w:top w:val="nil"/>
              <w:left w:val="nil"/>
              <w:bottom w:val="single" w:sz="4" w:space="0" w:color="auto"/>
              <w:right w:val="single" w:sz="4" w:space="0" w:color="auto"/>
            </w:tcBorders>
            <w:shd w:val="clear" w:color="auto" w:fill="auto"/>
            <w:vAlign w:val="center"/>
          </w:tcPr>
          <w:p w:rsidR="008054BA" w:rsidRDefault="008054BA" w:rsidP="007B5AEF">
            <w:pPr>
              <w:pStyle w:val="Tbla-bal"/>
            </w:pPr>
            <w:r>
              <w:t>VfF/2139/2012.</w:t>
            </w:r>
          </w:p>
          <w:p w:rsidR="008054BA" w:rsidRPr="00AE54AB" w:rsidRDefault="008054BA" w:rsidP="007B5AEF">
            <w:pPr>
              <w:pStyle w:val="Tbla-bal"/>
            </w:pPr>
            <w:r>
              <w:t>Az Európai Mezőgazdasági Vidékfejlesztési alapból a LEADER térségek közötti együttműködés végrehajtásához 2012-től nyújtandó támogatások részletes feltételeiről szóló VM rendelet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8054BA" w:rsidP="00AB5DC5">
            <w:pPr>
              <w:pStyle w:val="Normltblakzp"/>
            </w:pPr>
            <w:r>
              <w:t>2012. IX. 14.</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8054BA" w:rsidP="00AB5DC5">
            <w:pPr>
              <w:pStyle w:val="Normltblakzp"/>
              <w:rPr>
                <w:bCs/>
              </w:rPr>
            </w:pPr>
            <w:r>
              <w:rPr>
                <w:bCs/>
              </w:rPr>
              <w:t>2012.IX.20.</w:t>
            </w:r>
          </w:p>
        </w:tc>
      </w:tr>
      <w:tr w:rsidR="008054BA" w:rsidRPr="00EE71CC" w:rsidTr="00CE65E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17</w:t>
            </w:r>
            <w:r w:rsidRPr="00EE71CC">
              <w:t>.</w:t>
            </w:r>
          </w:p>
        </w:tc>
        <w:tc>
          <w:tcPr>
            <w:tcW w:w="5813" w:type="dxa"/>
            <w:tcBorders>
              <w:top w:val="nil"/>
              <w:left w:val="nil"/>
              <w:bottom w:val="single" w:sz="4" w:space="0" w:color="auto"/>
              <w:right w:val="single" w:sz="4" w:space="0" w:color="auto"/>
            </w:tcBorders>
            <w:shd w:val="clear" w:color="auto" w:fill="auto"/>
            <w:vAlign w:val="center"/>
          </w:tcPr>
          <w:p w:rsidR="008054BA" w:rsidRDefault="008054BA" w:rsidP="007B5AEF">
            <w:pPr>
              <w:pStyle w:val="Tbla-bal"/>
            </w:pPr>
            <w:r>
              <w:t>VfF/2142/2012.</w:t>
            </w:r>
          </w:p>
          <w:p w:rsidR="008054BA" w:rsidRPr="00AE54AB" w:rsidRDefault="008054BA" w:rsidP="007B5AEF">
            <w:pPr>
              <w:pStyle w:val="Tbla-bal"/>
            </w:pPr>
            <w:r>
              <w:t>Az Európai Mezőgazdasági Vidékfejlesztési Alapból a nem mezőgazdasági tevékenységgé történő diverzifikálásra nyújtandó támogatások részletes feltételeiről szóló VM rendelet tervezet</w:t>
            </w:r>
          </w:p>
        </w:tc>
        <w:tc>
          <w:tcPr>
            <w:tcW w:w="1539" w:type="dxa"/>
            <w:tcBorders>
              <w:top w:val="nil"/>
              <w:left w:val="nil"/>
              <w:bottom w:val="single" w:sz="4" w:space="0" w:color="auto"/>
              <w:right w:val="single" w:sz="4" w:space="0" w:color="auto"/>
            </w:tcBorders>
            <w:shd w:val="clear" w:color="auto" w:fill="auto"/>
            <w:vAlign w:val="center"/>
          </w:tcPr>
          <w:p w:rsidR="008054BA" w:rsidRPr="00AE54AB" w:rsidRDefault="008054BA" w:rsidP="00AB5DC5">
            <w:pPr>
              <w:pStyle w:val="Normltblakzp"/>
            </w:pPr>
            <w:r>
              <w:t>2012.IX.17.</w:t>
            </w:r>
          </w:p>
        </w:tc>
        <w:tc>
          <w:tcPr>
            <w:tcW w:w="1347" w:type="dxa"/>
            <w:tcBorders>
              <w:top w:val="nil"/>
              <w:left w:val="nil"/>
              <w:bottom w:val="single" w:sz="4" w:space="0" w:color="auto"/>
              <w:right w:val="single" w:sz="4" w:space="0" w:color="auto"/>
            </w:tcBorders>
            <w:shd w:val="clear" w:color="auto" w:fill="auto"/>
            <w:noWrap/>
            <w:vAlign w:val="center"/>
          </w:tcPr>
          <w:p w:rsidR="008054BA" w:rsidRPr="00AE54AB" w:rsidRDefault="008054BA" w:rsidP="00AB5DC5">
            <w:pPr>
              <w:pStyle w:val="Normltblakzp"/>
              <w:rPr>
                <w:bCs/>
              </w:rPr>
            </w:pPr>
            <w:r>
              <w:rPr>
                <w:bCs/>
              </w:rPr>
              <w:t>2012.IX.24.</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18</w:t>
            </w:r>
            <w:r w:rsidRPr="00EE71CC">
              <w:t>.</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VfF/2459/2012.</w:t>
            </w:r>
          </w:p>
          <w:p w:rsidR="008054BA" w:rsidRPr="00AE54AB" w:rsidRDefault="008054BA" w:rsidP="007B5AEF">
            <w:pPr>
              <w:pStyle w:val="Tbla-bal"/>
            </w:pPr>
            <w:r>
              <w:t>EMVA társfinanszírozásában megvalósuló támogatások igénybevételének általános szabályairól szóló 23/2007. (IV. 17.) FVM rendelet módosításáról készített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Pr="00AE54AB" w:rsidRDefault="008054BA" w:rsidP="00AB5DC5">
            <w:pPr>
              <w:pStyle w:val="Normltblakzp"/>
            </w:pPr>
            <w:r>
              <w:t>2012.X.26.</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Pr="00AE54AB" w:rsidRDefault="008054BA" w:rsidP="00AB5DC5">
            <w:pPr>
              <w:pStyle w:val="Normltblakzp"/>
              <w:rPr>
                <w:bCs/>
              </w:rPr>
            </w:pPr>
            <w:r>
              <w:rPr>
                <w:bCs/>
              </w:rPr>
              <w:t>2012.X.31.</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19.</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VfF/2546/2012.</w:t>
            </w:r>
          </w:p>
          <w:p w:rsidR="008054BA" w:rsidRDefault="008054BA" w:rsidP="007B5AEF">
            <w:pPr>
              <w:pStyle w:val="Tbla-bal"/>
            </w:pPr>
            <w:r>
              <w:t>Az Európai Mezőgazdasági Vidékfejlesztési alapból az egyes beruházási jogcímek esetében nyújtandó támogatási előleg fizetés</w:t>
            </w:r>
            <w:r w:rsidR="00CE65EC">
              <w:t>éről szóló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2012.X.30.</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 XI. 5.</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20.</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VfF/2559/2012.</w:t>
            </w:r>
          </w:p>
          <w:p w:rsidR="008054BA" w:rsidRDefault="008054BA" w:rsidP="007B5AEF">
            <w:pPr>
              <w:pStyle w:val="Tbla-bal"/>
            </w:pPr>
            <w:r>
              <w:t>Az Európai Mezőgazdasági Vidékfejlesztési Alapból a mezőgazdasági termelők gazdaságátadásához a 2012. évtől igényelhető támogatások részletes feltét</w:t>
            </w:r>
            <w:r w:rsidR="00CE65EC">
              <w:t>eleiről szóló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2012.X.31.</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2012.XI.6.</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21.</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Pr="00053C2D" w:rsidRDefault="008054BA" w:rsidP="007B5AEF">
            <w:pPr>
              <w:pStyle w:val="Tbla-bal"/>
            </w:pPr>
            <w:r w:rsidRPr="00053C2D">
              <w:t>VfF/2616/2012.</w:t>
            </w:r>
          </w:p>
          <w:p w:rsidR="008054BA" w:rsidRPr="00053C2D" w:rsidRDefault="008054BA" w:rsidP="007B5AEF">
            <w:pPr>
              <w:pStyle w:val="Tbla-bal"/>
            </w:pPr>
            <w:r w:rsidRPr="00053C2D">
              <w:t>Az Európai Mezőgazdasági vidékfejlesztési alapból önálló, építéssel nem járó gépek, technológiai berendezések beszerzéséhez nyújtandó támogatások részletes feltételeiről szóló 26/2007. (IV.17.) FVM rendelet, valamint az Európai Mezőgazdasági Vidékfejlesztési Alapból a fiatal erdők állományneveléséhez nyújtandó támogatások részletes feltételeiről szóló 25/2012. (I</w:t>
            </w:r>
            <w:r w:rsidR="00CE65EC" w:rsidRPr="00053C2D">
              <w:t>II. 20.) VM rendelet módosításáról</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2012.XI.6.</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2012.XI.13.</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t>22.</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Pr="00053C2D" w:rsidRDefault="008054BA" w:rsidP="007B5AEF">
            <w:pPr>
              <w:pStyle w:val="Tbla-bal"/>
            </w:pPr>
            <w:r w:rsidRPr="00053C2D">
              <w:t>VfF/2652/2012.</w:t>
            </w:r>
          </w:p>
          <w:p w:rsidR="008054BA" w:rsidRPr="00053C2D" w:rsidRDefault="008054BA" w:rsidP="007B5AEF">
            <w:pPr>
              <w:pStyle w:val="Tbla-bal"/>
            </w:pPr>
            <w:r w:rsidRPr="00053C2D">
              <w:t>Az Európai Mezőgazdasági Vidékfejlesztési Alapból finanszírozott egyes vidékfejlesztési tárgyú miniszteri rendeletek módosítás</w:t>
            </w:r>
            <w:r w:rsidR="00CE65EC" w:rsidRPr="00053C2D">
              <w:t>áról szóló VM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CE65EC" w:rsidP="00AB5DC5">
            <w:pPr>
              <w:pStyle w:val="Normltblakzp"/>
            </w:pPr>
            <w:r>
              <w:t>2012.</w:t>
            </w:r>
            <w:r w:rsidR="008054BA">
              <w:t>XI.20.</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2012.XI.23.</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Pr="00EE71CC" w:rsidRDefault="008054BA" w:rsidP="002B6CB3">
            <w:pPr>
              <w:pStyle w:val="Tbla-kzp"/>
            </w:pPr>
            <w:r>
              <w:lastRenderedPageBreak/>
              <w:t>23.</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VfF/2690/2012.</w:t>
            </w:r>
          </w:p>
          <w:p w:rsidR="008054BA" w:rsidRDefault="008054BA" w:rsidP="007B5AEF">
            <w:pPr>
              <w:pStyle w:val="Tbla-bal"/>
            </w:pPr>
            <w:r>
              <w:t xml:space="preserve">Az Európai Mezőgazdasági Vidékfejlesztési Alapból az Új Magyarország Vidékfejlesztési Program I. és II. intézkedéscsoportjához kapcsolódó képzések tárgyában nyújtandó támogatások részletes feltételeiről szóló 139/2008. (X. 28.) FVM rendelet módosításáról szóló rendelet tervezet </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CE65EC" w:rsidP="00AB5DC5">
            <w:pPr>
              <w:pStyle w:val="Normltblakzp"/>
            </w:pPr>
            <w:r>
              <w:t>2012.</w:t>
            </w:r>
            <w:r w:rsidR="008054BA">
              <w:t>XI.</w:t>
            </w:r>
            <w:r>
              <w:t>21</w:t>
            </w:r>
            <w:r w:rsidR="008054BA">
              <w:t>.</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CE65EC" w:rsidP="00AB5DC5">
            <w:pPr>
              <w:pStyle w:val="Normltblakzp"/>
              <w:rPr>
                <w:bCs/>
              </w:rPr>
            </w:pPr>
            <w:r>
              <w:rPr>
                <w:bCs/>
              </w:rPr>
              <w:t>2012.XI.</w:t>
            </w:r>
            <w:r w:rsidR="008054BA">
              <w:rPr>
                <w:bCs/>
              </w:rPr>
              <w:t>28.</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t>24.</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VfF/2749/2012.</w:t>
            </w:r>
          </w:p>
          <w:p w:rsidR="008054BA" w:rsidRDefault="008054BA" w:rsidP="007B5AEF">
            <w:pPr>
              <w:pStyle w:val="Tbla-bal"/>
            </w:pPr>
            <w:r>
              <w:t>Az Európai Mezőgazdasági Vidékfejlesztési Alapból finanszírozott egyes állatlétszám alapú agrártámogatási tárgyú miniszteri rendeletek módosításáról készíte</w:t>
            </w:r>
            <w:r w:rsidR="00CE65EC">
              <w:t>tt miniszteri rendelet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2012.XI.28.</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2012.XII.4.</w:t>
            </w:r>
          </w:p>
        </w:tc>
      </w:tr>
      <w:tr w:rsidR="008054BA" w:rsidRPr="00EE71CC" w:rsidTr="00CE65EC">
        <w:trPr>
          <w:cantSplit/>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4BA" w:rsidRDefault="008054BA" w:rsidP="002B6CB3">
            <w:pPr>
              <w:pStyle w:val="Tbla-kzp"/>
            </w:pPr>
            <w:r>
              <w:t>25.</w:t>
            </w:r>
          </w:p>
        </w:tc>
        <w:tc>
          <w:tcPr>
            <w:tcW w:w="5813"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7B5AEF">
            <w:pPr>
              <w:pStyle w:val="Tbla-bal"/>
            </w:pPr>
            <w:r>
              <w:t>VfF/2811/2012.</w:t>
            </w:r>
          </w:p>
          <w:p w:rsidR="008054BA" w:rsidRDefault="008054BA" w:rsidP="007B5AEF">
            <w:pPr>
              <w:pStyle w:val="Tbla-bal"/>
            </w:pPr>
            <w:r>
              <w:t xml:space="preserve">Az Európai Mezőgazdasági Vidékfejlesztési Alapból nyújtott agrár-környezetgazdálkodási támogatások igénybevételének részletes feltételeiről szóló 61/2009. (V. 14.) FVM </w:t>
            </w:r>
            <w:r w:rsidR="00CE65EC">
              <w:t>rendelet módosításának tervezet</w:t>
            </w:r>
          </w:p>
        </w:tc>
        <w:tc>
          <w:tcPr>
            <w:tcW w:w="1539" w:type="dxa"/>
            <w:tcBorders>
              <w:top w:val="single" w:sz="4" w:space="0" w:color="auto"/>
              <w:left w:val="nil"/>
              <w:bottom w:val="single" w:sz="4" w:space="0" w:color="auto"/>
              <w:right w:val="single" w:sz="4" w:space="0" w:color="auto"/>
            </w:tcBorders>
            <w:shd w:val="clear" w:color="auto" w:fill="auto"/>
            <w:vAlign w:val="center"/>
          </w:tcPr>
          <w:p w:rsidR="008054BA" w:rsidRDefault="008054BA" w:rsidP="00AB5DC5">
            <w:pPr>
              <w:pStyle w:val="Normltblakzp"/>
            </w:pPr>
            <w:r>
              <w:t>2012.XII.7.</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8054BA" w:rsidRDefault="008054BA" w:rsidP="00AB5DC5">
            <w:pPr>
              <w:pStyle w:val="Normltblakzp"/>
              <w:rPr>
                <w:bCs/>
              </w:rPr>
            </w:pPr>
            <w:r>
              <w:rPr>
                <w:bCs/>
              </w:rPr>
              <w:t>2012.XII.12.</w:t>
            </w:r>
          </w:p>
        </w:tc>
      </w:tr>
    </w:tbl>
    <w:p w:rsidR="008054BA" w:rsidRPr="00EE71CC" w:rsidRDefault="005A67F8" w:rsidP="00715E86">
      <w:pPr>
        <w:pStyle w:val="Cmsor4"/>
      </w:pPr>
      <w:r>
        <w:t>MB</w:t>
      </w:r>
      <w:r w:rsidR="008054BA" w:rsidRPr="00EE71CC">
        <w:t xml:space="preserve"> Vidékfejlesztési Albizottság</w:t>
      </w:r>
    </w:p>
    <w:p w:rsidR="008054BA" w:rsidRPr="009A71D3" w:rsidRDefault="008054BA" w:rsidP="004869BB">
      <w:r w:rsidRPr="009A71D3">
        <w:t>A Vidékfejlesztési Albizottság 201</w:t>
      </w:r>
      <w:r>
        <w:t>2</w:t>
      </w:r>
      <w:r w:rsidRPr="009A71D3">
        <w:t xml:space="preserve">-ben </w:t>
      </w:r>
      <w:r>
        <w:t xml:space="preserve">kétszer </w:t>
      </w:r>
      <w:r w:rsidRPr="009A71D3">
        <w:t>ülésezett</w:t>
      </w:r>
      <w:r w:rsidR="005A67F8">
        <w:t>.</w:t>
      </w:r>
    </w:p>
    <w:p w:rsidR="008054BA" w:rsidRPr="005B70A7" w:rsidRDefault="008054BA" w:rsidP="005B70A7">
      <w:pPr>
        <w:pStyle w:val="Cmsor6"/>
      </w:pPr>
      <w:r w:rsidRPr="005B70A7">
        <w:t>2012. április 10</w:t>
      </w:r>
      <w:r w:rsidR="005A67F8" w:rsidRPr="005B70A7">
        <w:t>.</w:t>
      </w:r>
      <w:r w:rsidRPr="005B70A7">
        <w:t xml:space="preserve"> (VM 203. tárgyaló)</w:t>
      </w:r>
    </w:p>
    <w:p w:rsidR="005A67F8" w:rsidRDefault="008054BA" w:rsidP="004869BB">
      <w:r w:rsidRPr="009A71D3">
        <w:t>Az Albizottság</w:t>
      </w:r>
      <w:r>
        <w:t xml:space="preserve"> áprilisi</w:t>
      </w:r>
      <w:r w:rsidRPr="009A71D3">
        <w:t xml:space="preserve"> ülésén sor került </w:t>
      </w:r>
      <w:r>
        <w:t xml:space="preserve">egy határozati javaslat elfogadására, amely a 1304/2011. (IX.2.) Korm. határozat szerinti egyszerűsítési folyamathoz kapcsolódott. Az ülésen a VIAB egyhangúan elfogadta azt a határozati javaslatot, hogy az MB elé felé javasolja, hogy a közigazgatási eljáráson és szemléleten alapuló eljárásrendet hosszabb távon a célokhoz illeszkedő új eljárásrend váltsa fel, továbbá elfogadta, hogy az MB elé kerüljön felterjesztésre egy konkrét szövegszerű állásfoglalás, amely az előző elemeket tartalmazza. </w:t>
      </w:r>
    </w:p>
    <w:p w:rsidR="008054BA" w:rsidRPr="009A71D3" w:rsidRDefault="008054BA" w:rsidP="004869BB">
      <w:r>
        <w:t xml:space="preserve">Az ülésen ezt követően tájékoztató hangzott el a 2014-2020-as időszakra való felkészülés aktuális állásáról, valamint az </w:t>
      </w:r>
      <w:r w:rsidR="005A67F8">
        <w:t>A</w:t>
      </w:r>
      <w:r>
        <w:t xml:space="preserve">lbizottság megvitatta a LEADER HACS-ok finanszírozásának kérdéseit, és a </w:t>
      </w:r>
      <w:r w:rsidR="005A67F8">
        <w:t xml:space="preserve">Program </w:t>
      </w:r>
      <w:r>
        <w:t xml:space="preserve">III., IV. tengely végrehajtását </w:t>
      </w:r>
      <w:r w:rsidR="005A67F8">
        <w:t>befolyásoló</w:t>
      </w:r>
      <w:r>
        <w:t xml:space="preserve"> jogszabályi rendelkezéseket.</w:t>
      </w:r>
    </w:p>
    <w:p w:rsidR="008054BA" w:rsidRPr="005B70A7" w:rsidRDefault="008054BA" w:rsidP="005B70A7">
      <w:pPr>
        <w:pStyle w:val="Cmsor6"/>
      </w:pPr>
      <w:r w:rsidRPr="005B70A7">
        <w:t>2012. október 25</w:t>
      </w:r>
      <w:r w:rsidR="005A67F8" w:rsidRPr="005B70A7">
        <w:t>.</w:t>
      </w:r>
      <w:r w:rsidRPr="005B70A7">
        <w:t xml:space="preserve"> (VM 203. tárgyaló)</w:t>
      </w:r>
    </w:p>
    <w:p w:rsidR="005A67F8" w:rsidRDefault="008054BA" w:rsidP="004869BB">
      <w:r w:rsidRPr="009A71D3">
        <w:t xml:space="preserve">Az Albizottság </w:t>
      </w:r>
      <w:r>
        <w:t xml:space="preserve">októberi </w:t>
      </w:r>
      <w:r w:rsidRPr="009A71D3">
        <w:t xml:space="preserve">ülésén a tagok </w:t>
      </w:r>
      <w:r>
        <w:t xml:space="preserve">megvitatták az Állami Számvevőszéknek a vidékfejlesztési célkitűzések megvalósítására, a helyi közösségek szerepének megerősítésére fordított pénzeszközök felhasználása eredményességét és hatékonyságát, a vidéki életminőség javításában betöltött szerepét vizsgáló jelentését. </w:t>
      </w:r>
    </w:p>
    <w:p w:rsidR="005A67F8" w:rsidRDefault="008054BA" w:rsidP="004869BB">
      <w:r>
        <w:t xml:space="preserve">Ezt követően megvitatásra kerültek az 1304/2012. (IX.2.) Korm. határozat szerinti egyszerűsítési folyamat eredményei, különös tekintettel a LEADER Programra. </w:t>
      </w:r>
    </w:p>
    <w:p w:rsidR="005A67F8" w:rsidRDefault="008054BA" w:rsidP="004869BB">
      <w:r>
        <w:t xml:space="preserve">Beszámoló hangzott el a </w:t>
      </w:r>
      <w:r w:rsidR="005A67F8">
        <w:t xml:space="preserve">Program </w:t>
      </w:r>
      <w:r>
        <w:t>III.-IV. tengely végrehajtásának aktuális kérdéseiről a helyi akciócsoportok képviseletében</w:t>
      </w:r>
      <w:r w:rsidR="005A67F8">
        <w:t xml:space="preserve">. </w:t>
      </w:r>
    </w:p>
    <w:p w:rsidR="008054BA" w:rsidRDefault="005A67F8" w:rsidP="004869BB">
      <w:r>
        <w:t>A</w:t>
      </w:r>
      <w:r w:rsidR="008054BA">
        <w:t xml:space="preserve"> Vidékfejlesztési Főosztály és a Nemzetgazdasági Tervezési Hivatal nyújtott tájékoztatást az </w:t>
      </w:r>
      <w:r>
        <w:t>A</w:t>
      </w:r>
      <w:r w:rsidR="008054BA">
        <w:t xml:space="preserve">lbizottság tagjainak a 2014-2020. közötti programozási időszakra való felkészülés, különös tekintettel a CLLD-LEADER Programra. </w:t>
      </w:r>
    </w:p>
    <w:p w:rsidR="008054BA" w:rsidRPr="009A71D3" w:rsidRDefault="005A67F8" w:rsidP="00715E86">
      <w:pPr>
        <w:pStyle w:val="Cmsor4"/>
      </w:pPr>
      <w:r>
        <w:t>MB</w:t>
      </w:r>
      <w:r w:rsidR="008054BA" w:rsidRPr="009A71D3">
        <w:t xml:space="preserve"> KAP Albizottság</w:t>
      </w:r>
    </w:p>
    <w:p w:rsidR="008054BA" w:rsidRPr="009A71D3" w:rsidRDefault="008054BA" w:rsidP="004869BB">
      <w:r w:rsidRPr="009A71D3">
        <w:t>A KAP Albizottság 201</w:t>
      </w:r>
      <w:r>
        <w:t>2</w:t>
      </w:r>
      <w:r w:rsidR="005A67F8">
        <w:t xml:space="preserve">-ben </w:t>
      </w:r>
      <w:r w:rsidRPr="009A71D3">
        <w:t>háromszor ülésezett</w:t>
      </w:r>
      <w:r w:rsidR="005A67F8">
        <w:t>.</w:t>
      </w:r>
      <w:r w:rsidRPr="009A71D3">
        <w:t xml:space="preserve"> </w:t>
      </w:r>
    </w:p>
    <w:p w:rsidR="008054BA" w:rsidRPr="005B70A7" w:rsidRDefault="008054BA" w:rsidP="005B70A7">
      <w:pPr>
        <w:pStyle w:val="Cmsor6"/>
      </w:pPr>
      <w:r w:rsidRPr="005B70A7">
        <w:lastRenderedPageBreak/>
        <w:t>2012. február 9</w:t>
      </w:r>
      <w:r w:rsidR="005A67F8" w:rsidRPr="005B70A7">
        <w:t>.</w:t>
      </w:r>
      <w:r w:rsidRPr="005B70A7">
        <w:t xml:space="preserve"> (VM 203. tárgyaló)</w:t>
      </w:r>
    </w:p>
    <w:p w:rsidR="002E2215" w:rsidRDefault="008054BA" w:rsidP="004869BB">
      <w:r w:rsidRPr="009A71D3">
        <w:t>A KAP Albizottság</w:t>
      </w:r>
      <w:r>
        <w:t xml:space="preserve"> az ülés során </w:t>
      </w:r>
      <w:r w:rsidR="002E2215">
        <w:t xml:space="preserve">tematikusan </w:t>
      </w:r>
      <w:r>
        <w:t>áttekintette az új EMVA és a KSK rendeletek</w:t>
      </w:r>
      <w:r w:rsidR="002E2215">
        <w:t>et,</w:t>
      </w:r>
      <w:r>
        <w:t xml:space="preserve"> ezt követően egy előadás keretében a Vidékfejlesztési Főosztály beszámolt az EMVA és KSK rendeletek várható fejleményeiről. </w:t>
      </w:r>
    </w:p>
    <w:p w:rsidR="008054BA" w:rsidRPr="009A71D3" w:rsidRDefault="008054BA" w:rsidP="004869BB">
      <w:r>
        <w:t xml:space="preserve">Sor került ezen túlmenően az </w:t>
      </w:r>
      <w:r w:rsidR="002E2215">
        <w:t>A</w:t>
      </w:r>
      <w:r>
        <w:t>lbizottság 2012. I. félévi munkatervének megvitatására, amelynek során döntés született arról, hogy az albizottságok, a VÁTI, a HANGYA Szövetkezet és a MOSZ részvételével egy ad hoc munkacsoport feldolgozza az új rendelettervezet szövegét, és javaslatokat fogalmaz meg. 2012. február 24-én került sor a munkacsoporti ülés</w:t>
      </w:r>
      <w:r w:rsidR="002E2215">
        <w:t>re</w:t>
      </w:r>
      <w:r>
        <w:t>, ahol megtörtént a munkacsoportok kialítása.</w:t>
      </w:r>
    </w:p>
    <w:p w:rsidR="008054BA" w:rsidRPr="005B70A7" w:rsidRDefault="008054BA" w:rsidP="005B70A7">
      <w:pPr>
        <w:pStyle w:val="Cmsor6"/>
      </w:pPr>
      <w:r w:rsidRPr="005B70A7">
        <w:t>2012. április 26</w:t>
      </w:r>
      <w:r w:rsidR="002E2215" w:rsidRPr="005B70A7">
        <w:t>.</w:t>
      </w:r>
      <w:r w:rsidRPr="005B70A7">
        <w:t xml:space="preserve"> (VM 203. tárgyaló)</w:t>
      </w:r>
    </w:p>
    <w:p w:rsidR="008054BA" w:rsidRPr="009A71D3" w:rsidRDefault="008054BA" w:rsidP="004869BB">
      <w:r>
        <w:t xml:space="preserve">Az </w:t>
      </w:r>
      <w:r w:rsidR="002E2215">
        <w:t>A</w:t>
      </w:r>
      <w:r>
        <w:t>lbizottság áttekintette az új támogatási időszakra vonatkozó rendelettervezettel kapcsolatban feldolgozott témákat, amelyek a következők voltak: egyszerűsítési folyamatok, mezőgazdasági földterület fenntartható hasznosítását célzó EMVA intézkedések, erdészeti intézkedések, beruházásra és fejlesztésre irányuló intézkedések, tudásátadás és szaktanácsadási intézkedések, LEADER-típusú intézkedések, kockázatkezelés</w:t>
      </w:r>
      <w:r w:rsidR="002E2215">
        <w:t>, biztosítás</w:t>
      </w:r>
      <w:r>
        <w:t xml:space="preserve"> és technikai segítségnyújtást célzó intézkedések, valamint a monitoring és értékelésre vonatkozó várható szabályozás</w:t>
      </w:r>
      <w:r w:rsidRPr="009A71D3">
        <w:t>.</w:t>
      </w:r>
    </w:p>
    <w:p w:rsidR="008054BA" w:rsidRPr="005B70A7" w:rsidRDefault="008054BA" w:rsidP="005B70A7">
      <w:pPr>
        <w:pStyle w:val="Cmsor6"/>
      </w:pPr>
      <w:r w:rsidRPr="005B70A7">
        <w:t>2012. december 7</w:t>
      </w:r>
      <w:r w:rsidR="002E2215" w:rsidRPr="005B70A7">
        <w:t>.</w:t>
      </w:r>
      <w:r w:rsidRPr="005B70A7">
        <w:t xml:space="preserve"> (VM 299. tárgyaló)</w:t>
      </w:r>
    </w:p>
    <w:p w:rsidR="008054BA" w:rsidRDefault="008054BA" w:rsidP="004869BB">
      <w:r>
        <w:t>Az albizottsági ülés keretén belül a Vidékfejlesztési Főosztály tájékoztatást adott az új KAP-pal kapcsolatban az EU Tanács előkészítő szerveinek (COREPER, Mezőgazdasági és Halászati bizottságok, munkacsoportok), valamint az EU Bizottság Mezőgazdasági Főigazgatóságának legutóbbi és várható előkészítő tevékenységéről, döntéseiről, valamint a magyar kormány álláspontjáról</w:t>
      </w:r>
      <w:r w:rsidRPr="00283392">
        <w:t xml:space="preserve">. </w:t>
      </w:r>
    </w:p>
    <w:p w:rsidR="008054BA" w:rsidRPr="00283392" w:rsidRDefault="008054BA" w:rsidP="004869BB">
      <w:r w:rsidRPr="00283392">
        <w:t>Ezt követően</w:t>
      </w:r>
      <w:r>
        <w:t xml:space="preserve"> az </w:t>
      </w:r>
      <w:r w:rsidR="002E2215">
        <w:t>A</w:t>
      </w:r>
      <w:r>
        <w:t>lbizottság megvitatta az előadásban elhangzottakat, és határozatot hozott</w:t>
      </w:r>
      <w:r w:rsidR="002E2215">
        <w:t xml:space="preserve"> arról</w:t>
      </w:r>
      <w:r>
        <w:t>, hogy az MB elnökének javasolják egy plenáris ülés összehívását az EMVA rendelettel kapcsolatos álláspontok megvitatására</w:t>
      </w:r>
      <w:r w:rsidRPr="00283392">
        <w:t xml:space="preserve">. </w:t>
      </w:r>
      <w:r w:rsidR="002E2215">
        <w:t>Az A</w:t>
      </w:r>
      <w:r>
        <w:t>lbizottság határozatot hozott arról is, hogy az érintett Európai Parlamenti képviselőket kérjék fel az új időszak rendeleteiről szóló vitáról való be</w:t>
      </w:r>
      <w:r w:rsidR="002E2215">
        <w:t>számolóra, továbbá arról, hogy</w:t>
      </w:r>
      <w:r>
        <w:t xml:space="preserve"> az MB kérje fel a Tervezési Munkacsoport vezetőit a KAP Albizottságban létrejött munkacsoportok vezetőinek a Tervezési Munkacsoportok munkájába történő bevonására.</w:t>
      </w:r>
    </w:p>
    <w:p w:rsidR="008054BA" w:rsidRPr="009A71D3" w:rsidRDefault="002E2215" w:rsidP="00715E86">
      <w:pPr>
        <w:pStyle w:val="Cmsor4"/>
      </w:pPr>
      <w:r>
        <w:t xml:space="preserve">MB </w:t>
      </w:r>
      <w:r w:rsidR="008054BA" w:rsidRPr="009A71D3">
        <w:t>Erdészeti Albizottság</w:t>
      </w:r>
    </w:p>
    <w:p w:rsidR="008054BA" w:rsidRPr="009A71D3" w:rsidRDefault="008054BA" w:rsidP="004869BB">
      <w:pPr>
        <w:rPr>
          <w:rFonts w:cs="Times New Roman"/>
          <w:bCs/>
        </w:rPr>
      </w:pPr>
      <w:r w:rsidRPr="009A71D3">
        <w:t xml:space="preserve">Az Erdészeti Albizottság </w:t>
      </w:r>
      <w:r>
        <w:t xml:space="preserve">2012-ben </w:t>
      </w:r>
      <w:r w:rsidR="002E2215">
        <w:t>egyszer</w:t>
      </w:r>
      <w:r>
        <w:t xml:space="preserve"> ülésezett</w:t>
      </w:r>
      <w:r w:rsidRPr="009A71D3">
        <w:t>.</w:t>
      </w:r>
    </w:p>
    <w:p w:rsidR="008054BA" w:rsidRPr="00DB48A3" w:rsidRDefault="008054BA" w:rsidP="00DB48A3">
      <w:pPr>
        <w:pStyle w:val="Cmsor6"/>
      </w:pPr>
      <w:r w:rsidRPr="00DB48A3">
        <w:t>2012. június 13</w:t>
      </w:r>
      <w:r w:rsidR="002E2215" w:rsidRPr="00DB48A3">
        <w:t>.</w:t>
      </w:r>
      <w:r w:rsidRPr="00DB48A3">
        <w:t xml:space="preserve"> (VM 203. tárgyaló)</w:t>
      </w:r>
    </w:p>
    <w:p w:rsidR="002E2215" w:rsidRDefault="008054BA" w:rsidP="004869BB">
      <w:r w:rsidRPr="009A71D3">
        <w:t>Az Erdész</w:t>
      </w:r>
      <w:r>
        <w:t xml:space="preserve">eti Albizottság alakuló ülésén tájékoztató hangzott el a 2012. év I. felében az erdészeti jogcímekben bekövetkezett változásokról, továbbá beszámoló hangzott el az újonnan indított erdészeti jogcímek (fiatal erdők ápolása, erdő-Natura) első tapasztalatairól, a beérkezett igények főbb jellemzőiről. </w:t>
      </w:r>
    </w:p>
    <w:p w:rsidR="002E2215" w:rsidRDefault="008054BA" w:rsidP="004869BB">
      <w:r>
        <w:t xml:space="preserve">Az </w:t>
      </w:r>
      <w:r w:rsidR="002E2215">
        <w:t>A</w:t>
      </w:r>
      <w:r>
        <w:t>lbizottság ezt követően tájékoztatást kapott az Erdészeti, Halászati és Vadászati Főosztálytól a 2014 utáni uniós vidékfejlesztésben, az erdészetet érintő várható változásokról</w:t>
      </w:r>
      <w:r w:rsidR="002E2215">
        <w:t xml:space="preserve">. </w:t>
      </w:r>
    </w:p>
    <w:p w:rsidR="008054BA" w:rsidRDefault="002E2215" w:rsidP="004869BB">
      <w:r>
        <w:t>A</w:t>
      </w:r>
      <w:r w:rsidR="008054BA">
        <w:t xml:space="preserve"> Nyugat-Magyarországi Egyem képviselője röviden összefoglalta az erdészeti jogcímekkel kapcsolatos kutatási projektek aktuális helyzetét. </w:t>
      </w:r>
    </w:p>
    <w:p w:rsidR="002E2215" w:rsidRDefault="002E2215" w:rsidP="004869BB">
      <w:r>
        <w:t xml:space="preserve">Az ülésen részt vevő tagok egyhangúan elfogadták azt a javaslatot, hogy az IH az uniós tárgyalások során a 16. és 23. cikk vonatkozásában képviselje az Albizottság álláspontját, illetve a jogosultságok körének állami erdőkre való kiterjesztését. </w:t>
      </w:r>
    </w:p>
    <w:p w:rsidR="002E2215" w:rsidRDefault="008054BA" w:rsidP="004869BB">
      <w:r>
        <w:lastRenderedPageBreak/>
        <w:t xml:space="preserve">A 2012. június 13-i ülésen az Erdészeti Albizottság elérte a határozatképességet, ugyanakkor, mivel nem tett eleget az ügyrendjében foglaltaknak, újjáalakulásáról a tagoknak szavazni kellett. </w:t>
      </w:r>
    </w:p>
    <w:p w:rsidR="008054BA" w:rsidRPr="00896E03" w:rsidRDefault="008054BA" w:rsidP="00DB48A3">
      <w:pPr>
        <w:pStyle w:val="Cmsor3"/>
      </w:pPr>
      <w:bookmarkStart w:id="399" w:name="_Toc328638744"/>
      <w:bookmarkStart w:id="400" w:name="_Toc360176839"/>
      <w:r w:rsidRPr="00896E03">
        <w:t>Programmódosítások</w:t>
      </w:r>
      <w:bookmarkEnd w:id="399"/>
      <w:bookmarkEnd w:id="400"/>
    </w:p>
    <w:p w:rsidR="00CC79FE" w:rsidRPr="00C947C4" w:rsidRDefault="00CC79FE" w:rsidP="00C96F79">
      <w:r w:rsidRPr="00C947C4">
        <w:t>201</w:t>
      </w:r>
      <w:r>
        <w:t>2</w:t>
      </w:r>
      <w:r w:rsidRPr="00C947C4">
        <w:t xml:space="preserve">-ben </w:t>
      </w:r>
      <w:r>
        <w:t>egy</w:t>
      </w:r>
      <w:r w:rsidRPr="00C947C4">
        <w:t xml:space="preserve"> 201</w:t>
      </w:r>
      <w:r>
        <w:t>1</w:t>
      </w:r>
      <w:r w:rsidRPr="00C947C4">
        <w:t xml:space="preserve">. évben benyújtott </w:t>
      </w:r>
      <w:r>
        <w:t>p</w:t>
      </w:r>
      <w:r w:rsidRPr="00C947C4">
        <w:t>rogrammódosítási csomag került az EU Bizottság által jóváhagyásra (a Progra</w:t>
      </w:r>
      <w:r>
        <w:t>m 8</w:t>
      </w:r>
      <w:r w:rsidRPr="00C947C4">
        <w:t xml:space="preserve">. számú verziója, elfogadás dátuma: </w:t>
      </w:r>
      <w:r w:rsidRPr="00924CC1">
        <w:t xml:space="preserve">2012. </w:t>
      </w:r>
      <w:r w:rsidRPr="00827DDF">
        <w:t>márciu</w:t>
      </w:r>
      <w:r w:rsidRPr="00924CC1">
        <w:t xml:space="preserve">s </w:t>
      </w:r>
      <w:r w:rsidRPr="00827DDF">
        <w:t>5</w:t>
      </w:r>
      <w:r w:rsidRPr="00924CC1">
        <w:t>.), illetve egy programmódosí</w:t>
      </w:r>
      <w:r w:rsidRPr="00443298">
        <w:t>tási csomag került benyújtásra az EU Bizottsághoz (a Program 9. számú verziója, benyújtás dátuma</w:t>
      </w:r>
      <w:r w:rsidRPr="00884C19">
        <w:t>: 201</w:t>
      </w:r>
      <w:r w:rsidRPr="00BC121C">
        <w:t>2</w:t>
      </w:r>
      <w:r w:rsidRPr="00827DDF">
        <w:t>. március 26</w:t>
      </w:r>
      <w:r w:rsidRPr="00924CC1">
        <w:t>.</w:t>
      </w:r>
      <w:r w:rsidRPr="00827DDF">
        <w:t>,</w:t>
      </w:r>
      <w:r w:rsidRPr="00924CC1">
        <w:t xml:space="preserve"> befogadás dátuma: 2012. </w:t>
      </w:r>
      <w:r w:rsidRPr="00827DDF">
        <w:t>áprili</w:t>
      </w:r>
      <w:r w:rsidRPr="00924CC1">
        <w:t>s 1</w:t>
      </w:r>
      <w:r w:rsidRPr="00827DDF">
        <w:t>0.), mely javaslat elfogadása áthúzódott 2013-ra (2013.03.19.)</w:t>
      </w:r>
      <w:r w:rsidRPr="00924CC1">
        <w:t>.</w:t>
      </w:r>
    </w:p>
    <w:p w:rsidR="00CC79FE" w:rsidRPr="00C947C4" w:rsidRDefault="00CC79FE" w:rsidP="00C96F79">
      <w:r w:rsidRPr="00C947C4">
        <w:t xml:space="preserve">A Program </w:t>
      </w:r>
      <w:r>
        <w:t>8</w:t>
      </w:r>
      <w:r w:rsidRPr="00C947C4">
        <w:t xml:space="preserve">. </w:t>
      </w:r>
      <w:r>
        <w:t>verzió</w:t>
      </w:r>
      <w:r w:rsidRPr="00C947C4">
        <w:t xml:space="preserve">számú </w:t>
      </w:r>
      <w:r>
        <w:t>módosítása keretében benyújtott javaslatcsomag,</w:t>
      </w:r>
      <w:r w:rsidRPr="00C947C4">
        <w:t xml:space="preserve"> az előző</w:t>
      </w:r>
      <w:r>
        <w:t>,</w:t>
      </w:r>
      <w:r w:rsidRPr="00C947C4">
        <w:t xml:space="preserve"> 201</w:t>
      </w:r>
      <w:r>
        <w:t>1</w:t>
      </w:r>
      <w:r w:rsidRPr="00C947C4">
        <w:t xml:space="preserve">. évi előrehaladási jelentésben </w:t>
      </w:r>
      <w:r>
        <w:t xml:space="preserve">került részletesen </w:t>
      </w:r>
      <w:r w:rsidRPr="00C947C4">
        <w:t xml:space="preserve">bemutatásra. </w:t>
      </w:r>
    </w:p>
    <w:p w:rsidR="00CC79FE" w:rsidRPr="00C947C4" w:rsidRDefault="00CC79FE" w:rsidP="00C96F79">
      <w:r>
        <w:t xml:space="preserve">A </w:t>
      </w:r>
      <w:r w:rsidRPr="00C947C4">
        <w:t xml:space="preserve">Program </w:t>
      </w:r>
      <w:r>
        <w:t>9</w:t>
      </w:r>
      <w:r w:rsidRPr="00C947C4">
        <w:t xml:space="preserve">. verziószámú módosítása </w:t>
      </w:r>
      <w:r>
        <w:t>– mely jelen fejezetben kerül bemutatásra - az MB által 2011 és 2012-</w:t>
      </w:r>
      <w:r w:rsidRPr="00C947C4">
        <w:t>ben jóváhagyott szakmai</w:t>
      </w:r>
      <w:r>
        <w:t>, technikai</w:t>
      </w:r>
      <w:r w:rsidRPr="00C947C4">
        <w:t xml:space="preserve"> és forrásátcsoportosítási javaslatokra vonatkozó módosítás csomagot </w:t>
      </w:r>
      <w:r>
        <w:t>tartalmazza</w:t>
      </w:r>
      <w:r w:rsidRPr="00C947C4">
        <w:t>.</w:t>
      </w:r>
    </w:p>
    <w:p w:rsidR="00CC79FE" w:rsidRPr="00C947C4" w:rsidRDefault="00CC79FE" w:rsidP="00DB48A3">
      <w:pPr>
        <w:pStyle w:val="Cmsor6"/>
      </w:pPr>
      <w:r w:rsidRPr="00C947C4">
        <w:t xml:space="preserve">Magyarország </w:t>
      </w:r>
      <w:r>
        <w:t>a</w:t>
      </w:r>
      <w:r w:rsidRPr="00C947C4">
        <w:t>z MB által jóváhagyott programmódosítási javaslatok végrehajtását, csak a programmódosítás EU Bizottság által történő hivatalos befogadásának napját követően kezdheti meg tagállami kockázatra.</w:t>
      </w:r>
    </w:p>
    <w:p w:rsidR="00CC79FE" w:rsidRDefault="00CC79FE" w:rsidP="00C96F79">
      <w:r w:rsidRPr="00C947C4">
        <w:t xml:space="preserve">Az EU Bizottság </w:t>
      </w:r>
      <w:r>
        <w:t>a Program 9</w:t>
      </w:r>
      <w:r w:rsidRPr="00C947C4">
        <w:t xml:space="preserve">. verziószámú módosítási javaslatára vonatkozó </w:t>
      </w:r>
      <w:r>
        <w:t>észrevételeit 2012 júliusában küldte meg, melyet figyelembe véve</w:t>
      </w:r>
      <w:r w:rsidRPr="00C947C4">
        <w:t xml:space="preserve"> és előzetes konzultációk alapján bizonyos módosítási javaslatok </w:t>
      </w:r>
      <w:r>
        <w:t>kiegészültek, pontosításra kerültek. A P</w:t>
      </w:r>
      <w:r w:rsidRPr="00C947C4">
        <w:t>rogram 9. verziószámú módosítási csomagjába</w:t>
      </w:r>
      <w:r>
        <w:t xml:space="preserve"> bekerültek azon módosítási javaslatok is, melyek a Bizottsággal történt konzultációk alapján a 8. verziószámú programmódosításból kikerültek (pl. </w:t>
      </w:r>
      <w:r w:rsidRPr="00C947C4">
        <w:t>erdészeti támogatások, állami támogatásként történő bejelentési eljárás</w:t>
      </w:r>
      <w:r>
        <w:t>ai elhúzódása miatt,</w:t>
      </w:r>
      <w:r w:rsidRPr="00C947C4">
        <w:t xml:space="preserve"> a diverzifikációs intézkedésre vonatkozó módosítási javaslat</w:t>
      </w:r>
      <w:r>
        <w:t>).</w:t>
      </w:r>
    </w:p>
    <w:p w:rsidR="00CC79FE" w:rsidRPr="00827DDF" w:rsidRDefault="00CC79FE" w:rsidP="00C96F79">
      <w:r w:rsidRPr="00827DDF">
        <w:t>Az ÚMVP MB által jóváhagyott és a Program 8. számú módosítása (Program 9. verziója) keretében az EU Bizottság felé benyújtott módosítások:</w:t>
      </w:r>
    </w:p>
    <w:p w:rsidR="00CC79FE" w:rsidRDefault="00CC79FE" w:rsidP="00C96F79">
      <w:pPr>
        <w:pStyle w:val="Listaszerbekezds"/>
        <w:rPr>
          <w:rFonts w:cs="Times New Roman"/>
          <w:noProof/>
        </w:rPr>
      </w:pPr>
    </w:p>
    <w:p w:rsidR="00CC79FE" w:rsidRPr="00CC79FE" w:rsidRDefault="00CC79FE" w:rsidP="00C96F79">
      <w:r w:rsidRPr="00827DDF">
        <w:t>Az Új Magyarország Vidékfejlesztési Program arculati elemei kiegészülnek a Darányi Ignác Terv arculatai elemeivel.</w:t>
      </w:r>
    </w:p>
    <w:p w:rsidR="00CC79FE" w:rsidRPr="00CC79FE" w:rsidRDefault="00CC79FE" w:rsidP="00DB48A3">
      <w:pPr>
        <w:pStyle w:val="Cmsor6"/>
        <w:rPr>
          <w:noProof/>
        </w:rPr>
      </w:pPr>
      <w:r w:rsidRPr="00CC79FE">
        <w:rPr>
          <w:noProof/>
        </w:rPr>
        <w:t>Az I. tengelyen belüli programmódosítási javaslatok</w:t>
      </w:r>
    </w:p>
    <w:p w:rsidR="00CC79FE" w:rsidRPr="005B70A7" w:rsidRDefault="00CC79FE" w:rsidP="00DB48A3">
      <w:pPr>
        <w:pStyle w:val="Cmsor6"/>
      </w:pPr>
      <w:r w:rsidRPr="005B70A7">
        <w:t>Szakképzési és tájékoztatási tevékenységek 111. számú intézkedés (MB: 2011. december 13.)</w:t>
      </w:r>
    </w:p>
    <w:p w:rsidR="00CC79FE" w:rsidRDefault="00CC79FE" w:rsidP="00C96F79">
      <w:pPr>
        <w:rPr>
          <w:rFonts w:cs="Times New Roman"/>
          <w:szCs w:val="22"/>
        </w:rPr>
      </w:pPr>
      <w:r>
        <w:rPr>
          <w:rFonts w:cs="Times New Roman"/>
          <w:szCs w:val="22"/>
        </w:rPr>
        <w:t xml:space="preserve">Magyarország 2011. július 7-én benyújtotta az ÚMVP 8. verziószámú módosítását, amelyben új intézkedésként szerepelt a Natura 2000 erdőterületeken történő gazdálkodáshoz nyújtandó kompenzációs támogatás. Tekintettel arra, hogy a jogcím előírja az erdőgazdálkodóknak a képzésen való részvételt, szükségessé vált a Szakképzés a tájékoztatási tevékenységek 111. számú intézkedés kiegészítése a Natura 2000 erdőterületeken történő gazdálkodáshoz nyújtandó kompenzációs támogatás képzési programmal. </w:t>
      </w:r>
    </w:p>
    <w:p w:rsidR="00CC79FE" w:rsidRPr="005B70A7" w:rsidRDefault="00CC79FE" w:rsidP="005B70A7">
      <w:pPr>
        <w:pStyle w:val="Cmsor6"/>
      </w:pPr>
      <w:r w:rsidRPr="005B70A7">
        <w:t>Fiatal gazdák induló támogatása 112. számú intézkedés (MB: 2011. december 13.)</w:t>
      </w:r>
    </w:p>
    <w:p w:rsidR="00CC79FE" w:rsidRDefault="00CC79FE" w:rsidP="00C96F79">
      <w:pPr>
        <w:rPr>
          <w:rFonts w:cs="Times New Roman"/>
          <w:szCs w:val="22"/>
        </w:rPr>
      </w:pPr>
      <w:r>
        <w:rPr>
          <w:rFonts w:cs="Times New Roman"/>
          <w:szCs w:val="22"/>
        </w:rPr>
        <w:t>A Fiatal gazdák induló támogatása intézkedés az ÚMVP I. tengelyének kiemelt intézkedése, amelyet a benyújtott támogatási kérelmek növekvő száma is alátámasztott. A támogatás pozitív hatása a vidéki, elöregedő, jellemzően elmaradott, alacsony lélekszámú falvakkal jellemezhető térségekben jelentkezik, és hozzájárul ahhoz, hogy a vidéki térségekben minél több fiatal kezdjen gazdálkodásba, ezzel is növelve az ágazat dinamikáját, és növelve a fiatal agrárvállalkozók arányát a mezőgazdasági tevékenység hosszú távú fenntartása-, és az élethivatásszerű vidéki életforma elterjesztése érdekében.</w:t>
      </w:r>
    </w:p>
    <w:p w:rsidR="00CC79FE" w:rsidRDefault="00CC79FE" w:rsidP="00C96F79">
      <w:pPr>
        <w:rPr>
          <w:rFonts w:cs="Times New Roman"/>
          <w:i/>
          <w:szCs w:val="22"/>
        </w:rPr>
      </w:pPr>
    </w:p>
    <w:p w:rsidR="00CC79FE" w:rsidRDefault="009C4E1A" w:rsidP="009C4E1A">
      <w:pPr>
        <w:pStyle w:val="bra-cmebra"/>
      </w:pPr>
      <w:r>
        <w:t xml:space="preserve">ábra: </w:t>
      </w:r>
      <w:r w:rsidR="00CC79FE">
        <w:t>11 512 862 euró</w:t>
      </w:r>
      <w:r w:rsidR="00CC79FE" w:rsidRPr="004B42AD">
        <w:t xml:space="preserve"> </w:t>
      </w:r>
      <w:r w:rsidR="00CC79FE">
        <w:t>(közkiadás) f</w:t>
      </w:r>
      <w:r w:rsidR="00CC79FE" w:rsidRPr="004B42AD">
        <w:t>orrás</w:t>
      </w:r>
      <w:r w:rsidR="00CC79FE">
        <w:t xml:space="preserve"> átcsoportosítása  valósult meg a 112. számú intézkedésre a 121.2 és 141. számú intézkedésekről</w:t>
      </w:r>
      <w:r w:rsidR="00CC79FE" w:rsidRPr="004B42AD">
        <w:t>:</w:t>
      </w:r>
    </w:p>
    <w:p w:rsidR="00CC79FE" w:rsidRDefault="00CC79FE" w:rsidP="00CC79FE">
      <w:pPr>
        <w:jc w:val="center"/>
      </w:pPr>
      <w:r w:rsidRPr="00037AD4">
        <w:rPr>
          <w:noProof/>
        </w:rPr>
        <w:drawing>
          <wp:inline distT="0" distB="0" distL="0" distR="0" wp14:anchorId="4CD9C67D" wp14:editId="59A088A5">
            <wp:extent cx="5229226" cy="3048001"/>
            <wp:effectExtent l="0" t="0" r="9525" b="19050"/>
            <wp:docPr id="35"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C79FE" w:rsidRDefault="00CC79FE" w:rsidP="00DB48A3">
      <w:pPr>
        <w:pStyle w:val="Cmsor6"/>
      </w:pPr>
      <w:r w:rsidRPr="00426751">
        <w:t>A mezőgazdasági üzemek korszerűsítése 121. számú intézkedés</w:t>
      </w:r>
      <w:r>
        <w:t xml:space="preserve"> (MB: 2011. december 13., MB írásbeli eljárás 2012. március 14.)</w:t>
      </w:r>
    </w:p>
    <w:p w:rsidR="00CC79FE" w:rsidRDefault="00CC79FE" w:rsidP="00C96F79">
      <w:r w:rsidRPr="00B92085">
        <w:t>A korábban megítélt gépbeszerzési támogatások</w:t>
      </w:r>
      <w:r>
        <w:t xml:space="preserve">at figyelembe véve az IH a rendelkezésre álló források ésszerű elosztása, és az agrárgazdaság érdekeit szolgáló intézkedések végrehajtása érdekében a Beruházások a szántóföldi növénytermesztésben és a kertészetben </w:t>
      </w:r>
      <w:r w:rsidRPr="00CE265C">
        <w:rPr>
          <w:b/>
        </w:rPr>
        <w:t>121.1. számú alintézkedés</w:t>
      </w:r>
      <w:r>
        <w:t xml:space="preserve">ről 5 357 140 euró (közkiadás) forrás átcsoportosítását javasolta a Mezőgazdasági termékek értéknövelése 123. számú intézkedésre. </w:t>
      </w:r>
    </w:p>
    <w:p w:rsidR="00CC79FE" w:rsidRDefault="00CC79FE" w:rsidP="00C96F79">
      <w:r>
        <w:t xml:space="preserve">A célok megvalósítása érdekében a támogatás felső határának csökkentése valósult meg: a Kertészet korszerűsítésének </w:t>
      </w:r>
      <w:r w:rsidRPr="00443298">
        <w:t>támogatása121.1.. alintézkedés</w:t>
      </w:r>
      <w:r>
        <w:t xml:space="preserve"> esetében: a támogatás felső határa 183 824 euró/projekt (50 millió Ft/projekt) lett.</w:t>
      </w:r>
    </w:p>
    <w:p w:rsidR="00CC79FE" w:rsidRDefault="00CC79FE" w:rsidP="00C96F79">
      <w:r>
        <w:t xml:space="preserve">A Beruházások támogatása az állattenyésztésben </w:t>
      </w:r>
      <w:r w:rsidRPr="00E309A1">
        <w:rPr>
          <w:b/>
        </w:rPr>
        <w:t>121.</w:t>
      </w:r>
      <w:r w:rsidRPr="00986A76">
        <w:rPr>
          <w:b/>
        </w:rPr>
        <w:t>2. számú alintézkedés</w:t>
      </w:r>
      <w:r>
        <w:t xml:space="preserve"> esetében a rendelkezésre álló források nem lettek lekötve teljes mértékben, felhasználásukat pedig az is megnehezítette, hogy a támogatás kedvezményezettjei nem tudták megvalósítani a pályázatuk kapcsán elkészített tervüket, és visszavonták a támogatásigénylő kérelmüket. Ez az oka annak, hogy a 121.2. számú alintézkedésről – Állattartó telepek korszerűsítése /beruházások az állattenyésztésben -4 317 323 euró (közkiadás) forrás került átcsoportosításra a 112. számú intézkedés javára (lásd: 112. számú intézkedés diagramja).</w:t>
      </w:r>
    </w:p>
    <w:p w:rsidR="00CC79FE" w:rsidRPr="00170867" w:rsidRDefault="00CC79FE" w:rsidP="00C96F79">
      <w:r>
        <w:t xml:space="preserve">A GAZDANet Program </w:t>
      </w:r>
      <w:r w:rsidRPr="00197D94">
        <w:rPr>
          <w:b/>
        </w:rPr>
        <w:t>121.3. számú alintézkedés</w:t>
      </w:r>
      <w:r>
        <w:rPr>
          <w:b/>
        </w:rPr>
        <w:t xml:space="preserve"> </w:t>
      </w:r>
      <w:r>
        <w:t>esetében cél azon gazdálkodók támogatása, akik modern informatikai eszközök vásárlásával versenyképessé és innovatívvá tudnak válni a mezőgazdaságban. A kedvezményezettek köre a GAZDANet Program 121.3. számú alintézkedés esetében, a 0-4 EUME méretű gazdasággal rendelkező mezőgazdasági termelők némiképp átfedést mutat a Szerkezetátalakítás alatt álló, félig önellátó gazdaságok támogatása 141. számú intézkedés kedvezményezetti körével (2-4 EUME méretű gazdasággal rendelkező mezőgazdasági termelők). A GAZDANet Program” alintézkedés esetében cél az alacsonyabb műszaki színvonalú informatikai eszközök és internet-kapcsolat vásárlásának támogatása. Erre a célra viszont a projektenkénti maximum 2 000 eurós támogatási összeg aránytalanul magas, ezért az adható támogatási összeg határa projektenként maximum 300 euróra módosult.</w:t>
      </w:r>
    </w:p>
    <w:p w:rsidR="00CC79FE" w:rsidRDefault="00CC79FE" w:rsidP="00C96F79">
      <w:r>
        <w:lastRenderedPageBreak/>
        <w:t xml:space="preserve">Az Üzemi diverzifikáció </w:t>
      </w:r>
      <w:r w:rsidRPr="00BC6E24">
        <w:rPr>
          <w:b/>
        </w:rPr>
        <w:t>121.5. számú alintézkedés</w:t>
      </w:r>
      <w:r>
        <w:rPr>
          <w:b/>
        </w:rPr>
        <w:t xml:space="preserve"> </w:t>
      </w:r>
      <w:r w:rsidRPr="00243363">
        <w:t xml:space="preserve">a programozási </w:t>
      </w:r>
      <w:r>
        <w:t xml:space="preserve">időszak kezdete (2007) óta kétszer került megnyitásra, viszont a hátralévő időszakra tekintettel szükséges a támogatási lehetőség további biztosítása az agrártermelésbe újonnan belépők (például fiatal gazdák) és a támogatási lehetőségből eddig kimaradt mezőgazdasági termelők számára. Ezen alintézkedésen belül tett módosítás a támogatás felső határának csökkentése: az egy projektre adható támogatás összege </w:t>
      </w:r>
      <w:r w:rsidRPr="00490EF8">
        <w:t xml:space="preserve">367 647 euróra (100 </w:t>
      </w:r>
      <w:r w:rsidRPr="00443298">
        <w:t xml:space="preserve">MFt), számítástechnikai beruházás esetén pedig 36 765 euróra (10 </w:t>
      </w:r>
      <w:r w:rsidRPr="00884C19">
        <w:t>M</w:t>
      </w:r>
      <w:r w:rsidRPr="00490EF8">
        <w:t>Ft)</w:t>
      </w:r>
      <w:r>
        <w:t xml:space="preserve"> változott. A módosítás célja, hogy több termelőnek legyen lehetősége a támogatással egy hosszabb távon életképes üzemméretet létrehozni, vagy a meglévő üzemét korszerűsíteni. Továbbá az élelmiszer feldolgozó vállalkozások növelhetik versenyképességüket, javíthatják környezetvédelmi feltételeiket, nő termékeik élelmiszer-biztonsági helyzete, javul a feldolgozott élelmiszeripari termékek aránya, a vállalkozások fejlesztési forráshoz jutása pedig hozzájárulhat a foglalkoztatás növeléséhez, a vidéken élők helyben maradásához. A módosítással elérhető az, hogy ne csak néhány nagyobb vállalkozás használja fel a rendelkezésre álló kereteket.</w:t>
      </w:r>
    </w:p>
    <w:p w:rsidR="00CC79FE" w:rsidRDefault="00CC79FE" w:rsidP="00C96F79">
      <w:r>
        <w:t xml:space="preserve">A 121. 5 számú alintézkedés esetében szükségessé vált a 311. számú intézkedéstől történő lehatárolás pontosítása, így a 121.5 alintézkedésből a továbbiakban csak Annex I. alapanyagból történő Annex I. végtermék előállítása támogatható, míg a 311. számú intézkedés esetén Annex I., illetve Non-Annex alapanyagból csa Non Annex végtermék előállítása támogatható. </w:t>
      </w:r>
    </w:p>
    <w:p w:rsidR="00CC79FE" w:rsidRDefault="00CC79FE" w:rsidP="00C96F79">
      <w:r>
        <w:t>A 121. számú intézkedés tekintetében további módosításra volt szükség a 479/2008. EK rendelet kapcsán tekintettel arra, hogy 2011-tól a borágazat b</w:t>
      </w:r>
      <w:r w:rsidR="0010407C">
        <w:t>eruházásainak támogatása az EMGÁ</w:t>
      </w:r>
      <w:r>
        <w:t>-ból történik, így a mezőgazdasági termelők élelmiszer-feldolgozási tevékenységei közül a borfeldolgozás támo</w:t>
      </w:r>
      <w:r w:rsidR="00DB48A3">
        <w:softHyphen/>
      </w:r>
      <w:r>
        <w:t xml:space="preserve">gatása törlésre került.  </w:t>
      </w:r>
    </w:p>
    <w:p w:rsidR="00CC79FE" w:rsidRDefault="00CC79FE" w:rsidP="00DB48A3">
      <w:pPr>
        <w:pStyle w:val="Cmsor6"/>
      </w:pPr>
      <w:r>
        <w:t>A mezőgazdasági termékek értéknövelése 123. számú intézkedés (MB: 2011. december 13., MB írásbeli eljárás 2012. március 14.)</w:t>
      </w:r>
    </w:p>
    <w:p w:rsidR="00CC79FE" w:rsidRDefault="00CC79FE" w:rsidP="00C96F79">
      <w:r w:rsidRPr="004A08D3">
        <w:t xml:space="preserve">Az intézkedés a programozási időszak kezdete óta </w:t>
      </w:r>
      <w:r>
        <w:t xml:space="preserve">(2007) </w:t>
      </w:r>
      <w:r w:rsidRPr="004A08D3">
        <w:t>kétszer került megnyitásra</w:t>
      </w:r>
      <w:r>
        <w:t xml:space="preserve">, a források pedig teljes mértékben felhasználásra kerültek. Az ismételt </w:t>
      </w:r>
      <w:r w:rsidR="0010407C">
        <w:t xml:space="preserve">2012. évi </w:t>
      </w:r>
      <w:r>
        <w:t>jogcímnyitás fedezetére és a jogorvoslati eljárások eredményeképpen jelentkező támogatási igények teljesítésére az IH forrásátcsoportosítást kezdeményezett az intézkedésre.</w:t>
      </w:r>
    </w:p>
    <w:p w:rsidR="00CC79FE" w:rsidRDefault="009C4E1A" w:rsidP="009C4E1A">
      <w:pPr>
        <w:pStyle w:val="bra-cmebra"/>
      </w:pPr>
      <w:r>
        <w:lastRenderedPageBreak/>
        <w:t xml:space="preserve">ábra: </w:t>
      </w:r>
      <w:r w:rsidR="00CC79FE">
        <w:t>17 857 140 euró</w:t>
      </w:r>
      <w:r w:rsidR="00CC79FE" w:rsidRPr="004B42AD">
        <w:t xml:space="preserve"> </w:t>
      </w:r>
      <w:r w:rsidR="00CC79FE">
        <w:t>(közkiadás) f</w:t>
      </w:r>
      <w:r w:rsidR="00CC79FE" w:rsidRPr="004B42AD">
        <w:t>orrás</w:t>
      </w:r>
      <w:r w:rsidR="00CC79FE">
        <w:t xml:space="preserve"> átcsoportosítása valósult meg a 123. számú intézkedésre a 121.1 és a 125. számú intézkedésekről</w:t>
      </w:r>
      <w:r w:rsidR="00CC79FE" w:rsidRPr="004B42AD">
        <w:t>:</w:t>
      </w:r>
    </w:p>
    <w:p w:rsidR="00CC79FE" w:rsidRDefault="00CC79FE" w:rsidP="00BD037E">
      <w:pPr>
        <w:jc w:val="center"/>
      </w:pPr>
      <w:r>
        <w:rPr>
          <w:noProof/>
        </w:rPr>
        <w:drawing>
          <wp:inline distT="0" distB="0" distL="0" distR="0" wp14:anchorId="7EA6F69B" wp14:editId="664FA240">
            <wp:extent cx="5695950" cy="4381500"/>
            <wp:effectExtent l="0" t="0" r="19050" b="1905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C79FE" w:rsidRPr="00BD037E" w:rsidRDefault="00CC79FE" w:rsidP="00BD037E">
      <w:pPr>
        <w:spacing w:after="0"/>
        <w:jc w:val="center"/>
      </w:pPr>
    </w:p>
    <w:p w:rsidR="00CC79FE" w:rsidRDefault="00CC79FE" w:rsidP="00C96F79">
      <w:r w:rsidRPr="00490EF8">
        <w:t xml:space="preserve">A fentieken túl szükségessé vált a 479/2008. EK rendelet kapcsán történő lehatárolás pontosítására, </w:t>
      </w:r>
      <w:r w:rsidRPr="00827DDF">
        <w:t>t</w:t>
      </w:r>
      <w:r w:rsidRPr="00490EF8">
        <w:t xml:space="preserve">ekintettel arra, hogy 2011-tól a borágazat </w:t>
      </w:r>
      <w:r w:rsidR="0010407C">
        <w:t>beruházásainak támogatása EMGÁ</w:t>
      </w:r>
      <w:r w:rsidRPr="00490EF8">
        <w:t>-ból történik</w:t>
      </w:r>
      <w:r w:rsidRPr="00443298">
        <w:t>,</w:t>
      </w:r>
      <w:r w:rsidRPr="00BC121C">
        <w:t xml:space="preserve"> így </w:t>
      </w:r>
      <w:r w:rsidRPr="00490EF8">
        <w:t>az élelmiszer-feldolgozás tevékenységei közül a borfeldolgozás támogatása törlésre került.</w:t>
      </w:r>
    </w:p>
    <w:p w:rsidR="00CC79FE" w:rsidRDefault="00CC79FE" w:rsidP="00C96F79">
      <w:r>
        <w:t>A 123. 1 számú alintézkedés esetében szükségessé vált a 311. számú intézkedéstől történő lehatárolás pontosítása, így a 123.1 alintézkedésből a továbbiakban csak Annex I. alapanyagból történő Annex I. végtermék előállítása támogatható, míg a 311. számú intézkedés esetén Annex I., illetve Non-Annex alapanyagból csa</w:t>
      </w:r>
      <w:r w:rsidR="0010407C">
        <w:t>k Non-</w:t>
      </w:r>
      <w:r>
        <w:t xml:space="preserve">Annex végtermék előállítása támogatható. </w:t>
      </w:r>
    </w:p>
    <w:p w:rsidR="00CC79FE" w:rsidRDefault="00CC79FE" w:rsidP="00C96F79">
      <w:r w:rsidRPr="00827DDF">
        <w:t>A Non-Annex I. termékek (pálinka) támogatására a 123. sz intézkedésből 2009. November 30-ig volt lehetőség, mely a 9. verziószámú programmódosítás keretében került a Programban rögzítésre.</w:t>
      </w:r>
    </w:p>
    <w:p w:rsidR="00CC79FE" w:rsidRPr="006C2031" w:rsidRDefault="00CC79FE" w:rsidP="00C96F79">
      <w:r w:rsidRPr="00490EF8">
        <w:t>A támogatott projektek számának növelése érdekében a támogatás felső határának csökkentését vezette be az IH: a 123. számú intézkedés es</w:t>
      </w:r>
      <w:r w:rsidRPr="00443298">
        <w:t>etében a támogatás felső határa 367 647 euró (100 millió Ft), szá</w:t>
      </w:r>
      <w:r w:rsidRPr="00884C19">
        <w:t>mítástechnikai beruházás eseté</w:t>
      </w:r>
      <w:r w:rsidRPr="00BC121C">
        <w:t>n pedig 36 765 euró (10 millió Ft) lett.</w:t>
      </w:r>
    </w:p>
    <w:p w:rsidR="00CC79FE" w:rsidRDefault="00CC79FE" w:rsidP="00DB48A3">
      <w:pPr>
        <w:pStyle w:val="Cmsor6"/>
      </w:pPr>
      <w:r>
        <w:t xml:space="preserve">A mezőgazdaság és az erdészet fejlesztéséhez és korszerűsítéséhez kapcsolódó infrastruktúra fejlesztése 125. számú intézkedés </w:t>
      </w:r>
      <w:r>
        <w:rPr>
          <w:rFonts w:cs="Times New Roman"/>
          <w:szCs w:val="22"/>
        </w:rPr>
        <w:t>(MB: 2011. december 13.)</w:t>
      </w:r>
    </w:p>
    <w:p w:rsidR="00CC79FE" w:rsidRDefault="00CC79FE" w:rsidP="00C96F79">
      <w:r>
        <w:t xml:space="preserve">A módosítás keretében a támogatás felső határa 215 866 euró/projekt (60 000 000 Ft/projekt) lett. Az intézkedés révén lehetőség nyílt a burkolt-, stabilizált- és a földutak fejlesztésének uniós, társfinanszírozott támogatására. Korábban az eltérő bekerülési költségekből adódott, hogy a forrásigényesebb burkolt utak önerejét csak a tőkeerős önkormányzatok és mezőgazdasági termelők tudták biztosítani. Az eltérő adottságú vidéki térségek esélyegyenlőségének biztosítása, a hátrányosabb helyzetű, forráshiányos önkormányzatok támogatási lehetőségeinek kiterjesztése miatt valósult meg a </w:t>
      </w:r>
      <w:r>
        <w:lastRenderedPageBreak/>
        <w:t xml:space="preserve">támogatás felső határának csökkentése főként annak érdekében, hogy ne forduljon elő az, hogy a nagyobb beruházások forráslekötése miatt a kisvállalkozások nem jutnak fejlesztési forrásokhoz. </w:t>
      </w:r>
    </w:p>
    <w:p w:rsidR="00CC79FE" w:rsidRDefault="00CC79FE" w:rsidP="00C96F79">
      <w:r>
        <w:t>A módosítás keretében ugyanakkor 12 500 000 euró (közkiadás) összegű forrás került átcsoportosításra a 123. számú intézkedés javára (lásd: 123. számú intézkedés diagramja).</w:t>
      </w:r>
    </w:p>
    <w:p w:rsidR="00CC79FE" w:rsidRDefault="00CC79FE" w:rsidP="00DB48A3">
      <w:pPr>
        <w:pStyle w:val="Cmsor6"/>
      </w:pPr>
      <w:r>
        <w:t xml:space="preserve">A szerkezetátalakítás alatt álló, félig önellátó gazdaságok támogatása 141. számú intézkedés </w:t>
      </w:r>
      <w:r>
        <w:rPr>
          <w:rFonts w:cs="Times New Roman"/>
          <w:szCs w:val="22"/>
        </w:rPr>
        <w:t>(MB: 2011. december 13.)</w:t>
      </w:r>
    </w:p>
    <w:p w:rsidR="00CC79FE" w:rsidRPr="005C6242" w:rsidRDefault="00CC79FE" w:rsidP="00C96F79">
      <w:r w:rsidRPr="00581AF7">
        <w:t>A módosítás keretében 7 195 539 euró (közkiadás) forrásátcsoportosításra került sor a 141. számú intézkedésről a Fiatal gazdák induló támogatása 112. számú intézkedés javára (lásd: a 112. számú intézkedés diagramja). A módosítás nem járt hátrányos következményekkel, a forrásigények a 141. számú intézkedés esetében kielégíthetővé váltak, viszont a 112. számú intézkedésen hasznosuló forrásösszeg nagymértékben hozzájárult a magyar mezőgazdaság szükséges korszerkezet-váltásához.</w:t>
      </w:r>
    </w:p>
    <w:p w:rsidR="00CC79FE" w:rsidRPr="00CC79FE" w:rsidRDefault="00CC79FE" w:rsidP="00DB48A3">
      <w:pPr>
        <w:pStyle w:val="Cmsor6"/>
        <w:rPr>
          <w:rFonts w:cs="Times New Roman"/>
          <w:noProof/>
          <w:sz w:val="28"/>
          <w:szCs w:val="28"/>
        </w:rPr>
      </w:pPr>
      <w:r w:rsidRPr="00CC79FE">
        <w:rPr>
          <w:rFonts w:cs="Times New Roman"/>
          <w:noProof/>
          <w:sz w:val="28"/>
          <w:szCs w:val="28"/>
        </w:rPr>
        <w:t>A II. tengelyen belüli programmódosítási javaslatok</w:t>
      </w:r>
    </w:p>
    <w:p w:rsidR="00CC79FE" w:rsidRDefault="00CC79FE" w:rsidP="00DB48A3">
      <w:pPr>
        <w:pStyle w:val="Cmsor6"/>
      </w:pPr>
      <w:r>
        <w:t xml:space="preserve">Kifizetés kedvezőtlen adottságú területen gazdálkodók részére (kivéve hegyvidéki területek) (KAT) 212. számú intézkedés </w:t>
      </w:r>
      <w:r>
        <w:rPr>
          <w:rFonts w:cs="Times New Roman"/>
          <w:szCs w:val="22"/>
        </w:rPr>
        <w:t>(MB: 2011. december 13.)</w:t>
      </w:r>
    </w:p>
    <w:p w:rsidR="00CC79FE" w:rsidRPr="00C8453D" w:rsidRDefault="00CC79FE" w:rsidP="00C96F79">
      <w:r>
        <w:t xml:space="preserve">2006-ban </w:t>
      </w:r>
      <w:r w:rsidRPr="00C8453D">
        <w:t xml:space="preserve">a Kifizetés kedvezőtlen adottságú területen gazdálkodók részére (kivéve hegyvidéki területek) </w:t>
      </w:r>
      <w:r>
        <w:t xml:space="preserve">(KAT) </w:t>
      </w:r>
      <w:r w:rsidRPr="00C8453D">
        <w:t>212. számú intézkedés</w:t>
      </w:r>
      <w:r>
        <w:t>re az ÚMVP-ben 23 587 241 euró forráskeret került allokálásra. A keretösszegnek az előzetes számítások szerint 2009. végéig kellett fedeznie a kifizetéseket tekintettel arra, hogy 2006-ban az Európai Bizottság azt tervezte, hogy 2010. január 1-jével a KAT intézkedést teljes mértékben átalakítja. Annak következtében, hogy a jogcím-felülvizsgálatot a Bizottság 2014-re halasztotta, a kifizetésekre szánt forrás már 2009-ben kimerült.</w:t>
      </w:r>
      <w:r w:rsidRPr="00A3151F">
        <w:t xml:space="preserve"> </w:t>
      </w:r>
      <w:r>
        <w:t>Az IH tekintettel arra, hogy az Erdő-környezetvédelmi kifizetések 225. számú intézkedés keretében eddig lekötött források és a jövőbeni forrásigények nem fogják kimeríteni az intézkedés forráskeretét, 12 600 000 euró (közkiadás) átcsoportosítását javasolta a 225. számú intézkedésről a KAT 212. számú intézkedés javára (lásd: 225. számú intézkedés diagramja).</w:t>
      </w:r>
    </w:p>
    <w:p w:rsidR="00CC79FE" w:rsidRDefault="00CC79FE" w:rsidP="00C96F79">
      <w:r>
        <w:t>A 2011. június 24-ei bilaterális egyeztetésen az auditorok ismételten felhívták hazánk figyelmét arra, hogy az ÚMVP és a jogszabályok harmonizálása szükséges. A fentiekre való tekintettel az IH 2011. július 6-ai dátummal kezdeményezte a KAT intézkedésre vonatkozó jogcímrendelet módosítását. A módosítás-tervezet tárcán belüli egyeztetése során a Mezőgazdasági és Vidékfejlesztési Hivatal (MVH) jelezte, hogy az ÚMVP 2009-es módosítása során bekerült feltétel rendelettervezetbe történő beillesztése nem teszi lehetővé a végrehajtható ellenőrzést, továbbá az „elsődlegesen mezőgazdasági tevékenységet folytatnak” megkötés alapján kikerülnek a támogatásra jogosultak köréből az önkormányzatok, amely nem célja a rendeletmódosításnak. Ennek értelmében az ÚMVP vonatkozó részeinek ismételt módosítása történt meg, amely szerint az eredeti szöveg került vissza a Programba. Ez alapján továbbra sem részesülhetnek támogatásban az 50% feletti állami tulajdoni hányaddal rendelkező gazdaságok.</w:t>
      </w:r>
    </w:p>
    <w:p w:rsidR="00CC79FE" w:rsidRDefault="00CC79FE" w:rsidP="00DB48A3">
      <w:pPr>
        <w:pStyle w:val="Cmsor6"/>
      </w:pPr>
      <w:r>
        <w:t xml:space="preserve">Natura 2000 kifizetések mezőgazdasági területeken 213. számú intézkedés </w:t>
      </w:r>
      <w:r>
        <w:rPr>
          <w:rFonts w:cs="Times New Roman"/>
          <w:szCs w:val="22"/>
        </w:rPr>
        <w:t>(MB: 2011. december 13.)</w:t>
      </w:r>
    </w:p>
    <w:p w:rsidR="00CC79FE" w:rsidRPr="00076B39" w:rsidRDefault="00CC79FE" w:rsidP="00C96F79">
      <w:r>
        <w:t>Az IH, egy audit megállapításainak eredményeképpen, egy korábbi szabályozás visszaemelését kezdeményezte a Programba, vagyis továbbra nem részesülhetnek majd támogatásban az 50% feletti állami tulajdoni hányaddal rendelkező gazdaságok.</w:t>
      </w:r>
    </w:p>
    <w:p w:rsidR="00CC79FE" w:rsidRDefault="00CC79FE" w:rsidP="00DB48A3">
      <w:pPr>
        <w:pStyle w:val="Cmsor6"/>
      </w:pPr>
      <w:r>
        <w:t xml:space="preserve">Agrár-környezetgazdálkodási kifizetések 214. A. számú intézkedés </w:t>
      </w:r>
      <w:r>
        <w:rPr>
          <w:rFonts w:cs="Times New Roman"/>
          <w:szCs w:val="22"/>
        </w:rPr>
        <w:t>(MB: 2011. december 13.)</w:t>
      </w:r>
    </w:p>
    <w:p w:rsidR="00CC79FE" w:rsidRPr="00BF1166" w:rsidRDefault="00CC79FE" w:rsidP="00C96F79">
      <w:r>
        <w:t xml:space="preserve">A Bizottság részéről felmerült az igény arra vonatkozóan, hogy az ÚMVP 9. fejezetében: „A versenyszabályok szerinti értékeléshez szükséges elemek és az EK-szerződés 107., 108., 109. cikke szerint engedélyezett, a programok végrehajtásához alkalmazandó támogatási rendszerek felsorolása” </w:t>
      </w:r>
      <w:r>
        <w:lastRenderedPageBreak/>
        <w:t>fejezet mellékletében szereplő előírások esetében szükséges az alapértékek jogszabályi hátterének feltüntetése is. Ennek érdekében az intézkedés keretében technikai (adminisztratív) jellegű módosításra került sor: az ÚMVP 9. számú mellékletében szereplő táblázat kiegészült egy oszloppal, amelyben az alapértékeket képező előírások mellett feltüntetésre került annak jogszabályi háttere, illetve ennek hiányában az a kitétel, hogy az alapérték az általános gazdálkodói szokásokat tükrözi.</w:t>
      </w:r>
    </w:p>
    <w:p w:rsidR="00CC79FE" w:rsidRDefault="00CC79FE" w:rsidP="00DB48A3">
      <w:pPr>
        <w:pStyle w:val="Cmsor6"/>
      </w:pPr>
      <w:r>
        <w:t xml:space="preserve">Kompenzációs támogatás a Natura 2000 erdőterületeken 224. számú intézkedés </w:t>
      </w:r>
      <w:r>
        <w:rPr>
          <w:rFonts w:cs="Times New Roman"/>
          <w:szCs w:val="22"/>
        </w:rPr>
        <w:t>(MB: 2011. február 3.)</w:t>
      </w:r>
    </w:p>
    <w:p w:rsidR="00CC79FE" w:rsidRDefault="00CC79FE" w:rsidP="00C96F79">
      <w:r w:rsidRPr="00DD1CA6">
        <w:t>A 224. számú intézkedés új intézkedésként került bevezetésre a 9. verziószámú programmódosítás keretén belül.</w:t>
      </w:r>
      <w:r>
        <w:t xml:space="preserve"> </w:t>
      </w:r>
    </w:p>
    <w:p w:rsidR="00CC79FE" w:rsidRDefault="00CC79FE" w:rsidP="00C96F79">
      <w:r>
        <w:t xml:space="preserve">2011 szeptemberében Magyarországon egy nemzeti bemutató kampány indult az erdészeti intézkedések támogatása érdekében, mely keretében az erdőgazdálkodók nagy érdeklődést tanúsítottak a Natura 2000 erdőterületek kompenzációs támogatása iránt. </w:t>
      </w:r>
    </w:p>
    <w:p w:rsidR="00CC79FE" w:rsidRDefault="009C4E1A" w:rsidP="009C4E1A">
      <w:pPr>
        <w:pStyle w:val="bra-cmebra"/>
      </w:pPr>
      <w:r>
        <w:t xml:space="preserve">ábra: </w:t>
      </w:r>
      <w:r w:rsidR="00CC79FE">
        <w:t>35 800 000 euró (közkiadás) f</w:t>
      </w:r>
      <w:r w:rsidR="00CC79FE" w:rsidRPr="004B42AD">
        <w:t>orrás</w:t>
      </w:r>
      <w:r w:rsidR="00CC79FE">
        <w:t xml:space="preserve"> átcsoportosítása valósult meg a 224. számú intézkedésre a 225. és 227. számú intézkedésekről</w:t>
      </w:r>
      <w:r w:rsidR="00CC79FE" w:rsidRPr="004B42AD">
        <w:t>:</w:t>
      </w:r>
    </w:p>
    <w:p w:rsidR="00CC79FE" w:rsidRDefault="00CC79FE" w:rsidP="00CC79FE">
      <w:pPr>
        <w:jc w:val="center"/>
        <w:rPr>
          <w:b/>
        </w:rPr>
      </w:pPr>
      <w:r>
        <w:rPr>
          <w:noProof/>
        </w:rPr>
        <w:drawing>
          <wp:inline distT="0" distB="0" distL="0" distR="0" wp14:anchorId="18105A87" wp14:editId="466DA863">
            <wp:extent cx="5695950" cy="3000375"/>
            <wp:effectExtent l="0" t="0" r="19050" b="9525"/>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C79FE" w:rsidRDefault="00CC79FE" w:rsidP="00CC79FE">
      <w:pPr>
        <w:spacing w:after="0"/>
        <w:rPr>
          <w:b/>
        </w:rPr>
      </w:pPr>
    </w:p>
    <w:p w:rsidR="00CC79FE" w:rsidRDefault="00CC79FE" w:rsidP="00DB48A3">
      <w:pPr>
        <w:pStyle w:val="Cmsor6"/>
      </w:pPr>
      <w:r>
        <w:t xml:space="preserve">Erdő-környezetvédelmi kifizetések 225. számú intézkedés </w:t>
      </w:r>
      <w:r>
        <w:rPr>
          <w:rFonts w:cs="Times New Roman"/>
          <w:szCs w:val="22"/>
        </w:rPr>
        <w:t>(MB: 2011. február 3., MB 2011. december 13.)</w:t>
      </w:r>
    </w:p>
    <w:p w:rsidR="00CC79FE" w:rsidRPr="00BD037E" w:rsidRDefault="00CC79FE" w:rsidP="00DB48A3">
      <w:r w:rsidRPr="00BD037E">
        <w:t>Az egyes támogatható tevékenységek egységárainak kalkulációja módosításra került a költségek Program indítása óta (2007) történt változása miatt.</w:t>
      </w:r>
    </w:p>
    <w:p w:rsidR="00CC79FE" w:rsidRDefault="00CC79FE" w:rsidP="00CC79FE">
      <w:pPr>
        <w:spacing w:after="0"/>
        <w:ind w:firstLine="0"/>
        <w:rPr>
          <w:b/>
        </w:rPr>
      </w:pPr>
    </w:p>
    <w:p w:rsidR="00CC79FE" w:rsidRDefault="009C4E1A" w:rsidP="009C4E1A">
      <w:pPr>
        <w:pStyle w:val="bra-cmebra"/>
      </w:pPr>
      <w:r>
        <w:lastRenderedPageBreak/>
        <w:t xml:space="preserve">ábra: </w:t>
      </w:r>
      <w:r w:rsidR="00CC79FE">
        <w:t>35 985 500 euró (közkiadás)</w:t>
      </w:r>
      <w:r w:rsidR="00CC79FE" w:rsidRPr="004B42AD">
        <w:t xml:space="preserve"> </w:t>
      </w:r>
      <w:r w:rsidR="00CC79FE">
        <w:t>f</w:t>
      </w:r>
      <w:r w:rsidR="00CC79FE" w:rsidRPr="004B42AD">
        <w:t>orrás</w:t>
      </w:r>
      <w:r w:rsidR="00CC79FE">
        <w:t xml:space="preserve"> átcsoportosítása valósult meg a 225. számú intézkedésről a 212. és 224. számú intézkedésekre</w:t>
      </w:r>
      <w:r w:rsidR="00CC79FE" w:rsidRPr="004B42AD">
        <w:t>:</w:t>
      </w:r>
    </w:p>
    <w:p w:rsidR="00CC79FE" w:rsidRDefault="00CC79FE" w:rsidP="00CC79FE">
      <w:pPr>
        <w:jc w:val="center"/>
        <w:rPr>
          <w:b/>
        </w:rPr>
      </w:pPr>
      <w:r>
        <w:rPr>
          <w:noProof/>
        </w:rPr>
        <w:drawing>
          <wp:inline distT="0" distB="0" distL="0" distR="0" wp14:anchorId="77E1B268" wp14:editId="288634D2">
            <wp:extent cx="5534026" cy="3567114"/>
            <wp:effectExtent l="0" t="0" r="9525" b="14605"/>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C79FE" w:rsidRDefault="00CC79FE" w:rsidP="00DB48A3">
      <w:pPr>
        <w:pStyle w:val="Cmsor6"/>
      </w:pPr>
      <w:r>
        <w:t xml:space="preserve">Az erdészeti potenciál helyreállítása és megelőző intézkedések bevezetése 226. számú intézkedés </w:t>
      </w:r>
      <w:r>
        <w:rPr>
          <w:rFonts w:cs="Times New Roman"/>
          <w:szCs w:val="22"/>
        </w:rPr>
        <w:t>(MB: 2011. február 3.)</w:t>
      </w:r>
    </w:p>
    <w:p w:rsidR="00CC79FE" w:rsidRPr="00A514CF" w:rsidRDefault="00CC79FE" w:rsidP="00C96F79">
      <w:r w:rsidRPr="00A514CF">
        <w:t>Az egyes támogatható tevékenységek egységárainak kalkulációja módosításra került a költségek Program indítása óta (2007) történt változása miatt</w:t>
      </w:r>
      <w:r>
        <w:t>, ezáltal a támogatás maximális értéke873 euró/ha-ról 2 365 euró/ha-ra került megemelésre</w:t>
      </w:r>
      <w:r w:rsidRPr="00A514CF">
        <w:t>.</w:t>
      </w:r>
    </w:p>
    <w:p w:rsidR="00CC79FE" w:rsidRDefault="00CC79FE" w:rsidP="00DB48A3">
      <w:pPr>
        <w:pStyle w:val="Cmsor6"/>
      </w:pPr>
      <w:r>
        <w:t xml:space="preserve">Erdőterületeket érintő, nem termelő jellegű beruházások 227. számú intézkedés </w:t>
      </w:r>
      <w:r>
        <w:rPr>
          <w:rFonts w:cs="Times New Roman"/>
          <w:szCs w:val="22"/>
        </w:rPr>
        <w:t>(MB: 2011. február 3.)</w:t>
      </w:r>
    </w:p>
    <w:p w:rsidR="00CC79FE" w:rsidRDefault="00CC79FE" w:rsidP="00C96F79">
      <w:r w:rsidRPr="00A514CF">
        <w:t>Az egyes jogosultsági feltételek módosulása valósult meg a szakmai javaslatok, jogszabályi és hatósági szabályozási változások bekövetkezése miatt.</w:t>
      </w:r>
    </w:p>
    <w:p w:rsidR="00CC79FE" w:rsidRPr="00D66211" w:rsidRDefault="00CC79FE" w:rsidP="00C96F79">
      <w:r w:rsidRPr="00827DDF">
        <w:rPr>
          <w:rFonts w:cs="Times New Roman"/>
          <w:szCs w:val="22"/>
        </w:rPr>
        <w:t>A módosítás keretébe 12 414 500 euró (közkiadás) forrás átcsoportosítása valósult meg a 224. számú intézkedésre (lásd: 224. számú intézkedés diagramja).</w:t>
      </w:r>
    </w:p>
    <w:p w:rsidR="00CC79FE" w:rsidRPr="00CC79FE" w:rsidRDefault="00CC79FE" w:rsidP="00DB48A3">
      <w:pPr>
        <w:pStyle w:val="Cmsor6"/>
        <w:rPr>
          <w:noProof/>
        </w:rPr>
      </w:pPr>
      <w:r w:rsidRPr="00CC79FE">
        <w:rPr>
          <w:noProof/>
        </w:rPr>
        <w:t>A III. tengelyen belüli programmódosítási javaslatok</w:t>
      </w:r>
    </w:p>
    <w:p w:rsidR="00CC79FE" w:rsidRDefault="00CC79FE" w:rsidP="00DB48A3">
      <w:pPr>
        <w:pStyle w:val="Cmsor6"/>
      </w:pPr>
      <w:r>
        <w:t xml:space="preserve">Nem mezőgazdasági tevékenységgé történő diverzifikálás 311. számú intézkedés </w:t>
      </w:r>
      <w:r>
        <w:rPr>
          <w:szCs w:val="22"/>
        </w:rPr>
        <w:t>(MB: 2011. december 13.)</w:t>
      </w:r>
      <w:r>
        <w:t xml:space="preserve"> </w:t>
      </w:r>
    </w:p>
    <w:p w:rsidR="00CC79FE" w:rsidRDefault="00CC79FE" w:rsidP="00C96F79">
      <w:r w:rsidRPr="00784AB6">
        <w:t>Az intézkedés keretén belül korábban kétszeresen beszűkített volt a kedvezményezetti kör és a megvalósításának színtere: kizárólag mezőgazdasági vállalkozások pályázhattak támogatásra, és csak „on-farm” módon (a gazdaság fizikai határain belül).</w:t>
      </w:r>
      <w:r>
        <w:t xml:space="preserve"> Ez a kritériumrendszer nem biztosította a rendelkezésre álló források hatékony hasznosulását, vagyis az újszerű, innovatív fejlesztések és a valóban tevékenység-diverzifikálást jelentő fejlesztések kivitelezését. Ezért egyrészt a tevékenységi körök kibővítése valósult meg az innovatív fejlesztések megvalósítása érdekében, másrészt sor került az intézkedések közötti lehatárolások pontos és egyértelmű megfogalmazására:</w:t>
      </w:r>
    </w:p>
    <w:p w:rsidR="00CC79FE" w:rsidRDefault="00CC79FE" w:rsidP="00C96F79">
      <w:pPr>
        <w:rPr>
          <w:b/>
        </w:rPr>
      </w:pPr>
      <w:r>
        <w:lastRenderedPageBreak/>
        <w:t xml:space="preserve">A 121.5 és a 123.1. számú alintézkedések esetében szükségessé vált a 311. számú intézkedéstől történő lehatárolás pontosítása, így a 121.5 és a 123.1 alintézkedésből a továbbiakban csak Annex I. alapanyagból történő Annex I. végtermék előállítása támogatható, míg a 311. számú intézkedés esetén Annex I., illetve Non-Annex alapanyagból csa Non Annex végtermék előállítása támogatható. </w:t>
      </w:r>
    </w:p>
    <w:p w:rsidR="00CC79FE" w:rsidRDefault="00CC79FE" w:rsidP="00C96F79">
      <w:r w:rsidRPr="00827DDF">
        <w:t>A 312 intézkedés esetében</w:t>
      </w:r>
      <w:r w:rsidRPr="0085225F">
        <w:t xml:space="preserve"> az</w:t>
      </w:r>
      <w:r w:rsidRPr="00884C19">
        <w:t xml:space="preserve">on kedvezményezettek beruházásai támogathatóak on és off farm </w:t>
      </w:r>
      <w:r w:rsidRPr="00BC121C">
        <w:t>módon, akiknek a</w:t>
      </w:r>
      <w:r w:rsidRPr="0085225F">
        <w:t xml:space="preserve"> mezőgazdasági tevékenységből származó árbevétele nem haladja meg az 50%-ot, míg a 311. számú intézkedés keretében, azon kedvezményezettek beruházásai támogathatóak on és off farm módon, akiknek a mezőgazdasági tevékenységből származó árbevétele meghaladja az 50%-ot.</w:t>
      </w:r>
    </w:p>
    <w:p w:rsidR="00CC79FE" w:rsidRDefault="00CC79FE" w:rsidP="00C96F79">
      <w:r w:rsidRPr="00827DDF">
        <w:t xml:space="preserve">A 313 intézkedés esetében időbeli lehatárolás kerül alkalmazásra és 2012-től a 313. intézkedés keretében </w:t>
      </w:r>
      <w:r w:rsidRPr="00884C19">
        <w:t xml:space="preserve">nem támogathatóak azon kedvezményezettek tevékenységei, </w:t>
      </w:r>
      <w:r w:rsidRPr="00BC121C">
        <w:t>akiknek a mezőgazdasági tevékenységből származó árbevétele meghaladja az 50%-ot</w:t>
      </w:r>
      <w:r w:rsidRPr="00884C19">
        <w:t>, ezen kedvezményezettek</w:t>
      </w:r>
      <w:r w:rsidRPr="00827DDF">
        <w:t xml:space="preserve"> a 311. intézkedésből kerülhetnek támogatásra. </w:t>
      </w:r>
    </w:p>
    <w:p w:rsidR="00CC79FE" w:rsidRDefault="00CC79FE" w:rsidP="00C96F79">
      <w:r w:rsidRPr="00827DDF">
        <w:t xml:space="preserve">A módosítások miatt az intézkedések indikátorai is felülvizsgálatra kerültek, továbbá megtörtént a Program 17. számú mellékletének (Településlista) pontosítása, feltüntetve azon településeket, melyek csak külterületükkel jogosultak támogatásra.  </w:t>
      </w:r>
    </w:p>
    <w:p w:rsidR="00CC79FE" w:rsidRDefault="00CC79FE" w:rsidP="00DB48A3">
      <w:pPr>
        <w:pStyle w:val="Cmsor6"/>
      </w:pPr>
      <w:r>
        <w:t xml:space="preserve">Mikrovállalkozások létrehozásának és fejlesztésének támogatása 312. számú intézkedés </w:t>
      </w:r>
      <w:r>
        <w:rPr>
          <w:rFonts w:cs="Times New Roman"/>
          <w:szCs w:val="22"/>
        </w:rPr>
        <w:t>(MB: 2011. december 13., MB írásbeli eljárás 2012. február 28., március 14.)</w:t>
      </w:r>
      <w:r>
        <w:t xml:space="preserve"> </w:t>
      </w:r>
    </w:p>
    <w:p w:rsidR="00CC79FE" w:rsidRPr="00642E6D" w:rsidRDefault="00CC79FE" w:rsidP="00C96F79">
      <w:r w:rsidRPr="00642E6D">
        <w:t>A Mikrovállalkozások létrehozásán</w:t>
      </w:r>
      <w:r>
        <w:t>ak és fejlesztésének támogatása</w:t>
      </w:r>
      <w:r w:rsidRPr="00642E6D">
        <w:t xml:space="preserve"> 312. számú intézkedés</w:t>
      </w:r>
      <w:r>
        <w:t xml:space="preserve"> esetében rendelkezésre álló források nem bizonyultak elégségesnek a HACS-ok számára az intézkedések megnyitásához, ezért szükségessé vált pótlólagos, kiegészítő források biztosítása a 313. számú és a 323. számú intézkedésekről.</w:t>
      </w:r>
    </w:p>
    <w:p w:rsidR="00CC79FE" w:rsidRDefault="00CC79FE" w:rsidP="00CC79FE">
      <w:pPr>
        <w:spacing w:after="0"/>
        <w:rPr>
          <w:b/>
        </w:rPr>
      </w:pPr>
    </w:p>
    <w:p w:rsidR="00CC79FE" w:rsidRDefault="009C4E1A" w:rsidP="009C4E1A">
      <w:pPr>
        <w:pStyle w:val="bra-cmebra"/>
      </w:pPr>
      <w:r>
        <w:t xml:space="preserve">ábra: </w:t>
      </w:r>
      <w:r w:rsidR="00CC79FE">
        <w:t>15 000 000 euró</w:t>
      </w:r>
      <w:r w:rsidR="00CC79FE" w:rsidRPr="004B42AD">
        <w:t xml:space="preserve"> </w:t>
      </w:r>
      <w:r w:rsidR="00CC79FE">
        <w:t>(közkiadás) f</w:t>
      </w:r>
      <w:r w:rsidR="00CC79FE" w:rsidRPr="004B42AD">
        <w:t>orrás</w:t>
      </w:r>
      <w:r w:rsidR="00CC79FE">
        <w:t xml:space="preserve"> átcsoportosítása valósult meg a 312. számú intézkedésre a 313. és 323.A számú intézkedésekről</w:t>
      </w:r>
      <w:r w:rsidR="00CC79FE" w:rsidRPr="004B42AD">
        <w:t>:</w:t>
      </w:r>
    </w:p>
    <w:p w:rsidR="00CC79FE" w:rsidRDefault="00CC79FE" w:rsidP="00CC79FE">
      <w:pPr>
        <w:spacing w:after="0"/>
        <w:rPr>
          <w:b/>
        </w:rPr>
      </w:pPr>
    </w:p>
    <w:p w:rsidR="00CC79FE" w:rsidRDefault="00CC79FE" w:rsidP="00CC79FE">
      <w:pPr>
        <w:spacing w:after="240"/>
        <w:jc w:val="center"/>
        <w:rPr>
          <w:b/>
        </w:rPr>
      </w:pPr>
      <w:r>
        <w:rPr>
          <w:noProof/>
        </w:rPr>
        <w:drawing>
          <wp:inline distT="0" distB="0" distL="0" distR="0" wp14:anchorId="3FA52B7D" wp14:editId="3E823406">
            <wp:extent cx="5295900" cy="3486150"/>
            <wp:effectExtent l="0" t="0" r="19050" b="1905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C79FE" w:rsidRDefault="00CC79FE" w:rsidP="00C96F79">
      <w:r>
        <w:lastRenderedPageBreak/>
        <w:t>A 312. intézkedés esetében a kedveményezetti kör szűkítésére került sor és csak azon kedvezményezettek részesülhetnek támogatásban, akiknek</w:t>
      </w:r>
      <w:r w:rsidRPr="00BC121C">
        <w:t xml:space="preserve"> </w:t>
      </w:r>
      <w:r w:rsidRPr="00B9336E">
        <w:t>a mezőgazdasági tevékenységből származó árbevétele nem haladja meg az 50%-ot</w:t>
      </w:r>
      <w:r>
        <w:t>.</w:t>
      </w:r>
    </w:p>
    <w:p w:rsidR="00CC79FE" w:rsidRDefault="00CC79FE" w:rsidP="00C96F79">
      <w:r w:rsidRPr="00827DDF">
        <w:t>A 312 intézkedés esetében azon kedvezményezettek beruházásai támogathatóak on és off farm módon, akiknek a mezőgazdasági tevékenységből származó árbevétele nem haladja meg az 50%-ot, míg a 311. számú intézkedés keretében, azon kedvezményezettek beruházásai támogathatóak on és off farm módon, akiknek a mezőgazdasági tevékenységből származó árbevétele meghaladja az 50%-ot.</w:t>
      </w:r>
    </w:p>
    <w:p w:rsidR="00CC79FE" w:rsidRDefault="00CC79FE" w:rsidP="00C96F79">
      <w:r w:rsidRPr="00827DDF">
        <w:t xml:space="preserve">A módosítások miatt az intézkedések indikátorai is felülvizsgálatra kerültek, továbbá megtörtént a Program 17. számú mellékletének (Településlista) pontosítása, feltüntetve azon településeket, melyek csak külterületükkel jogosultak támogatásra.  </w:t>
      </w:r>
    </w:p>
    <w:p w:rsidR="00CC79FE" w:rsidRDefault="00CC79FE" w:rsidP="00C96F79">
      <w:r>
        <w:t>Rögzítésre került továbbá, hogy az intézkedés 2012. évi megnyitását követően lezárásra kerül, és a támogatási lehetőség az GOP keretében nyílik meg a vidéki területek tekintetében is.</w:t>
      </w:r>
    </w:p>
    <w:p w:rsidR="00CC79FE" w:rsidRDefault="00CC79FE" w:rsidP="00DB48A3">
      <w:pPr>
        <w:pStyle w:val="Cmsor6"/>
      </w:pPr>
      <w:r w:rsidRPr="005E2517">
        <w:t>A turisztikai tevékenységek ösztönzése 313. számú intézkedés</w:t>
      </w:r>
      <w:r>
        <w:t xml:space="preserve"> </w:t>
      </w:r>
      <w:r>
        <w:rPr>
          <w:rFonts w:cs="Times New Roman"/>
          <w:szCs w:val="22"/>
        </w:rPr>
        <w:t>(MB: 2011. december 13., MB írásbeli eljárás 2012. február 28.)</w:t>
      </w:r>
      <w:r>
        <w:t xml:space="preserve"> </w:t>
      </w:r>
    </w:p>
    <w:p w:rsidR="00CC79FE" w:rsidRPr="00827DDF" w:rsidRDefault="00CC79FE" w:rsidP="00C96F79">
      <w:pPr>
        <w:rPr>
          <w:rFonts w:cs="Times New Roman"/>
          <w:szCs w:val="22"/>
        </w:rPr>
      </w:pPr>
      <w:r w:rsidRPr="00827DDF">
        <w:rPr>
          <w:rFonts w:cs="Times New Roman"/>
          <w:szCs w:val="22"/>
        </w:rPr>
        <w:t>A módosítás keretében 5 000 000 euró (közkiadás) forrás átcsoportosítása valósult meg a 312. számú intézkedésre a 313. számú intézkedés (lásd: 312. számú intézkedés diagramja)</w:t>
      </w:r>
    </w:p>
    <w:p w:rsidR="00CC79FE" w:rsidRDefault="00CC79FE" w:rsidP="00C96F79">
      <w:r w:rsidRPr="00B9336E">
        <w:t xml:space="preserve">A 313 intézkedés esetében időbeli lehatárolás kerül alkalmazásra és 2012-től a 313. intézkedés keretében </w:t>
      </w:r>
      <w:r w:rsidRPr="00884C19">
        <w:t xml:space="preserve">nem támogathatóak azon kedvezményezettek tevékenységei, </w:t>
      </w:r>
      <w:r w:rsidRPr="00B9336E">
        <w:t>akiknek a mezőgazdasági tevékenységből származó árbevétele meghaladja az 50%-ot, ezen kedvezményezettek a 311. intézkedésből kerülhetnek támogatásra.</w:t>
      </w:r>
    </w:p>
    <w:p w:rsidR="00CC79FE" w:rsidRDefault="00CC79FE" w:rsidP="00C96F79">
      <w:r w:rsidRPr="00827DDF">
        <w:t xml:space="preserve">A módosítások miatt az intézkedések indikátorai is felülvizsgálatra kerültek, továbbá megtörtént a Program 17. számú mellékletének (Településlista) pontosítása, feltüntetve azon településeket, melyek csak külterületükkel jogosultak támogatásra.  </w:t>
      </w:r>
    </w:p>
    <w:p w:rsidR="00CC79FE" w:rsidRPr="00DB48A3" w:rsidRDefault="00CC79FE" w:rsidP="00DB48A3">
      <w:pPr>
        <w:pStyle w:val="Cmsor6"/>
      </w:pPr>
      <w:r w:rsidRPr="00DB48A3">
        <w:t>A vidéki gazdaság és a lakosság számára nyújtott alapszolgáltatások 321. számú intézkedés és a Falumegújítás és – fejlesztés 322. számú intézkedés, A kulturális örökség megőrzése 323. A (MB írásbeli eljárás 2012. február 28.)</w:t>
      </w:r>
    </w:p>
    <w:p w:rsidR="00CC79FE" w:rsidRPr="00870718" w:rsidRDefault="00CC79FE" w:rsidP="00C96F79">
      <w:r>
        <w:t xml:space="preserve">A támogatott tevékenységtípus kiterjesztése valósult meg ezen intézkedések kapcsán. A módosítást megelőzően csak az épületek külső felújítására volt lehetőség. A 9. verziószámú programmódosítás keretében jelen intézkedések kapcsán végrehajtott módosítás a védelem alatt álló, közösségi és gazdasági célokat szolgáló, illetve a település megjelenésében jelentős szereppel bíró épületek nem csak külső, hanem belső felújítása is lehetővé vált, azzal a kitétellel, hogy belső felújításra csak külső felújítással együtt kerülhet sor, </w:t>
      </w:r>
      <w:r w:rsidRPr="00D81754">
        <w:t>és</w:t>
      </w:r>
      <w:r w:rsidRPr="00827DDF">
        <w:t xml:space="preserve"> a felújítás keretében integrált szolgáltató központok csak a 321 keretében támogathatóak</w:t>
      </w:r>
      <w:r>
        <w:t>. A</w:t>
      </w:r>
      <w:r w:rsidRPr="00D81754">
        <w:t xml:space="preserve"> belső felújítás</w:t>
      </w:r>
      <w:r w:rsidRPr="00A21208">
        <w:t>nak egy új vagy meglévő közösségi funkció kialakítását, fejlesztését kell megcéloznia.</w:t>
      </w:r>
    </w:p>
    <w:p w:rsidR="00CC79FE" w:rsidRPr="00DB48A3" w:rsidRDefault="00CC79FE" w:rsidP="00DB48A3">
      <w:pPr>
        <w:pStyle w:val="Cmsor6"/>
      </w:pPr>
      <w:r w:rsidRPr="00DB48A3">
        <w:t xml:space="preserve">A kulturális örökség megőrzése 323. A . számú intézkedés (MB írásbeli eljárás 2012. február 28.) </w:t>
      </w:r>
    </w:p>
    <w:p w:rsidR="00CC79FE" w:rsidRPr="008E18B1" w:rsidRDefault="00CC79FE" w:rsidP="00C96F79">
      <w:pPr>
        <w:rPr>
          <w:rFonts w:cs="Times New Roman"/>
          <w:szCs w:val="22"/>
        </w:rPr>
      </w:pPr>
      <w:r w:rsidRPr="008E18B1">
        <w:rPr>
          <w:rFonts w:cs="Times New Roman"/>
          <w:szCs w:val="22"/>
        </w:rPr>
        <w:t xml:space="preserve">A módosítás keretében </w:t>
      </w:r>
      <w:r>
        <w:rPr>
          <w:rFonts w:cs="Times New Roman"/>
          <w:szCs w:val="22"/>
        </w:rPr>
        <w:t>10</w:t>
      </w:r>
      <w:r w:rsidRPr="008E18B1">
        <w:rPr>
          <w:rFonts w:cs="Times New Roman"/>
          <w:szCs w:val="22"/>
        </w:rPr>
        <w:t xml:space="preserve"> 000 000 euró (közkiadás) forrás átcsoportosítása valósult meg a 312. számú intézkedésre a </w:t>
      </w:r>
      <w:r>
        <w:rPr>
          <w:rFonts w:cs="Times New Roman"/>
          <w:szCs w:val="22"/>
        </w:rPr>
        <w:t>32</w:t>
      </w:r>
      <w:r w:rsidRPr="008E18B1">
        <w:rPr>
          <w:rFonts w:cs="Times New Roman"/>
          <w:szCs w:val="22"/>
        </w:rPr>
        <w:t>3.</w:t>
      </w:r>
      <w:r>
        <w:rPr>
          <w:rFonts w:cs="Times New Roman"/>
          <w:szCs w:val="22"/>
        </w:rPr>
        <w:t>A.</w:t>
      </w:r>
      <w:r w:rsidRPr="008E18B1">
        <w:rPr>
          <w:rFonts w:cs="Times New Roman"/>
          <w:szCs w:val="22"/>
        </w:rPr>
        <w:t xml:space="preserve"> számú intézkedés</w:t>
      </w:r>
      <w:r>
        <w:rPr>
          <w:rFonts w:cs="Times New Roman"/>
          <w:szCs w:val="22"/>
        </w:rPr>
        <w:t>ről</w:t>
      </w:r>
      <w:r w:rsidRPr="008E18B1">
        <w:rPr>
          <w:rFonts w:cs="Times New Roman"/>
          <w:szCs w:val="22"/>
        </w:rPr>
        <w:t xml:space="preserve"> (lásd: 312. számú intézkedés diagramja)</w:t>
      </w:r>
      <w:r>
        <w:rPr>
          <w:rFonts w:cs="Times New Roman"/>
          <w:szCs w:val="22"/>
        </w:rPr>
        <w:t>.</w:t>
      </w:r>
    </w:p>
    <w:p w:rsidR="00CC79FE" w:rsidRPr="00DB48A3" w:rsidRDefault="00CC79FE" w:rsidP="00DB48A3">
      <w:pPr>
        <w:pStyle w:val="Cmsor6"/>
      </w:pPr>
      <w:r w:rsidRPr="00DB48A3">
        <w:t>A IV. tengelyen belül végrehajtott programmódosítások</w:t>
      </w:r>
    </w:p>
    <w:p w:rsidR="00CC79FE" w:rsidRDefault="00CC79FE" w:rsidP="00DB48A3">
      <w:pPr>
        <w:pStyle w:val="Cmsor6"/>
      </w:pPr>
      <w:r>
        <w:t xml:space="preserve">A helyi fejlesztési stratégiák megvalósítása 411., 412., 413. számú intézkedés, ÚMVP 23. számú melléklete </w:t>
      </w:r>
      <w:r>
        <w:rPr>
          <w:rFonts w:cs="Times New Roman"/>
          <w:szCs w:val="22"/>
        </w:rPr>
        <w:t>(MB 2011. december 13.)</w:t>
      </w:r>
    </w:p>
    <w:p w:rsidR="00CC79FE" w:rsidRPr="00BD037E" w:rsidRDefault="00CC79FE" w:rsidP="00DB48A3">
      <w:r w:rsidRPr="00BD037E">
        <w:t xml:space="preserve">A 2010-ben meghirdetett Kormányprogram a tanyás térségek felzárkóztatását tűzte ki célul. Ennek megfelelően a LEADER program keretében a tanyás térségek, külterületek támogatása is szükségessé </w:t>
      </w:r>
      <w:r w:rsidRPr="00BD037E">
        <w:lastRenderedPageBreak/>
        <w:t xml:space="preserve">vált, mivel azok jellegükben - annak ellenére, hogy a LEADER-ben alapesetben nem jogosult településekhez tartozhatnak (1 000 fő fölötti lakosságszám és 120 fő/km2 feletti népsűrűség) – vidékies jegyeket mutatnak. Fentiek alapján szükséges volt a Program ezen intézkedéséhez tartozó 23. számú mellékletének (ezen intézkedéshez kapcsolódó jogosult települések listája) módosítása. </w:t>
      </w:r>
    </w:p>
    <w:p w:rsidR="00CC79FE" w:rsidRDefault="00CC79FE" w:rsidP="00DB48A3">
      <w:pPr>
        <w:pStyle w:val="Cmsor6"/>
      </w:pPr>
      <w:r>
        <w:t xml:space="preserve">Térségek közötti és nemzetközi együttműködések 421. számú intézkedés </w:t>
      </w:r>
      <w:r>
        <w:rPr>
          <w:rFonts w:cs="Times New Roman"/>
          <w:szCs w:val="22"/>
        </w:rPr>
        <w:t>(MB írásbeli eljárás 2012. február 28.)</w:t>
      </w:r>
    </w:p>
    <w:p w:rsidR="00CC79FE" w:rsidRPr="00BD037E" w:rsidRDefault="00CC79FE" w:rsidP="00DB48A3">
      <w:r w:rsidRPr="00BD037E">
        <w:t>A támogatási kérelmek benyújtásának első körében tapasztaltak rávilágítottak arra, hogy szükségessé vált az együttműködési projektek minőségének javítása. Az IH célja az volt, hogy a 421. számú intézkedés keretében az egyes tevékenységekhez kapcsolódóan beruházás-típusú fejlesztéseket támogasson. Az intézkedés végrehajtása érdekében módosításra került a jogosult tevékenységek és költségek köre az együttműködéseket illetően.</w:t>
      </w:r>
    </w:p>
    <w:p w:rsidR="00CC79FE" w:rsidRPr="003173C1" w:rsidRDefault="00CC79FE" w:rsidP="00E4077C">
      <w:pPr>
        <w:spacing w:after="0"/>
      </w:pPr>
      <w:r>
        <w:t>A módosítás keretében az intézkedés indikátor táblájának felülvizsgálatára is sor került.</w:t>
      </w:r>
    </w:p>
    <w:p w:rsidR="00CC79FE" w:rsidRPr="00E4077C" w:rsidRDefault="00CC79FE" w:rsidP="00DB48A3">
      <w:pPr>
        <w:pStyle w:val="Cmsor6"/>
        <w:rPr>
          <w:noProof/>
        </w:rPr>
      </w:pPr>
      <w:r w:rsidRPr="00E4077C">
        <w:rPr>
          <w:noProof/>
        </w:rPr>
        <w:t>Technikai Segítségnyújtási Műveletek 51. számú intézkedés módosítása (MB írásbeli eljárás 2012. március 14.)</w:t>
      </w:r>
    </w:p>
    <w:p w:rsidR="00CC79FE" w:rsidRPr="00BD037E" w:rsidRDefault="00CC79FE" w:rsidP="00DB48A3">
      <w:r w:rsidRPr="00BD037E">
        <w:t>A jelenlegi programozási időszak (2007-2013) zárásának közeledtével az IH egyre nagyobb figyelmet fordított a következő időszak (2014-2020) tervezésére. A 2014-2020 közötti időszakra szóló programdokumentum előkészítésével és ex-ante értékelésével kapcsolatos feladatok finanszírozására az átmeneti rendelkezések értelmében a jelen programozási időszak TS keretének terhére csak programmódosítást követően valósulhat meg, így a 9. verziószámú módosítás keretében került ez előterjesztésre jóváhagyásra.  A Program TS intézkedésének támogatott műveletei között nevesítésre kerültek ezek költségek finanszírozásának lehetősége, az ÚMVP előkészítésével, végrehajtásával, értékelésével, auditálásával, ellenőrzésével és nyomon követésével kapcsolatos feladatok mellett.</w:t>
      </w:r>
    </w:p>
    <w:p w:rsidR="00A84FA0" w:rsidRPr="00896E03" w:rsidRDefault="00A84FA0" w:rsidP="00DB48A3">
      <w:pPr>
        <w:pStyle w:val="Cmsor3"/>
      </w:pPr>
      <w:bookmarkStart w:id="401" w:name="_Toc215481025"/>
      <w:bookmarkStart w:id="402" w:name="_Toc230595643"/>
      <w:bookmarkStart w:id="403" w:name="_Toc232860198"/>
      <w:bookmarkStart w:id="404" w:name="_Toc360176840"/>
      <w:r w:rsidRPr="00896E03">
        <w:t>A</w:t>
      </w:r>
      <w:r w:rsidR="00A05A9A" w:rsidRPr="00896E03">
        <w:t xml:space="preserve"> Program</w:t>
      </w:r>
      <w:r w:rsidRPr="00896E03">
        <w:t xml:space="preserve"> lebonyolításához kapcsolódó ellenőrzések</w:t>
      </w:r>
      <w:bookmarkEnd w:id="401"/>
      <w:bookmarkEnd w:id="402"/>
      <w:bookmarkEnd w:id="403"/>
      <w:r w:rsidR="00A05A9A" w:rsidRPr="00896E03">
        <w:t>/auditok</w:t>
      </w:r>
      <w:bookmarkEnd w:id="404"/>
      <w:r w:rsidR="003D11EF" w:rsidRPr="00896E03">
        <w:t xml:space="preserve"> </w:t>
      </w:r>
    </w:p>
    <w:p w:rsidR="00CF7C1C" w:rsidRDefault="00A05A9A" w:rsidP="00715E86">
      <w:pPr>
        <w:pStyle w:val="Cmsor4"/>
      </w:pPr>
      <w:bookmarkStart w:id="405" w:name="_Toc230595644"/>
      <w:r>
        <w:t>Illetékes Hatóság</w:t>
      </w:r>
    </w:p>
    <w:p w:rsidR="00CF7C1C" w:rsidRDefault="00CF7C1C" w:rsidP="00CF7C1C">
      <w:r>
        <w:t>A 885/2006/EK</w:t>
      </w:r>
      <w:r w:rsidR="00A05A9A">
        <w:t xml:space="preserve"> bizottsági</w:t>
      </w:r>
      <w:r>
        <w:t xml:space="preserve"> rendelet szerint az Illetékes Hatóság a felelőssége alá tartozó Kifizető Ügynökséget folyamatos felügyelet alatt tartja, és nyomon követi az esetlegesen feltárt hiányosságokat. </w:t>
      </w:r>
    </w:p>
    <w:p w:rsidR="00CF7C1C" w:rsidRDefault="00CF7C1C" w:rsidP="00CF7C1C">
      <w:r>
        <w:t>Az 1290/2005/EK tanácsi rendeletnek a Kifizető Ügynökségek és más testületek akkreditációja és az EMGA és az EMVA számláinak elszámolása tekintetében történő alkalmazására vonatkozó részletes szabályok megállapításáról szóló 885/2006/EK bizottsági rendelet 2. cikk (1) bekezdésében foglaltak szerint az Illetékes Hatóság háromévente írásban tájékoztatja a Bizottságot a felügyelet eredményeiről, és jelzi, hogy a Kifizető Ügynökség folyamatosan teljesíti-e az akkreditációs feltételeket. A jelentés 2013.</w:t>
      </w:r>
      <w:r w:rsidR="00A05A9A">
        <w:t xml:space="preserve"> április </w:t>
      </w:r>
      <w:r>
        <w:t xml:space="preserve">29-én </w:t>
      </w:r>
      <w:r w:rsidR="00A05A9A">
        <w:t xml:space="preserve">került megküldésre </w:t>
      </w:r>
      <w:r>
        <w:t>az Európai Bizottság részére</w:t>
      </w:r>
      <w:r w:rsidR="00A05A9A">
        <w:t>.</w:t>
      </w:r>
      <w:r>
        <w:t xml:space="preserve"> </w:t>
      </w:r>
    </w:p>
    <w:p w:rsidR="00CF7C1C" w:rsidRDefault="00CF7C1C" w:rsidP="00CF7C1C">
      <w:r>
        <w:t>A jelentésben az EMGA és az EMVA végrehajtása kapcsán bemutatásra került a közösségi jogszabályokkal összhangban kialakított intézményrendszer, a vonatkozó hazai jogszabályi háttér, a Kifizető Ügynökség akkreditációs státusza és az Illetékes Hatóság felügyeleti tevékenysége.</w:t>
      </w:r>
    </w:p>
    <w:p w:rsidR="00CF7C1C" w:rsidRPr="00CF7C1C" w:rsidRDefault="00CF7C1C" w:rsidP="00CF7C1C">
      <w:r>
        <w:t>A 2009. október 16. és 2012. október 15. közötti időszakban az Illetékes Hatóság felügyeleti tevékenysége kapcsán nem került olyan hiányosság megállapításra, amely jelentős részben</w:t>
      </w:r>
      <w:r w:rsidR="00A05A9A">
        <w:t>,</w:t>
      </w:r>
      <w:r>
        <w:t xml:space="preserve"> </w:t>
      </w:r>
      <w:r w:rsidR="00A05A9A">
        <w:t xml:space="preserve">súlyosan érintette volna a </w:t>
      </w:r>
      <w:r>
        <w:t xml:space="preserve">közösségi támogatásból finanszírozott kifizetések szabályszerűségét, valódiságát, pontosságát, teljességét és ellenőrizhetőségét, vagy az akkreditációs kritériumok olyan mértékű megsértését jelentette volna, amely a közösség és a tagállam pénzügyi érdekeinek védelmét veszélyezteti. Az Illetékes Hatóság a jelentéssel lefedett időszakban, illetve a jelentés lezárásáig birtokában lévő információk alapján a jelentés lezárásának napjáig a Kifizető Ügynökség </w:t>
      </w:r>
      <w:r>
        <w:lastRenderedPageBreak/>
        <w:t>akkreditációját visszavonás nélkül fenntartotta. Ennek alátámasztására az Illetékes Hatóság akkreditációs, felügyeleti és célvizsgálatok elvégzését bonyolította le.</w:t>
      </w:r>
    </w:p>
    <w:p w:rsidR="00A84FA0" w:rsidRDefault="00A84FA0" w:rsidP="00715E86">
      <w:pPr>
        <w:pStyle w:val="Cmsor4"/>
      </w:pPr>
      <w:r w:rsidRPr="00A84FA0">
        <w:t xml:space="preserve">Igazoló </w:t>
      </w:r>
      <w:r w:rsidR="00A05A9A">
        <w:t>S</w:t>
      </w:r>
      <w:r w:rsidRPr="00A84FA0">
        <w:t>zerv</w:t>
      </w:r>
      <w:bookmarkEnd w:id="405"/>
    </w:p>
    <w:p w:rsidR="00CF7C1C" w:rsidRPr="001A0512" w:rsidRDefault="00CF7C1C" w:rsidP="004869BB">
      <w:r w:rsidRPr="001A0512">
        <w:t xml:space="preserve">A Bizottság 885/2006/EK </w:t>
      </w:r>
      <w:r w:rsidR="00A05A9A" w:rsidRPr="001A0512">
        <w:t xml:space="preserve">bizottsági </w:t>
      </w:r>
      <w:r w:rsidRPr="001A0512">
        <w:t xml:space="preserve">rendelet 5. cikkében foglaltaknak, valamint a kapcsolódó 2. számú akkreditációs iránymutatás </w:t>
      </w:r>
      <w:r w:rsidRPr="001A0512">
        <w:rPr>
          <w:i/>
        </w:rPr>
        <w:t>(dokumentum azonosító: AGRI-2007-60982)</w:t>
      </w:r>
      <w:r w:rsidRPr="001A0512">
        <w:t xml:space="preserve"> 3.4.1. pontjába</w:t>
      </w:r>
      <w:r w:rsidR="00A05A9A" w:rsidRPr="001A0512">
        <w:t>n meghatározottaknak megfelelő Igazoló S</w:t>
      </w:r>
      <w:r w:rsidRPr="001A0512">
        <w:t xml:space="preserve">zervet a Vidékfejlesztési Minisztérium közbeszerzési eljárás keretében választotta ki. 2011. augusztus 9-én </w:t>
      </w:r>
      <w:r w:rsidRPr="001A0512">
        <w:rPr>
          <w:i/>
        </w:rPr>
        <w:t>- az igazoló szervi feladatok ellátásának tekintetében kiírt közbeszerzési eljárás eredményeként -</w:t>
      </w:r>
      <w:r w:rsidRPr="001A0512">
        <w:t xml:space="preserve"> szerződéskötésre került sor, melynek értelmében az igazoló szervi feladatokat 2016. április 30-ig a KPMG Konzorcium </w:t>
      </w:r>
      <w:r w:rsidRPr="001A0512">
        <w:rPr>
          <w:bCs/>
          <w:i/>
        </w:rPr>
        <w:t>(KPMG Hungária Kft. és KPMG Tanácsadó Kft.)</w:t>
      </w:r>
      <w:r w:rsidRPr="001A0512">
        <w:t xml:space="preserve"> látja el.</w:t>
      </w:r>
    </w:p>
    <w:p w:rsidR="00CF7C1C" w:rsidRPr="001A0512" w:rsidRDefault="00CF7C1C" w:rsidP="004869BB">
      <w:r w:rsidRPr="001A0512">
        <w:t xml:space="preserve">Az EMGA és EMVA alapok végrehajtásának 2012. pénzügyi évre vonatkozó </w:t>
      </w:r>
      <w:r w:rsidR="00A05A9A" w:rsidRPr="001A0512">
        <w:t>k</w:t>
      </w:r>
      <w:r w:rsidRPr="001A0512">
        <w:t xml:space="preserve">ifizető </w:t>
      </w:r>
      <w:r w:rsidR="00A05A9A" w:rsidRPr="001A0512">
        <w:t>ü</w:t>
      </w:r>
      <w:r w:rsidRPr="001A0512">
        <w:t>gynökségi éves beszámolója, valamint az azt alátámasztó igazoló szervi jelentés és az „A1” minősítésű, fenntartás nélküli vélemény került megküldésre az Európai Bizottság részére. Ezek alapján az Európai Bizottság Ares(2013)2454</w:t>
      </w:r>
      <w:r w:rsidR="00A05A9A" w:rsidRPr="001A0512">
        <w:t>.</w:t>
      </w:r>
      <w:r w:rsidRPr="001A0512">
        <w:t xml:space="preserve"> és 2444</w:t>
      </w:r>
      <w:r w:rsidR="00A05A9A" w:rsidRPr="001A0512">
        <w:t>.</w:t>
      </w:r>
      <w:r w:rsidRPr="001A0512">
        <w:t xml:space="preserve"> számú határozatában a 2012. évi EMGA és EMVA számlák elszámolásáról döntött.</w:t>
      </w:r>
    </w:p>
    <w:p w:rsidR="00CF7C1C" w:rsidRPr="001A0512" w:rsidRDefault="00CF7C1C" w:rsidP="00D53DF7">
      <w:r w:rsidRPr="001A0512">
        <w:t>A 2012. pénzügyi évre vonatkozó ellenőrzés során nagy jelentőségű megállapítás nem született. A KPMG az alábbi területeken tett közepes jelentőségű meg</w:t>
      </w:r>
      <w:r w:rsidR="00A05A9A" w:rsidRPr="001A0512">
        <w:t>állapításokat:</w:t>
      </w:r>
    </w:p>
    <w:p w:rsidR="00CF7C1C" w:rsidRPr="001A0512" w:rsidRDefault="00CF7C1C" w:rsidP="00E4077C">
      <w:pPr>
        <w:pStyle w:val="Listaszerbekezds"/>
        <w:numPr>
          <w:ilvl w:val="0"/>
          <w:numId w:val="86"/>
        </w:numPr>
      </w:pPr>
      <w:r w:rsidRPr="001A0512">
        <w:t>hibás besorolású tételek (Annex III), 2011-es jelentésben megfogalmazot</w:t>
      </w:r>
      <w:r w:rsidR="00A05A9A" w:rsidRPr="001A0512">
        <w:t>t ajánlás aktualizált változata;</w:t>
      </w:r>
    </w:p>
    <w:p w:rsidR="00CF7C1C" w:rsidRPr="001A0512" w:rsidRDefault="00CF7C1C" w:rsidP="00E4077C">
      <w:pPr>
        <w:pStyle w:val="Listaszerbekezds"/>
        <w:numPr>
          <w:ilvl w:val="0"/>
          <w:numId w:val="86"/>
        </w:numPr>
      </w:pPr>
      <w:r w:rsidRPr="001A0512">
        <w:t>az IIER alkalmazáshoz való hozzáférések megfelelőségének vizsgálata és az IIER felhasználók összevetése az IDM rendszerben nyilvántartottakkal.</w:t>
      </w:r>
    </w:p>
    <w:p w:rsidR="00CF7C1C" w:rsidRPr="001A0512" w:rsidRDefault="00CF7C1C" w:rsidP="004869BB">
      <w:r w:rsidRPr="001A0512">
        <w:t xml:space="preserve">A fentieken túl </w:t>
      </w:r>
      <w:r w:rsidR="00A05A9A" w:rsidRPr="001A0512">
        <w:t>két</w:t>
      </w:r>
      <w:r w:rsidRPr="001A0512">
        <w:t xml:space="preserve"> pénzügyi hiba került megállapításra, de korrekciójuk a 2012-es pénzügyi év során megtörtént, így az Igazoló Szerv ajánlást nem fogalmazott meg a hibákkal kapcsolatban.</w:t>
      </w:r>
    </w:p>
    <w:p w:rsidR="00CF7C1C" w:rsidRPr="001A0512" w:rsidRDefault="00CF7C1C" w:rsidP="004869BB">
      <w:r w:rsidRPr="001A0512">
        <w:t xml:space="preserve">Megállapítható, hogy a vizsgálat eredményeként a Mezőgazdasági és Vidékfejlesztési Hivatal megfelel a 885/2006 EK </w:t>
      </w:r>
      <w:r w:rsidR="00A05A9A" w:rsidRPr="001A0512">
        <w:t xml:space="preserve">bizottsági </w:t>
      </w:r>
      <w:r w:rsidRPr="001A0512">
        <w:t>rendelet 5. cikkében foglalt alábbi követelményeknek:</w:t>
      </w:r>
    </w:p>
    <w:p w:rsidR="00CF7C1C" w:rsidRPr="001A0512" w:rsidRDefault="00CF7C1C" w:rsidP="004869BB">
      <w:r w:rsidRPr="001A0512">
        <w:t>az MVH megfelel az EMGA-ra és EMVA-ra vonatkozó akkreditációs kritériumoknak</w:t>
      </w:r>
      <w:r w:rsidR="00A05A9A" w:rsidRPr="001A0512">
        <w:t>,</w:t>
      </w:r>
    </w:p>
    <w:p w:rsidR="00CF7C1C" w:rsidRPr="001A0512" w:rsidRDefault="00CF7C1C" w:rsidP="004869BB">
      <w:r w:rsidRPr="001A0512">
        <w:t>a Bizottsághoz benyújtandó 2012. EMGA/EMVA pénzügyi évre vonatkozó éves beszámoló minden lényeges vonatkozásában megbízható, teljes és pontos az EMGA és EMVA terhére felszámított nettó összkiadás tekintetében,</w:t>
      </w:r>
    </w:p>
    <w:p w:rsidR="00CF7C1C" w:rsidRPr="001A0512" w:rsidRDefault="00CF7C1C" w:rsidP="004869BB">
      <w:r w:rsidRPr="001A0512">
        <w:t>az MVH eljárásai alapvetően megfelelő bizonyosságot adnak arra vonatkozóan, hogy a kiadások EMGA-ra és EMVA-ra terhelése a közösségi szabályok betartásával történt, a kapcsolódó ajánlások gyakorlatba ültetése folyamatos,</w:t>
      </w:r>
    </w:p>
    <w:p w:rsidR="00CF7C1C" w:rsidRPr="001A0512" w:rsidRDefault="00CF7C1C" w:rsidP="00E4077C">
      <w:pPr>
        <w:pStyle w:val="Listaszerbekezds"/>
        <w:numPr>
          <w:ilvl w:val="0"/>
          <w:numId w:val="87"/>
        </w:numPr>
      </w:pPr>
      <w:r w:rsidRPr="001A0512">
        <w:t>általánosságban az előírt kiadás- és intervenciós műveleti kimutatások a valóságnak megfelelően, teljes körűen és pontosan tükrözik az EMGA és EMVA terhére elszámolt műveleteket,</w:t>
      </w:r>
    </w:p>
    <w:p w:rsidR="00CF7C1C" w:rsidRPr="001A0512" w:rsidRDefault="00CF7C1C" w:rsidP="00E4077C">
      <w:pPr>
        <w:pStyle w:val="Listaszerbekezds"/>
        <w:numPr>
          <w:ilvl w:val="0"/>
          <w:numId w:val="87"/>
        </w:numPr>
      </w:pPr>
      <w:r w:rsidRPr="001A0512">
        <w:t>a Közösség pénzügyi érdekei megfelelő, kielégítő szintű védelemben részesülnek.</w:t>
      </w:r>
    </w:p>
    <w:p w:rsidR="00CF7C1C" w:rsidRPr="001A0512" w:rsidRDefault="00CF7C1C" w:rsidP="00E4077C">
      <w:pPr>
        <w:pStyle w:val="Listaszerbekezds"/>
        <w:numPr>
          <w:ilvl w:val="0"/>
          <w:numId w:val="87"/>
        </w:numPr>
      </w:pPr>
      <w:r w:rsidRPr="001A0512">
        <w:t>A 2012. évi jelentésben megfogalmazott megállapításokra az intézkedési tervek elkészültek, azok nyomon követésére a 2013-ban végzendő ellenőrzések elvégzésekor kerül sor.</w:t>
      </w:r>
    </w:p>
    <w:p w:rsidR="00A84FA0" w:rsidRPr="001A0512" w:rsidRDefault="007717B1" w:rsidP="00715E86">
      <w:pPr>
        <w:pStyle w:val="Cmsor4"/>
      </w:pPr>
      <w:bookmarkStart w:id="406" w:name="_Toc230595645"/>
      <w:r w:rsidRPr="001A0512">
        <w:t>Á</w:t>
      </w:r>
      <w:r w:rsidR="00A84FA0" w:rsidRPr="001A0512">
        <w:t>llami Számvevőszék</w:t>
      </w:r>
      <w:bookmarkEnd w:id="406"/>
    </w:p>
    <w:p w:rsidR="00CF7C1C" w:rsidRPr="001A0512" w:rsidRDefault="00CF7C1C" w:rsidP="004869BB">
      <w:r w:rsidRPr="001A0512">
        <w:rPr>
          <w:i/>
        </w:rPr>
        <w:t>A Magyar Köztársaság 2011. évi költségvetése végrehajtásának ellenőrzése</w:t>
      </w:r>
      <w:r w:rsidRPr="001A0512">
        <w:t xml:space="preserve"> (2011. évi </w:t>
      </w:r>
      <w:r w:rsidR="00A05A9A" w:rsidRPr="001A0512">
        <w:t>Z</w:t>
      </w:r>
      <w:r w:rsidRPr="001A0512">
        <w:t>árszámadás) 2012. március 9. és szeptember 7. között zajlott. Az Állami Számvevőszék (a továbbiakban: ÁSZ) megállapította, hogy a</w:t>
      </w:r>
      <w:r w:rsidR="00A05A9A" w:rsidRPr="001A0512">
        <w:t xml:space="preserve"> Program</w:t>
      </w:r>
      <w:r w:rsidRPr="001A0512">
        <w:t xml:space="preserve"> III. és IV. tengely kifizetéseinek teljesítése elmaradt az időarányostól, de a 2011. évi költségvetés végrehajtása a jogszabályi előírásoknak összességében megfelelt.</w:t>
      </w:r>
    </w:p>
    <w:p w:rsidR="00CF7C1C" w:rsidRPr="001A0512" w:rsidRDefault="00CF7C1C" w:rsidP="004869BB">
      <w:r w:rsidRPr="001A0512">
        <w:lastRenderedPageBreak/>
        <w:t xml:space="preserve">2012. év folyamán az ÁSZ - Programot érintő </w:t>
      </w:r>
      <w:r w:rsidR="00A05A9A" w:rsidRPr="001A0512">
        <w:t>–</w:t>
      </w:r>
      <w:r w:rsidRPr="001A0512">
        <w:t xml:space="preserve"> </w:t>
      </w:r>
      <w:r w:rsidR="00A05A9A" w:rsidRPr="001A0512">
        <w:t>egyén ellenőrzést nem kezdeményezett, azonban a</w:t>
      </w:r>
      <w:r w:rsidRPr="001A0512">
        <w:t>z alábbi 2011. évben megkezdett ellenőrzés zárult le:</w:t>
      </w:r>
    </w:p>
    <w:p w:rsidR="00CF7C1C" w:rsidRPr="001A0512" w:rsidRDefault="00A05A9A" w:rsidP="00495C8B">
      <w:pPr>
        <w:pStyle w:val="Listaszerbekezds"/>
        <w:numPr>
          <w:ilvl w:val="0"/>
          <w:numId w:val="34"/>
        </w:numPr>
        <w:suppressAutoHyphens w:val="0"/>
        <w:spacing w:after="0"/>
        <w:rPr>
          <w:rFonts w:cs="Times New Roman"/>
          <w:szCs w:val="22"/>
        </w:rPr>
      </w:pPr>
      <w:r w:rsidRPr="001A0512">
        <w:rPr>
          <w:rFonts w:cs="Times New Roman"/>
          <w:i/>
          <w:szCs w:val="22"/>
        </w:rPr>
        <w:t>A</w:t>
      </w:r>
      <w:r w:rsidR="00CF7C1C" w:rsidRPr="001A0512">
        <w:rPr>
          <w:rFonts w:cs="Times New Roman"/>
          <w:i/>
          <w:szCs w:val="22"/>
        </w:rPr>
        <w:t xml:space="preserve"> vidékfejlesztési célkitűzések megvalósítására, a helyi közösségek szerepének megerősítésére fordított pénzeszközök felhasználása eredményességének és hatékonyságának, a vidéki életminőség javításában betöltött szerepének ellenőrzésére</w:t>
      </w:r>
      <w:r w:rsidR="00CF7C1C" w:rsidRPr="001A0512">
        <w:rPr>
          <w:rFonts w:cs="Times New Roman"/>
          <w:szCs w:val="22"/>
        </w:rPr>
        <w:t xml:space="preserve"> 2011. október 24. és 2012. május 2. között került sor. Az ÁSZ 2012. augusztusi jelentésében négy intézkedést igénylő megállapítást és javaslatot tett a vidékfejlesztési miniszter részére és egyet a Mezőgazdasági és Vidékfejlesztési Hivatal (a továbbiakban: MVH) elnökének. </w:t>
      </w:r>
    </w:p>
    <w:p w:rsidR="00CF7C1C" w:rsidRPr="001A0512" w:rsidRDefault="00CF7C1C" w:rsidP="00CF7C1C">
      <w:pPr>
        <w:pStyle w:val="Listaszerbekezds"/>
        <w:ind w:hanging="11"/>
        <w:rPr>
          <w:rFonts w:cs="Times New Roman"/>
          <w:szCs w:val="22"/>
        </w:rPr>
      </w:pPr>
      <w:r w:rsidRPr="001A0512">
        <w:rPr>
          <w:rFonts w:cs="Times New Roman"/>
          <w:szCs w:val="22"/>
        </w:rPr>
        <w:t xml:space="preserve">A minisztérium által, a megállapításokra készített intézkedési terv 2013. február 21-én került jóváhagyásra, megvalósítása folyamatban van. </w:t>
      </w:r>
    </w:p>
    <w:p w:rsidR="00CF7C1C" w:rsidRPr="00BD037E" w:rsidRDefault="00CF7C1C" w:rsidP="00E4077C">
      <w:pPr>
        <w:spacing w:after="0"/>
        <w:ind w:firstLine="0"/>
      </w:pPr>
      <w:r w:rsidRPr="00BD037E">
        <w:t>Az MVH részére tett megállapítás - a kifizetési kérelmek feldolgozásának és teljesítéseinek kapcsán – a jelentés készítésének időpontjában az MVH tájékoztatása szerint már teljesült.</w:t>
      </w:r>
    </w:p>
    <w:p w:rsidR="00CF7C1C" w:rsidRPr="00715E86" w:rsidRDefault="00CF7C1C" w:rsidP="00D53DF7">
      <w:r w:rsidRPr="00715E86">
        <w:t>A vidékfejlesztési célok megvalósítása érdekében a 2011. év végéig megtett állami intézkedések és a támogatást nyert kedvezményezettek vállalásai, teljesítései alapján a Számvevőszék úgy ítélte meg, hogy a programozási időszak végéig (és az azt követő két éven belül) reális lehetőség van a kitűzött célok többségének teljesítésére.</w:t>
      </w:r>
    </w:p>
    <w:p w:rsidR="00A76428" w:rsidRDefault="00CF7C1C" w:rsidP="00715E86">
      <w:pPr>
        <w:pStyle w:val="Cmsor4"/>
      </w:pPr>
      <w:r>
        <w:t>Kormányzati Ellenőrzési Hivatal</w:t>
      </w:r>
    </w:p>
    <w:p w:rsidR="00CF7C1C" w:rsidRPr="00CF7C1C" w:rsidRDefault="00CF7C1C" w:rsidP="00CF7C1C">
      <w:r w:rsidRPr="00CF7C1C">
        <w:t>A Program LEADER HACS-ok közreműködésével történt végrehajtásának, valamint a Helyi Akciócsoportok részére nyújtott támogatások felhasználásán</w:t>
      </w:r>
      <w:r w:rsidR="00A05A9A">
        <w:t>ak vizsgálata 2012. április 19-én indult és a jelentés készítésének időpontjában</w:t>
      </w:r>
      <w:r w:rsidRPr="00CF7C1C">
        <w:t xml:space="preserve"> folyamatban;</w:t>
      </w:r>
      <w:r w:rsidR="00A05A9A">
        <w:t xml:space="preserve"> vizsgálat száma: 32/272/2/2012</w:t>
      </w:r>
      <w:r w:rsidRPr="00CF7C1C">
        <w:t>. A vizsgálat lezárására az éves jelentés benyújtásáig nem került sor.</w:t>
      </w:r>
    </w:p>
    <w:p w:rsidR="00727249" w:rsidRDefault="00727249" w:rsidP="00715E86">
      <w:pPr>
        <w:pStyle w:val="Cmsor4"/>
      </w:pPr>
      <w:r>
        <w:t>Európai Bizottság</w:t>
      </w:r>
    </w:p>
    <w:p w:rsidR="00727249" w:rsidRPr="00715E86" w:rsidRDefault="00727249" w:rsidP="00D53DF7">
      <w:r w:rsidRPr="00715E86">
        <w:t xml:space="preserve">Az Európai Bizottság 2012-ben a Programot érintő ellenőrző látogatást Magyarországon nem tett. </w:t>
      </w:r>
    </w:p>
    <w:p w:rsidR="00727249" w:rsidRPr="00715E86" w:rsidRDefault="00727249" w:rsidP="00D53DF7">
      <w:r w:rsidRPr="00715E86">
        <w:t xml:space="preserve">A korábbi éveket érintő, de még folyamatban lévő ellenőrző látogatások nyomon követése: </w:t>
      </w:r>
    </w:p>
    <w:p w:rsidR="00A05A9A" w:rsidRPr="001A0512" w:rsidRDefault="00727249" w:rsidP="004869BB">
      <w:r w:rsidRPr="001A0512">
        <w:t xml:space="preserve">A </w:t>
      </w:r>
      <w:r w:rsidRPr="001A0512">
        <w:rPr>
          <w:b/>
        </w:rPr>
        <w:t>2011. október 10-14.</w:t>
      </w:r>
      <w:r w:rsidRPr="001A0512">
        <w:t xml:space="preserve"> közötti ellenőrzés a 2007-2013 közötti programozási időszakra vonatkozó magyar vidékfejlesztési program I. és III. tengelye alá tartozó intézkedésekre, valamint a beruházási intézkedésekre terjedt ki. A Bizottság észrevételeket fogalmazott meg, a kiválasztott kedvezményezettek vizsgálata, az egyes általános kiadások jogosultsága, valamint a helyszíni ellenőrzések vonatkozásában. </w:t>
      </w:r>
    </w:p>
    <w:p w:rsidR="00A05A9A" w:rsidRPr="001A0512" w:rsidRDefault="00727249" w:rsidP="004869BB">
      <w:r w:rsidRPr="001A0512">
        <w:t xml:space="preserve">Továbbiakban felmerült a 123. intézkedés keretében benyújtott támogatási kérelemben az egyéb költségek jogosultságának kérdése is. </w:t>
      </w:r>
    </w:p>
    <w:p w:rsidR="00A05A9A" w:rsidRPr="001A0512" w:rsidRDefault="00727249" w:rsidP="004869BB">
      <w:r w:rsidRPr="001A0512">
        <w:t xml:space="preserve">2012. december 14. kétoldalú egyeztetésre került sor, amely során Magyarország további kiegészítő dokumentumok megküldését vállalta 2013. június 30-ig az Európai Bizottság részére. </w:t>
      </w:r>
    </w:p>
    <w:p w:rsidR="00727249" w:rsidRPr="001A0512" w:rsidRDefault="00727249" w:rsidP="004869BB">
      <w:r w:rsidRPr="001A0512">
        <w:t>A jelentés készítésekor a vizsgálat még nem zárult le.</w:t>
      </w:r>
    </w:p>
    <w:p w:rsidR="00A05A9A" w:rsidRPr="001A0512" w:rsidRDefault="00727249" w:rsidP="004869BB">
      <w:r w:rsidRPr="001A0512">
        <w:rPr>
          <w:b/>
        </w:rPr>
        <w:t>2011. november 7-11</w:t>
      </w:r>
      <w:r w:rsidR="00A05A9A" w:rsidRPr="001A0512">
        <w:rPr>
          <w:b/>
        </w:rPr>
        <w:t>.</w:t>
      </w:r>
      <w:r w:rsidRPr="001A0512">
        <w:t xml:space="preserve"> között ellenőrző látogatásra került sor, melynek célja a 2010-2011. pénzügyi évekre vonatkozó EMGA és EMVA számlák tanúsítása. </w:t>
      </w:r>
    </w:p>
    <w:p w:rsidR="00A05A9A" w:rsidRPr="001A0512" w:rsidRDefault="00727249" w:rsidP="004869BB">
      <w:r w:rsidRPr="001A0512">
        <w:t xml:space="preserve">Az ellenőrzés, az Igazoló Szerv munkáját érintette. </w:t>
      </w:r>
    </w:p>
    <w:p w:rsidR="00727249" w:rsidRPr="001A0512" w:rsidRDefault="00727249" w:rsidP="004869BB">
      <w:r w:rsidRPr="001A0512">
        <w:t>A Programra vonatkozó megállapítás nem született, a vizsgálat lezártnak tekinthető.</w:t>
      </w:r>
    </w:p>
    <w:p w:rsidR="00A05A9A" w:rsidRPr="001A0512" w:rsidRDefault="00727249" w:rsidP="004869BB">
      <w:r w:rsidRPr="001A0512">
        <w:t xml:space="preserve">A </w:t>
      </w:r>
      <w:r w:rsidRPr="001A0512">
        <w:rPr>
          <w:b/>
        </w:rPr>
        <w:t>2009. május 4-8.</w:t>
      </w:r>
      <w:r w:rsidRPr="001A0512">
        <w:t xml:space="preserve"> közötti látogatás a 2004-2006 közötti időszakra (EMOGA), valamint a 2007-2013 közötti időszakra (EMVA) vonatkozó vidékfejlesztési progra</w:t>
      </w:r>
      <w:r w:rsidR="00A05A9A" w:rsidRPr="001A0512">
        <w:t>mon belül a 121. intézkedésre (A m</w:t>
      </w:r>
      <w:r w:rsidRPr="001A0512">
        <w:t>ezőgazdasági üzemek korszerűsítése), valamint a 142. intézkedésre (</w:t>
      </w:r>
      <w:r w:rsidR="00A05A9A" w:rsidRPr="001A0512">
        <w:t>T</w:t>
      </w:r>
      <w:r w:rsidRPr="001A0512">
        <w:t>ermelői csoportok</w:t>
      </w:r>
      <w:r w:rsidR="00A05A9A" w:rsidRPr="001A0512">
        <w:t xml:space="preserve"> létrehozásának támogatása</w:t>
      </w:r>
      <w:r w:rsidRPr="001A0512">
        <w:t xml:space="preserve">) összpontosított. </w:t>
      </w:r>
    </w:p>
    <w:p w:rsidR="00A05A9A" w:rsidRPr="001A0512" w:rsidRDefault="00727249" w:rsidP="004869BB">
      <w:r w:rsidRPr="001A0512">
        <w:lastRenderedPageBreak/>
        <w:t>Az ellenőrzést követően a fennmaradó nyitott kérdések megválaszolására 2010. január 15-én kétoldalú egyeztetésre került sor Brüsszelben. Az egyeztetést követően további kiegészítő információk megküldés</w:t>
      </w:r>
      <w:r w:rsidR="00A05A9A" w:rsidRPr="001A0512">
        <w:t>ére került sor</w:t>
      </w:r>
      <w:r w:rsidRPr="001A0512">
        <w:t xml:space="preserve">. </w:t>
      </w:r>
    </w:p>
    <w:p w:rsidR="00721382" w:rsidRPr="001A0512" w:rsidRDefault="00727249" w:rsidP="004869BB">
      <w:r w:rsidRPr="001A0512">
        <w:t xml:space="preserve">Az Európai Bizottság a vizsgálat eredménye tekintetében 2011. február 14-i levelében javaslatot fogalmazott meg a közösségi finanszírozásból való pénzügyi kizárásra vonatkozóan, amely a „mezőgazdasági birtokok modernizációja” és a „termelői csoportok” intézkedések végrehajtását érinti. </w:t>
      </w:r>
    </w:p>
    <w:p w:rsidR="00721382" w:rsidRPr="001A0512" w:rsidRDefault="00727249" w:rsidP="004869BB">
      <w:r w:rsidRPr="001A0512">
        <w:t>A magyar hatóságok nem fogadták el a pénzügyi kizárásra tett javaslatot, ezért 2011. március 30-án egyeztető testület</w:t>
      </w:r>
      <w:r w:rsidR="00721382" w:rsidRPr="001A0512">
        <w:t xml:space="preserve"> összehívására irányuló</w:t>
      </w:r>
      <w:r w:rsidRPr="001A0512">
        <w:t xml:space="preserve"> kérelem b</w:t>
      </w:r>
      <w:r w:rsidR="00721382" w:rsidRPr="001A0512">
        <w:t>enyújtására került sor</w:t>
      </w:r>
      <w:r w:rsidRPr="001A0512">
        <w:t xml:space="preserve">. Az Egyeztető Testület 2011. július 18-án kelt jelentésében megállapította, hogy nem sikerült a két fél álláspontját közelíteni, s a közös megállapodás érdekében további egyeztetések lefolytatását javasolta. </w:t>
      </w:r>
    </w:p>
    <w:p w:rsidR="00721382" w:rsidRPr="001A0512" w:rsidRDefault="00727249" w:rsidP="004869BB">
      <w:r w:rsidRPr="001A0512">
        <w:t>2011. augusztus 31-én</w:t>
      </w:r>
      <w:r w:rsidR="00721382" w:rsidRPr="001A0512">
        <w:t xml:space="preserve"> a</w:t>
      </w:r>
      <w:r w:rsidRPr="001A0512">
        <w:t xml:space="preserve"> tagállam </w:t>
      </w:r>
      <w:r w:rsidRPr="001A0512">
        <w:rPr>
          <w:i/>
        </w:rPr>
        <w:t>- a 121. intézkedésre vonatkozó -</w:t>
      </w:r>
      <w:r w:rsidRPr="001A0512">
        <w:t xml:space="preserve"> célvizsgálat lefolytatását indította abból a célból, hogy bizonyítsa, hogy az alkalmazott eljárások megfelelnek a Közösségi szabályoknak. A jelentés eredményei továbbításra kerültek az Európai Bizottság részére. A végleges álláspont kialakítása érdekében 2012. január 18-án további információk kerültek megküldésre az Európai Bizottság részére. </w:t>
      </w:r>
    </w:p>
    <w:p w:rsidR="00721382" w:rsidRPr="001A0512" w:rsidRDefault="00727249" w:rsidP="004869BB">
      <w:r w:rsidRPr="001A0512">
        <w:t>2012 októberében, majd a tagállammal történt további egyeztetés eredményeként 2013. április 8-án az Európai Bizottság megküldte végső álláspontját, miszerint javasolja 3 170 196,54</w:t>
      </w:r>
      <w:r w:rsidR="00721382" w:rsidRPr="001A0512">
        <w:t> euró összegű támogatás</w:t>
      </w:r>
      <w:r w:rsidRPr="001A0512">
        <w:t xml:space="preserve"> kizárását a közösségi finanszírozásból. </w:t>
      </w:r>
    </w:p>
    <w:p w:rsidR="00727249" w:rsidRPr="001A0512" w:rsidRDefault="00727249" w:rsidP="004869BB">
      <w:r w:rsidRPr="001A0512">
        <w:t>A kizárásról szóló bizottsági határozat a jelentés lezárásáig nem érkezett meg.</w:t>
      </w:r>
    </w:p>
    <w:p w:rsidR="00721382" w:rsidRPr="001A0512" w:rsidRDefault="00727249" w:rsidP="004869BB">
      <w:r w:rsidRPr="001A0512">
        <w:rPr>
          <w:b/>
        </w:rPr>
        <w:t>2010. július 12-16.</w:t>
      </w:r>
      <w:r w:rsidRPr="001A0512">
        <w:t xml:space="preserve"> között az Európai Bizottság ellenőrző látogatást </w:t>
      </w:r>
      <w:r w:rsidR="00721382" w:rsidRPr="001A0512">
        <w:t>t</w:t>
      </w:r>
      <w:r w:rsidRPr="001A0512">
        <w:t>ett</w:t>
      </w:r>
      <w:r w:rsidR="00721382" w:rsidRPr="001A0512">
        <w:t xml:space="preserve"> Magyarországon</w:t>
      </w:r>
      <w:r w:rsidRPr="001A0512">
        <w:t xml:space="preserve">, melynek során a termelői csoportok és termelői szervezetek előzetes elismerésével és elismerésével, valamint az elismerési tervekkel és a működési programokkal kapcsolatos intézkedéseket ellenőrizték. A vizsgálat kapcsán a Bizottság kifogásolta, hogy nem állt rendelkezésre elegendő bizonyíték arra vonatkozóan, hogy az előzetes elismerés odaítélése, vagy az elismerési tervek/működési programok jóváhagyását megelőzően végrehajtott ellenőrzések kellő mértékben kiterjedtek volna a rendelet által megkövetelt valamennyi szükséges elemre, ezért javasolták a magyar hatóságoknak, hogy vizsgálják felül működési eljárásaikat, és szükség esetén végezzék el a megfelelő módosításokat, és az ellenőröket egyértelmű és részletes útmutatókkal lássák el. </w:t>
      </w:r>
    </w:p>
    <w:p w:rsidR="00721382" w:rsidRPr="001A0512" w:rsidRDefault="00727249" w:rsidP="004869BB">
      <w:r w:rsidRPr="001A0512">
        <w:t xml:space="preserve">Hibaként értékelték, hogy az MVH által 2010-ig elvégzett ellenőrzések nem terjedtek ki az érintett termelői szervezetek éves közgyűléseiről készített jegyzőkönyvek ellenőrzésére, ezért a Bizottság felkérte a magyar hatóságokat, hogy a 2008. évtől kezdve vizsgálják meg a termelői szervezetek éves közgyűléseinek jegyzőkönyveit, és számoljanak be a számlaelszámolással foglalkozó szolgálatoknak az ellenőrzés eredményéről. </w:t>
      </w:r>
    </w:p>
    <w:p w:rsidR="00721382" w:rsidRPr="001A0512" w:rsidRDefault="00727249" w:rsidP="004869BB">
      <w:r w:rsidRPr="001A0512">
        <w:t>Az Európai Bizottság és a magyar hatóságok között 2010. december 6-án kétoldalú egyeztetésre került sor. Az Európai Bizottság kiegészítő észrevételeket tett, valamint további információkat kért a tagállamtól, amelyek a vizsgálat keretében végzett további elemzésekkel kapcsolatosan merültek fel. Az egyeztetést követő bizottsági jelentésre 2011.május 9-én megtörtént a válaszadás. 2011. július 14-én az Európai Bizottság megküldte a bilaterális egyeztetés hivatalos magyar nyelvű jelentését, melyben kiegészítő információk megküldését várták a magyar hatóságoktól. A válasz 2011. szeptember 12-én megküldésre került.</w:t>
      </w:r>
    </w:p>
    <w:p w:rsidR="00721382" w:rsidRPr="001A0512" w:rsidRDefault="00727249" w:rsidP="004869BB">
      <w:r w:rsidRPr="001A0512">
        <w:t xml:space="preserve">Az Európai Bizottság a fennálló kérdéses pontok megnyugtató rendezése céljából újbóli bilaterális egyeztetést tartott szükségesnek, melyre 2012. június 5-én Brüsszelben került sor. A folyamat jelenlegi állását tekintve 2013 márciusában a Bizottság kérésére ismételten kiegészítő információk kerültek megküldésre. </w:t>
      </w:r>
    </w:p>
    <w:p w:rsidR="00727249" w:rsidRPr="001A0512" w:rsidRDefault="00727249" w:rsidP="004869BB">
      <w:r w:rsidRPr="001A0512">
        <w:t>Jelenleg a Bizottság válaszára várunk. A jelentés készítésekor a vizsgálat még nem zárult le.</w:t>
      </w:r>
    </w:p>
    <w:p w:rsidR="00727249" w:rsidRPr="001A0512" w:rsidRDefault="00727249" w:rsidP="00715E86">
      <w:pPr>
        <w:pStyle w:val="Cmsor4"/>
      </w:pPr>
      <w:r w:rsidRPr="001A0512">
        <w:lastRenderedPageBreak/>
        <w:t xml:space="preserve">Európai Számvevőszék </w:t>
      </w:r>
    </w:p>
    <w:p w:rsidR="00727249" w:rsidRPr="001A0512" w:rsidRDefault="00727249" w:rsidP="004869BB">
      <w:r w:rsidRPr="001A0512">
        <w:t>Az Európai Számvevőszék 2012. évben egy, a Programmal kapcsolatos ellenőrzést végzett Magyarországon a 2012. pénzügyi évre vonatkozó megbízhatósági nyilatkozat (DAS 2011.) keretében.</w:t>
      </w:r>
    </w:p>
    <w:p w:rsidR="00727249" w:rsidRPr="001A0512" w:rsidRDefault="00727249" w:rsidP="004869BB">
      <w:r w:rsidRPr="001A0512">
        <w:t xml:space="preserve">Az EMVA-ból </w:t>
      </w:r>
      <w:r w:rsidR="00721382" w:rsidRPr="001A0512">
        <w:t>társ</w:t>
      </w:r>
      <w:r w:rsidRPr="001A0512">
        <w:t xml:space="preserve">finanszírozott, </w:t>
      </w:r>
      <w:r w:rsidR="00721382" w:rsidRPr="001A0512">
        <w:t>A</w:t>
      </w:r>
      <w:r w:rsidRPr="001A0512">
        <w:t>z erdők gazdasági értékének javítása érdekében nyújtott támogatás végrehajtására vonatkozó intézkedés teljesítményellenőrzése.</w:t>
      </w:r>
    </w:p>
    <w:p w:rsidR="00721382" w:rsidRPr="001A0512" w:rsidRDefault="00727249" w:rsidP="004869BB">
      <w:r w:rsidRPr="001A0512">
        <w:t xml:space="preserve">A magyarországi helyszíni ellenőrzésre 2012. január 30. és február 3. között került sor. Az auditot követően megérkezett jelentéstervezetre a magyar hatóságok észrevételeiket megküldték. Az Európai Számvevőszék a megküldött észrevételek alapján elkészítette a válaszok elemzését, amelyből </w:t>
      </w:r>
      <w:r w:rsidR="00721382" w:rsidRPr="001A0512">
        <w:t>hét</w:t>
      </w:r>
      <w:r w:rsidRPr="001A0512">
        <w:t xml:space="preserve"> megállapításra vonatkozóan készült és került jóváhagyásra intézkedési terv 2013. április 25-én. </w:t>
      </w:r>
    </w:p>
    <w:p w:rsidR="00727249" w:rsidRPr="001A0512" w:rsidRDefault="00727249" w:rsidP="004869BB">
      <w:r w:rsidRPr="001A0512">
        <w:t xml:space="preserve">Az Európai Számvevőszék az ellenőrzést 2012. június 7-én lezárta. </w:t>
      </w:r>
    </w:p>
    <w:p w:rsidR="00727249" w:rsidRPr="001A0512" w:rsidRDefault="00727249" w:rsidP="004869BB">
      <w:r w:rsidRPr="001A0512">
        <w:t>A korábbi éveket érintő, még folyamatban lévő - a Programot érintő - ellenőrző látogatások nyomon követése:</w:t>
      </w:r>
    </w:p>
    <w:p w:rsidR="00727249" w:rsidRPr="001A0512" w:rsidRDefault="00727249" w:rsidP="004869BB">
      <w:r w:rsidRPr="001A0512">
        <w:rPr>
          <w:b/>
        </w:rPr>
        <w:t>2011. szeptember 5-9.</w:t>
      </w:r>
      <w:r w:rsidRPr="001A0512">
        <w:t xml:space="preserve"> között zajlott az EMVA kiadásainak pénzügyi ellenőrzése. Az ellenőrök öt, véletlenszerűen kiválasztott projektet (214., 125. és 322. intézkedések) vizsgáltak. Az audit lezajlott, a Számvevőszék észrevételei a jelentés készítéséig nem érkeztek meg. A jelentés készítésekor a vizsgálat még nem zárult le.</w:t>
      </w:r>
    </w:p>
    <w:p w:rsidR="00727249" w:rsidRPr="001A0512" w:rsidRDefault="00727249" w:rsidP="004869BB">
      <w:r w:rsidRPr="001A0512">
        <w:rPr>
          <w:b/>
        </w:rPr>
        <w:t>2011. szeptember 26-30. és október 17-21.</w:t>
      </w:r>
      <w:r w:rsidRPr="001A0512">
        <w:t xml:space="preserve"> között zajlott az irányítási és kontrolleljárások megbízhatóságának ellenőrzése a Program 121. Mezőgazdasági üzemek korszerűsítése és a 214. Agrár-környezetgazdálkodási intézkedések tekintetében.</w:t>
      </w:r>
    </w:p>
    <w:p w:rsidR="00727249" w:rsidRPr="00715E86" w:rsidRDefault="00727249" w:rsidP="00D53DF7">
      <w:r w:rsidRPr="00715E86">
        <w:t>Az Európai Számvevőszék észrevételeket fogalmazott meg például a MePAR frissítése, a késedelmes igénylés esetére előírt szankciók alkalmazásával, a költségek indokoltságának ellenőrzésével, a helyes mezőgazdasági és környezeti állapottal, az agrár-környezetgazdálkodási előírások, kötelezettségvállalások betartása, a kölcsönös megfeleltetés és trágya- és növényvédőszer-használatra vonatkozó minimumkövetelményekkel kapcsolatosan. A magyar hatóságok válasza 2012. április 24-én megküldésre került a Számvevőszék részére, azonban a vizsgálat hivatalos lezárása a jelentés készítésekor még nem történt meg.</w:t>
      </w:r>
    </w:p>
    <w:p w:rsidR="00A84FA0" w:rsidRPr="001A0512" w:rsidRDefault="00A84FA0" w:rsidP="00715E86">
      <w:pPr>
        <w:pStyle w:val="Cmsor4"/>
      </w:pPr>
      <w:bookmarkStart w:id="407" w:name="_Toc230595646"/>
      <w:r w:rsidRPr="001A0512">
        <w:t>Belső ellenőrzések</w:t>
      </w:r>
      <w:bookmarkEnd w:id="407"/>
      <w:r w:rsidR="00171EC4" w:rsidRPr="001A0512">
        <w:t xml:space="preserve"> </w:t>
      </w:r>
    </w:p>
    <w:p w:rsidR="00727249" w:rsidRPr="00F413AA" w:rsidRDefault="00171EC4" w:rsidP="00F413AA">
      <w:pPr>
        <w:pStyle w:val="Cmsor6"/>
      </w:pPr>
      <w:r w:rsidRPr="00F413AA">
        <w:t>V</w:t>
      </w:r>
      <w:r w:rsidR="00727249" w:rsidRPr="00F413AA">
        <w:t>M Ellenőrzési Főosztály</w:t>
      </w:r>
    </w:p>
    <w:p w:rsidR="00727249" w:rsidRPr="001A0512" w:rsidRDefault="00727249" w:rsidP="004869BB">
      <w:r w:rsidRPr="001A0512">
        <w:t xml:space="preserve">A VM Ellenőrzési Főosztály a 2012. évi ellenőrzési terve alapján a Program egyes intézkedéseinek, illetve jogcímeinek lebonyolításához kapcsolódó támogatási és kifizetési kérelmek megvalósulását helyszíni ellenőrzések keretében vizsgálta. </w:t>
      </w:r>
    </w:p>
    <w:p w:rsidR="00727249" w:rsidRPr="001A0512" w:rsidRDefault="00727249" w:rsidP="004869BB">
      <w:r w:rsidRPr="001A0512">
        <w:t xml:space="preserve">Az ellenőrzés során 16 megyében összesen 51 darab helyszíni ellenőrzést végeztek. </w:t>
      </w:r>
    </w:p>
    <w:p w:rsidR="00727249" w:rsidRPr="001A0512" w:rsidRDefault="00727249" w:rsidP="004869BB">
      <w:r w:rsidRPr="001A0512">
        <w:t>Az ellenőrzések fő célja annak vizsgálata volt, hogy a kockázatelemzés alapján kiválasztott támogatások elérték-e a tárca által kitűzött agrárstratégiai célokat, a támogatások felhasználása a jogszabályoknak, eljárásrendeknek, valamint a pénzügyi és számviteli lebonyolítás előírásainak betartásával valósult-e meg, valamint, hogy a vonatkozó végrehajtási és folyamatba épített ellenőrzési mechanizmusok hatékonyan működnek – a hibák és szabálytalanságok feltárása, megelőzése érdekében – és a feltárt hiányosságok kezelése megfelelően történik –e.</w:t>
      </w:r>
    </w:p>
    <w:p w:rsidR="00727249" w:rsidRPr="001A0512" w:rsidRDefault="00727249" w:rsidP="004869BB">
      <w:r w:rsidRPr="001A0512">
        <w:t xml:space="preserve">A vizsgálatok során megállapításra került, hogy a beruházások illetve a támogatások végrehajtása a célkitűzéseknek megfelelően történt, az ellenőrzés nem tette szükségessé intézkedési terv készítését. </w:t>
      </w:r>
    </w:p>
    <w:p w:rsidR="00727249" w:rsidRPr="001A0512" w:rsidRDefault="00727249" w:rsidP="004869BB">
      <w:r w:rsidRPr="001A0512">
        <w:t>A fenti ellenőrzéseken kívül a Programmal kapcsolatosan három szabályszerűségi, pénzügyi ellenőrzés zajlott 2012-ben.</w:t>
      </w:r>
    </w:p>
    <w:p w:rsidR="00727249" w:rsidRPr="001A0512" w:rsidRDefault="00727249" w:rsidP="004869BB">
      <w:r w:rsidRPr="001A0512">
        <w:t>Az MVH Szabolcs-Szatmár-Bereg Megyei Kirendeltségének tevékenységével kapcsolatos vizsgálat, külö</w:t>
      </w:r>
      <w:r w:rsidR="00171EC4" w:rsidRPr="001A0512">
        <w:t>nös tekintettel a LEADER Helyi A</w:t>
      </w:r>
      <w:r w:rsidRPr="001A0512">
        <w:t xml:space="preserve">kciócsoportok működési költségeinek támogatására, </w:t>
      </w:r>
      <w:r w:rsidRPr="001A0512">
        <w:lastRenderedPageBreak/>
        <w:t>a munkaszervezeti vezetők és tagok munkabér jellegű kifizetéseire igényelt és kifizetett források jogosságának vizsgálata, k</w:t>
      </w:r>
      <w:r w:rsidR="00171EC4" w:rsidRPr="001A0512">
        <w:t>iemelten</w:t>
      </w:r>
      <w:r w:rsidRPr="001A0512">
        <w:t xml:space="preserve"> az összeférhetetlenségi nyilatkozatokban foglaltakra. Az ellenőrzési jelentés </w:t>
      </w:r>
      <w:r w:rsidR="00171EC4" w:rsidRPr="001A0512">
        <w:t>8</w:t>
      </w:r>
      <w:r w:rsidRPr="001A0512">
        <w:t xml:space="preserve"> javaslatot tartalmazott, amelyből 3 érinti az MVH-t, és 5 az Irányító Hatóságot. A javaslatok alapján 2013. február 15-én intézkedési terv került jóváhagyásra, amelynek végrehajtása az éves előrehaladási jelentés készítésének időpontjában folyamatban van. </w:t>
      </w:r>
    </w:p>
    <w:p w:rsidR="00727249" w:rsidRPr="001A0512" w:rsidRDefault="00727249" w:rsidP="004869BB">
      <w:r w:rsidRPr="001A0512">
        <w:t xml:space="preserve">Az Új Magyarország Vidékfejlesztési Program Technikai Segítségnyújtás keret felhasználásának rendszerellenőrzése. Az ellenőrzés tárgya az egyes rendszerek kialakításának, illetve működésének átfogó vizsgálata volt, amely magában foglalta a Technikai Segítségnyújtás keretet felhasználó, a programot irányító és végrehajtó szervezetek, valamint az általuk működtetett pénzügyi, számviteli és kontrollrendszerek hatályos jogszabályok, EU előírások és Program szerinti </w:t>
      </w:r>
      <w:r w:rsidR="00171EC4" w:rsidRPr="001A0512">
        <w:t xml:space="preserve">szabályozás </w:t>
      </w:r>
      <w:r w:rsidRPr="001A0512">
        <w:t xml:space="preserve">vizsgálatát. Az ellenőrzési jelentés </w:t>
      </w:r>
      <w:r w:rsidR="00171EC4" w:rsidRPr="001A0512">
        <w:t>három</w:t>
      </w:r>
      <w:r w:rsidRPr="001A0512">
        <w:t xml:space="preserve"> javaslatot tartalmazott, amelyek alapvetően a következő tervezési időszak során figyelembe </w:t>
      </w:r>
      <w:r w:rsidR="00171EC4" w:rsidRPr="001A0512">
        <w:t>veendő szempontokat hangsúlyozták</w:t>
      </w:r>
      <w:r w:rsidRPr="001A0512">
        <w:t>. A kapcsolódó intézkedési terv összeállítása és jóváhagyása megtörtént</w:t>
      </w:r>
      <w:r w:rsidR="00171EC4" w:rsidRPr="001A0512">
        <w:t>, végrehajtása a jelentés készítésének időpontjában folyamatban volt</w:t>
      </w:r>
      <w:r w:rsidRPr="001A0512">
        <w:t>.</w:t>
      </w:r>
    </w:p>
    <w:p w:rsidR="00727249" w:rsidRPr="001A0512" w:rsidRDefault="00727249" w:rsidP="004869BB">
      <w:pPr>
        <w:rPr>
          <w:rFonts w:cs="Times New Roman"/>
        </w:rPr>
      </w:pPr>
      <w:r w:rsidRPr="001A0512">
        <w:t>Az MVH egyes agrártámogatásokhoz kapcsolódó eljárásrendjei szabályszerűségének és az eljárási határidők betartásának soron kívüli célvizsgálata, amely vizsgálat az éves jelentés benyújtásakor még nem zárult le.</w:t>
      </w:r>
    </w:p>
    <w:p w:rsidR="00727249" w:rsidRPr="00F413AA" w:rsidRDefault="00171EC4" w:rsidP="00F413AA">
      <w:pPr>
        <w:pStyle w:val="Cmsor6"/>
      </w:pPr>
      <w:r w:rsidRPr="00F413AA">
        <w:t>MVH B</w:t>
      </w:r>
      <w:r w:rsidR="00727249" w:rsidRPr="00F413AA">
        <w:t xml:space="preserve">első </w:t>
      </w:r>
      <w:r w:rsidRPr="00F413AA">
        <w:t>E</w:t>
      </w:r>
      <w:r w:rsidR="00727249" w:rsidRPr="00F413AA">
        <w:t>llenőrzés</w:t>
      </w:r>
      <w:r w:rsidRPr="00F413AA">
        <w:t>i Főosztály</w:t>
      </w:r>
    </w:p>
    <w:p w:rsidR="00727249" w:rsidRPr="001A0512" w:rsidRDefault="00727249" w:rsidP="00AA1ED3">
      <w:pPr>
        <w:rPr>
          <w:szCs w:val="22"/>
        </w:rPr>
      </w:pPr>
      <w:r w:rsidRPr="001A0512">
        <w:rPr>
          <w:szCs w:val="22"/>
        </w:rPr>
        <w:t>A Belső Ellenőrzési Főosztály (BEF) az éves munkaterve szerint a Programra összesen 16 belső ellenőri vizsgálatot irányozott elő a 2012. évre. A kockázat elemzés alapján meghatározott 16 belső ellenőri vizsgálat</w:t>
      </w:r>
      <w:r w:rsidR="00571900" w:rsidRPr="001A0512">
        <w:rPr>
          <w:szCs w:val="22"/>
        </w:rPr>
        <w:t>,</w:t>
      </w:r>
      <w:r w:rsidRPr="001A0512">
        <w:rPr>
          <w:szCs w:val="22"/>
        </w:rPr>
        <w:t xml:space="preserve"> jogcím és horizontális ellenőrzéseket, valamint utóellenőrzést egyaránt tartalmazott. A munkatervben előirányzott ellenőrzéseken kívül a 2012. évi ellenőrzések teljesítéséhez tartozott még a 2011. évben megkezdett 2012. évre áthúzódó ellenőrzések (összesen 5) lezárása. </w:t>
      </w:r>
    </w:p>
    <w:p w:rsidR="00727249" w:rsidRPr="001A0512" w:rsidRDefault="00727249" w:rsidP="00AA1ED3">
      <w:pPr>
        <w:rPr>
          <w:szCs w:val="22"/>
        </w:rPr>
      </w:pPr>
      <w:r w:rsidRPr="001A0512">
        <w:rPr>
          <w:szCs w:val="22"/>
        </w:rPr>
        <w:t xml:space="preserve">A 2012. évre tervezett ellenőrzések közül 3 vizsgálat zárlati munkái húzódtak át 2013. évre. </w:t>
      </w:r>
    </w:p>
    <w:p w:rsidR="00727249" w:rsidRPr="001A0512" w:rsidRDefault="007E5FDF" w:rsidP="00DB48A3">
      <w:pPr>
        <w:pStyle w:val="bra-cmetbla"/>
      </w:pPr>
      <w:fldSimple w:instr=" SEQ táblázat \* ARABIC ">
        <w:r w:rsidR="00E5031F">
          <w:rPr>
            <w:noProof/>
          </w:rPr>
          <w:t>109</w:t>
        </w:r>
      </w:fldSimple>
      <w:r w:rsidR="00DB48A3">
        <w:t xml:space="preserve">. táblázat: </w:t>
      </w:r>
      <w:r w:rsidR="00727249" w:rsidRPr="001A0512">
        <w:t>Elvégzett Program ellenőrzések megoszlása 2012. évben (db)</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99"/>
        <w:gridCol w:w="1893"/>
        <w:gridCol w:w="1670"/>
        <w:gridCol w:w="1670"/>
      </w:tblGrid>
      <w:tr w:rsidR="00727249" w:rsidRPr="001A0512" w:rsidTr="007B5AEF">
        <w:trPr>
          <w:trHeight w:val="397"/>
          <w:jc w:val="center"/>
        </w:trPr>
        <w:tc>
          <w:tcPr>
            <w:tcW w:w="2297" w:type="dxa"/>
            <w:shd w:val="clear" w:color="auto" w:fill="D9D9D9"/>
            <w:vAlign w:val="center"/>
          </w:tcPr>
          <w:p w:rsidR="00727249" w:rsidRPr="001A0512" w:rsidRDefault="00727249" w:rsidP="007B5AEF">
            <w:pPr>
              <w:pStyle w:val="Tbla-cm"/>
            </w:pPr>
            <w:r w:rsidRPr="001A0512">
              <w:t>Program ellenőrzések</w:t>
            </w:r>
          </w:p>
        </w:tc>
        <w:tc>
          <w:tcPr>
            <w:tcW w:w="1599" w:type="dxa"/>
            <w:shd w:val="clear" w:color="auto" w:fill="D9D9D9"/>
            <w:vAlign w:val="center"/>
          </w:tcPr>
          <w:p w:rsidR="00727249" w:rsidRPr="001A0512" w:rsidRDefault="00727249" w:rsidP="007B5AEF">
            <w:pPr>
              <w:pStyle w:val="Tbla-cm"/>
            </w:pPr>
            <w:r w:rsidRPr="001A0512">
              <w:t>2012. évre tervezett ellenőrzések</w:t>
            </w:r>
          </w:p>
        </w:tc>
        <w:tc>
          <w:tcPr>
            <w:tcW w:w="1893" w:type="dxa"/>
            <w:shd w:val="clear" w:color="auto" w:fill="D9D9D9"/>
            <w:vAlign w:val="center"/>
          </w:tcPr>
          <w:p w:rsidR="00727249" w:rsidRPr="001A0512" w:rsidRDefault="00727249" w:rsidP="007B5AEF">
            <w:pPr>
              <w:pStyle w:val="Tbla-cm"/>
            </w:pPr>
            <w:r w:rsidRPr="001A0512">
              <w:t>2011. évről áthúzódó és 2012. évben befejezett ellenőrzések</w:t>
            </w:r>
          </w:p>
        </w:tc>
        <w:tc>
          <w:tcPr>
            <w:tcW w:w="1670" w:type="dxa"/>
            <w:shd w:val="clear" w:color="auto" w:fill="D9D9D9"/>
            <w:vAlign w:val="center"/>
          </w:tcPr>
          <w:p w:rsidR="00727249" w:rsidRPr="001A0512" w:rsidRDefault="00727249" w:rsidP="007B5AEF">
            <w:pPr>
              <w:pStyle w:val="Tbla-cm"/>
            </w:pPr>
            <w:r w:rsidRPr="001A0512">
              <w:t>2012. évre tervezett és befejezett ellenőrzések</w:t>
            </w:r>
          </w:p>
        </w:tc>
        <w:tc>
          <w:tcPr>
            <w:tcW w:w="1670" w:type="dxa"/>
            <w:shd w:val="clear" w:color="auto" w:fill="D9D9D9"/>
            <w:vAlign w:val="center"/>
          </w:tcPr>
          <w:p w:rsidR="00727249" w:rsidRPr="001A0512" w:rsidRDefault="00727249" w:rsidP="007B5AEF">
            <w:pPr>
              <w:pStyle w:val="Tbla-cm"/>
            </w:pPr>
            <w:r w:rsidRPr="001A0512">
              <w:t>2012. évre tervezett és 2013. évre áthúzódó ellenőrzések</w:t>
            </w:r>
          </w:p>
        </w:tc>
      </w:tr>
      <w:tr w:rsidR="00727249" w:rsidRPr="001A0512" w:rsidTr="00727249">
        <w:trPr>
          <w:trHeight w:val="397"/>
          <w:jc w:val="center"/>
        </w:trPr>
        <w:tc>
          <w:tcPr>
            <w:tcW w:w="2297" w:type="dxa"/>
          </w:tcPr>
          <w:p w:rsidR="00727249" w:rsidRPr="001A0512" w:rsidRDefault="00727249" w:rsidP="007B5AEF">
            <w:pPr>
              <w:pStyle w:val="Tbla-bal"/>
            </w:pPr>
            <w:r w:rsidRPr="001A0512">
              <w:t>Áthúzódó és tervezett ellenőrzések összesen, ebből:</w:t>
            </w:r>
          </w:p>
        </w:tc>
        <w:tc>
          <w:tcPr>
            <w:tcW w:w="1599" w:type="dxa"/>
            <w:vAlign w:val="center"/>
          </w:tcPr>
          <w:p w:rsidR="00727249" w:rsidRPr="001A0512" w:rsidRDefault="00727249" w:rsidP="00727249">
            <w:pPr>
              <w:spacing w:after="0"/>
              <w:jc w:val="center"/>
              <w:rPr>
                <w:sz w:val="20"/>
                <w:szCs w:val="20"/>
              </w:rPr>
            </w:pPr>
            <w:r w:rsidRPr="001A0512">
              <w:rPr>
                <w:sz w:val="20"/>
                <w:szCs w:val="20"/>
              </w:rPr>
              <w:t>16*(2)</w:t>
            </w:r>
          </w:p>
        </w:tc>
        <w:tc>
          <w:tcPr>
            <w:tcW w:w="1893" w:type="dxa"/>
            <w:vAlign w:val="center"/>
          </w:tcPr>
          <w:p w:rsidR="00727249" w:rsidRPr="001A0512" w:rsidRDefault="00727249" w:rsidP="00727249">
            <w:pPr>
              <w:spacing w:after="0"/>
              <w:jc w:val="center"/>
              <w:rPr>
                <w:sz w:val="20"/>
                <w:szCs w:val="20"/>
              </w:rPr>
            </w:pPr>
            <w:r w:rsidRPr="001A0512">
              <w:rPr>
                <w:sz w:val="20"/>
                <w:szCs w:val="20"/>
              </w:rPr>
              <w:t>5</w:t>
            </w:r>
          </w:p>
        </w:tc>
        <w:tc>
          <w:tcPr>
            <w:tcW w:w="1670" w:type="dxa"/>
            <w:vAlign w:val="center"/>
          </w:tcPr>
          <w:p w:rsidR="00727249" w:rsidRPr="001A0512" w:rsidRDefault="00727249" w:rsidP="00727249">
            <w:pPr>
              <w:spacing w:after="0"/>
              <w:jc w:val="center"/>
              <w:rPr>
                <w:sz w:val="20"/>
                <w:szCs w:val="20"/>
              </w:rPr>
            </w:pPr>
            <w:r w:rsidRPr="001A0512">
              <w:rPr>
                <w:sz w:val="20"/>
                <w:szCs w:val="20"/>
              </w:rPr>
              <w:t>11</w:t>
            </w:r>
          </w:p>
        </w:tc>
        <w:tc>
          <w:tcPr>
            <w:tcW w:w="1670" w:type="dxa"/>
            <w:vAlign w:val="center"/>
          </w:tcPr>
          <w:p w:rsidR="00727249" w:rsidRPr="001A0512" w:rsidRDefault="00727249" w:rsidP="00727249">
            <w:pPr>
              <w:spacing w:after="0"/>
              <w:jc w:val="center"/>
              <w:rPr>
                <w:sz w:val="20"/>
                <w:szCs w:val="20"/>
              </w:rPr>
            </w:pPr>
            <w:r w:rsidRPr="001A0512">
              <w:rPr>
                <w:sz w:val="20"/>
                <w:szCs w:val="20"/>
              </w:rPr>
              <w:t>3</w:t>
            </w:r>
          </w:p>
        </w:tc>
      </w:tr>
      <w:tr w:rsidR="00727249" w:rsidRPr="001A0512" w:rsidTr="00727249">
        <w:trPr>
          <w:trHeight w:val="397"/>
          <w:jc w:val="center"/>
        </w:trPr>
        <w:tc>
          <w:tcPr>
            <w:tcW w:w="2297" w:type="dxa"/>
          </w:tcPr>
          <w:p w:rsidR="00727249" w:rsidRPr="001A0512" w:rsidRDefault="00727249" w:rsidP="007B5AEF">
            <w:pPr>
              <w:pStyle w:val="Tbla-bal"/>
            </w:pPr>
            <w:r w:rsidRPr="001A0512">
              <w:t>jogcím vizsgálat</w:t>
            </w:r>
          </w:p>
        </w:tc>
        <w:tc>
          <w:tcPr>
            <w:tcW w:w="1599" w:type="dxa"/>
            <w:vAlign w:val="center"/>
          </w:tcPr>
          <w:p w:rsidR="00727249" w:rsidRPr="001A0512" w:rsidRDefault="00727249" w:rsidP="00727249">
            <w:pPr>
              <w:spacing w:after="0"/>
              <w:jc w:val="center"/>
              <w:rPr>
                <w:sz w:val="20"/>
                <w:szCs w:val="20"/>
              </w:rPr>
            </w:pPr>
            <w:r w:rsidRPr="001A0512">
              <w:rPr>
                <w:sz w:val="20"/>
                <w:szCs w:val="20"/>
              </w:rPr>
              <w:t>9</w:t>
            </w:r>
          </w:p>
        </w:tc>
        <w:tc>
          <w:tcPr>
            <w:tcW w:w="1893" w:type="dxa"/>
            <w:vAlign w:val="center"/>
          </w:tcPr>
          <w:p w:rsidR="00727249" w:rsidRPr="001A0512" w:rsidRDefault="00727249" w:rsidP="00727249">
            <w:pPr>
              <w:spacing w:after="0"/>
              <w:jc w:val="center"/>
              <w:rPr>
                <w:sz w:val="20"/>
                <w:szCs w:val="20"/>
              </w:rPr>
            </w:pPr>
            <w:r w:rsidRPr="001A0512">
              <w:rPr>
                <w:sz w:val="20"/>
                <w:szCs w:val="20"/>
              </w:rPr>
              <w:t>1</w:t>
            </w:r>
          </w:p>
        </w:tc>
        <w:tc>
          <w:tcPr>
            <w:tcW w:w="1670" w:type="dxa"/>
            <w:vAlign w:val="center"/>
          </w:tcPr>
          <w:p w:rsidR="00727249" w:rsidRPr="001A0512" w:rsidRDefault="00727249" w:rsidP="00727249">
            <w:pPr>
              <w:spacing w:after="0"/>
              <w:jc w:val="center"/>
              <w:rPr>
                <w:sz w:val="20"/>
                <w:szCs w:val="20"/>
              </w:rPr>
            </w:pPr>
            <w:r w:rsidRPr="001A0512">
              <w:rPr>
                <w:sz w:val="20"/>
                <w:szCs w:val="20"/>
              </w:rPr>
              <w:t>8</w:t>
            </w:r>
          </w:p>
        </w:tc>
        <w:tc>
          <w:tcPr>
            <w:tcW w:w="1670" w:type="dxa"/>
            <w:vAlign w:val="center"/>
          </w:tcPr>
          <w:p w:rsidR="00727249" w:rsidRPr="001A0512" w:rsidRDefault="00727249" w:rsidP="00727249">
            <w:pPr>
              <w:spacing w:after="0"/>
              <w:jc w:val="center"/>
              <w:rPr>
                <w:sz w:val="20"/>
                <w:szCs w:val="20"/>
              </w:rPr>
            </w:pPr>
            <w:r w:rsidRPr="001A0512">
              <w:rPr>
                <w:sz w:val="20"/>
                <w:szCs w:val="20"/>
              </w:rPr>
              <w:t>1</w:t>
            </w:r>
          </w:p>
        </w:tc>
      </w:tr>
      <w:tr w:rsidR="00727249" w:rsidRPr="001A0512" w:rsidTr="00727249">
        <w:trPr>
          <w:trHeight w:val="397"/>
          <w:jc w:val="center"/>
        </w:trPr>
        <w:tc>
          <w:tcPr>
            <w:tcW w:w="2297" w:type="dxa"/>
          </w:tcPr>
          <w:p w:rsidR="00727249" w:rsidRPr="001A0512" w:rsidRDefault="00727249" w:rsidP="007B5AEF">
            <w:pPr>
              <w:pStyle w:val="Tbla-bal"/>
            </w:pPr>
            <w:r w:rsidRPr="001A0512">
              <w:t>horizontális</w:t>
            </w:r>
          </w:p>
        </w:tc>
        <w:tc>
          <w:tcPr>
            <w:tcW w:w="1599" w:type="dxa"/>
            <w:vAlign w:val="center"/>
          </w:tcPr>
          <w:p w:rsidR="00727249" w:rsidRPr="001A0512" w:rsidRDefault="00727249" w:rsidP="00727249">
            <w:pPr>
              <w:spacing w:after="0"/>
              <w:jc w:val="center"/>
              <w:rPr>
                <w:sz w:val="20"/>
                <w:szCs w:val="20"/>
              </w:rPr>
            </w:pPr>
            <w:r w:rsidRPr="001A0512">
              <w:rPr>
                <w:sz w:val="20"/>
                <w:szCs w:val="20"/>
              </w:rPr>
              <w:t>6*(2)</w:t>
            </w:r>
          </w:p>
        </w:tc>
        <w:tc>
          <w:tcPr>
            <w:tcW w:w="1893" w:type="dxa"/>
            <w:vAlign w:val="center"/>
          </w:tcPr>
          <w:p w:rsidR="00727249" w:rsidRPr="001A0512" w:rsidRDefault="00727249" w:rsidP="00727249">
            <w:pPr>
              <w:spacing w:after="0"/>
              <w:jc w:val="center"/>
              <w:rPr>
                <w:sz w:val="20"/>
                <w:szCs w:val="20"/>
              </w:rPr>
            </w:pPr>
            <w:r w:rsidRPr="001A0512">
              <w:rPr>
                <w:sz w:val="20"/>
                <w:szCs w:val="20"/>
              </w:rPr>
              <w:t>3</w:t>
            </w:r>
          </w:p>
        </w:tc>
        <w:tc>
          <w:tcPr>
            <w:tcW w:w="1670" w:type="dxa"/>
            <w:vAlign w:val="center"/>
          </w:tcPr>
          <w:p w:rsidR="00727249" w:rsidRPr="001A0512" w:rsidRDefault="00727249" w:rsidP="00727249">
            <w:pPr>
              <w:spacing w:after="0"/>
              <w:jc w:val="center"/>
              <w:rPr>
                <w:sz w:val="20"/>
                <w:szCs w:val="20"/>
              </w:rPr>
            </w:pPr>
            <w:r w:rsidRPr="001A0512">
              <w:rPr>
                <w:sz w:val="20"/>
                <w:szCs w:val="20"/>
              </w:rPr>
              <w:t>3</w:t>
            </w:r>
          </w:p>
        </w:tc>
        <w:tc>
          <w:tcPr>
            <w:tcW w:w="1670" w:type="dxa"/>
            <w:vAlign w:val="center"/>
          </w:tcPr>
          <w:p w:rsidR="00727249" w:rsidRPr="001A0512" w:rsidRDefault="00727249" w:rsidP="00727249">
            <w:pPr>
              <w:spacing w:after="0"/>
              <w:jc w:val="center"/>
              <w:rPr>
                <w:sz w:val="20"/>
                <w:szCs w:val="20"/>
              </w:rPr>
            </w:pPr>
            <w:r w:rsidRPr="001A0512">
              <w:rPr>
                <w:sz w:val="20"/>
                <w:szCs w:val="20"/>
              </w:rPr>
              <w:t>1</w:t>
            </w:r>
          </w:p>
        </w:tc>
      </w:tr>
      <w:tr w:rsidR="00727249" w:rsidRPr="001A0512" w:rsidTr="00727249">
        <w:trPr>
          <w:trHeight w:val="397"/>
          <w:jc w:val="center"/>
        </w:trPr>
        <w:tc>
          <w:tcPr>
            <w:tcW w:w="2297" w:type="dxa"/>
          </w:tcPr>
          <w:p w:rsidR="00727249" w:rsidRPr="001A0512" w:rsidRDefault="00727249" w:rsidP="007B5AEF">
            <w:pPr>
              <w:pStyle w:val="Tbla-bal"/>
            </w:pPr>
            <w:r w:rsidRPr="001A0512">
              <w:t>utóellenőrzés</w:t>
            </w:r>
          </w:p>
        </w:tc>
        <w:tc>
          <w:tcPr>
            <w:tcW w:w="1599" w:type="dxa"/>
            <w:vAlign w:val="center"/>
          </w:tcPr>
          <w:p w:rsidR="00727249" w:rsidRPr="001A0512" w:rsidRDefault="00727249" w:rsidP="00727249">
            <w:pPr>
              <w:spacing w:after="0"/>
              <w:jc w:val="center"/>
              <w:rPr>
                <w:sz w:val="20"/>
                <w:szCs w:val="20"/>
              </w:rPr>
            </w:pPr>
            <w:r w:rsidRPr="001A0512">
              <w:rPr>
                <w:sz w:val="20"/>
                <w:szCs w:val="20"/>
              </w:rPr>
              <w:t>1</w:t>
            </w:r>
          </w:p>
        </w:tc>
        <w:tc>
          <w:tcPr>
            <w:tcW w:w="1893" w:type="dxa"/>
            <w:vAlign w:val="center"/>
          </w:tcPr>
          <w:p w:rsidR="00727249" w:rsidRPr="001A0512" w:rsidRDefault="00727249" w:rsidP="00727249">
            <w:pPr>
              <w:spacing w:after="0"/>
              <w:jc w:val="center"/>
              <w:rPr>
                <w:sz w:val="20"/>
                <w:szCs w:val="20"/>
              </w:rPr>
            </w:pPr>
            <w:r w:rsidRPr="001A0512">
              <w:rPr>
                <w:sz w:val="20"/>
                <w:szCs w:val="20"/>
              </w:rPr>
              <w:t>1</w:t>
            </w:r>
          </w:p>
        </w:tc>
        <w:tc>
          <w:tcPr>
            <w:tcW w:w="1670" w:type="dxa"/>
            <w:vAlign w:val="center"/>
          </w:tcPr>
          <w:p w:rsidR="00727249" w:rsidRPr="001A0512" w:rsidRDefault="00727249" w:rsidP="00727249">
            <w:pPr>
              <w:spacing w:after="0"/>
              <w:jc w:val="center"/>
              <w:rPr>
                <w:sz w:val="20"/>
                <w:szCs w:val="20"/>
              </w:rPr>
            </w:pPr>
            <w:r w:rsidRPr="001A0512">
              <w:rPr>
                <w:sz w:val="20"/>
                <w:szCs w:val="20"/>
              </w:rPr>
              <w:t>0</w:t>
            </w:r>
          </w:p>
        </w:tc>
        <w:tc>
          <w:tcPr>
            <w:tcW w:w="1670" w:type="dxa"/>
            <w:vAlign w:val="center"/>
          </w:tcPr>
          <w:p w:rsidR="00727249" w:rsidRPr="001A0512" w:rsidRDefault="00727249" w:rsidP="00727249">
            <w:pPr>
              <w:spacing w:after="0"/>
              <w:jc w:val="center"/>
              <w:rPr>
                <w:sz w:val="20"/>
                <w:szCs w:val="20"/>
              </w:rPr>
            </w:pPr>
            <w:r w:rsidRPr="001A0512">
              <w:rPr>
                <w:sz w:val="20"/>
                <w:szCs w:val="20"/>
              </w:rPr>
              <w:t>1</w:t>
            </w:r>
          </w:p>
        </w:tc>
      </w:tr>
      <w:tr w:rsidR="00727249" w:rsidRPr="001A0512" w:rsidTr="00727249">
        <w:trPr>
          <w:trHeight w:val="397"/>
          <w:jc w:val="center"/>
        </w:trPr>
        <w:tc>
          <w:tcPr>
            <w:tcW w:w="2297" w:type="dxa"/>
          </w:tcPr>
          <w:p w:rsidR="00727249" w:rsidRPr="001A0512" w:rsidRDefault="00727249" w:rsidP="007B5AEF">
            <w:pPr>
              <w:pStyle w:val="Tbla-bal"/>
            </w:pPr>
            <w:r w:rsidRPr="001A0512">
              <w:t>Soron kívüli ellenőrzés (horizontális ellenőrzés)</w:t>
            </w:r>
          </w:p>
        </w:tc>
        <w:tc>
          <w:tcPr>
            <w:tcW w:w="1599" w:type="dxa"/>
            <w:vAlign w:val="center"/>
          </w:tcPr>
          <w:p w:rsidR="00727249" w:rsidRPr="001A0512" w:rsidRDefault="00727249" w:rsidP="00727249">
            <w:pPr>
              <w:spacing w:after="0"/>
              <w:jc w:val="center"/>
              <w:rPr>
                <w:sz w:val="20"/>
                <w:szCs w:val="20"/>
              </w:rPr>
            </w:pPr>
            <w:r w:rsidRPr="001A0512">
              <w:rPr>
                <w:sz w:val="20"/>
                <w:szCs w:val="20"/>
              </w:rPr>
              <w:t>0</w:t>
            </w:r>
          </w:p>
        </w:tc>
        <w:tc>
          <w:tcPr>
            <w:tcW w:w="1893" w:type="dxa"/>
            <w:vAlign w:val="center"/>
          </w:tcPr>
          <w:p w:rsidR="00727249" w:rsidRPr="001A0512" w:rsidRDefault="00727249" w:rsidP="00727249">
            <w:pPr>
              <w:spacing w:after="0"/>
              <w:jc w:val="center"/>
              <w:rPr>
                <w:sz w:val="20"/>
                <w:szCs w:val="20"/>
              </w:rPr>
            </w:pPr>
            <w:r w:rsidRPr="001A0512">
              <w:rPr>
                <w:sz w:val="20"/>
                <w:szCs w:val="20"/>
              </w:rPr>
              <w:t>0</w:t>
            </w:r>
          </w:p>
        </w:tc>
        <w:tc>
          <w:tcPr>
            <w:tcW w:w="1670" w:type="dxa"/>
            <w:vAlign w:val="center"/>
          </w:tcPr>
          <w:p w:rsidR="00727249" w:rsidRPr="001A0512" w:rsidRDefault="00727249" w:rsidP="00727249">
            <w:pPr>
              <w:spacing w:after="0"/>
              <w:jc w:val="center"/>
              <w:rPr>
                <w:sz w:val="20"/>
                <w:szCs w:val="20"/>
              </w:rPr>
            </w:pPr>
            <w:r w:rsidRPr="001A0512">
              <w:rPr>
                <w:sz w:val="20"/>
                <w:szCs w:val="20"/>
              </w:rPr>
              <w:t>0</w:t>
            </w:r>
          </w:p>
        </w:tc>
        <w:tc>
          <w:tcPr>
            <w:tcW w:w="1670" w:type="dxa"/>
            <w:vAlign w:val="center"/>
          </w:tcPr>
          <w:p w:rsidR="00727249" w:rsidRPr="001A0512" w:rsidRDefault="00727249" w:rsidP="00727249">
            <w:pPr>
              <w:spacing w:after="0"/>
              <w:jc w:val="center"/>
              <w:rPr>
                <w:sz w:val="20"/>
                <w:szCs w:val="20"/>
              </w:rPr>
            </w:pPr>
            <w:r w:rsidRPr="001A0512">
              <w:rPr>
                <w:sz w:val="20"/>
                <w:szCs w:val="20"/>
              </w:rPr>
              <w:t>0</w:t>
            </w:r>
          </w:p>
        </w:tc>
      </w:tr>
      <w:tr w:rsidR="00727249" w:rsidRPr="001A0512" w:rsidTr="00727249">
        <w:trPr>
          <w:trHeight w:val="397"/>
          <w:jc w:val="center"/>
        </w:trPr>
        <w:tc>
          <w:tcPr>
            <w:tcW w:w="2297" w:type="dxa"/>
          </w:tcPr>
          <w:p w:rsidR="00727249" w:rsidRPr="001A0512" w:rsidRDefault="00727249" w:rsidP="00727249">
            <w:pPr>
              <w:spacing w:after="0"/>
              <w:jc w:val="center"/>
              <w:rPr>
                <w:b/>
                <w:sz w:val="20"/>
                <w:szCs w:val="20"/>
              </w:rPr>
            </w:pPr>
            <w:r w:rsidRPr="001A0512">
              <w:rPr>
                <w:b/>
                <w:sz w:val="20"/>
                <w:szCs w:val="20"/>
              </w:rPr>
              <w:t>Összesen</w:t>
            </w:r>
          </w:p>
        </w:tc>
        <w:tc>
          <w:tcPr>
            <w:tcW w:w="1599" w:type="dxa"/>
            <w:vAlign w:val="center"/>
          </w:tcPr>
          <w:p w:rsidR="00727249" w:rsidRPr="00BD037E" w:rsidRDefault="00727249" w:rsidP="00BD037E">
            <w:pPr>
              <w:spacing w:after="0"/>
              <w:jc w:val="center"/>
            </w:pPr>
            <w:r w:rsidRPr="00BD037E">
              <w:t>16*(2)</w:t>
            </w:r>
          </w:p>
        </w:tc>
        <w:tc>
          <w:tcPr>
            <w:tcW w:w="1893" w:type="dxa"/>
            <w:vAlign w:val="center"/>
          </w:tcPr>
          <w:p w:rsidR="00727249" w:rsidRPr="001A0512" w:rsidRDefault="00727249" w:rsidP="00727249">
            <w:pPr>
              <w:spacing w:after="0"/>
              <w:jc w:val="center"/>
              <w:rPr>
                <w:b/>
                <w:sz w:val="20"/>
                <w:szCs w:val="20"/>
              </w:rPr>
            </w:pPr>
            <w:r w:rsidRPr="001A0512">
              <w:rPr>
                <w:b/>
                <w:sz w:val="20"/>
                <w:szCs w:val="20"/>
              </w:rPr>
              <w:t>5</w:t>
            </w:r>
          </w:p>
        </w:tc>
        <w:tc>
          <w:tcPr>
            <w:tcW w:w="1670" w:type="dxa"/>
            <w:vAlign w:val="center"/>
          </w:tcPr>
          <w:p w:rsidR="00727249" w:rsidRPr="001A0512" w:rsidRDefault="00727249" w:rsidP="00727249">
            <w:pPr>
              <w:spacing w:after="0"/>
              <w:jc w:val="center"/>
              <w:rPr>
                <w:b/>
                <w:sz w:val="20"/>
                <w:szCs w:val="20"/>
              </w:rPr>
            </w:pPr>
            <w:r w:rsidRPr="001A0512">
              <w:rPr>
                <w:b/>
                <w:sz w:val="20"/>
                <w:szCs w:val="20"/>
              </w:rPr>
              <w:t>11</w:t>
            </w:r>
          </w:p>
        </w:tc>
        <w:tc>
          <w:tcPr>
            <w:tcW w:w="1670" w:type="dxa"/>
            <w:vAlign w:val="center"/>
          </w:tcPr>
          <w:p w:rsidR="00727249" w:rsidRPr="001A0512" w:rsidRDefault="00727249" w:rsidP="00727249">
            <w:pPr>
              <w:spacing w:after="0"/>
              <w:jc w:val="center"/>
              <w:rPr>
                <w:b/>
                <w:sz w:val="20"/>
                <w:szCs w:val="20"/>
              </w:rPr>
            </w:pPr>
            <w:r w:rsidRPr="001A0512">
              <w:rPr>
                <w:b/>
                <w:sz w:val="20"/>
                <w:szCs w:val="20"/>
              </w:rPr>
              <w:t>3</w:t>
            </w:r>
          </w:p>
        </w:tc>
      </w:tr>
    </w:tbl>
    <w:p w:rsidR="00727249" w:rsidRPr="001A0512" w:rsidRDefault="00727249" w:rsidP="00AA1ED3">
      <w:pPr>
        <w:rPr>
          <w:szCs w:val="22"/>
        </w:rPr>
      </w:pPr>
      <w:r w:rsidRPr="001A0512">
        <w:rPr>
          <w:szCs w:val="22"/>
        </w:rPr>
        <w:t>* A ténylegesen tervezett vizsgálatok száma figyelembe véve a humánerőforrás hiányában elmaradó ellenőrzéseket.</w:t>
      </w:r>
    </w:p>
    <w:p w:rsidR="00727249" w:rsidRPr="001A0512" w:rsidRDefault="00727249" w:rsidP="00AA1ED3">
      <w:pPr>
        <w:rPr>
          <w:szCs w:val="22"/>
        </w:rPr>
      </w:pPr>
      <w:r w:rsidRPr="001A0512">
        <w:rPr>
          <w:szCs w:val="22"/>
        </w:rPr>
        <w:t xml:space="preserve">A 2012. évben összesen 16 db, a Program végrehajtását érintő belső ellenőri vizsgálat került lezárásra. </w:t>
      </w:r>
    </w:p>
    <w:p w:rsidR="00727249" w:rsidRPr="001A0512" w:rsidRDefault="00727249" w:rsidP="00AA1ED3">
      <w:pPr>
        <w:rPr>
          <w:szCs w:val="22"/>
        </w:rPr>
      </w:pPr>
      <w:r w:rsidRPr="001A0512">
        <w:rPr>
          <w:szCs w:val="22"/>
        </w:rPr>
        <w:t>A Program belső ellenőrzéseihez kapcsolódó intézkedések segítették a Hivatal működését, az informatikai háttér fejlesztését.</w:t>
      </w:r>
    </w:p>
    <w:p w:rsidR="00727249" w:rsidRPr="001A0512" w:rsidRDefault="00DE2B78" w:rsidP="00AA1ED3">
      <w:pPr>
        <w:rPr>
          <w:szCs w:val="22"/>
        </w:rPr>
      </w:pPr>
      <w:r w:rsidRPr="001A0512">
        <w:rPr>
          <w:szCs w:val="22"/>
        </w:rPr>
        <w:lastRenderedPageBreak/>
        <w:t>A b</w:t>
      </w:r>
      <w:r w:rsidR="00727249" w:rsidRPr="001A0512">
        <w:rPr>
          <w:szCs w:val="22"/>
        </w:rPr>
        <w:t xml:space="preserve">első ellenőrzés véleménye értelmében az MVH szervezete és alkalmazottai megfelelő szakmai tudással és gyakorlati tapasztalatokkal rendelkeznek a támogatások kifizetésével kapcsolatos feladatok elvégezéséhez. Az IIER megfelelő informatikai támogatottságot biztosít. </w:t>
      </w:r>
    </w:p>
    <w:p w:rsidR="001A0512" w:rsidRPr="00715E86" w:rsidRDefault="001A0512" w:rsidP="00AA1ED3"/>
    <w:p w:rsidR="00727249" w:rsidRPr="00715E86" w:rsidRDefault="007E5FDF" w:rsidP="00AA1ED3">
      <w:hyperlink w:anchor="_Toc290475077" w:history="1">
        <w:r w:rsidR="00727249" w:rsidRPr="00715E86">
          <w:t>2011. évről áthúzódó és 2012 évben befejezett ellenőrzések</w:t>
        </w:r>
      </w:hyperlink>
    </w:p>
    <w:p w:rsidR="00727249" w:rsidRPr="001A0512" w:rsidRDefault="007E5FDF" w:rsidP="00495C8B">
      <w:pPr>
        <w:numPr>
          <w:ilvl w:val="0"/>
          <w:numId w:val="61"/>
        </w:numPr>
        <w:suppressAutoHyphens w:val="0"/>
        <w:spacing w:after="0"/>
        <w:ind w:left="709" w:hanging="425"/>
        <w:contextualSpacing/>
        <w:rPr>
          <w:szCs w:val="22"/>
        </w:rPr>
      </w:pPr>
      <w:hyperlink w:anchor="_Toc290475078" w:history="1">
        <w:r w:rsidR="006C2767" w:rsidRPr="006C2767">
          <w:t>_Toc290475078</w:t>
        </w:r>
      </w:hyperlink>
      <w:r w:rsidR="00727249" w:rsidRPr="001A0512">
        <w:rPr>
          <w:szCs w:val="22"/>
        </w:rPr>
        <w:t xml:space="preserve"> ÚMVP jogorvoslati tevékenység vizsgálata </w:t>
      </w:r>
    </w:p>
    <w:p w:rsidR="00727249" w:rsidRPr="001A0512" w:rsidRDefault="00727249" w:rsidP="00495C8B">
      <w:pPr>
        <w:numPr>
          <w:ilvl w:val="0"/>
          <w:numId w:val="61"/>
        </w:numPr>
        <w:suppressAutoHyphens w:val="0"/>
        <w:spacing w:after="0"/>
        <w:ind w:left="709" w:hanging="425"/>
        <w:contextualSpacing/>
        <w:rPr>
          <w:szCs w:val="22"/>
        </w:rPr>
      </w:pPr>
      <w:r w:rsidRPr="001A0512">
        <w:rPr>
          <w:szCs w:val="22"/>
        </w:rPr>
        <w:t xml:space="preserve"> ÚMVP Állattartótelepek korszerűsítése III. - komplex jogcím átfogó vizsgálata </w:t>
      </w:r>
    </w:p>
    <w:p w:rsidR="00727249" w:rsidRPr="001A0512" w:rsidRDefault="00727249" w:rsidP="00495C8B">
      <w:pPr>
        <w:numPr>
          <w:ilvl w:val="0"/>
          <w:numId w:val="61"/>
        </w:numPr>
        <w:suppressAutoHyphens w:val="0"/>
        <w:spacing w:after="0"/>
        <w:ind w:left="709" w:hanging="425"/>
        <w:contextualSpacing/>
        <w:rPr>
          <w:szCs w:val="22"/>
        </w:rPr>
      </w:pPr>
      <w:r w:rsidRPr="001A0512">
        <w:rPr>
          <w:szCs w:val="22"/>
        </w:rPr>
        <w:t xml:space="preserve"> ÚMVP Szabálytalanságkezelési tevékenység vizsgálata *</w:t>
      </w:r>
    </w:p>
    <w:p w:rsidR="00727249" w:rsidRPr="001A0512" w:rsidRDefault="00727249" w:rsidP="00495C8B">
      <w:pPr>
        <w:numPr>
          <w:ilvl w:val="0"/>
          <w:numId w:val="61"/>
        </w:numPr>
        <w:suppressAutoHyphens w:val="0"/>
        <w:spacing w:after="0"/>
        <w:ind w:left="709" w:hanging="425"/>
        <w:contextualSpacing/>
        <w:rPr>
          <w:szCs w:val="22"/>
        </w:rPr>
      </w:pPr>
      <w:r w:rsidRPr="001A0512">
        <w:rPr>
          <w:szCs w:val="22"/>
        </w:rPr>
        <w:t xml:space="preserve"> ÚMVP Helyi akciócsoportok tevékenység vizsgálata*</w:t>
      </w:r>
    </w:p>
    <w:p w:rsidR="00727249" w:rsidRPr="001A0512" w:rsidRDefault="00727249" w:rsidP="00495C8B">
      <w:pPr>
        <w:numPr>
          <w:ilvl w:val="0"/>
          <w:numId w:val="61"/>
        </w:numPr>
        <w:suppressAutoHyphens w:val="0"/>
        <w:spacing w:after="0"/>
        <w:ind w:left="709" w:hanging="425"/>
        <w:contextualSpacing/>
        <w:rPr>
          <w:szCs w:val="22"/>
        </w:rPr>
      </w:pPr>
      <w:r w:rsidRPr="001A0512">
        <w:rPr>
          <w:szCs w:val="22"/>
        </w:rPr>
        <w:t xml:space="preserve"> Összevont utóellenőrzés (SAPARD, AVOP, Leader+, ÚMVP, HOP, NDP)</w:t>
      </w:r>
    </w:p>
    <w:p w:rsidR="003414ED" w:rsidRPr="001A0512" w:rsidRDefault="003414ED" w:rsidP="00AA1ED3">
      <w:pPr>
        <w:rPr>
          <w:i/>
          <w:iCs/>
          <w:noProof/>
          <w:szCs w:val="22"/>
        </w:rPr>
      </w:pPr>
      <w:r w:rsidRPr="001A0512">
        <w:rPr>
          <w:i/>
          <w:iCs/>
          <w:noProof/>
          <w:szCs w:val="22"/>
        </w:rPr>
        <w:t>*Évközi kockázatelemzés alapján felvett vizsgálatok.</w:t>
      </w:r>
    </w:p>
    <w:p w:rsidR="00727249" w:rsidRPr="00BD037E" w:rsidRDefault="00727249" w:rsidP="003414ED">
      <w:pPr>
        <w:spacing w:after="0"/>
        <w:ind w:firstLine="0"/>
      </w:pPr>
    </w:p>
    <w:p w:rsidR="00727249" w:rsidRPr="00715E86" w:rsidRDefault="007E5FDF" w:rsidP="00AA1ED3">
      <w:hyperlink w:anchor="_Toc290475063" w:history="1">
        <w:r w:rsidR="00727249" w:rsidRPr="00715E86">
          <w:t>2012. évre tervezett és befejezett ellenőrzések</w:t>
        </w:r>
      </w:hyperlink>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 ÚMVP Nem termelő mezőgazdasági beruházások jogcím átfogó vizsgálata</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 ÚMVP Fiatal mezőgazdasági termelők elindítása II. jogcím átfogó vizsgálata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 ÚMVP Gépek, technológiai berendezések beszerzése II. jogcím átfogó vizsgálata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 ÚMVP Kertészet korszerűsítése II. jogcím átfogó vizsgálata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ÚMVP Az ÚMVP I.-II. tengelyének intézkedéseihez kapcsolódó képzések (szakképzés) jogcím átfogó vizsgálata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ÚMVP Mezőgazdasági bekötő-és feltáró utak fejlesztése jogcím átfogó vizsgálata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ÚMVP Mezőgazdasági termékek értéknövelése II. jogcím átfogó vizsgálata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ÚMVP előleg konstrukció végrehajtása, kapcsolódó nem megfelelőségek kezelése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 xml:space="preserve">ÚMVP Agrár-környezetgazdálkodás és génmegőrzés (AKG) jogcím átfogó vizsgálata </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Hivatal akkreditációs feltételeknek való megfelelésének vizsgálata</w:t>
      </w:r>
    </w:p>
    <w:p w:rsidR="00727249" w:rsidRPr="001A0512" w:rsidRDefault="00727249" w:rsidP="00495C8B">
      <w:pPr>
        <w:numPr>
          <w:ilvl w:val="0"/>
          <w:numId w:val="62"/>
        </w:numPr>
        <w:suppressAutoHyphens w:val="0"/>
        <w:spacing w:after="0"/>
        <w:ind w:hanging="436"/>
        <w:contextualSpacing/>
        <w:rPr>
          <w:color w:val="000000"/>
          <w:szCs w:val="22"/>
        </w:rPr>
      </w:pPr>
      <w:r w:rsidRPr="001A0512">
        <w:rPr>
          <w:color w:val="000000"/>
          <w:szCs w:val="22"/>
        </w:rPr>
        <w:t>EMVA megbízhatósági nyilatkozatot megalapozó jelentéskészítési tevékenység vizsgálata</w:t>
      </w:r>
    </w:p>
    <w:p w:rsidR="00727249" w:rsidRPr="001A0512" w:rsidRDefault="00727249" w:rsidP="00727249">
      <w:pPr>
        <w:spacing w:after="0"/>
        <w:rPr>
          <w:noProof/>
          <w:szCs w:val="22"/>
          <w:u w:val="single"/>
        </w:rPr>
      </w:pPr>
    </w:p>
    <w:p w:rsidR="00727249" w:rsidRPr="00715E86" w:rsidRDefault="007E5FDF" w:rsidP="00AA1ED3">
      <w:hyperlink w:anchor="_Toc290475077" w:history="1">
        <w:r w:rsidR="00727249" w:rsidRPr="00715E86">
          <w:t>2013. évre áthúzódó ellenőrzések</w:t>
        </w:r>
      </w:hyperlink>
    </w:p>
    <w:p w:rsidR="00727249" w:rsidRPr="007C4555" w:rsidRDefault="007C4555" w:rsidP="007C4555">
      <w:r>
        <w:t xml:space="preserve">1.) </w:t>
      </w:r>
      <w:r w:rsidR="00727249" w:rsidRPr="007C4555">
        <w:t xml:space="preserve">ÚMVP Technikai segítségnyújtás jogcím átfogó vizsgálata </w:t>
      </w:r>
    </w:p>
    <w:p w:rsidR="00727249" w:rsidRPr="007C4555" w:rsidRDefault="007C4555" w:rsidP="007C4555">
      <w:r>
        <w:t xml:space="preserve">2.) </w:t>
      </w:r>
      <w:r w:rsidR="00727249" w:rsidRPr="007C4555">
        <w:t>ÚMVP Mezőgazdasági területeken agrárerdészeti rendszerek létrehozása jogcím átfogó vizsgálata</w:t>
      </w:r>
    </w:p>
    <w:p w:rsidR="00727249" w:rsidRPr="007C4555" w:rsidRDefault="007C4555" w:rsidP="007C4555">
      <w:r>
        <w:t xml:space="preserve">3.) </w:t>
      </w:r>
      <w:r w:rsidR="00727249" w:rsidRPr="007C4555">
        <w:t xml:space="preserve">Összevont utóellenőrzés (SAPARD, AVOP, Leader+, ÚMVP, HOP, NDP) </w:t>
      </w:r>
    </w:p>
    <w:p w:rsidR="00727249" w:rsidRPr="00AA1ED3" w:rsidRDefault="003414ED" w:rsidP="00AA1ED3">
      <w:pPr>
        <w:pStyle w:val="Cmsor6"/>
      </w:pPr>
      <w:bookmarkStart w:id="408" w:name="_Toc353450270"/>
      <w:r w:rsidRPr="00AA1ED3">
        <w:t xml:space="preserve">MVH </w:t>
      </w:r>
      <w:r w:rsidR="00727249" w:rsidRPr="00AA1ED3">
        <w:t>Területi Ellenőrzési Főosztály</w:t>
      </w:r>
      <w:bookmarkEnd w:id="408"/>
    </w:p>
    <w:p w:rsidR="00727249" w:rsidRPr="001A0512" w:rsidRDefault="00727249" w:rsidP="007B5AEF">
      <w:pPr>
        <w:rPr>
          <w:iCs/>
          <w:szCs w:val="22"/>
        </w:rPr>
      </w:pPr>
      <w:r w:rsidRPr="001A0512">
        <w:rPr>
          <w:iCs/>
          <w:szCs w:val="22"/>
        </w:rPr>
        <w:t xml:space="preserve">A Programmal kapcsolatos helyszíni ellenőrzések célja 2012-ben is az volt, hogy maradéktalanul megfeleljen a Program helyszíni vizsgálatokkal kapcsolatos követelményeinek, elvárásainak. </w:t>
      </w:r>
    </w:p>
    <w:p w:rsidR="00727249" w:rsidRPr="001A0512" w:rsidRDefault="00727249" w:rsidP="007C4555">
      <w:pPr>
        <w:rPr>
          <w:iCs/>
          <w:szCs w:val="22"/>
        </w:rPr>
      </w:pPr>
      <w:r w:rsidRPr="001A0512">
        <w:rPr>
          <w:iCs/>
          <w:szCs w:val="22"/>
        </w:rPr>
        <w:t xml:space="preserve">2012. év fő feladata a Program ellenőrzéseinek vonatkozásában az egységes IIER-es jegyzőkönyv kialakítása volt, amely a korábban kialakított és minden beruházási jogcím esetén bevezetett költségvetési tábla rendszerén alapult. A költségvetési tábla egy olyan program-rendszer, amely elvégzi az ellenőrzésre, illetve szemlére kiválasztott kérelmek vonatkozásában a helyszínen vizsgálandó gépek, ÉNGY kódok, számlák kijelölését, valamint ellenőrzési listákat generál. A kiválasztások hatékony elvégzéséhez az IIER és a kiválasztó rendszer közötti közvetlen kapcsolat, úgynevezett </w:t>
      </w:r>
      <w:r w:rsidRPr="001A0512">
        <w:rPr>
          <w:i/>
          <w:iCs/>
          <w:szCs w:val="22"/>
        </w:rPr>
        <w:t>interface</w:t>
      </w:r>
      <w:r w:rsidRPr="001A0512">
        <w:rPr>
          <w:iCs/>
          <w:szCs w:val="22"/>
        </w:rPr>
        <w:t xml:space="preserve"> kialakítása jelenleg is folyamatban van. A kiválasztások hatékony és eredményes végrehajtása érdekében új modellek kialakítása történt meg. A 2010-ben kialakított, a határidők nyomon követésére szolgáló, IIER Adattár</w:t>
      </w:r>
      <w:r w:rsidRPr="001A0512">
        <w:rPr>
          <w:b/>
          <w:iCs/>
          <w:szCs w:val="22"/>
        </w:rPr>
        <w:t xml:space="preserve"> </w:t>
      </w:r>
      <w:r w:rsidRPr="001A0512">
        <w:rPr>
          <w:iCs/>
          <w:szCs w:val="22"/>
        </w:rPr>
        <w:t xml:space="preserve">használata folyamatban van, annak további pontosítása történt a kiválasztásokhoz, statisztikák készítéséhez szükséges adatok naprakész lekérdezhetősége érdekében. Továbbá az IIER Adattár teszi lehetővé a helyszíni ellenőrzési és szemle határidők betartásának nyomon követését is. </w:t>
      </w:r>
    </w:p>
    <w:p w:rsidR="00727249" w:rsidRPr="001A0512" w:rsidRDefault="00727249" w:rsidP="007C4555">
      <w:pPr>
        <w:rPr>
          <w:szCs w:val="22"/>
        </w:rPr>
      </w:pPr>
      <w:r w:rsidRPr="001A0512">
        <w:rPr>
          <w:szCs w:val="22"/>
        </w:rPr>
        <w:t xml:space="preserve">2012-ben két kifizetési kérelem beadási időszak volt, februártól májusig, valamint augusztustól decemberig lehetett elszámolást benyújtani. Ennek megfelelően a kérelem számtól függően </w:t>
      </w:r>
      <w:r w:rsidRPr="001A0512">
        <w:rPr>
          <w:szCs w:val="22"/>
        </w:rPr>
        <w:lastRenderedPageBreak/>
        <w:t>folyamatosan valósultak meg a vizsgálatok. Az ellenőrzések a beadási időszaktól függetlenül folyamatosan történtek az évben.</w:t>
      </w:r>
    </w:p>
    <w:p w:rsidR="00727249" w:rsidRPr="001A0512" w:rsidRDefault="00727249" w:rsidP="007C4555">
      <w:pPr>
        <w:rPr>
          <w:szCs w:val="22"/>
        </w:rPr>
      </w:pPr>
      <w:r w:rsidRPr="001A0512">
        <w:rPr>
          <w:szCs w:val="22"/>
        </w:rPr>
        <w:t xml:space="preserve">A vizsgált időszak </w:t>
      </w:r>
      <w:r w:rsidRPr="001A0512">
        <w:rPr>
          <w:color w:val="000000"/>
          <w:szCs w:val="22"/>
        </w:rPr>
        <w:t>alatt a Program jogcímei esetében 3</w:t>
      </w:r>
      <w:r w:rsidR="003414ED" w:rsidRPr="001A0512">
        <w:rPr>
          <w:color w:val="000000"/>
          <w:szCs w:val="22"/>
        </w:rPr>
        <w:t> </w:t>
      </w:r>
      <w:r w:rsidRPr="001A0512">
        <w:rPr>
          <w:color w:val="000000"/>
          <w:szCs w:val="22"/>
        </w:rPr>
        <w:t xml:space="preserve">378 előzetes helyszíni szemlére, </w:t>
      </w:r>
      <w:r w:rsidRPr="001A0512">
        <w:rPr>
          <w:szCs w:val="22"/>
        </w:rPr>
        <w:t>1</w:t>
      </w:r>
      <w:r w:rsidR="003414ED" w:rsidRPr="001A0512">
        <w:rPr>
          <w:szCs w:val="22"/>
        </w:rPr>
        <w:t> </w:t>
      </w:r>
      <w:r w:rsidRPr="001A0512">
        <w:rPr>
          <w:szCs w:val="22"/>
        </w:rPr>
        <w:t xml:space="preserve">479 esemény szemlére, </w:t>
      </w:r>
      <w:r w:rsidRPr="001A0512">
        <w:rPr>
          <w:color w:val="000000"/>
          <w:szCs w:val="22"/>
        </w:rPr>
        <w:t>5</w:t>
      </w:r>
      <w:r w:rsidR="003414ED" w:rsidRPr="001A0512">
        <w:rPr>
          <w:color w:val="000000"/>
          <w:szCs w:val="22"/>
        </w:rPr>
        <w:t> </w:t>
      </w:r>
      <w:r w:rsidRPr="001A0512">
        <w:rPr>
          <w:color w:val="000000"/>
          <w:szCs w:val="22"/>
        </w:rPr>
        <w:t xml:space="preserve">247 helyszíni szemlére, </w:t>
      </w:r>
      <w:r w:rsidRPr="001A0512">
        <w:rPr>
          <w:szCs w:val="22"/>
        </w:rPr>
        <w:t xml:space="preserve">valamint </w:t>
      </w:r>
      <w:r w:rsidRPr="001A0512">
        <w:rPr>
          <w:color w:val="000000"/>
          <w:szCs w:val="22"/>
        </w:rPr>
        <w:t>3</w:t>
      </w:r>
      <w:r w:rsidR="003414ED" w:rsidRPr="001A0512">
        <w:rPr>
          <w:color w:val="000000"/>
          <w:szCs w:val="22"/>
        </w:rPr>
        <w:t> </w:t>
      </w:r>
      <w:r w:rsidRPr="001A0512">
        <w:rPr>
          <w:color w:val="000000"/>
          <w:szCs w:val="22"/>
        </w:rPr>
        <w:t xml:space="preserve">347 </w:t>
      </w:r>
      <w:r w:rsidRPr="001A0512">
        <w:rPr>
          <w:szCs w:val="22"/>
        </w:rPr>
        <w:t>helyszíni ellenőrzésre került sor.</w:t>
      </w:r>
    </w:p>
    <w:p w:rsidR="00727249" w:rsidRPr="00053C2D" w:rsidRDefault="00A84FA0" w:rsidP="00715E86">
      <w:pPr>
        <w:pStyle w:val="Cmsor4"/>
      </w:pPr>
      <w:bookmarkStart w:id="409" w:name="_Toc215481026"/>
      <w:bookmarkStart w:id="410" w:name="_Toc230595648"/>
      <w:bookmarkStart w:id="411" w:name="_Toc232860199"/>
      <w:r w:rsidRPr="00053C2D">
        <w:t>Fellebbezések</w:t>
      </w:r>
      <w:bookmarkEnd w:id="409"/>
      <w:bookmarkEnd w:id="410"/>
      <w:bookmarkEnd w:id="411"/>
      <w:r w:rsidR="003D11EF" w:rsidRPr="00053C2D">
        <w:t xml:space="preserve"> </w:t>
      </w:r>
      <w:bookmarkStart w:id="412" w:name="_Toc353450272"/>
      <w:r w:rsidR="00727249" w:rsidRPr="00053C2D">
        <w:t>száma és eredménye 2012-ben</w:t>
      </w:r>
      <w:bookmarkEnd w:id="412"/>
    </w:p>
    <w:p w:rsidR="00727249" w:rsidRPr="00053C2D" w:rsidRDefault="00727249" w:rsidP="007C4555">
      <w:pPr>
        <w:rPr>
          <w:szCs w:val="22"/>
        </w:rPr>
      </w:pPr>
      <w:r w:rsidRPr="00053C2D">
        <w:rPr>
          <w:szCs w:val="22"/>
        </w:rPr>
        <w:t>2012. év folyamán a Program jogcímeivel kapcsolatosan összesen 3</w:t>
      </w:r>
      <w:r w:rsidR="003414ED" w:rsidRPr="00053C2D">
        <w:rPr>
          <w:szCs w:val="22"/>
        </w:rPr>
        <w:t> </w:t>
      </w:r>
      <w:r w:rsidRPr="00053C2D">
        <w:rPr>
          <w:szCs w:val="22"/>
        </w:rPr>
        <w:t>763 fellebbezés érkezett be. Tárgyévben összesen 3</w:t>
      </w:r>
      <w:r w:rsidR="003414ED" w:rsidRPr="00053C2D">
        <w:rPr>
          <w:szCs w:val="22"/>
        </w:rPr>
        <w:t> </w:t>
      </w:r>
      <w:r w:rsidRPr="00053C2D">
        <w:rPr>
          <w:szCs w:val="22"/>
        </w:rPr>
        <w:t>247 kérelmet zárt le a II. fok. A legtöbb lezárt fellebbezés estén I. fokot helybenhagyó döntés született.</w:t>
      </w:r>
    </w:p>
    <w:p w:rsidR="00727249" w:rsidRPr="00053C2D" w:rsidRDefault="00727249" w:rsidP="00727249">
      <w:r w:rsidRPr="00053C2D">
        <w:t xml:space="preserve">A Program IV. tengelyéhez tartozó Helyi </w:t>
      </w:r>
      <w:r w:rsidR="003414ED" w:rsidRPr="00053C2D">
        <w:t>Vidékf</w:t>
      </w:r>
      <w:r w:rsidRPr="00053C2D">
        <w:t xml:space="preserve">ejlesztési </w:t>
      </w:r>
      <w:r w:rsidR="003414ED" w:rsidRPr="00053C2D">
        <w:t>S</w:t>
      </w:r>
      <w:r w:rsidRPr="00053C2D">
        <w:t>tratégiák</w:t>
      </w:r>
      <w:r w:rsidRPr="00053C2D" w:rsidDel="00D03FE5">
        <w:t xml:space="preserve"> </w:t>
      </w:r>
      <w:r w:rsidRPr="00053C2D">
        <w:t>jogcímcsoport kapcsán érkezett be a legtöbb fellebbezés. A fellebbezések száma meghaladta a 600-at. Ezt követte az Agrár-környezetgazdálkodás jogcímben és a Fiatal mezőgazdasági termelők ind</w:t>
      </w:r>
      <w:r w:rsidR="003414ED" w:rsidRPr="00053C2D">
        <w:t>uló támogatása</w:t>
      </w:r>
      <w:r w:rsidRPr="00053C2D">
        <w:t xml:space="preserve"> jogcímben valamint a Turisztikai tevékenységek ösztönzése jogcímben benyújtott fellebbezések száma. </w:t>
      </w:r>
    </w:p>
    <w:p w:rsidR="00727249" w:rsidRPr="00053C2D" w:rsidRDefault="00727249" w:rsidP="00715E86">
      <w:pPr>
        <w:pStyle w:val="Cmsor4"/>
      </w:pPr>
      <w:r w:rsidRPr="00053C2D">
        <w:t xml:space="preserve">Szabálytalanságok kezelése, valamint azok jelenése </w:t>
      </w:r>
    </w:p>
    <w:p w:rsidR="00727249" w:rsidRPr="001A0512" w:rsidRDefault="00727249" w:rsidP="007C4555">
      <w:pPr>
        <w:rPr>
          <w:szCs w:val="22"/>
        </w:rPr>
      </w:pPr>
      <w:r w:rsidRPr="001A0512">
        <w:rPr>
          <w:szCs w:val="22"/>
        </w:rPr>
        <w:t xml:space="preserve">Szabálytalanság alatt a közösségi jog valamely rendelkezésének egy piaci szereplő magatartása vagy mulasztása általi megsértését jelenti, aminek következtében a Közösségek általános költségvetése vagy az általuk kezelt költségvetések hátrányt szenvednek, vagy szenvednének akár a saját eszközökből származó, közvetlenül a Közösségek nevében behajtásra kerülő saját forrásokból származó bevételek csökkenése vagy elmaradása révén, akár indokolatlan kiadási tételek miatt (Az Európai Közösségek pénzügyi érdekeinek védelméről szóló 1995. december 18-i 2988/1995. EK Tanácsi rendelet </w:t>
      </w:r>
      <w:r w:rsidR="003414ED" w:rsidRPr="001A0512">
        <w:rPr>
          <w:szCs w:val="22"/>
        </w:rPr>
        <w:t>1. cikkének 2. bekezdése</w:t>
      </w:r>
      <w:r w:rsidRPr="001A0512">
        <w:rPr>
          <w:szCs w:val="22"/>
        </w:rPr>
        <w:t>.</w:t>
      </w:r>
    </w:p>
    <w:p w:rsidR="00727249" w:rsidRPr="001A0512" w:rsidRDefault="00727249" w:rsidP="00727249">
      <w:pPr>
        <w:rPr>
          <w:szCs w:val="22"/>
        </w:rPr>
      </w:pPr>
      <w:r w:rsidRPr="001A0512">
        <w:rPr>
          <w:szCs w:val="22"/>
        </w:rPr>
        <w:t>Szabálytalanságnak kell tekinteni különösen azokat az eseteket, amikor:</w:t>
      </w:r>
    </w:p>
    <w:p w:rsidR="00727249" w:rsidRPr="001A0512" w:rsidRDefault="005F4D5E" w:rsidP="005F4D5E">
      <w:pPr>
        <w:pStyle w:val="Normllista2"/>
      </w:pPr>
      <w:r>
        <w:t xml:space="preserve">- </w:t>
      </w:r>
      <w:r w:rsidR="00727249" w:rsidRPr="001A0512">
        <w:t>a kifizetésre jogosulatlanul kerül sor;</w:t>
      </w:r>
    </w:p>
    <w:p w:rsidR="00727249" w:rsidRPr="001A0512" w:rsidRDefault="005F4D5E" w:rsidP="005F4D5E">
      <w:pPr>
        <w:pStyle w:val="Normllista2"/>
      </w:pPr>
      <w:r>
        <w:t>- </w:t>
      </w:r>
      <w:r w:rsidR="00727249" w:rsidRPr="001A0512">
        <w:t>a kifizetésre még nem került sor, de közigazgatási szankció alkalmazására vagy büntetőjogi feljelentésre kerül sor;</w:t>
      </w:r>
    </w:p>
    <w:p w:rsidR="00727249" w:rsidRDefault="005F4D5E" w:rsidP="005F4D5E">
      <w:pPr>
        <w:pStyle w:val="Normllista2"/>
      </w:pPr>
      <w:r>
        <w:t xml:space="preserve">- </w:t>
      </w:r>
      <w:r w:rsidR="00727249" w:rsidRPr="001A0512">
        <w:t>jogosulatlanul marad el illeték kivetése/beszedése.</w:t>
      </w:r>
    </w:p>
    <w:p w:rsidR="009C4E1A" w:rsidRPr="001A0512" w:rsidRDefault="009C4E1A" w:rsidP="005F4D5E">
      <w:pPr>
        <w:pStyle w:val="Normllista2"/>
      </w:pPr>
    </w:p>
    <w:p w:rsidR="00727249" w:rsidRPr="001A0512" w:rsidRDefault="00727249" w:rsidP="00727249">
      <w:pPr>
        <w:rPr>
          <w:szCs w:val="22"/>
        </w:rPr>
      </w:pPr>
      <w:r w:rsidRPr="001A0512">
        <w:rPr>
          <w:szCs w:val="22"/>
        </w:rPr>
        <w:t>Tekintet nélkül a szabálytalanság szándékos vagy nem szándékos, rendszeres vagy eseti voltára.</w:t>
      </w:r>
    </w:p>
    <w:p w:rsidR="00727249" w:rsidRPr="005F4D5E" w:rsidRDefault="00727249" w:rsidP="005F4D5E">
      <w:r w:rsidRPr="005F4D5E">
        <w:t>Az EU által társfinanszírozott támogatásokhoz kötődő tagállami jelentési kötelezettség kapcsán, a 10 000 euró értékhatárt elérő szabálytalanságok ügyenként negyedévente jelentésre kerülnek az Európai Bizottság Csalás Elleni Irodája (OLAF) felé.</w:t>
      </w:r>
    </w:p>
    <w:p w:rsidR="00727249" w:rsidRPr="005F4D5E" w:rsidRDefault="00727249" w:rsidP="005F4D5E">
      <w:r w:rsidRPr="005F4D5E">
        <w:t xml:space="preserve">A 10 000 euró értékhatárt elérő szabálytalanságok estén a legtöbb szabálytalanság az I. tengelyes intézkedések, azon belül a Fiatal mezőgazdasági termelők számára nyújtandó támogatás kapcsán lett megállapítva. Ezt követi a szintén I. tengely alá tartozó Állattartó telepek korszerűsítése jogcím. </w:t>
      </w:r>
    </w:p>
    <w:p w:rsidR="00727249" w:rsidRPr="005F4D5E" w:rsidRDefault="00727249" w:rsidP="005F4D5E">
      <w:r w:rsidRPr="005F4D5E">
        <w:t>A 10 000 euró értékhatárt el nem érő szabálytalanságok a Mezőgazdasági és Vidékfejlesztési Hivatalnál egy egységes adatbázisban kerülnek rögzítésre.</w:t>
      </w:r>
    </w:p>
    <w:p w:rsidR="00F810AB" w:rsidRPr="005F4D5E" w:rsidRDefault="00F810AB" w:rsidP="009C4E1A">
      <w:pPr>
        <w:ind w:firstLine="0"/>
        <w:sectPr w:rsidR="00F810AB" w:rsidRPr="005F4D5E" w:rsidSect="0024276F">
          <w:pgSz w:w="11906" w:h="16838"/>
          <w:pgMar w:top="1418" w:right="1418" w:bottom="1418" w:left="1418" w:header="709" w:footer="709" w:gutter="0"/>
          <w:cols w:space="708"/>
          <w:docGrid w:linePitch="360"/>
        </w:sectPr>
      </w:pPr>
    </w:p>
    <w:p w:rsidR="00461517" w:rsidRPr="001A4EA4" w:rsidRDefault="00A84FA0" w:rsidP="00461517">
      <w:pPr>
        <w:pStyle w:val="Cmsor2"/>
        <w:numPr>
          <w:ilvl w:val="1"/>
          <w:numId w:val="1"/>
        </w:numPr>
        <w:tabs>
          <w:tab w:val="num" w:pos="660"/>
        </w:tabs>
        <w:ind w:left="660" w:hanging="660"/>
      </w:pPr>
      <w:bookmarkStart w:id="413" w:name="_Toc215481027"/>
      <w:bookmarkStart w:id="414" w:name="_Toc230595649"/>
      <w:bookmarkStart w:id="415" w:name="_Toc232860200"/>
      <w:bookmarkStart w:id="416" w:name="_Toc360176841"/>
      <w:r w:rsidRPr="009D1B7B">
        <w:lastRenderedPageBreak/>
        <w:t>Technikai segítségnyújtás</w:t>
      </w:r>
      <w:bookmarkStart w:id="417" w:name="_Toc261263292"/>
      <w:bookmarkEnd w:id="413"/>
      <w:bookmarkEnd w:id="414"/>
      <w:bookmarkEnd w:id="415"/>
      <w:bookmarkEnd w:id="416"/>
    </w:p>
    <w:p w:rsidR="00E62DF8" w:rsidRPr="0050745C" w:rsidRDefault="00E62DF8" w:rsidP="00E62DF8">
      <w:pPr>
        <w:rPr>
          <w:lang w:bidi="sa-IN"/>
        </w:rPr>
      </w:pPr>
      <w:r>
        <w:rPr>
          <w:lang w:bidi="sa-IN"/>
        </w:rPr>
        <w:t>A</w:t>
      </w:r>
      <w:r w:rsidRPr="0050745C">
        <w:rPr>
          <w:lang w:bidi="sa-IN"/>
        </w:rPr>
        <w:t>z Európai Mezőgazdasági Vidékfejlesztési Alapból (EMVA) nyújtandó vidékfejlesztési támogatásról szóló 1698/</w:t>
      </w:r>
      <w:r>
        <w:rPr>
          <w:lang w:bidi="sa-IN"/>
        </w:rPr>
        <w:t>2005/EK tanácsi rendelet</w:t>
      </w:r>
      <w:r w:rsidRPr="0050745C">
        <w:rPr>
          <w:lang w:bidi="sa-IN"/>
        </w:rPr>
        <w:t xml:space="preserve"> értelmében az EMVA </w:t>
      </w:r>
      <w:r>
        <w:rPr>
          <w:lang w:bidi="sa-IN"/>
        </w:rPr>
        <w:t>társ</w:t>
      </w:r>
      <w:r w:rsidRPr="0050745C">
        <w:rPr>
          <w:lang w:bidi="sa-IN"/>
        </w:rPr>
        <w:t xml:space="preserve">finanszírozhatja a programhoz kapcsolódó segítségnyújtás előkészítő, irányítási, monitoring, értékelési, tájékoztatási és ellenőrzési tevékenységeit. Az egyes programokra jutó teljes összeg legfeljebb 4%-a fordítható ezekre a tevékenységekre. </w:t>
      </w:r>
      <w:r w:rsidRPr="0050745C">
        <w:t>Az intézkedés keretében nyújtott támogatás az EK Szerződés 87. cikke alapján nem minősül állami támogatásnak. A támogatás mértéke: az összes jogosult költség 100%-a.</w:t>
      </w:r>
    </w:p>
    <w:p w:rsidR="00E62DF8" w:rsidRPr="0050745C" w:rsidRDefault="00E62DF8" w:rsidP="00E62DF8">
      <w:pPr>
        <w:rPr>
          <w:lang w:bidi="sa-IN"/>
        </w:rPr>
      </w:pPr>
      <w:r w:rsidRPr="0050745C">
        <w:rPr>
          <w:lang w:bidi="sa-IN"/>
        </w:rPr>
        <w:t>A Technikai Segítségnyújtás a Program hatékony lebonyolítását kívánja elősegíteni. Az intézkedések és tevékenységek megvalósítása, lebonyolítása során az intézményrendszer részéről felmerülő, különböző természetű forrásigények kielégítését szolgálja.</w:t>
      </w:r>
    </w:p>
    <w:p w:rsidR="00E62DF8" w:rsidRPr="00CD59FC" w:rsidRDefault="00E62DF8" w:rsidP="00E62DF8">
      <w:pPr>
        <w:rPr>
          <w:lang w:bidi="sa-IN"/>
        </w:rPr>
      </w:pPr>
      <w:r>
        <w:rPr>
          <w:lang w:bidi="sa-IN"/>
        </w:rPr>
        <w:t>2012</w:t>
      </w:r>
      <w:r w:rsidRPr="00CD59FC">
        <w:rPr>
          <w:lang w:bidi="sa-IN"/>
        </w:rPr>
        <w:t>. során a Technikai Segítségnyújtás intézkedés keretében a következő három tevékenység megvalósítása zajlott:</w:t>
      </w:r>
    </w:p>
    <w:p w:rsidR="00E62DF8" w:rsidRPr="00CD59FC" w:rsidRDefault="00E62DF8" w:rsidP="00E62DF8">
      <w:pPr>
        <w:pStyle w:val="j-felsorols1"/>
      </w:pPr>
      <w:r w:rsidRPr="00CD59FC">
        <w:rPr>
          <w:b/>
          <w:bCs/>
        </w:rPr>
        <w:t>1. tevékenység</w:t>
      </w:r>
      <w:r w:rsidRPr="00CD59FC">
        <w:t>: A Magyar Nemzeti Vidéki Hálózat (MNVH) létrehozása és működtetése, amely a vidékfejlesztéssel foglalkozó szervezetek és közigazgatási szervek információs és együttműködési tevékenységeit</w:t>
      </w:r>
      <w:r w:rsidRPr="00C84EAA">
        <w:t xml:space="preserve"> koordinálja. Az int</w:t>
      </w:r>
      <w:r>
        <w:t>ézkedés keretének terhére a 2012</w:t>
      </w:r>
      <w:r w:rsidRPr="00C84EAA">
        <w:t>. évben finanszírozási kérelmet nem nyújt</w:t>
      </w:r>
      <w:r>
        <w:t>ott be a kedvezményezett. A 2012</w:t>
      </w:r>
      <w:r w:rsidRPr="00C84EAA">
        <w:t xml:space="preserve">. </w:t>
      </w:r>
      <w:r w:rsidRPr="00C00EAB">
        <w:t>évben 16 benyújtott</w:t>
      </w:r>
      <w:r w:rsidRPr="006B23B6">
        <w:t xml:space="preserve"> kifizetési </w:t>
      </w:r>
      <w:r w:rsidRPr="00C00EAB">
        <w:t>kérelemből 16</w:t>
      </w:r>
      <w:r w:rsidRPr="008D4A69">
        <w:t xml:space="preserve"> kérelem került </w:t>
      </w:r>
      <w:r w:rsidRPr="00CD59FC">
        <w:t xml:space="preserve">jóváhagyásra </w:t>
      </w:r>
      <w:r>
        <w:t>1 539 200</w:t>
      </w:r>
      <w:r w:rsidRPr="00CD59FC">
        <w:t xml:space="preserve"> </w:t>
      </w:r>
      <w:r>
        <w:t>euró</w:t>
      </w:r>
      <w:r w:rsidRPr="00CD59FC">
        <w:t xml:space="preserve"> összegben.</w:t>
      </w:r>
    </w:p>
    <w:p w:rsidR="00E62DF8" w:rsidRDefault="00E62DF8" w:rsidP="00E62DF8">
      <w:pPr>
        <w:pStyle w:val="j-felsorols1"/>
      </w:pPr>
      <w:r w:rsidRPr="00B55262">
        <w:rPr>
          <w:b/>
          <w:bCs/>
        </w:rPr>
        <w:t>2. tevékenység:</w:t>
      </w:r>
      <w:r>
        <w:t xml:space="preserve"> A Program</w:t>
      </w:r>
      <w:r w:rsidRPr="00B55262">
        <w:t xml:space="preserve"> végrehajtásával, értékelésével, auditálásával, ellenőrzésével és nyomon követésével kapcsolatos feladatok. Az intézkedés keretének a terhére a 2. </w:t>
      </w:r>
      <w:r>
        <w:t>tevékenységhez kapcsolódóan 2012</w:t>
      </w:r>
      <w:r w:rsidRPr="00B55262">
        <w:t xml:space="preserve">. </w:t>
      </w:r>
      <w:r>
        <w:t>évben 11</w:t>
      </w:r>
      <w:r w:rsidRPr="00417321">
        <w:t xml:space="preserve"> finanszírozási kérelmet nyújtottak be, melybő</w:t>
      </w:r>
      <w:r>
        <w:t>l 11 kérelmet támogatott az</w:t>
      </w:r>
      <w:r w:rsidRPr="00417321">
        <w:t xml:space="preserve"> I</w:t>
      </w:r>
      <w:r>
        <w:t xml:space="preserve">rányító </w:t>
      </w:r>
      <w:r w:rsidRPr="00417321">
        <w:t>H</w:t>
      </w:r>
      <w:r>
        <w:t>atóság</w:t>
      </w:r>
      <w:r w:rsidRPr="00417321">
        <w:t xml:space="preserve"> </w:t>
      </w:r>
      <w:r w:rsidRPr="00CD59FC">
        <w:t xml:space="preserve">összesen </w:t>
      </w:r>
      <w:r>
        <w:t>50 775</w:t>
      </w:r>
      <w:r w:rsidRPr="00F80827">
        <w:t> </w:t>
      </w:r>
      <w:r>
        <w:t>931</w:t>
      </w:r>
      <w:r w:rsidRPr="00CD59FC">
        <w:t xml:space="preserve"> </w:t>
      </w:r>
      <w:r>
        <w:t>euró összegben. 2012. évben benyújtott 195 kifizetési kérelemből 191</w:t>
      </w:r>
      <w:r w:rsidRPr="00CD59FC">
        <w:t xml:space="preserve"> került kifizetésre </w:t>
      </w:r>
      <w:r>
        <w:t>13 633 38</w:t>
      </w:r>
      <w:r w:rsidRPr="00F80827">
        <w:t>3 euró</w:t>
      </w:r>
      <w:r>
        <w:t xml:space="preserve"> </w:t>
      </w:r>
      <w:r w:rsidRPr="00CD59FC">
        <w:t>összegben</w:t>
      </w:r>
      <w:r w:rsidRPr="009051D0">
        <w:t xml:space="preserve">. </w:t>
      </w:r>
    </w:p>
    <w:p w:rsidR="00E62DF8" w:rsidRPr="009051D0" w:rsidRDefault="00E62DF8" w:rsidP="00E62DF8">
      <w:pPr>
        <w:pStyle w:val="j-felsorols1"/>
      </w:pPr>
      <w:r w:rsidRPr="009051D0">
        <w:rPr>
          <w:b/>
          <w:bCs/>
        </w:rPr>
        <w:t>3. tevékenység:</w:t>
      </w:r>
      <w:r w:rsidRPr="009051D0">
        <w:t xml:space="preserve"> A program által kínált lehetőségekről és annak eredményeiről való tájékoztatás, a széleskörű nyilvánosság megteremtése, a kommunikációs akcióterv végrehajtása érdekében tett intézkedésekkel kapcsolatosan felmerülő költségek finanszírozása: tanulmányok készítése, képzési programok,</w:t>
      </w:r>
      <w:r>
        <w:t xml:space="preserve"> workshopok, publikációk. A 2012</w:t>
      </w:r>
      <w:r w:rsidRPr="009051D0">
        <w:t>.</w:t>
      </w:r>
      <w:r>
        <w:t xml:space="preserve"> évben </w:t>
      </w:r>
      <w:r w:rsidRPr="00417321">
        <w:t>1 finanszírozási kérelmet nyújtottak be,</w:t>
      </w:r>
      <w:r>
        <w:t xml:space="preserve"> melyet</w:t>
      </w:r>
      <w:r w:rsidRPr="00417321">
        <w:t xml:space="preserve"> támogatásra jogosultnak</w:t>
      </w:r>
      <w:r>
        <w:t xml:space="preserve"> találtak</w:t>
      </w:r>
      <w:r w:rsidRPr="00417321">
        <w:t xml:space="preserve">. </w:t>
      </w:r>
      <w:r>
        <w:t>17</w:t>
      </w:r>
      <w:r w:rsidRPr="003D1252">
        <w:t xml:space="preserve"> kifizetési kérelemből 17 k</w:t>
      </w:r>
      <w:r>
        <w:t>erült</w:t>
      </w:r>
      <w:r w:rsidRPr="003D1252">
        <w:t xml:space="preserve"> engedélyezésre </w:t>
      </w:r>
      <w:r>
        <w:t>16 233</w:t>
      </w:r>
      <w:r w:rsidRPr="001F24C0">
        <w:t xml:space="preserve"> euró</w:t>
      </w:r>
      <w:r>
        <w:t xml:space="preserve"> </w:t>
      </w:r>
      <w:r w:rsidRPr="002F365B">
        <w:t>összegben.</w:t>
      </w:r>
    </w:p>
    <w:p w:rsidR="00E62DF8" w:rsidRPr="00F92037" w:rsidRDefault="007E5FDF" w:rsidP="00DB48A3">
      <w:pPr>
        <w:pStyle w:val="bra-cmetbla"/>
      </w:pPr>
      <w:fldSimple w:instr=" SEQ táblázat \* ARABIC ">
        <w:r w:rsidR="00E5031F">
          <w:rPr>
            <w:noProof/>
          </w:rPr>
          <w:t>110</w:t>
        </w:r>
      </w:fldSimple>
      <w:r w:rsidR="00DB48A3">
        <w:t xml:space="preserve">. táblázat: </w:t>
      </w:r>
      <w:r w:rsidR="00E62DF8" w:rsidRPr="00F92037">
        <w:t>A TS keret pénzügyi felhasználása 2012-ben</w:t>
      </w:r>
    </w:p>
    <w:tbl>
      <w:tblPr>
        <w:tblW w:w="5090" w:type="pct"/>
        <w:jc w:val="center"/>
        <w:tblCellMar>
          <w:left w:w="70" w:type="dxa"/>
          <w:right w:w="70" w:type="dxa"/>
        </w:tblCellMar>
        <w:tblLook w:val="0000" w:firstRow="0" w:lastRow="0" w:firstColumn="0" w:lastColumn="0" w:noHBand="0" w:noVBand="0"/>
      </w:tblPr>
      <w:tblGrid>
        <w:gridCol w:w="2169"/>
        <w:gridCol w:w="1315"/>
        <w:gridCol w:w="1113"/>
        <w:gridCol w:w="707"/>
        <w:gridCol w:w="1157"/>
        <w:gridCol w:w="1051"/>
        <w:gridCol w:w="707"/>
        <w:gridCol w:w="1157"/>
      </w:tblGrid>
      <w:tr w:rsidR="00E62DF8" w:rsidRPr="006F44C5" w:rsidTr="007B5AEF">
        <w:trPr>
          <w:jc w:val="center"/>
        </w:trPr>
        <w:tc>
          <w:tcPr>
            <w:tcW w:w="1231" w:type="pct"/>
            <w:vMerge w:val="restart"/>
            <w:tcBorders>
              <w:top w:val="single" w:sz="4" w:space="0" w:color="auto"/>
              <w:left w:val="single" w:sz="4" w:space="0" w:color="auto"/>
              <w:bottom w:val="single" w:sz="4" w:space="0" w:color="auto"/>
              <w:right w:val="single" w:sz="4" w:space="0" w:color="auto"/>
            </w:tcBorders>
            <w:shd w:val="clear" w:color="auto" w:fill="B3B3B3"/>
            <w:noWrap/>
            <w:vAlign w:val="center"/>
          </w:tcPr>
          <w:p w:rsidR="00E62DF8" w:rsidRPr="00CF7F3A" w:rsidRDefault="00E62DF8" w:rsidP="0056491B">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Jogcím</w:t>
            </w:r>
          </w:p>
        </w:tc>
        <w:tc>
          <w:tcPr>
            <w:tcW w:w="676" w:type="pct"/>
            <w:tcBorders>
              <w:top w:val="single" w:sz="4" w:space="0" w:color="auto"/>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Beérkezett finanszírozási kérelmek</w:t>
            </w:r>
          </w:p>
        </w:tc>
        <w:tc>
          <w:tcPr>
            <w:tcW w:w="601" w:type="pct"/>
            <w:tcBorders>
              <w:top w:val="single" w:sz="4" w:space="0" w:color="auto"/>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Vissza</w:t>
            </w:r>
            <w:r w:rsidR="00C96F79">
              <w:rPr>
                <w:b/>
                <w:bCs/>
              </w:rPr>
              <w:softHyphen/>
            </w:r>
            <w:r w:rsidRPr="00AB5DC5">
              <w:rPr>
                <w:b/>
                <w:bCs/>
              </w:rPr>
              <w:t>vont, elutasí</w:t>
            </w:r>
            <w:r w:rsidR="00C96F79">
              <w:rPr>
                <w:b/>
                <w:bCs/>
              </w:rPr>
              <w:softHyphen/>
            </w:r>
            <w:r w:rsidRPr="00AB5DC5">
              <w:rPr>
                <w:b/>
                <w:bCs/>
              </w:rPr>
              <w:t>tott finanszíro</w:t>
            </w:r>
            <w:r w:rsidR="00C96F79">
              <w:rPr>
                <w:b/>
                <w:bCs/>
              </w:rPr>
              <w:softHyphen/>
            </w:r>
            <w:r w:rsidRPr="00AB5DC5">
              <w:rPr>
                <w:b/>
                <w:bCs/>
              </w:rPr>
              <w:t>zási kérelmek</w:t>
            </w:r>
          </w:p>
        </w:tc>
        <w:tc>
          <w:tcPr>
            <w:tcW w:w="959" w:type="pct"/>
            <w:gridSpan w:val="2"/>
            <w:tcBorders>
              <w:top w:val="single" w:sz="4" w:space="0" w:color="auto"/>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Támogatott finanszírozási kérelmek</w:t>
            </w:r>
          </w:p>
        </w:tc>
        <w:tc>
          <w:tcPr>
            <w:tcW w:w="574" w:type="pct"/>
            <w:tcBorders>
              <w:top w:val="single" w:sz="4" w:space="0" w:color="auto"/>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Beérkezett kifizetési kérelmek</w:t>
            </w:r>
          </w:p>
        </w:tc>
        <w:tc>
          <w:tcPr>
            <w:tcW w:w="959" w:type="pct"/>
            <w:gridSpan w:val="2"/>
            <w:tcBorders>
              <w:top w:val="single" w:sz="4" w:space="0" w:color="auto"/>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Kifizetett kifizetési kérelmek</w:t>
            </w:r>
          </w:p>
        </w:tc>
      </w:tr>
      <w:tr w:rsidR="00C96F79" w:rsidRPr="006F44C5" w:rsidTr="007B5AEF">
        <w:trPr>
          <w:jc w:val="center"/>
        </w:trPr>
        <w:tc>
          <w:tcPr>
            <w:tcW w:w="1231" w:type="pct"/>
            <w:vMerge/>
            <w:tcBorders>
              <w:top w:val="single" w:sz="4" w:space="0" w:color="auto"/>
              <w:left w:val="single" w:sz="4" w:space="0" w:color="auto"/>
              <w:bottom w:val="single" w:sz="4" w:space="0" w:color="auto"/>
              <w:right w:val="single" w:sz="4" w:space="0" w:color="auto"/>
            </w:tcBorders>
            <w:shd w:val="clear" w:color="auto" w:fill="B3B3B3"/>
            <w:vAlign w:val="center"/>
          </w:tcPr>
          <w:p w:rsidR="00E62DF8" w:rsidRPr="00CF7F3A" w:rsidRDefault="00E62DF8" w:rsidP="0056491B">
            <w:pPr>
              <w:suppressAutoHyphens w:val="0"/>
              <w:spacing w:after="0"/>
              <w:jc w:val="left"/>
              <w:rPr>
                <w:rFonts w:cs="Times New Roman"/>
                <w:b/>
                <w:color w:val="000000"/>
                <w:kern w:val="0"/>
                <w:sz w:val="18"/>
                <w:szCs w:val="18"/>
              </w:rPr>
            </w:pPr>
          </w:p>
        </w:tc>
        <w:tc>
          <w:tcPr>
            <w:tcW w:w="676" w:type="pct"/>
            <w:tcBorders>
              <w:top w:val="nil"/>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Száma (db)</w:t>
            </w:r>
          </w:p>
        </w:tc>
        <w:tc>
          <w:tcPr>
            <w:tcW w:w="601" w:type="pct"/>
            <w:tcBorders>
              <w:top w:val="nil"/>
              <w:left w:val="nil"/>
              <w:bottom w:val="single" w:sz="4" w:space="0" w:color="auto"/>
              <w:right w:val="single" w:sz="4" w:space="0" w:color="auto"/>
            </w:tcBorders>
            <w:shd w:val="clear" w:color="auto" w:fill="B3B3B3"/>
            <w:noWrap/>
            <w:vAlign w:val="center"/>
          </w:tcPr>
          <w:p w:rsidR="00E62DF8" w:rsidRPr="00AB5DC5" w:rsidRDefault="00E62DF8" w:rsidP="0056491B">
            <w:pPr>
              <w:pStyle w:val="Normltblakzp"/>
              <w:rPr>
                <w:b/>
                <w:bCs/>
              </w:rPr>
            </w:pPr>
            <w:r w:rsidRPr="00AB5DC5">
              <w:rPr>
                <w:b/>
                <w:bCs/>
              </w:rPr>
              <w:t>Száma (db)</w:t>
            </w:r>
          </w:p>
        </w:tc>
        <w:tc>
          <w:tcPr>
            <w:tcW w:w="364" w:type="pct"/>
            <w:tcBorders>
              <w:top w:val="nil"/>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Száma (db)</w:t>
            </w:r>
          </w:p>
        </w:tc>
        <w:tc>
          <w:tcPr>
            <w:tcW w:w="595" w:type="pct"/>
            <w:tcBorders>
              <w:top w:val="nil"/>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Támogatási összeg (euró)</w:t>
            </w:r>
          </w:p>
        </w:tc>
        <w:tc>
          <w:tcPr>
            <w:tcW w:w="574" w:type="pct"/>
            <w:tcBorders>
              <w:top w:val="nil"/>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Száma (db)</w:t>
            </w:r>
          </w:p>
        </w:tc>
        <w:tc>
          <w:tcPr>
            <w:tcW w:w="364" w:type="pct"/>
            <w:tcBorders>
              <w:top w:val="nil"/>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Száma (db)</w:t>
            </w:r>
          </w:p>
        </w:tc>
        <w:tc>
          <w:tcPr>
            <w:tcW w:w="595" w:type="pct"/>
            <w:tcBorders>
              <w:top w:val="nil"/>
              <w:left w:val="nil"/>
              <w:bottom w:val="single" w:sz="4" w:space="0" w:color="auto"/>
              <w:right w:val="single" w:sz="4" w:space="0" w:color="auto"/>
            </w:tcBorders>
            <w:shd w:val="clear" w:color="auto" w:fill="B3B3B3"/>
            <w:vAlign w:val="center"/>
          </w:tcPr>
          <w:p w:rsidR="00E62DF8" w:rsidRPr="00AB5DC5" w:rsidRDefault="00E62DF8" w:rsidP="0056491B">
            <w:pPr>
              <w:pStyle w:val="Normltblakzp"/>
              <w:rPr>
                <w:b/>
                <w:bCs/>
              </w:rPr>
            </w:pPr>
            <w:r w:rsidRPr="00AB5DC5">
              <w:rPr>
                <w:b/>
                <w:bCs/>
              </w:rPr>
              <w:t>Támogatási összeg (euró)</w:t>
            </w:r>
          </w:p>
        </w:tc>
      </w:tr>
      <w:tr w:rsidR="00C96F79" w:rsidRPr="006F44C5" w:rsidTr="007B5AEF">
        <w:trPr>
          <w:jc w:val="center"/>
        </w:trPr>
        <w:tc>
          <w:tcPr>
            <w:tcW w:w="1231" w:type="pct"/>
            <w:tcBorders>
              <w:top w:val="nil"/>
              <w:left w:val="single" w:sz="4" w:space="0" w:color="auto"/>
              <w:bottom w:val="single" w:sz="4" w:space="0" w:color="auto"/>
              <w:right w:val="single" w:sz="4" w:space="0" w:color="auto"/>
            </w:tcBorders>
            <w:vAlign w:val="center"/>
          </w:tcPr>
          <w:p w:rsidR="00E62DF8" w:rsidRPr="00A01282" w:rsidRDefault="00E62DF8" w:rsidP="00BD037E">
            <w:pPr>
              <w:pStyle w:val="Tbla-bal"/>
            </w:pPr>
            <w:r w:rsidRPr="00A01282">
              <w:lastRenderedPageBreak/>
              <w:t>Magyar Nemzeti Vidéki Hálózat</w:t>
            </w:r>
          </w:p>
        </w:tc>
        <w:tc>
          <w:tcPr>
            <w:tcW w:w="676" w:type="pct"/>
            <w:tcBorders>
              <w:top w:val="nil"/>
              <w:left w:val="nil"/>
              <w:bottom w:val="single" w:sz="4" w:space="0" w:color="auto"/>
              <w:right w:val="single" w:sz="4" w:space="0" w:color="auto"/>
            </w:tcBorders>
            <w:noWrap/>
            <w:vAlign w:val="center"/>
          </w:tcPr>
          <w:p w:rsidR="00E62DF8" w:rsidRPr="00A01282" w:rsidRDefault="00E62DF8" w:rsidP="0056491B">
            <w:pPr>
              <w:pStyle w:val="Normltblakzp"/>
            </w:pPr>
            <w:r>
              <w:t>0</w:t>
            </w:r>
          </w:p>
        </w:tc>
        <w:tc>
          <w:tcPr>
            <w:tcW w:w="601" w:type="pct"/>
            <w:tcBorders>
              <w:top w:val="nil"/>
              <w:left w:val="nil"/>
              <w:bottom w:val="single" w:sz="4" w:space="0" w:color="auto"/>
              <w:right w:val="single" w:sz="4" w:space="0" w:color="auto"/>
            </w:tcBorders>
            <w:noWrap/>
            <w:vAlign w:val="center"/>
          </w:tcPr>
          <w:p w:rsidR="00E62DF8" w:rsidRPr="00A01282" w:rsidRDefault="00E62DF8" w:rsidP="0056491B">
            <w:pPr>
              <w:pStyle w:val="Normltblakzp"/>
            </w:pPr>
            <w:r>
              <w:t>0</w:t>
            </w:r>
          </w:p>
        </w:tc>
        <w:tc>
          <w:tcPr>
            <w:tcW w:w="364" w:type="pct"/>
            <w:tcBorders>
              <w:top w:val="nil"/>
              <w:left w:val="nil"/>
              <w:bottom w:val="single" w:sz="4" w:space="0" w:color="auto"/>
              <w:right w:val="single" w:sz="4" w:space="0" w:color="auto"/>
            </w:tcBorders>
            <w:noWrap/>
            <w:vAlign w:val="center"/>
          </w:tcPr>
          <w:p w:rsidR="00E62DF8" w:rsidRPr="00A01282" w:rsidRDefault="00E62DF8" w:rsidP="0056491B">
            <w:pPr>
              <w:pStyle w:val="Normltblakzp"/>
            </w:pPr>
            <w:r>
              <w:t>0</w:t>
            </w:r>
          </w:p>
        </w:tc>
        <w:tc>
          <w:tcPr>
            <w:tcW w:w="595" w:type="pct"/>
            <w:tcBorders>
              <w:top w:val="nil"/>
              <w:left w:val="nil"/>
              <w:bottom w:val="single" w:sz="4" w:space="0" w:color="auto"/>
              <w:right w:val="single" w:sz="4" w:space="0" w:color="auto"/>
            </w:tcBorders>
            <w:noWrap/>
            <w:vAlign w:val="center"/>
          </w:tcPr>
          <w:p w:rsidR="00E62DF8" w:rsidRPr="00A01282" w:rsidRDefault="00E62DF8" w:rsidP="0056491B">
            <w:pPr>
              <w:pStyle w:val="Normltblajobb"/>
            </w:pPr>
            <w:r>
              <w:t>0</w:t>
            </w:r>
          </w:p>
        </w:tc>
        <w:tc>
          <w:tcPr>
            <w:tcW w:w="574" w:type="pct"/>
            <w:tcBorders>
              <w:top w:val="nil"/>
              <w:left w:val="nil"/>
              <w:bottom w:val="single" w:sz="4" w:space="0" w:color="auto"/>
              <w:right w:val="single" w:sz="4" w:space="0" w:color="auto"/>
            </w:tcBorders>
            <w:noWrap/>
            <w:vAlign w:val="center"/>
          </w:tcPr>
          <w:p w:rsidR="00E62DF8" w:rsidRPr="003A5DD5" w:rsidRDefault="00E62DF8" w:rsidP="0056491B">
            <w:pPr>
              <w:pStyle w:val="Normltblakzp"/>
            </w:pPr>
            <w:r>
              <w:t>16</w:t>
            </w:r>
          </w:p>
        </w:tc>
        <w:tc>
          <w:tcPr>
            <w:tcW w:w="364" w:type="pct"/>
            <w:tcBorders>
              <w:top w:val="nil"/>
              <w:left w:val="nil"/>
              <w:bottom w:val="single" w:sz="4" w:space="0" w:color="auto"/>
              <w:right w:val="single" w:sz="4" w:space="0" w:color="auto"/>
            </w:tcBorders>
            <w:noWrap/>
            <w:vAlign w:val="center"/>
          </w:tcPr>
          <w:p w:rsidR="00E62DF8" w:rsidRPr="003A5DD5" w:rsidRDefault="00E62DF8" w:rsidP="0056491B">
            <w:pPr>
              <w:pStyle w:val="Normltblakzp"/>
            </w:pPr>
            <w:r w:rsidRPr="003A5DD5">
              <w:t>16</w:t>
            </w:r>
          </w:p>
        </w:tc>
        <w:tc>
          <w:tcPr>
            <w:tcW w:w="595" w:type="pct"/>
            <w:tcBorders>
              <w:top w:val="nil"/>
              <w:left w:val="nil"/>
              <w:bottom w:val="single" w:sz="4" w:space="0" w:color="auto"/>
              <w:right w:val="single" w:sz="4" w:space="0" w:color="auto"/>
            </w:tcBorders>
            <w:noWrap/>
            <w:vAlign w:val="center"/>
          </w:tcPr>
          <w:p w:rsidR="00E62DF8" w:rsidRPr="003A5DD5" w:rsidRDefault="00E62DF8" w:rsidP="0056491B">
            <w:pPr>
              <w:pStyle w:val="Normltblajobb"/>
            </w:pPr>
            <w:r>
              <w:t>1 539 200</w:t>
            </w:r>
            <w:r w:rsidRPr="003A5DD5">
              <w:t>,-</w:t>
            </w:r>
          </w:p>
        </w:tc>
      </w:tr>
      <w:tr w:rsidR="00C96F79" w:rsidRPr="006F44C5" w:rsidTr="007B5AEF">
        <w:trPr>
          <w:jc w:val="center"/>
        </w:trPr>
        <w:tc>
          <w:tcPr>
            <w:tcW w:w="1231" w:type="pct"/>
            <w:tcBorders>
              <w:top w:val="nil"/>
              <w:left w:val="single" w:sz="4" w:space="0" w:color="auto"/>
              <w:bottom w:val="single" w:sz="4" w:space="0" w:color="auto"/>
              <w:right w:val="single" w:sz="4" w:space="0" w:color="auto"/>
            </w:tcBorders>
            <w:vAlign w:val="center"/>
          </w:tcPr>
          <w:p w:rsidR="00E62DF8" w:rsidRPr="00BD037E" w:rsidRDefault="00E62DF8" w:rsidP="00BD037E">
            <w:pPr>
              <w:pStyle w:val="Tbla-bal"/>
            </w:pPr>
            <w:r w:rsidRPr="00BD037E">
              <w:t>TS tevékenységei előkészítésének, nyomon követésének és ellenőrzésének támogatása</w:t>
            </w:r>
          </w:p>
        </w:tc>
        <w:tc>
          <w:tcPr>
            <w:tcW w:w="676" w:type="pct"/>
            <w:tcBorders>
              <w:top w:val="nil"/>
              <w:left w:val="nil"/>
              <w:bottom w:val="single" w:sz="4" w:space="0" w:color="auto"/>
              <w:right w:val="single" w:sz="4" w:space="0" w:color="auto"/>
            </w:tcBorders>
            <w:noWrap/>
            <w:vAlign w:val="center"/>
          </w:tcPr>
          <w:p w:rsidR="00E62DF8" w:rsidRPr="00CF7F3A" w:rsidRDefault="00E62DF8" w:rsidP="0056491B">
            <w:pPr>
              <w:pStyle w:val="Normltblakzp"/>
            </w:pPr>
            <w:r>
              <w:t>11</w:t>
            </w:r>
          </w:p>
        </w:tc>
        <w:tc>
          <w:tcPr>
            <w:tcW w:w="601" w:type="pct"/>
            <w:tcBorders>
              <w:top w:val="nil"/>
              <w:left w:val="nil"/>
              <w:bottom w:val="single" w:sz="4" w:space="0" w:color="auto"/>
              <w:right w:val="single" w:sz="4" w:space="0" w:color="auto"/>
            </w:tcBorders>
            <w:noWrap/>
            <w:vAlign w:val="center"/>
          </w:tcPr>
          <w:p w:rsidR="00E62DF8" w:rsidRPr="00A01282" w:rsidRDefault="00E62DF8" w:rsidP="0056491B">
            <w:pPr>
              <w:pStyle w:val="Normltblakzp"/>
            </w:pPr>
            <w:r>
              <w:t>0</w:t>
            </w:r>
          </w:p>
        </w:tc>
        <w:tc>
          <w:tcPr>
            <w:tcW w:w="364" w:type="pct"/>
            <w:tcBorders>
              <w:top w:val="nil"/>
              <w:left w:val="nil"/>
              <w:bottom w:val="single" w:sz="4" w:space="0" w:color="auto"/>
              <w:right w:val="single" w:sz="4" w:space="0" w:color="auto"/>
            </w:tcBorders>
            <w:noWrap/>
            <w:vAlign w:val="center"/>
          </w:tcPr>
          <w:p w:rsidR="00E62DF8" w:rsidRPr="00A01282" w:rsidRDefault="00E62DF8" w:rsidP="0056491B">
            <w:pPr>
              <w:pStyle w:val="Normltblakzp"/>
            </w:pPr>
            <w:r>
              <w:t>11</w:t>
            </w:r>
          </w:p>
        </w:tc>
        <w:tc>
          <w:tcPr>
            <w:tcW w:w="595" w:type="pct"/>
            <w:tcBorders>
              <w:top w:val="nil"/>
              <w:left w:val="nil"/>
              <w:bottom w:val="single" w:sz="4" w:space="0" w:color="auto"/>
              <w:right w:val="single" w:sz="4" w:space="0" w:color="auto"/>
            </w:tcBorders>
            <w:noWrap/>
            <w:vAlign w:val="center"/>
          </w:tcPr>
          <w:p w:rsidR="00E62DF8" w:rsidRPr="00A01282" w:rsidRDefault="00E62DF8" w:rsidP="0056491B">
            <w:pPr>
              <w:pStyle w:val="Normltblajobb"/>
            </w:pPr>
            <w:r>
              <w:t>50 775 931,-</w:t>
            </w:r>
          </w:p>
        </w:tc>
        <w:tc>
          <w:tcPr>
            <w:tcW w:w="574" w:type="pct"/>
            <w:tcBorders>
              <w:top w:val="nil"/>
              <w:left w:val="nil"/>
              <w:bottom w:val="single" w:sz="4" w:space="0" w:color="auto"/>
              <w:right w:val="single" w:sz="4" w:space="0" w:color="auto"/>
            </w:tcBorders>
            <w:noWrap/>
            <w:vAlign w:val="center"/>
          </w:tcPr>
          <w:p w:rsidR="00E62DF8" w:rsidRPr="00A01282" w:rsidRDefault="00E62DF8" w:rsidP="0056491B">
            <w:pPr>
              <w:pStyle w:val="Normltblakzp"/>
            </w:pPr>
            <w:r>
              <w:t>195</w:t>
            </w:r>
          </w:p>
        </w:tc>
        <w:tc>
          <w:tcPr>
            <w:tcW w:w="364" w:type="pct"/>
            <w:tcBorders>
              <w:top w:val="nil"/>
              <w:left w:val="nil"/>
              <w:bottom w:val="single" w:sz="4" w:space="0" w:color="auto"/>
              <w:right w:val="single" w:sz="4" w:space="0" w:color="auto"/>
            </w:tcBorders>
            <w:noWrap/>
            <w:vAlign w:val="center"/>
          </w:tcPr>
          <w:p w:rsidR="00E62DF8" w:rsidRPr="00A01282" w:rsidRDefault="00E62DF8" w:rsidP="0056491B">
            <w:pPr>
              <w:pStyle w:val="Normltblakzp"/>
            </w:pPr>
            <w:r>
              <w:t>191</w:t>
            </w:r>
          </w:p>
        </w:tc>
        <w:tc>
          <w:tcPr>
            <w:tcW w:w="595" w:type="pct"/>
            <w:tcBorders>
              <w:top w:val="nil"/>
              <w:left w:val="nil"/>
              <w:bottom w:val="single" w:sz="4" w:space="0" w:color="auto"/>
              <w:right w:val="single" w:sz="4" w:space="0" w:color="auto"/>
            </w:tcBorders>
            <w:noWrap/>
            <w:vAlign w:val="center"/>
          </w:tcPr>
          <w:p w:rsidR="00E62DF8" w:rsidRPr="00A01282" w:rsidRDefault="00E62DF8" w:rsidP="0056491B">
            <w:pPr>
              <w:pStyle w:val="Normltblajobb"/>
            </w:pPr>
            <w:r>
              <w:t>13 633 383,-</w:t>
            </w:r>
          </w:p>
        </w:tc>
      </w:tr>
      <w:tr w:rsidR="00C96F79" w:rsidRPr="006F44C5" w:rsidTr="00BD037E">
        <w:trPr>
          <w:cantSplit/>
          <w:jc w:val="center"/>
        </w:trPr>
        <w:tc>
          <w:tcPr>
            <w:tcW w:w="1231" w:type="pct"/>
            <w:tcBorders>
              <w:top w:val="nil"/>
              <w:left w:val="single" w:sz="4" w:space="0" w:color="auto"/>
              <w:bottom w:val="single" w:sz="4" w:space="0" w:color="auto"/>
              <w:right w:val="single" w:sz="4" w:space="0" w:color="auto"/>
            </w:tcBorders>
            <w:vAlign w:val="center"/>
          </w:tcPr>
          <w:p w:rsidR="00E62DF8" w:rsidRPr="00BD037E" w:rsidRDefault="00E62DF8" w:rsidP="00BD037E">
            <w:pPr>
              <w:pStyle w:val="Tbla-bal"/>
            </w:pPr>
            <w:r w:rsidRPr="00BD037E">
              <w:t>TS értékelés, információnyújtás, a nyilvánosság folyamatos tájékoztatása a pályázható intézkedésekről és a Program eredményeiről</w:t>
            </w:r>
          </w:p>
        </w:tc>
        <w:tc>
          <w:tcPr>
            <w:tcW w:w="676" w:type="pct"/>
            <w:tcBorders>
              <w:top w:val="nil"/>
              <w:left w:val="nil"/>
              <w:bottom w:val="single" w:sz="4" w:space="0" w:color="auto"/>
              <w:right w:val="single" w:sz="4" w:space="0" w:color="auto"/>
            </w:tcBorders>
            <w:noWrap/>
            <w:vAlign w:val="center"/>
          </w:tcPr>
          <w:p w:rsidR="00E62DF8" w:rsidRPr="00CF7F3A" w:rsidRDefault="00E62DF8" w:rsidP="007B5AEF">
            <w:pPr>
              <w:pStyle w:val="Normltblakzp"/>
              <w:keepNext/>
            </w:pPr>
            <w:r>
              <w:t>1</w:t>
            </w:r>
          </w:p>
        </w:tc>
        <w:tc>
          <w:tcPr>
            <w:tcW w:w="601" w:type="pct"/>
            <w:tcBorders>
              <w:top w:val="nil"/>
              <w:left w:val="nil"/>
              <w:bottom w:val="single" w:sz="4" w:space="0" w:color="auto"/>
              <w:right w:val="single" w:sz="4" w:space="0" w:color="auto"/>
            </w:tcBorders>
            <w:noWrap/>
            <w:vAlign w:val="center"/>
          </w:tcPr>
          <w:p w:rsidR="00E62DF8" w:rsidRPr="00A01282" w:rsidRDefault="00E62DF8" w:rsidP="007B5AEF">
            <w:pPr>
              <w:pStyle w:val="Normltblakzp"/>
              <w:keepNext/>
            </w:pPr>
            <w:r>
              <w:t>0</w:t>
            </w:r>
          </w:p>
        </w:tc>
        <w:tc>
          <w:tcPr>
            <w:tcW w:w="364" w:type="pct"/>
            <w:tcBorders>
              <w:top w:val="nil"/>
              <w:left w:val="nil"/>
              <w:bottom w:val="single" w:sz="4" w:space="0" w:color="auto"/>
              <w:right w:val="single" w:sz="4" w:space="0" w:color="auto"/>
            </w:tcBorders>
            <w:noWrap/>
            <w:vAlign w:val="center"/>
          </w:tcPr>
          <w:p w:rsidR="00E62DF8" w:rsidRPr="00A01282" w:rsidRDefault="00E62DF8" w:rsidP="007B5AEF">
            <w:pPr>
              <w:pStyle w:val="Normltblakzp"/>
              <w:keepNext/>
            </w:pPr>
            <w:r>
              <w:t>1</w:t>
            </w:r>
          </w:p>
        </w:tc>
        <w:tc>
          <w:tcPr>
            <w:tcW w:w="595" w:type="pct"/>
            <w:tcBorders>
              <w:top w:val="nil"/>
              <w:left w:val="nil"/>
              <w:bottom w:val="single" w:sz="4" w:space="0" w:color="auto"/>
              <w:right w:val="single" w:sz="4" w:space="0" w:color="auto"/>
            </w:tcBorders>
            <w:noWrap/>
            <w:vAlign w:val="center"/>
          </w:tcPr>
          <w:p w:rsidR="00E62DF8" w:rsidRPr="00A01282" w:rsidRDefault="00E62DF8" w:rsidP="007B5AEF">
            <w:pPr>
              <w:pStyle w:val="Normltblajobb"/>
              <w:keepNext/>
            </w:pPr>
            <w:r>
              <w:t>13 298,-</w:t>
            </w:r>
          </w:p>
        </w:tc>
        <w:tc>
          <w:tcPr>
            <w:tcW w:w="574" w:type="pct"/>
            <w:tcBorders>
              <w:top w:val="nil"/>
              <w:left w:val="nil"/>
              <w:bottom w:val="single" w:sz="4" w:space="0" w:color="auto"/>
              <w:right w:val="single" w:sz="4" w:space="0" w:color="auto"/>
            </w:tcBorders>
            <w:noWrap/>
            <w:vAlign w:val="center"/>
          </w:tcPr>
          <w:p w:rsidR="00E62DF8" w:rsidRPr="00A01282" w:rsidRDefault="00E62DF8" w:rsidP="007B5AEF">
            <w:pPr>
              <w:pStyle w:val="Normltblakzp"/>
              <w:keepNext/>
            </w:pPr>
            <w:r>
              <w:t>17</w:t>
            </w:r>
          </w:p>
        </w:tc>
        <w:tc>
          <w:tcPr>
            <w:tcW w:w="364" w:type="pct"/>
            <w:tcBorders>
              <w:top w:val="nil"/>
              <w:left w:val="nil"/>
              <w:bottom w:val="single" w:sz="4" w:space="0" w:color="auto"/>
              <w:right w:val="single" w:sz="4" w:space="0" w:color="auto"/>
            </w:tcBorders>
            <w:noWrap/>
            <w:vAlign w:val="center"/>
          </w:tcPr>
          <w:p w:rsidR="00E62DF8" w:rsidRPr="00A01282" w:rsidRDefault="00E62DF8" w:rsidP="007B5AEF">
            <w:pPr>
              <w:pStyle w:val="Normltblakzp"/>
              <w:keepNext/>
            </w:pPr>
            <w:r>
              <w:t>17</w:t>
            </w:r>
          </w:p>
        </w:tc>
        <w:tc>
          <w:tcPr>
            <w:tcW w:w="595" w:type="pct"/>
            <w:tcBorders>
              <w:top w:val="nil"/>
              <w:left w:val="nil"/>
              <w:bottom w:val="single" w:sz="4" w:space="0" w:color="auto"/>
              <w:right w:val="single" w:sz="4" w:space="0" w:color="auto"/>
            </w:tcBorders>
            <w:noWrap/>
            <w:vAlign w:val="center"/>
          </w:tcPr>
          <w:p w:rsidR="00E62DF8" w:rsidRPr="00A01282" w:rsidRDefault="00E62DF8" w:rsidP="007B5AEF">
            <w:pPr>
              <w:pStyle w:val="Normltblajobb"/>
              <w:keepNext/>
            </w:pPr>
            <w:r>
              <w:t>16 233,-</w:t>
            </w:r>
          </w:p>
        </w:tc>
      </w:tr>
      <w:tr w:rsidR="00C96F79" w:rsidRPr="006F44C5" w:rsidTr="007B5AEF">
        <w:trPr>
          <w:jc w:val="center"/>
        </w:trPr>
        <w:tc>
          <w:tcPr>
            <w:tcW w:w="1231" w:type="pct"/>
            <w:tcBorders>
              <w:top w:val="nil"/>
              <w:left w:val="single" w:sz="4" w:space="0" w:color="auto"/>
              <w:bottom w:val="single" w:sz="4" w:space="0" w:color="auto"/>
              <w:right w:val="single" w:sz="4" w:space="0" w:color="auto"/>
            </w:tcBorders>
            <w:vAlign w:val="center"/>
          </w:tcPr>
          <w:p w:rsidR="00E62DF8" w:rsidRPr="00AB5DC5" w:rsidRDefault="00E62DF8" w:rsidP="0056491B">
            <w:pPr>
              <w:pStyle w:val="Normltblakzp"/>
              <w:rPr>
                <w:b/>
                <w:bCs/>
              </w:rPr>
            </w:pPr>
            <w:r w:rsidRPr="00AB5DC5">
              <w:rPr>
                <w:b/>
                <w:bCs/>
              </w:rPr>
              <w:t>Összesen</w:t>
            </w:r>
            <w:r w:rsidRPr="00AB5DC5">
              <w:rPr>
                <w:b/>
                <w:bCs/>
                <w:szCs w:val="22"/>
              </w:rPr>
              <w:t>:</w:t>
            </w:r>
          </w:p>
        </w:tc>
        <w:tc>
          <w:tcPr>
            <w:tcW w:w="676" w:type="pct"/>
            <w:tcBorders>
              <w:top w:val="nil"/>
              <w:left w:val="nil"/>
              <w:bottom w:val="single" w:sz="4" w:space="0" w:color="auto"/>
              <w:right w:val="single" w:sz="4" w:space="0" w:color="auto"/>
            </w:tcBorders>
            <w:noWrap/>
            <w:vAlign w:val="center"/>
          </w:tcPr>
          <w:p w:rsidR="00E62DF8" w:rsidRPr="00AB5DC5" w:rsidRDefault="00E62DF8" w:rsidP="0056491B">
            <w:pPr>
              <w:pStyle w:val="Normltblakzp"/>
              <w:rPr>
                <w:b/>
              </w:rPr>
            </w:pPr>
            <w:r>
              <w:rPr>
                <w:b/>
              </w:rPr>
              <w:t>12</w:t>
            </w:r>
          </w:p>
        </w:tc>
        <w:tc>
          <w:tcPr>
            <w:tcW w:w="601" w:type="pct"/>
            <w:tcBorders>
              <w:top w:val="nil"/>
              <w:left w:val="nil"/>
              <w:bottom w:val="single" w:sz="4" w:space="0" w:color="auto"/>
              <w:right w:val="single" w:sz="4" w:space="0" w:color="auto"/>
            </w:tcBorders>
            <w:noWrap/>
            <w:vAlign w:val="center"/>
          </w:tcPr>
          <w:p w:rsidR="00E62DF8" w:rsidRPr="00AB5DC5" w:rsidRDefault="00E62DF8" w:rsidP="0056491B">
            <w:pPr>
              <w:pStyle w:val="Normltblakzp"/>
              <w:rPr>
                <w:b/>
              </w:rPr>
            </w:pPr>
            <w:r>
              <w:rPr>
                <w:b/>
              </w:rPr>
              <w:t>0</w:t>
            </w:r>
          </w:p>
        </w:tc>
        <w:tc>
          <w:tcPr>
            <w:tcW w:w="364" w:type="pct"/>
            <w:tcBorders>
              <w:top w:val="nil"/>
              <w:left w:val="nil"/>
              <w:bottom w:val="single" w:sz="4" w:space="0" w:color="auto"/>
              <w:right w:val="single" w:sz="4" w:space="0" w:color="auto"/>
            </w:tcBorders>
            <w:noWrap/>
            <w:vAlign w:val="center"/>
          </w:tcPr>
          <w:p w:rsidR="00E62DF8" w:rsidRPr="00AB5DC5" w:rsidRDefault="00E62DF8" w:rsidP="0056491B">
            <w:pPr>
              <w:pStyle w:val="Normltblakzp"/>
              <w:rPr>
                <w:b/>
              </w:rPr>
            </w:pPr>
            <w:r>
              <w:rPr>
                <w:b/>
              </w:rPr>
              <w:t>12</w:t>
            </w:r>
          </w:p>
        </w:tc>
        <w:tc>
          <w:tcPr>
            <w:tcW w:w="595" w:type="pct"/>
            <w:tcBorders>
              <w:top w:val="nil"/>
              <w:left w:val="nil"/>
              <w:bottom w:val="single" w:sz="4" w:space="0" w:color="auto"/>
              <w:right w:val="single" w:sz="4" w:space="0" w:color="auto"/>
            </w:tcBorders>
            <w:noWrap/>
            <w:vAlign w:val="center"/>
          </w:tcPr>
          <w:p w:rsidR="00E62DF8" w:rsidRPr="00AB5DC5" w:rsidRDefault="00E62DF8" w:rsidP="0056491B">
            <w:pPr>
              <w:pStyle w:val="Normltblajobb"/>
              <w:rPr>
                <w:b/>
              </w:rPr>
            </w:pPr>
            <w:r>
              <w:rPr>
                <w:b/>
              </w:rPr>
              <w:t>50 789 2</w:t>
            </w:r>
            <w:r w:rsidRPr="00AB5DC5">
              <w:rPr>
                <w:b/>
              </w:rPr>
              <w:t>29,-</w:t>
            </w:r>
          </w:p>
        </w:tc>
        <w:tc>
          <w:tcPr>
            <w:tcW w:w="574" w:type="pct"/>
            <w:tcBorders>
              <w:top w:val="nil"/>
              <w:left w:val="nil"/>
              <w:bottom w:val="single" w:sz="4" w:space="0" w:color="auto"/>
              <w:right w:val="single" w:sz="4" w:space="0" w:color="auto"/>
            </w:tcBorders>
            <w:noWrap/>
            <w:vAlign w:val="center"/>
          </w:tcPr>
          <w:p w:rsidR="00E62DF8" w:rsidRPr="00AB5DC5" w:rsidRDefault="00E62DF8" w:rsidP="0056491B">
            <w:pPr>
              <w:pStyle w:val="Normltblakzp"/>
              <w:rPr>
                <w:b/>
              </w:rPr>
            </w:pPr>
            <w:r>
              <w:rPr>
                <w:b/>
              </w:rPr>
              <w:t>228</w:t>
            </w:r>
          </w:p>
        </w:tc>
        <w:tc>
          <w:tcPr>
            <w:tcW w:w="364" w:type="pct"/>
            <w:tcBorders>
              <w:top w:val="nil"/>
              <w:left w:val="nil"/>
              <w:bottom w:val="single" w:sz="4" w:space="0" w:color="auto"/>
              <w:right w:val="single" w:sz="4" w:space="0" w:color="auto"/>
            </w:tcBorders>
            <w:noWrap/>
            <w:vAlign w:val="center"/>
          </w:tcPr>
          <w:p w:rsidR="00E62DF8" w:rsidRPr="00AB5DC5" w:rsidRDefault="00E62DF8" w:rsidP="0056491B">
            <w:pPr>
              <w:pStyle w:val="Normltblakzp"/>
              <w:rPr>
                <w:b/>
              </w:rPr>
            </w:pPr>
            <w:r>
              <w:rPr>
                <w:b/>
              </w:rPr>
              <w:t>224</w:t>
            </w:r>
          </w:p>
        </w:tc>
        <w:tc>
          <w:tcPr>
            <w:tcW w:w="595" w:type="pct"/>
            <w:tcBorders>
              <w:top w:val="nil"/>
              <w:left w:val="nil"/>
              <w:bottom w:val="single" w:sz="4" w:space="0" w:color="auto"/>
              <w:right w:val="single" w:sz="4" w:space="0" w:color="auto"/>
            </w:tcBorders>
            <w:noWrap/>
            <w:vAlign w:val="center"/>
          </w:tcPr>
          <w:p w:rsidR="00E62DF8" w:rsidRPr="00AB5DC5" w:rsidRDefault="00E62DF8" w:rsidP="0056491B">
            <w:pPr>
              <w:pStyle w:val="Normltblajobb"/>
              <w:rPr>
                <w:b/>
              </w:rPr>
            </w:pPr>
            <w:r>
              <w:rPr>
                <w:b/>
              </w:rPr>
              <w:t>15 188 816</w:t>
            </w:r>
            <w:r w:rsidRPr="00AB5DC5">
              <w:rPr>
                <w:b/>
              </w:rPr>
              <w:t>,-</w:t>
            </w:r>
          </w:p>
        </w:tc>
      </w:tr>
    </w:tbl>
    <w:p w:rsidR="00E62DF8" w:rsidRPr="00645CF5" w:rsidRDefault="00E62DF8" w:rsidP="00E62DF8">
      <w:pPr>
        <w:pStyle w:val="Normlforrs"/>
      </w:pPr>
      <w:r>
        <w:t>Forrás: MVH</w:t>
      </w:r>
    </w:p>
    <w:p w:rsidR="00E62DF8" w:rsidRPr="00D669BB" w:rsidRDefault="00E62DF8" w:rsidP="00E62DF8">
      <w:r w:rsidRPr="00D669BB">
        <w:t xml:space="preserve">A </w:t>
      </w:r>
      <w:r>
        <w:t xml:space="preserve">Program </w:t>
      </w:r>
      <w:r w:rsidRPr="00D669BB">
        <w:t xml:space="preserve">az alábbi szervezeteket nevezte meg technikai segítségnyújtás céljára biztosított forrás kedvezményezettjeiként: </w:t>
      </w:r>
    </w:p>
    <w:p w:rsidR="00E62DF8" w:rsidRPr="00301A38" w:rsidRDefault="00E62DF8" w:rsidP="00E62DF8">
      <w:pPr>
        <w:pStyle w:val="j-felsorols1"/>
        <w:rPr>
          <w:lang w:bidi="sa-IN"/>
        </w:rPr>
      </w:pPr>
      <w:r w:rsidRPr="00301A38">
        <w:rPr>
          <w:lang w:bidi="sa-IN"/>
        </w:rPr>
        <w:t>a Program Irányító Hatósága (vidékfejlesztési miniszter)</w:t>
      </w:r>
    </w:p>
    <w:p w:rsidR="00E62DF8" w:rsidRPr="00301A38" w:rsidRDefault="00E62DF8" w:rsidP="00E62DF8">
      <w:pPr>
        <w:pStyle w:val="j-felsorols1"/>
        <w:rPr>
          <w:lang w:bidi="sa-IN"/>
        </w:rPr>
      </w:pPr>
      <w:r w:rsidRPr="00301A38">
        <w:rPr>
          <w:lang w:bidi="sa-IN"/>
        </w:rPr>
        <w:t>Mezőgazdasági és Vidékfejlesztési Hivatal</w:t>
      </w:r>
    </w:p>
    <w:p w:rsidR="00E62DF8" w:rsidRPr="00301A38" w:rsidRDefault="00E62DF8" w:rsidP="00E62DF8">
      <w:pPr>
        <w:pStyle w:val="j-felsorols1"/>
        <w:rPr>
          <w:lang w:bidi="sa-IN"/>
        </w:rPr>
      </w:pPr>
      <w:r w:rsidRPr="00301A38">
        <w:rPr>
          <w:lang w:bidi="sa-IN"/>
        </w:rPr>
        <w:t>Magyar Nemzeti Vidéki Hálózat</w:t>
      </w:r>
    </w:p>
    <w:p w:rsidR="00E62DF8" w:rsidRPr="00DB48A3" w:rsidRDefault="00E62DF8" w:rsidP="00DB48A3">
      <w:pPr>
        <w:pStyle w:val="Cmsor3"/>
      </w:pPr>
      <w:bookmarkStart w:id="418" w:name="_Toc200741620"/>
      <w:bookmarkStart w:id="419" w:name="_Toc230595650"/>
      <w:bookmarkStart w:id="420" w:name="_Toc232860201"/>
      <w:bookmarkStart w:id="421" w:name="_Toc265660443"/>
      <w:bookmarkStart w:id="422" w:name="_Toc328638751"/>
      <w:bookmarkStart w:id="423" w:name="_Toc358735998"/>
      <w:bookmarkStart w:id="424" w:name="_Toc360176842"/>
      <w:r w:rsidRPr="00DB48A3">
        <w:t>Irányító Hatóság</w:t>
      </w:r>
      <w:bookmarkEnd w:id="418"/>
      <w:bookmarkEnd w:id="419"/>
      <w:bookmarkEnd w:id="420"/>
      <w:bookmarkEnd w:id="421"/>
      <w:bookmarkEnd w:id="422"/>
      <w:bookmarkEnd w:id="423"/>
      <w:bookmarkEnd w:id="424"/>
    </w:p>
    <w:p w:rsidR="00E62DF8" w:rsidRPr="00D669BB" w:rsidRDefault="00E62DF8" w:rsidP="00715E86">
      <w:pPr>
        <w:pStyle w:val="Cmsor4"/>
      </w:pPr>
      <w:bookmarkStart w:id="425" w:name="_Toc230595651"/>
      <w:r w:rsidRPr="00D669BB">
        <w:t>TS-sel kapcsolatos feladatok bemutatása</w:t>
      </w:r>
      <w:bookmarkEnd w:id="425"/>
    </w:p>
    <w:p w:rsidR="00E62DF8" w:rsidRPr="00D669BB" w:rsidRDefault="00E62DF8" w:rsidP="00E62DF8">
      <w:r>
        <w:t>2012</w:t>
      </w:r>
      <w:r w:rsidRPr="00D669BB">
        <w:t>. évben az IH TS végrehajtását koordináló osztálya az alábbi fő feladatokat látta el a TS felhasználásával, a TS-ből finanszírozott projektek végrehajtásával kapcsolatosan:</w:t>
      </w:r>
    </w:p>
    <w:p w:rsidR="00E62DF8" w:rsidRPr="00301A38" w:rsidRDefault="00E62DF8" w:rsidP="00E62DF8">
      <w:pPr>
        <w:pStyle w:val="j-felsorols1"/>
      </w:pPr>
      <w:r w:rsidRPr="00301A38">
        <w:t>Finanszírozási kérelmek értékelése/engedélyezése</w:t>
      </w:r>
    </w:p>
    <w:p w:rsidR="00E62DF8" w:rsidRPr="00301A38" w:rsidRDefault="00E62DF8" w:rsidP="00E62DF8">
      <w:pPr>
        <w:pStyle w:val="j-felsorols1"/>
      </w:pPr>
      <w:r w:rsidRPr="00301A38">
        <w:t>A jóváhagyott/módosított finanszírozási kérelmek és „döntés a támogatásról” c. nyomtatványok elkészítése/jóváhagyása</w:t>
      </w:r>
    </w:p>
    <w:p w:rsidR="00E62DF8" w:rsidRPr="00301A38" w:rsidRDefault="00E62DF8" w:rsidP="00E62DF8">
      <w:pPr>
        <w:pStyle w:val="j-felsorols1"/>
      </w:pPr>
      <w:r w:rsidRPr="00301A38">
        <w:t>Közbeszerzések, szerződéskötések előkészítése és lebonyolítása</w:t>
      </w:r>
    </w:p>
    <w:p w:rsidR="00E62DF8" w:rsidRPr="00301A38" w:rsidRDefault="00E62DF8" w:rsidP="00E62DF8">
      <w:pPr>
        <w:pStyle w:val="j-felsorols1"/>
      </w:pPr>
      <w:r w:rsidRPr="00301A38">
        <w:t>Teljesítés-igazolások kiadása</w:t>
      </w:r>
    </w:p>
    <w:p w:rsidR="00E62DF8" w:rsidRPr="00301A38" w:rsidRDefault="00E62DF8" w:rsidP="00E62DF8">
      <w:pPr>
        <w:pStyle w:val="j-felsorols1"/>
      </w:pPr>
      <w:r w:rsidRPr="00301A38">
        <w:t xml:space="preserve">Kifizetési kérelmek összeállítása. </w:t>
      </w:r>
    </w:p>
    <w:p w:rsidR="00E62DF8" w:rsidRPr="00F92037" w:rsidRDefault="007E5FDF" w:rsidP="00DB48A3">
      <w:pPr>
        <w:pStyle w:val="bra-cmetbla"/>
      </w:pPr>
      <w:fldSimple w:instr=" SEQ táblázat \* ARABIC ">
        <w:r w:rsidR="00E5031F">
          <w:rPr>
            <w:noProof/>
          </w:rPr>
          <w:t>111</w:t>
        </w:r>
      </w:fldSimple>
      <w:r w:rsidR="00DB48A3">
        <w:t xml:space="preserve">. táblázat: </w:t>
      </w:r>
      <w:r w:rsidR="00E62DF8" w:rsidRPr="00F92037">
        <w:t>A 2012-ben jóváhagyott, TS-ből megvalósult, megvalósítandó projektek</w:t>
      </w:r>
      <w:r w:rsidR="00E62DF8" w:rsidRPr="00F92037">
        <w:br/>
        <w:t>felsorolásszerű bemutatása</w:t>
      </w:r>
    </w:p>
    <w:tbl>
      <w:tblPr>
        <w:tblW w:w="9295"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5"/>
        <w:gridCol w:w="7710"/>
      </w:tblGrid>
      <w:tr w:rsidR="00E62DF8" w:rsidRPr="00431A74" w:rsidTr="0056491B">
        <w:trPr>
          <w:trHeight w:val="230"/>
          <w:jc w:val="center"/>
        </w:trPr>
        <w:tc>
          <w:tcPr>
            <w:tcW w:w="1585" w:type="dxa"/>
            <w:vMerge w:val="restart"/>
            <w:shd w:val="clear" w:color="auto" w:fill="B3B3B3"/>
            <w:vAlign w:val="center"/>
          </w:tcPr>
          <w:p w:rsidR="00E62DF8" w:rsidRPr="00ED4844" w:rsidRDefault="00E62DF8" w:rsidP="0056491B">
            <w:pPr>
              <w:keepNext/>
              <w:suppressAutoHyphens w:val="0"/>
              <w:spacing w:after="0"/>
              <w:jc w:val="center"/>
              <w:rPr>
                <w:rFonts w:cs="Times New Roman"/>
                <w:b/>
                <w:bCs/>
                <w:kern w:val="0"/>
                <w:sz w:val="20"/>
                <w:szCs w:val="20"/>
              </w:rPr>
            </w:pPr>
            <w:r w:rsidRPr="00ED4844">
              <w:rPr>
                <w:rFonts w:cs="Times New Roman"/>
                <w:b/>
                <w:bCs/>
                <w:kern w:val="0"/>
                <w:sz w:val="20"/>
                <w:szCs w:val="20"/>
              </w:rPr>
              <w:t>Kérelmező</w:t>
            </w:r>
          </w:p>
        </w:tc>
        <w:tc>
          <w:tcPr>
            <w:tcW w:w="7710" w:type="dxa"/>
            <w:vMerge w:val="restart"/>
            <w:shd w:val="clear" w:color="auto" w:fill="B3B3B3"/>
            <w:vAlign w:val="center"/>
          </w:tcPr>
          <w:p w:rsidR="00E62DF8" w:rsidRPr="00ED4844" w:rsidRDefault="00E62DF8" w:rsidP="0056491B">
            <w:pPr>
              <w:keepNext/>
              <w:suppressAutoHyphens w:val="0"/>
              <w:spacing w:after="0"/>
              <w:jc w:val="center"/>
              <w:rPr>
                <w:rFonts w:cs="Times New Roman"/>
                <w:b/>
                <w:bCs/>
                <w:kern w:val="0"/>
                <w:sz w:val="20"/>
                <w:szCs w:val="20"/>
              </w:rPr>
            </w:pPr>
            <w:r w:rsidRPr="00ED4844">
              <w:rPr>
                <w:rFonts w:cs="Times New Roman"/>
                <w:b/>
                <w:bCs/>
                <w:kern w:val="0"/>
                <w:sz w:val="20"/>
                <w:szCs w:val="20"/>
              </w:rPr>
              <w:t>Projekt tárgya</w:t>
            </w:r>
          </w:p>
        </w:tc>
      </w:tr>
      <w:tr w:rsidR="00E62DF8" w:rsidRPr="00966D03" w:rsidTr="0056491B">
        <w:trPr>
          <w:trHeight w:val="230"/>
          <w:jc w:val="center"/>
        </w:trPr>
        <w:tc>
          <w:tcPr>
            <w:tcW w:w="1585" w:type="dxa"/>
            <w:vMerge/>
            <w:shd w:val="clear" w:color="auto" w:fill="B3B3B3"/>
            <w:vAlign w:val="center"/>
          </w:tcPr>
          <w:p w:rsidR="00E62DF8" w:rsidRPr="00ED4844" w:rsidRDefault="00E62DF8" w:rsidP="0056491B">
            <w:pPr>
              <w:keepNext/>
              <w:suppressAutoHyphens w:val="0"/>
              <w:spacing w:after="0"/>
              <w:jc w:val="center"/>
              <w:rPr>
                <w:rFonts w:cs="Times New Roman"/>
                <w:b/>
                <w:bCs/>
                <w:kern w:val="0"/>
                <w:sz w:val="20"/>
                <w:szCs w:val="20"/>
              </w:rPr>
            </w:pPr>
          </w:p>
        </w:tc>
        <w:tc>
          <w:tcPr>
            <w:tcW w:w="7710" w:type="dxa"/>
            <w:vMerge/>
            <w:shd w:val="clear" w:color="auto" w:fill="B3B3B3"/>
            <w:vAlign w:val="center"/>
          </w:tcPr>
          <w:p w:rsidR="00E62DF8" w:rsidRPr="00ED4844" w:rsidRDefault="00E62DF8" w:rsidP="0056491B">
            <w:pPr>
              <w:keepNext/>
              <w:suppressAutoHyphens w:val="0"/>
              <w:spacing w:after="0"/>
              <w:jc w:val="center"/>
              <w:rPr>
                <w:rFonts w:cs="Times New Roman"/>
                <w:b/>
                <w:bCs/>
                <w:kern w:val="0"/>
                <w:sz w:val="20"/>
                <w:szCs w:val="20"/>
              </w:rPr>
            </w:pPr>
          </w:p>
        </w:tc>
      </w:tr>
      <w:tr w:rsidR="00E62DF8" w:rsidRPr="00966D03" w:rsidTr="0056491B">
        <w:trPr>
          <w:jc w:val="center"/>
        </w:trPr>
        <w:tc>
          <w:tcPr>
            <w:tcW w:w="1585" w:type="dxa"/>
            <w:vAlign w:val="center"/>
          </w:tcPr>
          <w:p w:rsidR="00E62DF8" w:rsidRPr="00BD037E" w:rsidRDefault="00E62DF8" w:rsidP="00BD037E">
            <w:pPr>
              <w:keepNext/>
              <w:spacing w:after="0"/>
              <w:jc w:val="center"/>
            </w:pPr>
            <w:r w:rsidRPr="00BD037E">
              <w:t>Program IH</w:t>
            </w:r>
          </w:p>
        </w:tc>
        <w:tc>
          <w:tcPr>
            <w:tcW w:w="7710" w:type="dxa"/>
            <w:vAlign w:val="center"/>
          </w:tcPr>
          <w:p w:rsidR="00E62DF8" w:rsidRPr="007A1746" w:rsidRDefault="00E62DF8" w:rsidP="0056491B">
            <w:pPr>
              <w:keepNext/>
              <w:suppressAutoHyphens w:val="0"/>
              <w:spacing w:after="0"/>
              <w:jc w:val="left"/>
              <w:rPr>
                <w:rFonts w:cs="Times New Roman"/>
                <w:kern w:val="0"/>
                <w:sz w:val="20"/>
                <w:szCs w:val="20"/>
                <w:highlight w:val="yellow"/>
              </w:rPr>
            </w:pPr>
            <w:r>
              <w:rPr>
                <w:rFonts w:cs="Times New Roman"/>
                <w:kern w:val="0"/>
                <w:sz w:val="20"/>
                <w:szCs w:val="20"/>
              </w:rPr>
              <w:t xml:space="preserve">A Program </w:t>
            </w:r>
            <w:r w:rsidRPr="00544A9D">
              <w:rPr>
                <w:rFonts w:cs="Times New Roman"/>
                <w:kern w:val="0"/>
                <w:sz w:val="20"/>
                <w:szCs w:val="20"/>
              </w:rPr>
              <w:t>egyes intézkedések értékeléséhez specifikáció készítése</w:t>
            </w:r>
          </w:p>
        </w:tc>
      </w:tr>
      <w:tr w:rsidR="00E62DF8" w:rsidRPr="00966D03" w:rsidTr="0056491B">
        <w:trPr>
          <w:jc w:val="center"/>
        </w:trPr>
        <w:tc>
          <w:tcPr>
            <w:tcW w:w="1585" w:type="dxa"/>
            <w:vAlign w:val="center"/>
          </w:tcPr>
          <w:p w:rsidR="00E62DF8" w:rsidRPr="00BD037E" w:rsidRDefault="00E62DF8" w:rsidP="00BD037E">
            <w:pPr>
              <w:keepNext/>
              <w:spacing w:after="0"/>
              <w:jc w:val="center"/>
            </w:pPr>
            <w:r w:rsidRPr="00BD037E">
              <w:t>Program IH</w:t>
            </w:r>
          </w:p>
        </w:tc>
        <w:tc>
          <w:tcPr>
            <w:tcW w:w="7710" w:type="dxa"/>
            <w:vAlign w:val="center"/>
          </w:tcPr>
          <w:p w:rsidR="00E62DF8" w:rsidRPr="007A1746" w:rsidRDefault="00E62DF8" w:rsidP="0056491B">
            <w:pPr>
              <w:keepNext/>
              <w:suppressAutoHyphens w:val="0"/>
              <w:spacing w:after="0"/>
              <w:jc w:val="left"/>
              <w:rPr>
                <w:rFonts w:cs="Times New Roman"/>
                <w:kern w:val="0"/>
                <w:sz w:val="20"/>
                <w:szCs w:val="20"/>
                <w:highlight w:val="yellow"/>
              </w:rPr>
            </w:pPr>
            <w:r w:rsidRPr="007A1746">
              <w:rPr>
                <w:rFonts w:cs="Times New Roman"/>
                <w:bCs/>
                <w:sz w:val="20"/>
                <w:szCs w:val="20"/>
              </w:rPr>
              <w:t>Ellenőrzési feladatok ellátása</w:t>
            </w:r>
          </w:p>
        </w:tc>
      </w:tr>
      <w:tr w:rsidR="00E62DF8" w:rsidRPr="00966D03" w:rsidTr="0056491B">
        <w:trPr>
          <w:jc w:val="center"/>
        </w:trPr>
        <w:tc>
          <w:tcPr>
            <w:tcW w:w="1585" w:type="dxa"/>
            <w:vAlign w:val="center"/>
          </w:tcPr>
          <w:p w:rsidR="00E62DF8" w:rsidRPr="00BD037E" w:rsidRDefault="00E62DF8" w:rsidP="00BD037E">
            <w:pPr>
              <w:keepNext/>
              <w:spacing w:after="0"/>
              <w:jc w:val="center"/>
            </w:pPr>
            <w:r w:rsidRPr="00BD037E">
              <w:t>Program IH</w:t>
            </w:r>
          </w:p>
        </w:tc>
        <w:tc>
          <w:tcPr>
            <w:tcW w:w="7710" w:type="dxa"/>
            <w:vAlign w:val="center"/>
          </w:tcPr>
          <w:p w:rsidR="00E62DF8" w:rsidRPr="007A1746" w:rsidRDefault="00E62DF8" w:rsidP="0056491B">
            <w:pPr>
              <w:suppressAutoHyphens w:val="0"/>
              <w:spacing w:after="0"/>
              <w:jc w:val="left"/>
              <w:rPr>
                <w:rFonts w:cs="Times New Roman"/>
                <w:kern w:val="0"/>
                <w:sz w:val="20"/>
                <w:szCs w:val="20"/>
                <w:highlight w:val="yellow"/>
              </w:rPr>
            </w:pPr>
            <w:r w:rsidRPr="007A1746">
              <w:rPr>
                <w:rFonts w:cs="Times New Roman"/>
                <w:bCs/>
                <w:sz w:val="20"/>
                <w:szCs w:val="20"/>
              </w:rPr>
              <w:t>Szakmai utak finanszírozása</w:t>
            </w:r>
          </w:p>
        </w:tc>
      </w:tr>
      <w:tr w:rsidR="00E62DF8" w:rsidRPr="00966D03" w:rsidTr="0056491B">
        <w:trPr>
          <w:jc w:val="center"/>
        </w:trPr>
        <w:tc>
          <w:tcPr>
            <w:tcW w:w="1585" w:type="dxa"/>
            <w:vAlign w:val="center"/>
          </w:tcPr>
          <w:p w:rsidR="00E62DF8" w:rsidRPr="00BD037E" w:rsidRDefault="00E62DF8" w:rsidP="00BD037E">
            <w:pPr>
              <w:keepNext/>
              <w:spacing w:after="0"/>
              <w:jc w:val="center"/>
            </w:pPr>
            <w:r w:rsidRPr="00BD037E">
              <w:t>Program IH</w:t>
            </w:r>
          </w:p>
        </w:tc>
        <w:tc>
          <w:tcPr>
            <w:tcW w:w="7710" w:type="dxa"/>
            <w:vAlign w:val="center"/>
          </w:tcPr>
          <w:p w:rsidR="00E62DF8" w:rsidRPr="007A1746" w:rsidRDefault="00E62DF8" w:rsidP="0056491B">
            <w:pPr>
              <w:suppressAutoHyphens w:val="0"/>
              <w:spacing w:after="0"/>
              <w:jc w:val="left"/>
              <w:rPr>
                <w:rFonts w:cs="Times New Roman"/>
                <w:kern w:val="0"/>
                <w:sz w:val="20"/>
                <w:szCs w:val="20"/>
                <w:highlight w:val="yellow"/>
              </w:rPr>
            </w:pPr>
            <w:r w:rsidRPr="007A1746">
              <w:rPr>
                <w:rFonts w:cs="Times New Roman"/>
                <w:bCs/>
                <w:sz w:val="20"/>
                <w:szCs w:val="20"/>
              </w:rPr>
              <w:t>Szakértői közreműködés az Agrárgazdasági Kutató Intézet által</w:t>
            </w:r>
          </w:p>
        </w:tc>
      </w:tr>
      <w:tr w:rsidR="00E62DF8" w:rsidRPr="00966D03" w:rsidTr="0056491B">
        <w:trPr>
          <w:jc w:val="center"/>
        </w:trPr>
        <w:tc>
          <w:tcPr>
            <w:tcW w:w="1585" w:type="dxa"/>
            <w:vAlign w:val="center"/>
          </w:tcPr>
          <w:p w:rsidR="00E62DF8" w:rsidRPr="00BD037E" w:rsidRDefault="00E62DF8" w:rsidP="00BD037E">
            <w:pPr>
              <w:keepNext/>
              <w:spacing w:after="0"/>
              <w:jc w:val="center"/>
            </w:pPr>
            <w:r w:rsidRPr="00BD037E">
              <w:t>Program IH</w:t>
            </w:r>
          </w:p>
        </w:tc>
        <w:tc>
          <w:tcPr>
            <w:tcW w:w="7710" w:type="dxa"/>
            <w:vAlign w:val="center"/>
          </w:tcPr>
          <w:p w:rsidR="00E62DF8" w:rsidRPr="007A1746" w:rsidRDefault="00E62DF8" w:rsidP="0056491B">
            <w:pPr>
              <w:suppressAutoHyphens w:val="0"/>
              <w:spacing w:after="0"/>
              <w:jc w:val="left"/>
              <w:rPr>
                <w:rFonts w:cs="Times New Roman"/>
                <w:bCs/>
                <w:sz w:val="20"/>
                <w:szCs w:val="20"/>
                <w:highlight w:val="yellow"/>
              </w:rPr>
            </w:pPr>
            <w:r w:rsidRPr="007A1746">
              <w:rPr>
                <w:rFonts w:cs="Times New Roman"/>
                <w:bCs/>
                <w:sz w:val="20"/>
                <w:szCs w:val="20"/>
              </w:rPr>
              <w:t>A Program intézkedéseihez kapcsolódó helyszíni ellenőrzés</w:t>
            </w:r>
          </w:p>
        </w:tc>
      </w:tr>
      <w:tr w:rsidR="00E62DF8" w:rsidRPr="00966D03" w:rsidTr="0056491B">
        <w:trPr>
          <w:jc w:val="center"/>
        </w:trPr>
        <w:tc>
          <w:tcPr>
            <w:tcW w:w="1585" w:type="dxa"/>
            <w:vAlign w:val="center"/>
          </w:tcPr>
          <w:p w:rsidR="00E62DF8" w:rsidRPr="00BD037E" w:rsidRDefault="00E62DF8" w:rsidP="00BD037E">
            <w:pPr>
              <w:jc w:val="center"/>
            </w:pPr>
            <w:r w:rsidRPr="00BD037E">
              <w:t>Program IH</w:t>
            </w:r>
          </w:p>
        </w:tc>
        <w:tc>
          <w:tcPr>
            <w:tcW w:w="7710" w:type="dxa"/>
            <w:vAlign w:val="center"/>
          </w:tcPr>
          <w:p w:rsidR="00E62DF8" w:rsidRPr="007A1746" w:rsidRDefault="00E62DF8" w:rsidP="0056491B">
            <w:pPr>
              <w:suppressAutoHyphens w:val="0"/>
              <w:spacing w:after="0"/>
              <w:jc w:val="left"/>
              <w:rPr>
                <w:rFonts w:cs="Times New Roman"/>
                <w:bCs/>
                <w:sz w:val="20"/>
                <w:szCs w:val="20"/>
                <w:highlight w:val="yellow"/>
              </w:rPr>
            </w:pPr>
            <w:r w:rsidRPr="007A1746">
              <w:rPr>
                <w:rFonts w:cs="Times New Roman"/>
                <w:bCs/>
                <w:sz w:val="20"/>
                <w:szCs w:val="20"/>
              </w:rPr>
              <w:t>Szakértői tevékenység igénybevétele a Program jogcímeinek végrehajtásához</w:t>
            </w:r>
          </w:p>
        </w:tc>
      </w:tr>
    </w:tbl>
    <w:p w:rsidR="00E62DF8" w:rsidRPr="00D669BB" w:rsidRDefault="00E62DF8" w:rsidP="00715E86">
      <w:pPr>
        <w:pStyle w:val="Cmsor4"/>
      </w:pPr>
      <w:bookmarkStart w:id="426" w:name="_Toc230595652"/>
      <w:r w:rsidRPr="00D669BB">
        <w:t>A Program TS keretének terhére foglalkoztatottak létszáma</w:t>
      </w:r>
      <w:bookmarkEnd w:id="426"/>
    </w:p>
    <w:p w:rsidR="00E62DF8" w:rsidRPr="00301A38" w:rsidRDefault="00E62DF8" w:rsidP="00E62DF8">
      <w:r w:rsidRPr="00301A38">
        <w:t>Az EMVA</w:t>
      </w:r>
      <w:r>
        <w:t xml:space="preserve"> társfinanszírozásában megvalósuló program működtetéséhez kapcsolódó</w:t>
      </w:r>
      <w:r w:rsidRPr="00301A38">
        <w:t xml:space="preserve"> feladatok végrehajtására lehetőség van a Program Technikai Segítségnyújtás intézkedésének keretében történő </w:t>
      </w:r>
      <w:r w:rsidRPr="00301A38">
        <w:lastRenderedPageBreak/>
        <w:t xml:space="preserve">határozott idejű foglalkoztatásra kiegészítő jelleggel. A Program TS forrásból finanszírozott munkatársak alkalmazása a </w:t>
      </w:r>
      <w:r w:rsidRPr="00787EA0">
        <w:t>közszolgálati tisztviselőkről szóló 2011. évi CXCIX. törvény</w:t>
      </w:r>
      <w:r w:rsidRPr="00301A38">
        <w:t xml:space="preserve"> alapján történik. Bérezésük, egy</w:t>
      </w:r>
      <w:r>
        <w:t>éb juttatásaik is ezen törvény</w:t>
      </w:r>
      <w:r w:rsidRPr="00301A38">
        <w:t xml:space="preserve"> alapján, valamint az VM belső utasításai szerint, az intézményi k</w:t>
      </w:r>
      <w:r>
        <w:t>eret terhére foglalkoztatott kormány</w:t>
      </w:r>
      <w:r w:rsidRPr="00301A38">
        <w:t>tisztviselőkkel megegyezően történik. A Program TS keretére felvett dolgozók kizárólag Programmal kapcsolatos feladatokat láthatnak el.</w:t>
      </w:r>
    </w:p>
    <w:p w:rsidR="00E62DF8" w:rsidRDefault="00E62DF8" w:rsidP="00E62DF8">
      <w:r w:rsidRPr="00301A38">
        <w:t>Az Irányíró</w:t>
      </w:r>
      <w:r>
        <w:t xml:space="preserve"> Hatóság - a 2012. december 31-</w:t>
      </w:r>
      <w:r w:rsidRPr="00301A38">
        <w:t xml:space="preserve">i állapot szerint - </w:t>
      </w:r>
      <w:r w:rsidRPr="007D0057">
        <w:t>80</w:t>
      </w:r>
      <w:r w:rsidRPr="00301A38">
        <w:t xml:space="preserve"> főt foglalkoztatott a Technikai Segítségnyújtás keretének terhére.</w:t>
      </w:r>
    </w:p>
    <w:p w:rsidR="00053C2D" w:rsidRPr="00301A38" w:rsidRDefault="00053C2D" w:rsidP="00E62DF8"/>
    <w:p w:rsidR="00E62DF8" w:rsidRPr="00896E03" w:rsidRDefault="00E62DF8" w:rsidP="00DB48A3">
      <w:pPr>
        <w:pStyle w:val="Cmsor3"/>
      </w:pPr>
      <w:bookmarkStart w:id="427" w:name="most"/>
      <w:bookmarkStart w:id="428" w:name="_Toc230595654"/>
      <w:bookmarkStart w:id="429" w:name="_Toc232860203"/>
      <w:bookmarkStart w:id="430" w:name="_Toc265660445"/>
      <w:bookmarkStart w:id="431" w:name="_Toc328638752"/>
      <w:bookmarkStart w:id="432" w:name="_Toc358735999"/>
      <w:bookmarkStart w:id="433" w:name="_Toc360176843"/>
      <w:bookmarkEnd w:id="427"/>
      <w:r w:rsidRPr="00896E03">
        <w:t>A Kifizető Ügynökség (MVH)</w:t>
      </w:r>
      <w:bookmarkEnd w:id="428"/>
      <w:bookmarkEnd w:id="429"/>
      <w:bookmarkEnd w:id="430"/>
      <w:bookmarkEnd w:id="431"/>
      <w:bookmarkEnd w:id="432"/>
      <w:bookmarkEnd w:id="433"/>
    </w:p>
    <w:p w:rsidR="00E62DF8" w:rsidRPr="00F92037" w:rsidRDefault="007E5FDF" w:rsidP="00F92037">
      <w:pPr>
        <w:pStyle w:val="bra-cmetbla"/>
      </w:pPr>
      <w:fldSimple w:instr=" SEQ táblázat \* ARABIC ">
        <w:r w:rsidR="00E5031F">
          <w:rPr>
            <w:noProof/>
          </w:rPr>
          <w:t>112</w:t>
        </w:r>
      </w:fldSimple>
      <w:r w:rsidR="00DB48A3">
        <w:t xml:space="preserve">. táblázat: </w:t>
      </w:r>
      <w:r w:rsidR="00E62DF8" w:rsidRPr="00F92037">
        <w:t>A 2012-ben jóváhagyott, TS-ből megvalósult, megvalósítandó projektek felsorolásszerű bemutatása</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gridCol w:w="7710"/>
      </w:tblGrid>
      <w:tr w:rsidR="00E62DF8" w:rsidRPr="00966D03" w:rsidTr="0056491B">
        <w:trPr>
          <w:cantSplit/>
          <w:trHeight w:val="230"/>
          <w:tblHeader/>
          <w:jc w:val="center"/>
        </w:trPr>
        <w:tc>
          <w:tcPr>
            <w:tcW w:w="1860" w:type="dxa"/>
            <w:vMerge w:val="restart"/>
            <w:shd w:val="clear" w:color="auto" w:fill="B3B3B3"/>
            <w:vAlign w:val="center"/>
          </w:tcPr>
          <w:p w:rsidR="00E62DF8" w:rsidRPr="00966D03" w:rsidRDefault="00E62DF8" w:rsidP="0056491B">
            <w:pPr>
              <w:suppressAutoHyphens w:val="0"/>
              <w:spacing w:after="0"/>
              <w:jc w:val="center"/>
              <w:rPr>
                <w:rFonts w:cs="Times New Roman"/>
                <w:b/>
                <w:bCs/>
                <w:kern w:val="0"/>
                <w:sz w:val="20"/>
                <w:szCs w:val="20"/>
              </w:rPr>
            </w:pPr>
            <w:r w:rsidRPr="00966D03">
              <w:rPr>
                <w:rFonts w:cs="Times New Roman"/>
                <w:b/>
                <w:bCs/>
                <w:kern w:val="0"/>
                <w:sz w:val="20"/>
                <w:szCs w:val="20"/>
              </w:rPr>
              <w:t>Kérelmező</w:t>
            </w:r>
          </w:p>
        </w:tc>
        <w:tc>
          <w:tcPr>
            <w:tcW w:w="7710" w:type="dxa"/>
            <w:vMerge w:val="restart"/>
            <w:shd w:val="clear" w:color="auto" w:fill="B3B3B3"/>
            <w:vAlign w:val="center"/>
          </w:tcPr>
          <w:p w:rsidR="00E62DF8" w:rsidRPr="00966D03" w:rsidRDefault="00E62DF8" w:rsidP="0056491B">
            <w:pPr>
              <w:suppressAutoHyphens w:val="0"/>
              <w:spacing w:after="0"/>
              <w:jc w:val="center"/>
              <w:rPr>
                <w:rFonts w:cs="Times New Roman"/>
                <w:b/>
                <w:bCs/>
                <w:kern w:val="0"/>
                <w:sz w:val="20"/>
                <w:szCs w:val="20"/>
              </w:rPr>
            </w:pPr>
            <w:r w:rsidRPr="00966D03">
              <w:rPr>
                <w:rFonts w:cs="Times New Roman"/>
                <w:b/>
                <w:bCs/>
                <w:kern w:val="0"/>
                <w:sz w:val="20"/>
                <w:szCs w:val="20"/>
              </w:rPr>
              <w:t>Projekt tárgya</w:t>
            </w:r>
          </w:p>
        </w:tc>
      </w:tr>
      <w:tr w:rsidR="00E62DF8" w:rsidRPr="00966D03" w:rsidTr="0056491B">
        <w:trPr>
          <w:trHeight w:val="230"/>
          <w:jc w:val="center"/>
        </w:trPr>
        <w:tc>
          <w:tcPr>
            <w:tcW w:w="1860" w:type="dxa"/>
            <w:vMerge/>
            <w:shd w:val="clear" w:color="auto" w:fill="B3B3B3"/>
            <w:vAlign w:val="center"/>
          </w:tcPr>
          <w:p w:rsidR="00E62DF8" w:rsidRPr="00966D03" w:rsidRDefault="00E62DF8" w:rsidP="0056491B">
            <w:pPr>
              <w:suppressAutoHyphens w:val="0"/>
              <w:spacing w:after="0"/>
              <w:jc w:val="center"/>
              <w:rPr>
                <w:rFonts w:cs="Times New Roman"/>
                <w:b/>
                <w:bCs/>
                <w:kern w:val="0"/>
                <w:sz w:val="20"/>
                <w:szCs w:val="20"/>
              </w:rPr>
            </w:pPr>
          </w:p>
        </w:tc>
        <w:tc>
          <w:tcPr>
            <w:tcW w:w="7710" w:type="dxa"/>
            <w:vMerge/>
            <w:shd w:val="clear" w:color="auto" w:fill="B3B3B3"/>
            <w:vAlign w:val="center"/>
          </w:tcPr>
          <w:p w:rsidR="00E62DF8" w:rsidRPr="00966D03" w:rsidRDefault="00E62DF8" w:rsidP="0056491B">
            <w:pPr>
              <w:suppressAutoHyphens w:val="0"/>
              <w:spacing w:after="0"/>
              <w:jc w:val="center"/>
              <w:rPr>
                <w:rFonts w:cs="Times New Roman"/>
                <w:b/>
                <w:bCs/>
                <w:kern w:val="0"/>
                <w:sz w:val="20"/>
                <w:szCs w:val="20"/>
              </w:rPr>
            </w:pPr>
          </w:p>
        </w:tc>
      </w:tr>
      <w:tr w:rsidR="00E62DF8" w:rsidRPr="00966D03" w:rsidTr="0056491B">
        <w:trPr>
          <w:jc w:val="center"/>
        </w:trPr>
        <w:tc>
          <w:tcPr>
            <w:tcW w:w="1860" w:type="dxa"/>
            <w:vAlign w:val="center"/>
          </w:tcPr>
          <w:p w:rsidR="00E62DF8" w:rsidRPr="00966D03" w:rsidRDefault="00E62DF8" w:rsidP="0056491B">
            <w:pPr>
              <w:pStyle w:val="Normltblakzp"/>
            </w:pPr>
            <w:r w:rsidRPr="00966D03">
              <w:t>MVH</w:t>
            </w:r>
          </w:p>
        </w:tc>
        <w:tc>
          <w:tcPr>
            <w:tcW w:w="7710" w:type="dxa"/>
            <w:vAlign w:val="center"/>
          </w:tcPr>
          <w:p w:rsidR="00E62DF8" w:rsidRPr="00966D03" w:rsidRDefault="00E62DF8" w:rsidP="007B5AEF">
            <w:pPr>
              <w:pStyle w:val="Tbla-bal"/>
            </w:pPr>
            <w:r>
              <w:t>A NÉBIH számára átruházott feladatok végrehajtása</w:t>
            </w:r>
          </w:p>
        </w:tc>
      </w:tr>
      <w:tr w:rsidR="00E62DF8" w:rsidRPr="00966D03" w:rsidTr="0056491B">
        <w:trPr>
          <w:jc w:val="center"/>
        </w:trPr>
        <w:tc>
          <w:tcPr>
            <w:tcW w:w="1860" w:type="dxa"/>
            <w:vAlign w:val="center"/>
          </w:tcPr>
          <w:p w:rsidR="00E62DF8" w:rsidRPr="00966D03" w:rsidRDefault="00E62DF8" w:rsidP="0056491B">
            <w:pPr>
              <w:pStyle w:val="Normltblakzp"/>
            </w:pPr>
            <w:r w:rsidRPr="00966D03">
              <w:t>MVH</w:t>
            </w:r>
          </w:p>
        </w:tc>
        <w:tc>
          <w:tcPr>
            <w:tcW w:w="7710" w:type="dxa"/>
            <w:vAlign w:val="center"/>
          </w:tcPr>
          <w:p w:rsidR="00E62DF8" w:rsidRPr="00966D03" w:rsidRDefault="00E62DF8" w:rsidP="007B5AEF">
            <w:pPr>
              <w:pStyle w:val="Tbla-bal"/>
            </w:pPr>
            <w:r>
              <w:t xml:space="preserve">A Nemzeti Park Igazgatóságokra (10db) </w:t>
            </w:r>
            <w:r w:rsidRPr="004D733C">
              <w:t>átruházott feladatok végrehajtá</w:t>
            </w:r>
            <w:r>
              <w:t>sa</w:t>
            </w:r>
          </w:p>
        </w:tc>
      </w:tr>
      <w:tr w:rsidR="00E62DF8" w:rsidRPr="00966D03" w:rsidTr="0056491B">
        <w:trPr>
          <w:jc w:val="center"/>
        </w:trPr>
        <w:tc>
          <w:tcPr>
            <w:tcW w:w="1860" w:type="dxa"/>
            <w:vAlign w:val="center"/>
          </w:tcPr>
          <w:p w:rsidR="00E62DF8" w:rsidRPr="00966D03" w:rsidRDefault="00E62DF8" w:rsidP="0056491B">
            <w:pPr>
              <w:pStyle w:val="Normltblakzp"/>
            </w:pPr>
            <w:r>
              <w:t>MVH</w:t>
            </w:r>
          </w:p>
        </w:tc>
        <w:tc>
          <w:tcPr>
            <w:tcW w:w="7710" w:type="dxa"/>
            <w:vAlign w:val="center"/>
          </w:tcPr>
          <w:p w:rsidR="00E62DF8" w:rsidRDefault="00E62DF8" w:rsidP="007B5AEF">
            <w:pPr>
              <w:pStyle w:val="Tbla-bal"/>
            </w:pPr>
            <w:r>
              <w:t>A Földmérési és Távérzékelési Intézet számára átruházott feladatok végrehajtása</w:t>
            </w:r>
          </w:p>
        </w:tc>
      </w:tr>
      <w:tr w:rsidR="00E62DF8" w:rsidTr="0056491B">
        <w:trPr>
          <w:jc w:val="center"/>
        </w:trPr>
        <w:tc>
          <w:tcPr>
            <w:tcW w:w="1860" w:type="dxa"/>
            <w:vAlign w:val="center"/>
          </w:tcPr>
          <w:p w:rsidR="00E62DF8" w:rsidRPr="00966D03" w:rsidRDefault="00E62DF8" w:rsidP="0056491B">
            <w:pPr>
              <w:pStyle w:val="Normltblakzp"/>
            </w:pPr>
            <w:bookmarkStart w:id="434" w:name="_Toc230595655"/>
            <w:r>
              <w:t>MVH</w:t>
            </w:r>
          </w:p>
        </w:tc>
        <w:tc>
          <w:tcPr>
            <w:tcW w:w="7710" w:type="dxa"/>
            <w:vAlign w:val="center"/>
          </w:tcPr>
          <w:p w:rsidR="00E62DF8" w:rsidRDefault="00E62DF8" w:rsidP="007B5AEF">
            <w:pPr>
              <w:pStyle w:val="Tbla-bal"/>
            </w:pPr>
            <w:r>
              <w:t>A VM Mezőgazdasági, Gépesítési Intézet számára átruházott feladatok végrehajtása</w:t>
            </w:r>
          </w:p>
        </w:tc>
      </w:tr>
      <w:tr w:rsidR="00E62DF8" w:rsidTr="0056491B">
        <w:trPr>
          <w:jc w:val="center"/>
        </w:trPr>
        <w:tc>
          <w:tcPr>
            <w:tcW w:w="1860" w:type="dxa"/>
            <w:vAlign w:val="center"/>
          </w:tcPr>
          <w:p w:rsidR="00E62DF8" w:rsidRPr="00966D03" w:rsidRDefault="00E62DF8" w:rsidP="0056491B">
            <w:pPr>
              <w:pStyle w:val="Normltblakzp"/>
            </w:pPr>
            <w:r>
              <w:t>MVH</w:t>
            </w:r>
          </w:p>
        </w:tc>
        <w:tc>
          <w:tcPr>
            <w:tcW w:w="7710" w:type="dxa"/>
            <w:vAlign w:val="center"/>
          </w:tcPr>
          <w:p w:rsidR="00E62DF8" w:rsidRDefault="00E62DF8" w:rsidP="007B5AEF">
            <w:pPr>
              <w:pStyle w:val="Tbla-bal"/>
            </w:pPr>
            <w:r>
              <w:t>Informatikai fejlesztés</w:t>
            </w:r>
          </w:p>
        </w:tc>
      </w:tr>
      <w:tr w:rsidR="00E62DF8" w:rsidTr="0056491B">
        <w:trPr>
          <w:jc w:val="center"/>
        </w:trPr>
        <w:tc>
          <w:tcPr>
            <w:tcW w:w="1860" w:type="dxa"/>
            <w:vAlign w:val="center"/>
          </w:tcPr>
          <w:p w:rsidR="00E62DF8" w:rsidRPr="00966D03" w:rsidRDefault="00E62DF8" w:rsidP="0056491B">
            <w:pPr>
              <w:pStyle w:val="Normltblakzp"/>
            </w:pPr>
            <w:r>
              <w:t>MVH</w:t>
            </w:r>
          </w:p>
        </w:tc>
        <w:tc>
          <w:tcPr>
            <w:tcW w:w="7710" w:type="dxa"/>
            <w:vAlign w:val="center"/>
          </w:tcPr>
          <w:p w:rsidR="00E62DF8" w:rsidRDefault="00E62DF8" w:rsidP="007B5AEF">
            <w:pPr>
              <w:pStyle w:val="Tbla-bal"/>
            </w:pPr>
            <w:r>
              <w:t>Hardver beszerzés</w:t>
            </w:r>
          </w:p>
        </w:tc>
      </w:tr>
      <w:tr w:rsidR="00E62DF8" w:rsidTr="0056491B">
        <w:trPr>
          <w:jc w:val="center"/>
        </w:trPr>
        <w:tc>
          <w:tcPr>
            <w:tcW w:w="1860" w:type="dxa"/>
            <w:vAlign w:val="center"/>
          </w:tcPr>
          <w:p w:rsidR="00E62DF8" w:rsidRPr="00966D03" w:rsidRDefault="00E62DF8" w:rsidP="0056491B">
            <w:pPr>
              <w:pStyle w:val="Normltblakzp"/>
            </w:pPr>
            <w:r>
              <w:t>MVH</w:t>
            </w:r>
          </w:p>
        </w:tc>
        <w:tc>
          <w:tcPr>
            <w:tcW w:w="7710" w:type="dxa"/>
            <w:vAlign w:val="center"/>
          </w:tcPr>
          <w:p w:rsidR="00E62DF8" w:rsidRDefault="00E62DF8" w:rsidP="007B5AEF">
            <w:pPr>
              <w:pStyle w:val="Tbla-bal"/>
            </w:pPr>
            <w:r>
              <w:t>MVH helyszíni ellenőrz</w:t>
            </w:r>
            <w:r w:rsidRPr="00956A82">
              <w:t>ések kontroll statisztikáinak validálása</w:t>
            </w:r>
          </w:p>
        </w:tc>
      </w:tr>
      <w:tr w:rsidR="00E62DF8" w:rsidTr="0056491B">
        <w:trPr>
          <w:jc w:val="center"/>
        </w:trPr>
        <w:tc>
          <w:tcPr>
            <w:tcW w:w="1860" w:type="dxa"/>
            <w:vAlign w:val="center"/>
          </w:tcPr>
          <w:p w:rsidR="00E62DF8" w:rsidRPr="00966D03" w:rsidRDefault="00E62DF8" w:rsidP="0056491B">
            <w:pPr>
              <w:pStyle w:val="Normltblakzp"/>
            </w:pPr>
            <w:r>
              <w:t>MVH</w:t>
            </w:r>
          </w:p>
        </w:tc>
        <w:tc>
          <w:tcPr>
            <w:tcW w:w="7710" w:type="dxa"/>
            <w:vAlign w:val="center"/>
          </w:tcPr>
          <w:p w:rsidR="00E62DF8" w:rsidRDefault="00E62DF8" w:rsidP="007B5AEF">
            <w:pPr>
              <w:pStyle w:val="Tbla-bal"/>
            </w:pPr>
            <w:r>
              <w:t>Kapacitás projekt (2012-2013)</w:t>
            </w:r>
          </w:p>
        </w:tc>
      </w:tr>
      <w:tr w:rsidR="00E62DF8" w:rsidTr="0056491B">
        <w:trPr>
          <w:jc w:val="center"/>
        </w:trPr>
        <w:tc>
          <w:tcPr>
            <w:tcW w:w="1860" w:type="dxa"/>
            <w:vAlign w:val="center"/>
          </w:tcPr>
          <w:p w:rsidR="00E62DF8" w:rsidRDefault="00E62DF8" w:rsidP="0056491B">
            <w:pPr>
              <w:pStyle w:val="Normltblakzp"/>
            </w:pPr>
            <w:r>
              <w:t>MVH</w:t>
            </w:r>
          </w:p>
        </w:tc>
        <w:tc>
          <w:tcPr>
            <w:tcW w:w="7710" w:type="dxa"/>
            <w:vAlign w:val="center"/>
          </w:tcPr>
          <w:p w:rsidR="00E62DF8" w:rsidRDefault="00E62DF8" w:rsidP="007B5AEF">
            <w:pPr>
              <w:pStyle w:val="Tbla-bal"/>
            </w:pPr>
            <w:r>
              <w:t>Kommunikációs projekt</w:t>
            </w:r>
          </w:p>
        </w:tc>
      </w:tr>
    </w:tbl>
    <w:p w:rsidR="00E62DF8" w:rsidRDefault="00E62DF8" w:rsidP="00E62DF8">
      <w:pPr>
        <w:pStyle w:val="Normlforrs"/>
      </w:pPr>
      <w:r w:rsidRPr="00B55262">
        <w:t>Forrás: MVH</w:t>
      </w:r>
    </w:p>
    <w:p w:rsidR="00E62DF8" w:rsidRPr="00D669BB" w:rsidRDefault="00E62DF8" w:rsidP="00715E86">
      <w:pPr>
        <w:pStyle w:val="Cmsor4"/>
      </w:pPr>
      <w:r w:rsidRPr="00D669BB">
        <w:t>A Program Technikai Segítségnyújtás keret terhére foglalkoztatottak létszáma</w:t>
      </w:r>
      <w:bookmarkEnd w:id="434"/>
    </w:p>
    <w:p w:rsidR="00E62DF8" w:rsidRPr="00301A38" w:rsidRDefault="00E62DF8" w:rsidP="00E62DF8">
      <w:r w:rsidRPr="00301A38">
        <w:t xml:space="preserve">Az EMVA </w:t>
      </w:r>
      <w:r>
        <w:t>társfinanszírozásában megvalósuló program működtetéséhez kapcsolódó</w:t>
      </w:r>
      <w:r w:rsidRPr="00301A38">
        <w:t xml:space="preserve"> feladatok végrehajtására lehetőség van a Program Technikai Segítségnyújtás intézkedésének keretében történő határozott idejű foglalkoztatásra kiegészítő jelleggel. A Program TS forrásából finanszírozott munkatársak </w:t>
      </w:r>
      <w:r>
        <w:t xml:space="preserve">alkalmazása </w:t>
      </w:r>
      <w:r w:rsidRPr="00301A38">
        <w:t xml:space="preserve">a </w:t>
      </w:r>
      <w:r w:rsidRPr="00787EA0">
        <w:t xml:space="preserve">közszolgálati tisztviselőkről szóló 2011. évi CXCIX. </w:t>
      </w:r>
      <w:r w:rsidRPr="00301A38">
        <w:t>törvény alapján történik. Bérezésük, egy</w:t>
      </w:r>
      <w:r>
        <w:t>éb juttatásaik is ezen törvény</w:t>
      </w:r>
      <w:r w:rsidRPr="00301A38">
        <w:t xml:space="preserve"> alapján, valamint az MVH belső utasításai szerint, az intézményi k</w:t>
      </w:r>
      <w:r>
        <w:t>eret terhére foglalkoztatott kormány</w:t>
      </w:r>
      <w:r w:rsidRPr="00301A38">
        <w:t xml:space="preserve">tisztviselőkkel megegyezően történik. A Program TS keretére felvett dolgozók kizárólag Programmal kapcsolatos feladatokat láthatnak el. Elvégzett feladataikat és a ráfordított munkaidőt havi jelentéssel és jelenléti ívvel igazolják. </w:t>
      </w:r>
    </w:p>
    <w:p w:rsidR="00E62DF8" w:rsidRPr="00301A38" w:rsidRDefault="00E62DF8" w:rsidP="00E62DF8">
      <w:r w:rsidRPr="00301A38">
        <w:t>A Mezőgazdasági és</w:t>
      </w:r>
      <w:r>
        <w:t xml:space="preserve"> Vidékfejlesztési Hivatal a 2012</w:t>
      </w:r>
      <w:r w:rsidRPr="00301A38">
        <w:t>. de</w:t>
      </w:r>
      <w:r>
        <w:t>cember 31-ei állapot szerint 689</w:t>
      </w:r>
      <w:r w:rsidRPr="00301A38">
        <w:t xml:space="preserve"> főt foglalkoztatott a TS keret terhére. A munkatársak létszámának az egyes szakmai területek szerinti megoszlása az előző évhez képest jelentősen nem változott. A legtöbb kormánytisztviselő a kérelemkezelés területen </w:t>
      </w:r>
      <w:r w:rsidRPr="00E11EAC">
        <w:t>dolgozott (54%), valamint nagy létszámot kötött le a helyszíni ellenőrzés feladatainak ellátása (26%). TS keretből</w:t>
      </w:r>
      <w:r w:rsidRPr="00301A38">
        <w:t xml:space="preserve"> foglalkoztatottak dolgoztak még jogi, pénzügyi, belső ellenőrzési és egyéb területeken. </w:t>
      </w:r>
    </w:p>
    <w:p w:rsidR="00E62DF8" w:rsidRDefault="00E62DF8" w:rsidP="00E62DF8">
      <w:r w:rsidRPr="00301A38">
        <w:t>A Program végrehajtása során jelentkező feladatok elvégzésére legnagyobb mértékben a kirendeltségeknél volt szükség, ezért a Program TS keretére felvett m</w:t>
      </w:r>
      <w:r>
        <w:t>unkatársak teljes létszámának 28%-a a központban, 72</w:t>
      </w:r>
      <w:r w:rsidRPr="00301A38">
        <w:t>%-a a kirendeltségéknél dolgozott. A foglalkoztatottak 91%-a felsőfokú végzettségű, jelentős számban nyelvvizsgával rendelkező, ma</w:t>
      </w:r>
      <w:r>
        <w:t>gasan kvalifikált munkaerő. 2012</w:t>
      </w:r>
      <w:r w:rsidRPr="00301A38">
        <w:t>. évben a TS keret terhére foglalkoz</w:t>
      </w:r>
      <w:r>
        <w:t>tatottak közül az év folyamán 33</w:t>
      </w:r>
      <w:r w:rsidRPr="00301A38">
        <w:t xml:space="preserve"> f</w:t>
      </w:r>
      <w:r>
        <w:t>ő ment el szülési szabadságra, 1</w:t>
      </w:r>
      <w:r w:rsidRPr="00301A38">
        <w:t>6 főt v</w:t>
      </w:r>
      <w:r>
        <w:t>ettek át intézményi keretre, 56</w:t>
      </w:r>
      <w:r w:rsidRPr="00301A38">
        <w:t xml:space="preserve"> főnek szűnt meg a jogviszonya. A megüresedett helyek pótlólagosan betöltésre kerültek.</w:t>
      </w:r>
    </w:p>
    <w:p w:rsidR="00DB48A3" w:rsidRDefault="007E5FDF" w:rsidP="00DB48A3">
      <w:pPr>
        <w:pStyle w:val="bra-cmetbla"/>
      </w:pPr>
      <w:fldSimple w:instr=" SEQ táblázat \* ARABIC ">
        <w:r w:rsidR="00E5031F">
          <w:rPr>
            <w:noProof/>
          </w:rPr>
          <w:t>113</w:t>
        </w:r>
      </w:fldSimple>
      <w:r w:rsidR="00DB48A3">
        <w:t>. táblázat</w:t>
      </w:r>
    </w:p>
    <w:tbl>
      <w:tblPr>
        <w:tblW w:w="4962" w:type="pct"/>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27"/>
        <w:gridCol w:w="4411"/>
        <w:gridCol w:w="709"/>
        <w:gridCol w:w="709"/>
        <w:gridCol w:w="709"/>
        <w:gridCol w:w="775"/>
      </w:tblGrid>
      <w:tr w:rsidR="00E62DF8" w:rsidRPr="001A0512" w:rsidTr="00DB48A3">
        <w:trPr>
          <w:trHeight w:val="315"/>
          <w:tblHeader/>
        </w:trPr>
        <w:tc>
          <w:tcPr>
            <w:tcW w:w="999" w:type="pct"/>
            <w:vMerge w:val="restart"/>
            <w:tcBorders>
              <w:top w:val="single" w:sz="12" w:space="0" w:color="auto"/>
              <w:bottom w:val="single" w:sz="12" w:space="0" w:color="auto"/>
            </w:tcBorders>
            <w:shd w:val="clear" w:color="000000" w:fill="BFBFBF"/>
            <w:noWrap/>
            <w:vAlign w:val="center"/>
            <w:hideMark/>
          </w:tcPr>
          <w:p w:rsidR="00E62DF8" w:rsidRPr="001A0512" w:rsidRDefault="00E62DF8" w:rsidP="0056491B">
            <w:pPr>
              <w:jc w:val="center"/>
              <w:rPr>
                <w:b/>
                <w:bCs/>
                <w:color w:val="000000"/>
                <w:sz w:val="18"/>
                <w:szCs w:val="18"/>
              </w:rPr>
            </w:pPr>
            <w:bookmarkStart w:id="435" w:name="RANGE!A1:F72"/>
            <w:r w:rsidRPr="001A0512">
              <w:rPr>
                <w:b/>
                <w:bCs/>
                <w:color w:val="000000"/>
                <w:sz w:val="18"/>
                <w:szCs w:val="18"/>
              </w:rPr>
              <w:t>Terület</w:t>
            </w:r>
            <w:bookmarkEnd w:id="435"/>
          </w:p>
        </w:tc>
        <w:tc>
          <w:tcPr>
            <w:tcW w:w="2413" w:type="pct"/>
            <w:vMerge w:val="restart"/>
            <w:tcBorders>
              <w:top w:val="single" w:sz="12" w:space="0" w:color="auto"/>
              <w:bottom w:val="single" w:sz="6" w:space="0" w:color="auto"/>
            </w:tcBorders>
            <w:shd w:val="clear" w:color="000000" w:fill="BFBFBF"/>
            <w:noWrap/>
            <w:vAlign w:val="center"/>
            <w:hideMark/>
          </w:tcPr>
          <w:p w:rsidR="00E62DF8" w:rsidRPr="001A0512" w:rsidRDefault="00E62DF8" w:rsidP="00C96F79">
            <w:pPr>
              <w:spacing w:after="0"/>
              <w:ind w:firstLine="0"/>
              <w:jc w:val="center"/>
              <w:rPr>
                <w:b/>
                <w:bCs/>
                <w:color w:val="000000"/>
                <w:sz w:val="18"/>
                <w:szCs w:val="18"/>
              </w:rPr>
            </w:pPr>
            <w:r w:rsidRPr="001A0512">
              <w:rPr>
                <w:b/>
                <w:bCs/>
                <w:color w:val="000000"/>
                <w:sz w:val="18"/>
                <w:szCs w:val="18"/>
              </w:rPr>
              <w:t>Munkakörök</w:t>
            </w:r>
          </w:p>
        </w:tc>
        <w:tc>
          <w:tcPr>
            <w:tcW w:w="1588" w:type="pct"/>
            <w:gridSpan w:val="4"/>
            <w:tcBorders>
              <w:top w:val="single" w:sz="12" w:space="0" w:color="auto"/>
              <w:bottom w:val="single" w:sz="6" w:space="0" w:color="auto"/>
            </w:tcBorders>
            <w:shd w:val="clear" w:color="000000" w:fill="BFBFBF"/>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Fő</w:t>
            </w:r>
          </w:p>
        </w:tc>
      </w:tr>
      <w:tr w:rsidR="00E62DF8" w:rsidRPr="001A0512" w:rsidTr="00DB48A3">
        <w:trPr>
          <w:trHeight w:val="315"/>
          <w:tblHeader/>
        </w:trPr>
        <w:tc>
          <w:tcPr>
            <w:tcW w:w="999" w:type="pct"/>
            <w:vMerge/>
            <w:tcBorders>
              <w:top w:val="single" w:sz="12" w:space="0" w:color="auto"/>
              <w:bottom w:val="single" w:sz="12" w:space="0" w:color="auto"/>
            </w:tcBorders>
            <w:vAlign w:val="center"/>
            <w:hideMark/>
          </w:tcPr>
          <w:p w:rsidR="00E62DF8" w:rsidRPr="001A0512" w:rsidRDefault="00E62DF8" w:rsidP="0056491B">
            <w:pPr>
              <w:jc w:val="center"/>
              <w:rPr>
                <w:b/>
                <w:bCs/>
                <w:color w:val="000000"/>
                <w:sz w:val="18"/>
                <w:szCs w:val="18"/>
              </w:rPr>
            </w:pPr>
          </w:p>
        </w:tc>
        <w:tc>
          <w:tcPr>
            <w:tcW w:w="2413" w:type="pct"/>
            <w:vMerge/>
            <w:tcBorders>
              <w:top w:val="single" w:sz="6" w:space="0" w:color="auto"/>
              <w:bottom w:val="single" w:sz="12" w:space="0" w:color="auto"/>
            </w:tcBorders>
            <w:vAlign w:val="center"/>
            <w:hideMark/>
          </w:tcPr>
          <w:p w:rsidR="00E62DF8" w:rsidRPr="001A0512" w:rsidRDefault="00E62DF8" w:rsidP="00C96F79">
            <w:pPr>
              <w:spacing w:after="0"/>
              <w:ind w:firstLine="0"/>
              <w:jc w:val="center"/>
              <w:rPr>
                <w:b/>
                <w:bCs/>
                <w:color w:val="000000"/>
                <w:sz w:val="18"/>
                <w:szCs w:val="18"/>
              </w:rPr>
            </w:pPr>
          </w:p>
        </w:tc>
        <w:tc>
          <w:tcPr>
            <w:tcW w:w="388" w:type="pct"/>
            <w:tcBorders>
              <w:top w:val="single" w:sz="6" w:space="0" w:color="auto"/>
              <w:bottom w:val="single" w:sz="12" w:space="0" w:color="auto"/>
            </w:tcBorders>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2009</w:t>
            </w:r>
          </w:p>
        </w:tc>
        <w:tc>
          <w:tcPr>
            <w:tcW w:w="388" w:type="pct"/>
            <w:tcBorders>
              <w:top w:val="single" w:sz="6" w:space="0" w:color="auto"/>
              <w:bottom w:val="single" w:sz="12" w:space="0" w:color="auto"/>
            </w:tcBorders>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2010</w:t>
            </w:r>
          </w:p>
        </w:tc>
        <w:tc>
          <w:tcPr>
            <w:tcW w:w="388" w:type="pct"/>
            <w:tcBorders>
              <w:top w:val="single" w:sz="6" w:space="0" w:color="auto"/>
              <w:bottom w:val="single" w:sz="12" w:space="0" w:color="auto"/>
            </w:tcBorders>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2011</w:t>
            </w:r>
          </w:p>
        </w:tc>
        <w:tc>
          <w:tcPr>
            <w:tcW w:w="425" w:type="pct"/>
            <w:tcBorders>
              <w:top w:val="single" w:sz="6" w:space="0" w:color="auto"/>
              <w:bottom w:val="single" w:sz="12" w:space="0" w:color="auto"/>
            </w:tcBorders>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2012</w:t>
            </w:r>
          </w:p>
        </w:tc>
      </w:tr>
      <w:tr w:rsidR="00E62DF8" w:rsidRPr="001A0512" w:rsidTr="00DB48A3">
        <w:trPr>
          <w:trHeight w:val="153"/>
        </w:trPr>
        <w:tc>
          <w:tcPr>
            <w:tcW w:w="999" w:type="pct"/>
            <w:vMerge w:val="restart"/>
            <w:tcBorders>
              <w:top w:val="single" w:sz="12" w:space="0" w:color="auto"/>
            </w:tcBorders>
            <w:shd w:val="clear" w:color="auto" w:fill="auto"/>
            <w:noWrap/>
            <w:vAlign w:val="center"/>
            <w:hideMark/>
          </w:tcPr>
          <w:p w:rsidR="00E62DF8" w:rsidRPr="001A0512" w:rsidRDefault="00E62DF8" w:rsidP="0056491B">
            <w:pPr>
              <w:jc w:val="center"/>
              <w:rPr>
                <w:color w:val="000000"/>
                <w:sz w:val="18"/>
                <w:szCs w:val="18"/>
              </w:rPr>
            </w:pPr>
            <w:r w:rsidRPr="001A0512">
              <w:rPr>
                <w:color w:val="000000"/>
                <w:sz w:val="18"/>
                <w:szCs w:val="18"/>
              </w:rPr>
              <w:t>jog</w:t>
            </w:r>
          </w:p>
        </w:tc>
        <w:tc>
          <w:tcPr>
            <w:tcW w:w="2413" w:type="pct"/>
            <w:tcBorders>
              <w:top w:val="single" w:sz="12" w:space="0" w:color="auto"/>
            </w:tcBorders>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vezető jogi szakreferens</w:t>
            </w:r>
          </w:p>
        </w:tc>
        <w:tc>
          <w:tcPr>
            <w:tcW w:w="388" w:type="pct"/>
            <w:tcBorders>
              <w:top w:val="single" w:sz="12" w:space="0" w:color="auto"/>
            </w:tcBorders>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tcBorders>
              <w:top w:val="single" w:sz="12" w:space="0" w:color="auto"/>
            </w:tcBorders>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tcBorders>
              <w:top w:val="single" w:sz="12" w:space="0" w:color="auto"/>
            </w:tcBorders>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tcBorders>
              <w:top w:val="single" w:sz="12" w:space="0" w:color="auto"/>
            </w:tcBorders>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257"/>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jogi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19</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25</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25</w:t>
            </w:r>
          </w:p>
        </w:tc>
      </w:tr>
      <w:tr w:rsidR="00E62DF8" w:rsidRPr="001A0512" w:rsidTr="00DB48A3">
        <w:trPr>
          <w:trHeight w:val="219"/>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igazgatási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153"/>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jogi előadó</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7</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w:t>
            </w:r>
          </w:p>
        </w:tc>
      </w:tr>
      <w:tr w:rsidR="00E62DF8" w:rsidRPr="001A0512" w:rsidTr="00DB48A3">
        <w:trPr>
          <w:trHeight w:val="258"/>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szerződéskötési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219"/>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EMVA jogi és Igazgatási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167"/>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jogi koordinátor</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315"/>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000000" w:fill="D9D9D9"/>
            <w:noWrap/>
            <w:vAlign w:val="center"/>
            <w:hideMark/>
          </w:tcPr>
          <w:p w:rsidR="00E62DF8" w:rsidRPr="001A0512" w:rsidRDefault="00E62DF8" w:rsidP="00C96F79">
            <w:pPr>
              <w:spacing w:after="0"/>
              <w:ind w:firstLine="0"/>
              <w:jc w:val="left"/>
              <w:rPr>
                <w:b/>
                <w:bCs/>
                <w:color w:val="000000"/>
                <w:sz w:val="18"/>
                <w:szCs w:val="18"/>
              </w:rPr>
            </w:pPr>
            <w:r w:rsidRPr="001A0512">
              <w:rPr>
                <w:b/>
                <w:bCs/>
                <w:color w:val="000000"/>
                <w:sz w:val="18"/>
                <w:szCs w:val="18"/>
              </w:rPr>
              <w:t>Összesen:</w:t>
            </w:r>
          </w:p>
        </w:tc>
        <w:tc>
          <w:tcPr>
            <w:tcW w:w="388" w:type="pct"/>
            <w:shd w:val="clear" w:color="000000" w:fill="D9D9D9"/>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29</w:t>
            </w:r>
          </w:p>
        </w:tc>
        <w:tc>
          <w:tcPr>
            <w:tcW w:w="388" w:type="pct"/>
            <w:shd w:val="clear" w:color="000000" w:fill="D9D9D9"/>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31</w:t>
            </w:r>
          </w:p>
        </w:tc>
        <w:tc>
          <w:tcPr>
            <w:tcW w:w="388" w:type="pct"/>
            <w:shd w:val="clear" w:color="000000" w:fill="D9D9D9"/>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32</w:t>
            </w:r>
          </w:p>
        </w:tc>
        <w:tc>
          <w:tcPr>
            <w:tcW w:w="425" w:type="pct"/>
            <w:shd w:val="clear" w:color="000000" w:fill="D9D9D9"/>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31</w:t>
            </w:r>
          </w:p>
        </w:tc>
      </w:tr>
      <w:tr w:rsidR="00E62DF8" w:rsidRPr="001A0512" w:rsidTr="00DB48A3">
        <w:trPr>
          <w:trHeight w:val="219"/>
        </w:trPr>
        <w:tc>
          <w:tcPr>
            <w:tcW w:w="999" w:type="pct"/>
            <w:vMerge w:val="restart"/>
            <w:shd w:val="clear" w:color="auto" w:fill="auto"/>
            <w:noWrap/>
            <w:vAlign w:val="center"/>
            <w:hideMark/>
          </w:tcPr>
          <w:p w:rsidR="00E62DF8" w:rsidRPr="001A0512" w:rsidRDefault="00E62DF8" w:rsidP="0056491B">
            <w:pPr>
              <w:jc w:val="center"/>
              <w:rPr>
                <w:color w:val="000000"/>
                <w:sz w:val="18"/>
                <w:szCs w:val="18"/>
              </w:rPr>
            </w:pPr>
            <w:r w:rsidRPr="001A0512">
              <w:rPr>
                <w:color w:val="000000"/>
                <w:sz w:val="18"/>
                <w:szCs w:val="18"/>
              </w:rPr>
              <w:t>kérelemkezelés</w:t>
            </w: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kérelemkezelési vezető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9</w:t>
            </w:r>
          </w:p>
        </w:tc>
      </w:tr>
      <w:tr w:rsidR="00E62DF8" w:rsidRPr="001A0512" w:rsidTr="00DB48A3">
        <w:trPr>
          <w:trHeight w:val="16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kérelemkezelési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270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259</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247</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273</w:t>
            </w:r>
          </w:p>
        </w:tc>
      </w:tr>
      <w:tr w:rsidR="00E62DF8" w:rsidRPr="001A0512" w:rsidTr="00DB48A3">
        <w:trPr>
          <w:trHeight w:val="25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kérelemkezelési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43</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37</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21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környezet és vidékfejlesztési támogatások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13</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12</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12</w:t>
            </w:r>
          </w:p>
        </w:tc>
      </w:tr>
      <w:tr w:rsidR="00E62DF8" w:rsidRPr="001A0512" w:rsidTr="00DB48A3">
        <w:trPr>
          <w:trHeight w:val="16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szerkezetátalakítási támogatások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9</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7</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8</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8</w:t>
            </w:r>
          </w:p>
        </w:tc>
      </w:tr>
      <w:tr w:rsidR="00E62DF8" w:rsidRPr="001A0512" w:rsidTr="00DB48A3">
        <w:trPr>
          <w:trHeight w:val="25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erdészeti támogatások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r>
      <w:tr w:rsidR="00E62DF8" w:rsidRPr="001A0512" w:rsidTr="00DB48A3">
        <w:trPr>
          <w:trHeight w:val="21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területalapú támogatások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r>
      <w:tr w:rsidR="00E62DF8" w:rsidRPr="001A0512" w:rsidTr="00DB48A3">
        <w:trPr>
          <w:trHeight w:val="16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állatlétszámhoz kötött támogatások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r>
      <w:tr w:rsidR="00E62DF8" w:rsidRPr="001A0512" w:rsidTr="00DB48A3">
        <w:trPr>
          <w:trHeight w:val="12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kölcsönös megfeleltetési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28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erdészeti támogatások rendszerfelelős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66"/>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ÚMVP koordinátor</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6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igazgatósági koordinátor</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260"/>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vidékfejlesztési rendszerfelelős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7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vidékfejlesztési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23</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28</w:t>
            </w:r>
          </w:p>
        </w:tc>
      </w:tr>
      <w:tr w:rsidR="00E62DF8" w:rsidRPr="001A0512" w:rsidTr="00DB48A3">
        <w:trPr>
          <w:trHeight w:val="271"/>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beruházási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13</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17</w:t>
            </w:r>
          </w:p>
        </w:tc>
      </w:tr>
      <w:tr w:rsidR="00E62DF8" w:rsidRPr="001A0512" w:rsidTr="00DB48A3">
        <w:trPr>
          <w:trHeight w:val="160"/>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TS jogcímfelelős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64"/>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koordinációs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168"/>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fejlesztési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8</w:t>
            </w:r>
          </w:p>
        </w:tc>
      </w:tr>
      <w:tr w:rsidR="00E62DF8" w:rsidRPr="001A0512" w:rsidTr="00DB48A3">
        <w:trPr>
          <w:trHeight w:val="36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000000" w:fill="BFBFBF"/>
            <w:noWrap/>
            <w:vAlign w:val="center"/>
            <w:hideMark/>
          </w:tcPr>
          <w:p w:rsidR="00E62DF8" w:rsidRPr="001A0512" w:rsidRDefault="00E62DF8" w:rsidP="00C96F79">
            <w:pPr>
              <w:spacing w:after="0"/>
              <w:ind w:firstLine="0"/>
              <w:jc w:val="left"/>
              <w:rPr>
                <w:b/>
                <w:bCs/>
                <w:color w:val="000000"/>
                <w:sz w:val="18"/>
                <w:szCs w:val="18"/>
              </w:rPr>
            </w:pPr>
            <w:r w:rsidRPr="001A0512">
              <w:rPr>
                <w:b/>
                <w:bCs/>
                <w:color w:val="000000"/>
                <w:sz w:val="18"/>
                <w:szCs w:val="18"/>
              </w:rPr>
              <w:t>Összesen:</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383</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378</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362</w:t>
            </w:r>
          </w:p>
        </w:tc>
        <w:tc>
          <w:tcPr>
            <w:tcW w:w="425"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375</w:t>
            </w:r>
          </w:p>
        </w:tc>
      </w:tr>
      <w:tr w:rsidR="00E62DF8" w:rsidRPr="001A0512" w:rsidTr="00DB48A3">
        <w:trPr>
          <w:trHeight w:val="133"/>
        </w:trPr>
        <w:tc>
          <w:tcPr>
            <w:tcW w:w="999" w:type="pct"/>
            <w:vMerge w:val="restart"/>
            <w:shd w:val="clear" w:color="auto" w:fill="auto"/>
            <w:noWrap/>
            <w:vAlign w:val="center"/>
            <w:hideMark/>
          </w:tcPr>
          <w:p w:rsidR="00E62DF8" w:rsidRPr="001A0512" w:rsidRDefault="00E62DF8" w:rsidP="0056491B">
            <w:pPr>
              <w:jc w:val="center"/>
              <w:rPr>
                <w:color w:val="000000"/>
                <w:sz w:val="18"/>
                <w:szCs w:val="18"/>
              </w:rPr>
            </w:pPr>
            <w:r w:rsidRPr="001A0512">
              <w:rPr>
                <w:color w:val="000000"/>
                <w:sz w:val="18"/>
                <w:szCs w:val="18"/>
              </w:rPr>
              <w:t>helyszíni ellenőrzés</w:t>
            </w: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vezető helyszíni ellenőr</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r>
      <w:tr w:rsidR="00E62DF8" w:rsidRPr="001A0512" w:rsidTr="00DB48A3">
        <w:trPr>
          <w:trHeight w:val="165"/>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helyszíni ellenőr</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114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114</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124</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141</w:t>
            </w:r>
          </w:p>
        </w:tc>
      </w:tr>
      <w:tr w:rsidR="00E62DF8" w:rsidRPr="001A0512" w:rsidTr="00DB48A3">
        <w:trPr>
          <w:trHeight w:val="183"/>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vezető ellenőrzési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87"/>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helyszíni ellenőrzési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r>
      <w:tr w:rsidR="00E62DF8" w:rsidRPr="001A0512" w:rsidTr="00DB48A3">
        <w:trPr>
          <w:trHeight w:val="219"/>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ellenőrzési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19</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19</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24</w:t>
            </w:r>
          </w:p>
        </w:tc>
      </w:tr>
      <w:tr w:rsidR="00E62DF8" w:rsidRPr="001A0512" w:rsidTr="00DB48A3">
        <w:trPr>
          <w:trHeight w:val="315"/>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000000" w:fill="BFBFBF"/>
            <w:noWrap/>
            <w:vAlign w:val="center"/>
            <w:hideMark/>
          </w:tcPr>
          <w:p w:rsidR="00E62DF8" w:rsidRPr="001A0512" w:rsidRDefault="00E62DF8" w:rsidP="00C96F79">
            <w:pPr>
              <w:spacing w:after="0"/>
              <w:ind w:firstLine="0"/>
              <w:jc w:val="left"/>
              <w:rPr>
                <w:b/>
                <w:bCs/>
                <w:color w:val="000000"/>
                <w:sz w:val="18"/>
                <w:szCs w:val="18"/>
              </w:rPr>
            </w:pPr>
            <w:r w:rsidRPr="001A0512">
              <w:rPr>
                <w:b/>
                <w:bCs/>
                <w:color w:val="000000"/>
                <w:sz w:val="18"/>
                <w:szCs w:val="18"/>
              </w:rPr>
              <w:t>Összesen:</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143</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143</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152</w:t>
            </w:r>
          </w:p>
        </w:tc>
        <w:tc>
          <w:tcPr>
            <w:tcW w:w="425"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176</w:t>
            </w:r>
          </w:p>
        </w:tc>
      </w:tr>
      <w:tr w:rsidR="00E62DF8" w:rsidRPr="001A0512" w:rsidTr="00DB48A3">
        <w:trPr>
          <w:trHeight w:val="185"/>
        </w:trPr>
        <w:tc>
          <w:tcPr>
            <w:tcW w:w="999" w:type="pct"/>
            <w:vMerge w:val="restart"/>
            <w:shd w:val="clear" w:color="auto" w:fill="auto"/>
            <w:vAlign w:val="center"/>
            <w:hideMark/>
          </w:tcPr>
          <w:p w:rsidR="00E62DF8" w:rsidRPr="001A0512" w:rsidRDefault="00E62DF8" w:rsidP="0056491B">
            <w:pPr>
              <w:jc w:val="center"/>
              <w:rPr>
                <w:color w:val="000000"/>
                <w:sz w:val="18"/>
                <w:szCs w:val="18"/>
              </w:rPr>
            </w:pPr>
            <w:r w:rsidRPr="001A0512">
              <w:rPr>
                <w:color w:val="000000"/>
                <w:sz w:val="18"/>
                <w:szCs w:val="18"/>
              </w:rPr>
              <w:t>pénzügy</w:t>
            </w: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kifizetési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190"/>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 xml:space="preserve">kifizetési referens </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207"/>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vezető jelentési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26"/>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jelentési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243"/>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végrehajtási-jogi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w:t>
            </w:r>
          </w:p>
        </w:tc>
      </w:tr>
      <w:tr w:rsidR="00E62DF8" w:rsidRPr="001A0512" w:rsidTr="00DB48A3">
        <w:trPr>
          <w:trHeight w:val="262"/>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pénzügyi nyilvántartási és könyvelési vezető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315"/>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pénzügyi nyilvántartási és könyvelési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4</w:t>
            </w:r>
          </w:p>
        </w:tc>
      </w:tr>
      <w:tr w:rsidR="00E62DF8" w:rsidRPr="001A0512" w:rsidTr="00DB48A3">
        <w:trPr>
          <w:trHeight w:val="214"/>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pénzügyi nyilvántartási és könyvelési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315"/>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000000" w:fill="BFBFBF"/>
            <w:noWrap/>
            <w:vAlign w:val="center"/>
            <w:hideMark/>
          </w:tcPr>
          <w:p w:rsidR="00E62DF8" w:rsidRPr="001A0512" w:rsidRDefault="00E62DF8" w:rsidP="00C96F79">
            <w:pPr>
              <w:spacing w:after="0"/>
              <w:ind w:firstLine="0"/>
              <w:jc w:val="left"/>
              <w:rPr>
                <w:b/>
                <w:bCs/>
                <w:color w:val="000000"/>
                <w:sz w:val="18"/>
                <w:szCs w:val="18"/>
              </w:rPr>
            </w:pPr>
            <w:r w:rsidRPr="001A0512">
              <w:rPr>
                <w:b/>
                <w:bCs/>
                <w:color w:val="000000"/>
                <w:sz w:val="18"/>
                <w:szCs w:val="18"/>
              </w:rPr>
              <w:t>Összesen:</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9</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10</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12</w:t>
            </w:r>
          </w:p>
        </w:tc>
        <w:tc>
          <w:tcPr>
            <w:tcW w:w="425"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14</w:t>
            </w:r>
          </w:p>
        </w:tc>
      </w:tr>
      <w:tr w:rsidR="00E62DF8" w:rsidRPr="001A0512" w:rsidTr="00DB48A3">
        <w:trPr>
          <w:trHeight w:val="179"/>
        </w:trPr>
        <w:tc>
          <w:tcPr>
            <w:tcW w:w="999" w:type="pct"/>
            <w:vMerge w:val="restart"/>
            <w:shd w:val="clear" w:color="auto" w:fill="auto"/>
            <w:vAlign w:val="center"/>
            <w:hideMark/>
          </w:tcPr>
          <w:p w:rsidR="00E62DF8" w:rsidRPr="001A0512" w:rsidRDefault="00E62DF8" w:rsidP="0056491B">
            <w:pPr>
              <w:jc w:val="center"/>
              <w:rPr>
                <w:color w:val="000000"/>
                <w:sz w:val="18"/>
                <w:szCs w:val="18"/>
              </w:rPr>
            </w:pPr>
            <w:r w:rsidRPr="001A0512">
              <w:rPr>
                <w:color w:val="000000"/>
                <w:sz w:val="18"/>
                <w:szCs w:val="18"/>
              </w:rPr>
              <w:t>belső ellenőrzés</w:t>
            </w: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belső ellenőr</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197"/>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 xml:space="preserve">informatikai belső ellenőr </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216"/>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ellenőrzési koordinátor</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249"/>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ellenőrzési asszisztens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315"/>
        </w:trPr>
        <w:tc>
          <w:tcPr>
            <w:tcW w:w="999" w:type="pct"/>
            <w:vMerge/>
            <w:vAlign w:val="center"/>
            <w:hideMark/>
          </w:tcPr>
          <w:p w:rsidR="00E62DF8" w:rsidRPr="001A0512" w:rsidRDefault="00E62DF8" w:rsidP="0056491B">
            <w:pPr>
              <w:jc w:val="center"/>
              <w:rPr>
                <w:color w:val="000000"/>
                <w:sz w:val="18"/>
                <w:szCs w:val="18"/>
              </w:rPr>
            </w:pPr>
          </w:p>
        </w:tc>
        <w:tc>
          <w:tcPr>
            <w:tcW w:w="2413" w:type="pct"/>
            <w:shd w:val="clear" w:color="000000" w:fill="BFBFBF"/>
            <w:noWrap/>
            <w:vAlign w:val="center"/>
            <w:hideMark/>
          </w:tcPr>
          <w:p w:rsidR="00E62DF8" w:rsidRPr="001A0512" w:rsidRDefault="00E62DF8" w:rsidP="00C96F79">
            <w:pPr>
              <w:spacing w:after="0"/>
              <w:ind w:firstLine="0"/>
              <w:jc w:val="left"/>
              <w:rPr>
                <w:b/>
                <w:bCs/>
                <w:color w:val="000000"/>
                <w:sz w:val="18"/>
                <w:szCs w:val="18"/>
              </w:rPr>
            </w:pPr>
            <w:r w:rsidRPr="001A0512">
              <w:rPr>
                <w:b/>
                <w:bCs/>
                <w:color w:val="000000"/>
                <w:sz w:val="18"/>
                <w:szCs w:val="18"/>
              </w:rPr>
              <w:t>Összesen:</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4</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4</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w:t>
            </w:r>
          </w:p>
        </w:tc>
        <w:tc>
          <w:tcPr>
            <w:tcW w:w="425"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w:t>
            </w:r>
          </w:p>
        </w:tc>
      </w:tr>
      <w:tr w:rsidR="00E62DF8" w:rsidRPr="001A0512" w:rsidTr="00DB48A3">
        <w:trPr>
          <w:trHeight w:val="315"/>
        </w:trPr>
        <w:tc>
          <w:tcPr>
            <w:tcW w:w="999" w:type="pct"/>
            <w:vMerge w:val="restart"/>
            <w:shd w:val="clear" w:color="auto" w:fill="auto"/>
            <w:vAlign w:val="center"/>
            <w:hideMark/>
          </w:tcPr>
          <w:p w:rsidR="00E62DF8" w:rsidRPr="001A0512" w:rsidRDefault="00E62DF8" w:rsidP="0056491B">
            <w:pPr>
              <w:jc w:val="center"/>
              <w:rPr>
                <w:color w:val="000000"/>
                <w:sz w:val="18"/>
                <w:szCs w:val="18"/>
              </w:rPr>
            </w:pPr>
            <w:r w:rsidRPr="001A0512">
              <w:rPr>
                <w:color w:val="000000"/>
                <w:sz w:val="18"/>
                <w:szCs w:val="18"/>
              </w:rPr>
              <w:t>egyéb</w:t>
            </w: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ügyfélszolgálati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7</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6</w:t>
            </w:r>
          </w:p>
        </w:tc>
      </w:tr>
      <w:tr w:rsidR="00E62DF8" w:rsidRPr="001A0512" w:rsidTr="00DB48A3">
        <w:trPr>
          <w:trHeight w:val="160"/>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vezető nyilvántartási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64"/>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nyilvántartási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68"/>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nyilvántartási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00"/>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területi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203"/>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ügyviteli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8</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9</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59</w:t>
            </w:r>
          </w:p>
        </w:tc>
      </w:tr>
      <w:tr w:rsidR="00E62DF8" w:rsidRPr="001A0512" w:rsidTr="00DB48A3">
        <w:trPr>
          <w:trHeight w:val="222"/>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 xml:space="preserve">pénzügyi szakreferens </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3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pénzügyi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16"/>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 xml:space="preserve">pénzügyi adminisztrációs referens </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33"/>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számviteli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r>
      <w:tr w:rsidR="00E62DF8" w:rsidRPr="001A0512" w:rsidTr="00DB48A3">
        <w:trPr>
          <w:trHeight w:val="13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nemzetközi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6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munkaügyi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173"/>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kommunikációs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91"/>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humánpolitikai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195"/>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képzési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2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postázó ügyintéző</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r>
      <w:tr w:rsidR="00E62DF8" w:rsidRPr="001A0512" w:rsidTr="00DB48A3">
        <w:trPr>
          <w:trHeight w:val="231"/>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szervezési-információs szakreferens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49"/>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szervezési és információs referens</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r>
      <w:tr w:rsidR="00E62DF8" w:rsidRPr="001A0512" w:rsidTr="00DB48A3">
        <w:trPr>
          <w:trHeight w:val="267"/>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 xml:space="preserve">akkreditációs és audit összefogó szakreferens </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271"/>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 xml:space="preserve">informatikus </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0</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3</w:t>
            </w:r>
          </w:p>
        </w:tc>
      </w:tr>
      <w:tr w:rsidR="00E62DF8" w:rsidRPr="001A0512" w:rsidTr="00DB48A3">
        <w:trPr>
          <w:trHeight w:val="275"/>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auto" w:fill="auto"/>
            <w:noWrap/>
            <w:vAlign w:val="center"/>
            <w:hideMark/>
          </w:tcPr>
          <w:p w:rsidR="00E62DF8" w:rsidRPr="001A0512" w:rsidRDefault="00E62DF8" w:rsidP="00C96F79">
            <w:pPr>
              <w:spacing w:after="0"/>
              <w:ind w:firstLine="0"/>
              <w:jc w:val="left"/>
              <w:rPr>
                <w:color w:val="000000"/>
                <w:sz w:val="18"/>
                <w:szCs w:val="18"/>
              </w:rPr>
            </w:pPr>
            <w:r w:rsidRPr="001A0512">
              <w:rPr>
                <w:color w:val="000000"/>
                <w:sz w:val="18"/>
                <w:szCs w:val="18"/>
              </w:rPr>
              <w:t>Windows rendszergazda</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388"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1</w:t>
            </w:r>
          </w:p>
        </w:tc>
        <w:tc>
          <w:tcPr>
            <w:tcW w:w="425" w:type="pct"/>
            <w:shd w:val="clear" w:color="auto" w:fill="auto"/>
            <w:noWrap/>
            <w:vAlign w:val="center"/>
            <w:hideMark/>
          </w:tcPr>
          <w:p w:rsidR="00E62DF8" w:rsidRPr="001A0512" w:rsidRDefault="00E62DF8" w:rsidP="00C96F79">
            <w:pPr>
              <w:ind w:firstLine="0"/>
              <w:jc w:val="center"/>
              <w:rPr>
                <w:color w:val="000000"/>
                <w:sz w:val="18"/>
                <w:szCs w:val="18"/>
              </w:rPr>
            </w:pPr>
            <w:r w:rsidRPr="001A0512">
              <w:rPr>
                <w:color w:val="000000"/>
                <w:sz w:val="18"/>
                <w:szCs w:val="18"/>
              </w:rPr>
              <w:t>2</w:t>
            </w:r>
          </w:p>
        </w:tc>
      </w:tr>
      <w:tr w:rsidR="00E62DF8" w:rsidRPr="001A0512" w:rsidTr="00DB48A3">
        <w:trPr>
          <w:trHeight w:val="315"/>
        </w:trPr>
        <w:tc>
          <w:tcPr>
            <w:tcW w:w="999" w:type="pct"/>
            <w:vMerge/>
            <w:vAlign w:val="center"/>
            <w:hideMark/>
          </w:tcPr>
          <w:p w:rsidR="00E62DF8" w:rsidRPr="001A0512" w:rsidRDefault="00E62DF8" w:rsidP="0056491B">
            <w:pPr>
              <w:jc w:val="left"/>
              <w:rPr>
                <w:color w:val="000000"/>
                <w:sz w:val="18"/>
                <w:szCs w:val="18"/>
              </w:rPr>
            </w:pPr>
          </w:p>
        </w:tc>
        <w:tc>
          <w:tcPr>
            <w:tcW w:w="2413" w:type="pct"/>
            <w:shd w:val="clear" w:color="000000" w:fill="BFBFBF"/>
            <w:noWrap/>
            <w:vAlign w:val="center"/>
            <w:hideMark/>
          </w:tcPr>
          <w:p w:rsidR="00E62DF8" w:rsidRPr="001A0512" w:rsidRDefault="00E62DF8" w:rsidP="00C96F79">
            <w:pPr>
              <w:spacing w:after="0"/>
              <w:ind w:firstLine="0"/>
              <w:jc w:val="left"/>
              <w:rPr>
                <w:b/>
                <w:bCs/>
                <w:color w:val="000000"/>
                <w:sz w:val="18"/>
                <w:szCs w:val="18"/>
              </w:rPr>
            </w:pPr>
            <w:r w:rsidRPr="001A0512">
              <w:rPr>
                <w:b/>
                <w:bCs/>
                <w:color w:val="000000"/>
                <w:sz w:val="18"/>
                <w:szCs w:val="18"/>
              </w:rPr>
              <w:t>Összesen:</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25</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21</w:t>
            </w:r>
          </w:p>
        </w:tc>
        <w:tc>
          <w:tcPr>
            <w:tcW w:w="388"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29</w:t>
            </w:r>
          </w:p>
        </w:tc>
        <w:tc>
          <w:tcPr>
            <w:tcW w:w="425" w:type="pct"/>
            <w:shd w:val="clear" w:color="000000" w:fill="BFBFBF"/>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91</w:t>
            </w:r>
          </w:p>
        </w:tc>
      </w:tr>
      <w:tr w:rsidR="00E62DF8" w:rsidRPr="001A0512" w:rsidTr="00DB48A3">
        <w:trPr>
          <w:trHeight w:val="315"/>
        </w:trPr>
        <w:tc>
          <w:tcPr>
            <w:tcW w:w="3412" w:type="pct"/>
            <w:gridSpan w:val="2"/>
            <w:shd w:val="clear" w:color="auto" w:fill="auto"/>
            <w:noWrap/>
            <w:vAlign w:val="center"/>
            <w:hideMark/>
          </w:tcPr>
          <w:p w:rsidR="00E62DF8" w:rsidRPr="001A0512" w:rsidRDefault="00E62DF8" w:rsidP="00C96F79">
            <w:pPr>
              <w:spacing w:after="0"/>
              <w:ind w:firstLine="0"/>
              <w:jc w:val="left"/>
              <w:rPr>
                <w:b/>
                <w:bCs/>
                <w:color w:val="000000"/>
                <w:sz w:val="18"/>
                <w:szCs w:val="18"/>
              </w:rPr>
            </w:pPr>
            <w:r w:rsidRPr="001A0512">
              <w:rPr>
                <w:b/>
                <w:bCs/>
                <w:color w:val="000000"/>
                <w:sz w:val="18"/>
                <w:szCs w:val="18"/>
              </w:rPr>
              <w:t>Mindösszesen:</w:t>
            </w:r>
          </w:p>
        </w:tc>
        <w:tc>
          <w:tcPr>
            <w:tcW w:w="388" w:type="pct"/>
            <w:shd w:val="clear" w:color="auto" w:fill="auto"/>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593</w:t>
            </w:r>
          </w:p>
        </w:tc>
        <w:tc>
          <w:tcPr>
            <w:tcW w:w="388" w:type="pct"/>
            <w:shd w:val="clear" w:color="auto" w:fill="auto"/>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587</w:t>
            </w:r>
          </w:p>
        </w:tc>
        <w:tc>
          <w:tcPr>
            <w:tcW w:w="388" w:type="pct"/>
            <w:shd w:val="clear" w:color="auto" w:fill="auto"/>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589</w:t>
            </w:r>
          </w:p>
        </w:tc>
        <w:tc>
          <w:tcPr>
            <w:tcW w:w="425" w:type="pct"/>
            <w:shd w:val="clear" w:color="auto" w:fill="auto"/>
            <w:noWrap/>
            <w:vAlign w:val="center"/>
            <w:hideMark/>
          </w:tcPr>
          <w:p w:rsidR="00E62DF8" w:rsidRPr="001A0512" w:rsidRDefault="00E62DF8" w:rsidP="00C96F79">
            <w:pPr>
              <w:ind w:firstLine="0"/>
              <w:jc w:val="center"/>
              <w:rPr>
                <w:b/>
                <w:bCs/>
                <w:color w:val="000000"/>
                <w:sz w:val="18"/>
                <w:szCs w:val="18"/>
              </w:rPr>
            </w:pPr>
            <w:r w:rsidRPr="001A0512">
              <w:rPr>
                <w:b/>
                <w:bCs/>
                <w:color w:val="000000"/>
                <w:sz w:val="18"/>
                <w:szCs w:val="18"/>
              </w:rPr>
              <w:t>689</w:t>
            </w:r>
          </w:p>
        </w:tc>
      </w:tr>
    </w:tbl>
    <w:p w:rsidR="00E62DF8" w:rsidRDefault="00E62DF8" w:rsidP="00E62DF8">
      <w:pPr>
        <w:pStyle w:val="Normlforrs"/>
      </w:pPr>
      <w:r w:rsidRPr="00B55262">
        <w:t>Forrás: MVH</w:t>
      </w:r>
    </w:p>
    <w:p w:rsidR="00E62DF8" w:rsidRPr="00F35797" w:rsidRDefault="00E62DF8" w:rsidP="00DB48A3">
      <w:pPr>
        <w:pStyle w:val="Cmsor3"/>
      </w:pPr>
      <w:bookmarkStart w:id="436" w:name="_Toc328573973"/>
      <w:bookmarkStart w:id="437" w:name="_Toc360176844"/>
      <w:r w:rsidRPr="00F35797">
        <w:t>Magyar Nemzeti Vidéki Hálózat</w:t>
      </w:r>
      <w:bookmarkEnd w:id="436"/>
      <w:bookmarkEnd w:id="437"/>
    </w:p>
    <w:p w:rsidR="00E62DF8" w:rsidRPr="00F35797" w:rsidRDefault="00E62DF8" w:rsidP="00C96F79">
      <w:r w:rsidRPr="00F35797">
        <w:t>A 1698/2005/EK Tanácsi rendelet 67 - 68. cikkei előírása szerint minden tagállam, így hazánk is 2008. december 31-ig nemzeti vidéki hálózatot hozott létre, melynek fe</w:t>
      </w:r>
      <w:r>
        <w:t xml:space="preserve">ladata, hogy összefogja a </w:t>
      </w:r>
      <w:r>
        <w:lastRenderedPageBreak/>
        <w:t>vidék</w:t>
      </w:r>
      <w:r w:rsidRPr="00F35797">
        <w:t xml:space="preserve">fejlesztéssel foglalkozó szervezeteket és közigazgatási szerveket, amelyek az Európai Vidékfejlesztési Hálózatba szerveződnek. </w:t>
      </w:r>
    </w:p>
    <w:p w:rsidR="003E1A8B" w:rsidRPr="00F35797" w:rsidRDefault="00E62DF8" w:rsidP="00C96F79">
      <w:r w:rsidRPr="00F35797">
        <w:t>Az MNVH 201</w:t>
      </w:r>
      <w:r>
        <w:t>2</w:t>
      </w:r>
      <w:r w:rsidRPr="00F35797">
        <w:t>. évi működésének, tevékenységének összefoglaló</w:t>
      </w:r>
      <w:r>
        <w:t xml:space="preserve">ját </w:t>
      </w:r>
      <w:r w:rsidRPr="00053C2D">
        <w:t>a</w:t>
      </w:r>
      <w:r w:rsidR="00053C2D" w:rsidRPr="00053C2D">
        <w:t>z</w:t>
      </w:r>
      <w:r w:rsidRPr="00053C2D">
        <w:t xml:space="preserve"> 5. </w:t>
      </w:r>
      <w:r w:rsidR="00053C2D" w:rsidRPr="00053C2D">
        <w:t xml:space="preserve">sz. </w:t>
      </w:r>
      <w:r w:rsidRPr="00053C2D">
        <w:t>mellékletben</w:t>
      </w:r>
      <w:r>
        <w:t xml:space="preserve"> szerepeltetjük</w:t>
      </w:r>
      <w:r w:rsidR="003E1A8B" w:rsidRPr="00F35797">
        <w:t>.</w:t>
      </w:r>
    </w:p>
    <w:p w:rsidR="00C61866" w:rsidRPr="0033602D" w:rsidRDefault="00A84FA0" w:rsidP="00626F2F">
      <w:pPr>
        <w:pStyle w:val="Cmsor2"/>
      </w:pPr>
      <w:bookmarkStart w:id="438" w:name="_Toc215481031"/>
      <w:bookmarkStart w:id="439" w:name="_Toc230595660"/>
      <w:bookmarkStart w:id="440" w:name="_Toc232860205"/>
      <w:bookmarkStart w:id="441" w:name="_Toc360176845"/>
      <w:bookmarkEnd w:id="417"/>
      <w:r w:rsidRPr="00C61866">
        <w:t>A program nyilvánosságának biztosítására tett lépések</w:t>
      </w:r>
      <w:bookmarkEnd w:id="438"/>
      <w:bookmarkEnd w:id="439"/>
      <w:bookmarkEnd w:id="440"/>
      <w:bookmarkEnd w:id="441"/>
    </w:p>
    <w:p w:rsidR="00C61866" w:rsidRPr="00896E03" w:rsidRDefault="00C61866" w:rsidP="00DB48A3">
      <w:pPr>
        <w:pStyle w:val="Cmsor3"/>
      </w:pPr>
      <w:bookmarkStart w:id="442" w:name="_Toc360176846"/>
      <w:r w:rsidRPr="00896E03">
        <w:t>Az IH kommunikációs tevékenysége</w:t>
      </w:r>
      <w:bookmarkEnd w:id="442"/>
    </w:p>
    <w:p w:rsidR="00C61866" w:rsidRPr="001A0512" w:rsidRDefault="00C61866" w:rsidP="004869BB">
      <w:r w:rsidRPr="001A0512">
        <w:t>A 1698/2005/EK rendelet 76. cikke alapján az Irányító Hatóság felelős a Program nyilvánosságának megteremtéséért.</w:t>
      </w:r>
    </w:p>
    <w:p w:rsidR="00C61866" w:rsidRPr="001A0512" w:rsidRDefault="00C61866" w:rsidP="004869BB">
      <w:r w:rsidRPr="001A0512">
        <w:t>A VM mint a Program Irányító Hatósága, valamint a NAKVI között létrejött együttműködési me</w:t>
      </w:r>
      <w:r w:rsidR="00A51FE7" w:rsidRPr="001A0512">
        <w:t>gállapodás</w:t>
      </w:r>
      <w:r w:rsidRPr="001A0512">
        <w:t xml:space="preserve"> alapján a NAKVI az IH feladatait részben ellátva segíti a Program megvalósítását, amellyel kapcsolatos általános jogszabályi felhatalmazást a vidékfejlesztési miniszter rendeletben rögzíti.</w:t>
      </w:r>
    </w:p>
    <w:p w:rsidR="00C61866" w:rsidRPr="001A0512" w:rsidRDefault="00C61866" w:rsidP="004869BB">
      <w:r w:rsidRPr="001A0512">
        <w:t>A kommunikációs feladatok ellátása – a NAKVI szakmai iránymutatásai szerint és felügyelete alatt – közb</w:t>
      </w:r>
      <w:r w:rsidR="00A51FE7" w:rsidRPr="001A0512">
        <w:t>eszerzési eljárások keretében</w:t>
      </w:r>
      <w:r w:rsidRPr="001A0512">
        <w:t xml:space="preserve"> kiválasztott külső </w:t>
      </w:r>
      <w:r w:rsidR="00A51FE7" w:rsidRPr="001A0512">
        <w:t>partnere</w:t>
      </w:r>
      <w:r w:rsidRPr="001A0512">
        <w:t>k által, keret-megállapodások alapján történik.</w:t>
      </w:r>
    </w:p>
    <w:p w:rsidR="00C61866" w:rsidRPr="001A0512" w:rsidRDefault="00A51FE7" w:rsidP="004869BB">
      <w:r w:rsidRPr="001A0512">
        <w:t>2012. évben</w:t>
      </w:r>
      <w:r w:rsidR="00C61866" w:rsidRPr="001A0512">
        <w:t xml:space="preserve"> az MNVH </w:t>
      </w:r>
      <w:r w:rsidRPr="001A0512">
        <w:t>is kiemelt szerepet töltött be a</w:t>
      </w:r>
      <w:r w:rsidR="00C61866" w:rsidRPr="001A0512">
        <w:t>z EMVA társfinanszírozásában megvalósuló vidékfejlesztési program népszerűsítésével kapcsolatos kommunikációs feladatok</w:t>
      </w:r>
      <w:r w:rsidRPr="001A0512">
        <w:t xml:space="preserve"> ellátásában</w:t>
      </w:r>
      <w:r w:rsidR="00C61866" w:rsidRPr="001A0512">
        <w:t>, amely megvalósításához a kommunikációs eszközök széles skáláját használta fel.</w:t>
      </w:r>
    </w:p>
    <w:p w:rsidR="00C61866" w:rsidRPr="00AA1ED3" w:rsidRDefault="00C61866" w:rsidP="00AA1ED3">
      <w:pPr>
        <w:pStyle w:val="Cmsor6"/>
      </w:pPr>
      <w:r w:rsidRPr="00AA1ED3">
        <w:t>Komplex kommunikációs szolgáltatások</w:t>
      </w:r>
    </w:p>
    <w:p w:rsidR="00C61866" w:rsidRPr="001A0512" w:rsidRDefault="00C61866" w:rsidP="00C61866">
      <w:pPr>
        <w:pStyle w:val="j-felsorols1"/>
      </w:pPr>
      <w:r w:rsidRPr="001A0512">
        <w:t>hirdetésszervezési szolgáltatások;</w:t>
      </w:r>
    </w:p>
    <w:p w:rsidR="00C61866" w:rsidRPr="001A0512" w:rsidRDefault="00C61866" w:rsidP="00C61866">
      <w:pPr>
        <w:pStyle w:val="j-felsorols1"/>
      </w:pPr>
      <w:r w:rsidRPr="001A0512">
        <w:t>film, tv és rádiószpotok gyártása;</w:t>
      </w:r>
    </w:p>
    <w:p w:rsidR="00C61866" w:rsidRPr="001A0512" w:rsidRDefault="00C61866" w:rsidP="00C61866">
      <w:pPr>
        <w:pStyle w:val="j-felsorols1"/>
      </w:pPr>
      <w:r w:rsidRPr="001A0512">
        <w:t>kreatív tervezési feladatok ellátása;</w:t>
      </w:r>
    </w:p>
    <w:p w:rsidR="00C61866" w:rsidRPr="001A0512" w:rsidRDefault="00C61866" w:rsidP="00C61866">
      <w:pPr>
        <w:pStyle w:val="j-felsorols1"/>
      </w:pPr>
      <w:r w:rsidRPr="001A0512">
        <w:t>szervezési / koordinációs feladatok ellátása;</w:t>
      </w:r>
    </w:p>
    <w:p w:rsidR="00C61866" w:rsidRPr="001A0512" w:rsidRDefault="00C61866" w:rsidP="00C61866">
      <w:pPr>
        <w:pStyle w:val="j-felsorols1"/>
      </w:pPr>
      <w:r w:rsidRPr="001A0512">
        <w:t>PR feladatok ellátása.</w:t>
      </w:r>
    </w:p>
    <w:p w:rsidR="00C61866" w:rsidRPr="00AA1ED3" w:rsidRDefault="00C61866" w:rsidP="00AA1ED3">
      <w:pPr>
        <w:pStyle w:val="Cmsor6"/>
      </w:pPr>
      <w:r w:rsidRPr="00AA1ED3">
        <w:t>Speciális hirdetésszervezési feladatok</w:t>
      </w:r>
    </w:p>
    <w:p w:rsidR="00C61866" w:rsidRPr="001A0512" w:rsidRDefault="00C61866" w:rsidP="004869BB">
      <w:r w:rsidRPr="001A0512">
        <w:t xml:space="preserve">E feladatok alatt a Program nem sajtóbéli hirdetéseinek megjelentetését, gondozását kell érteni, mely magába foglalja például a kommunikáció jól elkülöníthető részterületeinek, a beltéri és kültéri reklámhordozóinak elkészítését és kihelyezését. </w:t>
      </w:r>
    </w:p>
    <w:p w:rsidR="00C61866" w:rsidRPr="00AA1ED3" w:rsidRDefault="00C61866" w:rsidP="00AA1ED3">
      <w:pPr>
        <w:pStyle w:val="Cmsor6"/>
      </w:pPr>
      <w:r w:rsidRPr="00AA1ED3">
        <w:t>Közvélemény-kutatási feladatok</w:t>
      </w:r>
    </w:p>
    <w:p w:rsidR="00C61866" w:rsidRPr="001A0512" w:rsidRDefault="00C61866" w:rsidP="004869BB">
      <w:r w:rsidRPr="001A0512">
        <w:t xml:space="preserve">A közvélemény-kutatási feladatok alatt a Program végrehajtásához és a jövőbeni szakmai döntésekhez hozzájáruló, a kommunikációs tevékenységet megalapozó, illetve annak hatékonyságát mérő kvantitatív és kvalitatív közvélemény-kutatási szolgáltatásokat kell érteni. </w:t>
      </w:r>
    </w:p>
    <w:p w:rsidR="00C61866" w:rsidRPr="00AA1ED3" w:rsidRDefault="00C61866" w:rsidP="00AA1ED3">
      <w:pPr>
        <w:pStyle w:val="Cmsor6"/>
      </w:pPr>
      <w:r w:rsidRPr="00AA1ED3">
        <w:t>Rendezvényszervezés és kapcsolódó feladatok</w:t>
      </w:r>
    </w:p>
    <w:p w:rsidR="00C61866" w:rsidRPr="001A0512" w:rsidRDefault="00C61866" w:rsidP="004869BB">
      <w:r w:rsidRPr="001A0512">
        <w:t>A Program és céljainak, intézkedéseinek széleskörű megismertetése érdekében szervezett vagy az Irányító Hatóság döntése alapján támogatott események lebonyolítására, a rendezvényekhez kapcsolódó, az arculati elemeket is tartalmazó szóróanyagok gyártására, nyomdai termékek előállítására, raktározására, szállítására, helyszíni terjesztésére 2012-ben is nagy hangsúlyt fektetett az Irányító Hatóság.</w:t>
      </w:r>
    </w:p>
    <w:p w:rsidR="00C61866" w:rsidRPr="00AA1ED3" w:rsidRDefault="00C61866" w:rsidP="00AA1ED3">
      <w:pPr>
        <w:pStyle w:val="Cmsor6"/>
      </w:pPr>
      <w:r w:rsidRPr="00AA1ED3">
        <w:lastRenderedPageBreak/>
        <w:t>A Program kommunikációja 2012-ben</w:t>
      </w:r>
    </w:p>
    <w:p w:rsidR="00C61866" w:rsidRPr="001A0512" w:rsidRDefault="00C61866" w:rsidP="004869BB">
      <w:r w:rsidRPr="001A0512">
        <w:t xml:space="preserve">Az előző években folytatott tevékenységnek – marketingkommunikációs kampány, kiadványok, rendezvények, honlap – köszönhetően a közvetlen célcsoport – gazdálkodók, vidéki lakosság – mellett az ország lakosságának szélesebb köre is tudomást szerezhetett a programról. </w:t>
      </w:r>
    </w:p>
    <w:p w:rsidR="00C61866" w:rsidRPr="00AA1ED3" w:rsidRDefault="00C61866" w:rsidP="00AA1ED3">
      <w:pPr>
        <w:pStyle w:val="Cmsor6"/>
      </w:pPr>
      <w:r w:rsidRPr="00AA1ED3">
        <w:t>Arculat, arculati eszközök</w:t>
      </w:r>
    </w:p>
    <w:p w:rsidR="00C61866" w:rsidRPr="001A0512" w:rsidRDefault="00C61866" w:rsidP="004869BB">
      <w:r w:rsidRPr="001A0512">
        <w:t>Az egységes vizuális iránymutatások szerinti megjelenés egyértelműen azonosíthatóvá teszi a programot, ennek alkalmazására került sor minden hordozón és csatornán. A szükséges módosítások, kiegészítések, amelyek közül legfontosabb a kedvezményezetteknek szóló fejezet, a hivatalos arculati kézikönyv tartalmát képezik.</w:t>
      </w:r>
    </w:p>
    <w:p w:rsidR="00C61866" w:rsidRPr="001A0512" w:rsidRDefault="00C61866" w:rsidP="004869BB">
      <w:r w:rsidRPr="001A0512">
        <w:t>Ide sorolhatóak azon megterveztetett és legyártatott marketingeszközök, amelyeket a különféle rendezvényeken, konferenciákon, szakmai és populáris eseményeken osztottak ki a résztvevők, látogatók számára (pl. toll, jegyzettömb, mappa, USB-adathordozó, bögre, esernyő). Ezek a használati tárgyak hosszú ideig vannak a célcsoport birtokában, rendszeres használatuk révén felidézik a Program vizuális arculatát, ezzel segítve az azonosítást.</w:t>
      </w:r>
    </w:p>
    <w:p w:rsidR="00C61866" w:rsidRPr="00AA1ED3" w:rsidRDefault="00C61866" w:rsidP="00AA1ED3">
      <w:pPr>
        <w:pStyle w:val="Cmsor6"/>
      </w:pPr>
      <w:r w:rsidRPr="00AA1ED3">
        <w:t>Online kommunikáció</w:t>
      </w:r>
    </w:p>
    <w:p w:rsidR="00C61866" w:rsidRPr="001A0512" w:rsidRDefault="00C61866" w:rsidP="004869BB">
      <w:r w:rsidRPr="001A0512">
        <w:t>Egy szervezet megismerésének mára legelterjedtebb módja az internetes oldal felkeresése, és fordítva, az online lehetőségek kihasználása ma már elengedhetetlen a hatékonyságra és naprakészségre törekvő kommunikációban. Ezért a Program hivatalos honlapja, a www.umvp.eu a szervezeti kommunikáció zászlóshajójává, bázisává vált, azzal az igénnyel, hogy mind a szakmai, mind a közéleti típusú információkra vágyó olvasóknak megfeleljen. A honlap folyamatosan frissülő naprakész információkkal látja el a látogatókat a támogatási kérelmekről, megvalósult beruházásokról, közelgő benyújtási határidőkről.</w:t>
      </w:r>
    </w:p>
    <w:p w:rsidR="00C61866" w:rsidRPr="00AA1ED3" w:rsidRDefault="00C61866" w:rsidP="00AA1ED3">
      <w:pPr>
        <w:pStyle w:val="Cmsor6"/>
      </w:pPr>
      <w:r w:rsidRPr="00AA1ED3">
        <w:t>Kampányok</w:t>
      </w:r>
    </w:p>
    <w:p w:rsidR="00C61866" w:rsidRPr="001A0512" w:rsidRDefault="00C61866" w:rsidP="004869BB">
      <w:r w:rsidRPr="001A0512">
        <w:t xml:space="preserve">Több átfogó médiakampány, illetve döntően a megnyíló jogcímekhez kapcsolódva kisebb úgynevezett minikampány megtervezésére és lebonyolítására került sor a 2012-es évben. </w:t>
      </w:r>
    </w:p>
    <w:p w:rsidR="00C61866" w:rsidRPr="00AA1ED3" w:rsidRDefault="00C61866" w:rsidP="00AA1ED3">
      <w:pPr>
        <w:pStyle w:val="Cmsor6"/>
      </w:pPr>
      <w:r w:rsidRPr="00AA1ED3">
        <w:t>PR-tevékenység</w:t>
      </w:r>
    </w:p>
    <w:p w:rsidR="00C61866" w:rsidRPr="001A0512" w:rsidRDefault="00C61866" w:rsidP="004869BB">
      <w:r w:rsidRPr="001A0512">
        <w:t xml:space="preserve">Az információs versenyben a legfontosabb cél a tartós médiajelenlét és a tematizálási képesség fenntartása. Ezt bizonyos esetekben, nagy horderejű témák kapcsán sikerül térítésmentes formában elérni, a média magas ingerküszöbe miatt azonban a fizetett – hirdetési – felületek használata jelent biztos garanciát. </w:t>
      </w:r>
    </w:p>
    <w:p w:rsidR="00C61866" w:rsidRPr="00AA1ED3" w:rsidRDefault="00C61866" w:rsidP="00AA1ED3">
      <w:pPr>
        <w:pStyle w:val="Cmsor6"/>
      </w:pPr>
      <w:r w:rsidRPr="00AA1ED3">
        <w:t>Kiadványok</w:t>
      </w:r>
    </w:p>
    <w:p w:rsidR="00C61866" w:rsidRPr="001A0512" w:rsidRDefault="00C61866" w:rsidP="004869BB">
      <w:r w:rsidRPr="001A0512">
        <w:t>A potenciális célközönség részletes és pontos tájékoztatásának elengedhetetlen eszközei a kiadványok. A kiadványok minden esetben elektronikusan is letölthetők a www.umvp.eu oldalról.</w:t>
      </w:r>
    </w:p>
    <w:p w:rsidR="00C61866" w:rsidRPr="00AA1ED3" w:rsidRDefault="00C61866" w:rsidP="00AA1ED3">
      <w:pPr>
        <w:pStyle w:val="Cmsor6"/>
      </w:pPr>
      <w:r w:rsidRPr="00AA1ED3">
        <w:t>Rendezvények</w:t>
      </w:r>
    </w:p>
    <w:p w:rsidR="00C61866" w:rsidRPr="001A0512" w:rsidRDefault="00C61866" w:rsidP="004869BB">
      <w:r w:rsidRPr="001A0512">
        <w:t xml:space="preserve">A rendezvények a figyelemfelkeltés, a közvetlen kapcsolatteremtés legjobb eszközei, amelyeket a Program kommunikációja nem nélkülözhet. A Program képviseletében megjelenő szervezet (NAKVI, HACS, stb.) az eseményeken a központi arculattal, de a helyi sajátosságokat figyelembe véve jelent meg. </w:t>
      </w:r>
    </w:p>
    <w:p w:rsidR="00C61866" w:rsidRPr="001A0512" w:rsidRDefault="00C61866" w:rsidP="004869BB">
      <w:r w:rsidRPr="001A0512">
        <w:t xml:space="preserve">Különbséget kell tenni a szakmai közönség (pl. potenciális kedvezményezettek, LEADER HACS-ok, MNVH szakterületek) számára szervezett konferencia-jellegű rendezvények, szakmai előadókörutak, illetve a laikus közönségnek szóló rendezvényeken való megjelenés között. Előbbiek célja a Program forrásainak optimális felhasználása, a közvetlen érintettek megbízható információval </w:t>
      </w:r>
      <w:r w:rsidRPr="001A0512">
        <w:lastRenderedPageBreak/>
        <w:t>történő ellátása, képzése, felkészítése, míg utóbbiaké az európai uniós források és a Program ismertségének növelése, átfogóbb céljainak megismertetése a rendelkezésre álló források minél hatékonyabb kihasználása érdekében.</w:t>
      </w:r>
    </w:p>
    <w:p w:rsidR="00C61866" w:rsidRPr="00AA1ED3" w:rsidRDefault="00C61866" w:rsidP="00AA1ED3">
      <w:pPr>
        <w:pStyle w:val="Cmsor6"/>
      </w:pPr>
      <w:r w:rsidRPr="00AA1ED3">
        <w:t>Az IH, a NAKVI és az MNVH által szervezett legfontosab</w:t>
      </w:r>
      <w:r w:rsidR="00F64BD4" w:rsidRPr="00AA1ED3">
        <w:t>b rendezvények, szakmai fórumok</w:t>
      </w:r>
    </w:p>
    <w:p w:rsidR="00C61866" w:rsidRPr="001A0512" w:rsidRDefault="00C61866" w:rsidP="004869BB">
      <w:r w:rsidRPr="001A0512">
        <w:t>A szakmai fórumok, képzések legfőbb célja az ismeretátadás, eszme- és tapasztalatcsere, valamint a hálózatosítás</w:t>
      </w:r>
      <w:r w:rsidR="00F64BD4" w:rsidRPr="001A0512">
        <w:t>on kívül a Program keretében rendelkezésre álló támogatási célok, illetve az elért eredmények bemutatása</w:t>
      </w:r>
      <w:r w:rsidRPr="001A0512">
        <w:t xml:space="preserve"> volt. </w:t>
      </w:r>
    </w:p>
    <w:p w:rsidR="00C61866" w:rsidRPr="00AA1ED3" w:rsidRDefault="00C61866" w:rsidP="00AA1ED3">
      <w:pPr>
        <w:pStyle w:val="Cmsor6"/>
      </w:pPr>
      <w:r w:rsidRPr="00AA1ED3">
        <w:t>2012-ben megrendezésre került szakmai fórumok, képzések:</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január 27-29. között Drávafokon került megrendezésre a Kárpát-medencei Gyümölcsészeti Hálózat </w:t>
      </w:r>
      <w:r w:rsidRPr="001A0512">
        <w:rPr>
          <w:szCs w:val="22"/>
          <w:u w:val="single"/>
        </w:rPr>
        <w:t>2011-2012. évi téli Gyümölcsészeti Találkozója</w:t>
      </w:r>
      <w:r w:rsidRPr="001A0512">
        <w:rPr>
          <w:szCs w:val="22"/>
        </w:rPr>
        <w:t>. A találkozón szó esett a „Táji adottságokhoz alkalmazkodó, a Kárpát-medencében régóta termesztett gyümölcsfajták megőrzésében való együttműködési” megállapodásról, valamint az MNVH által kezdeményezett Közösségi Tanulókert Hálózatról is, amely a táji adottságoknak megfelelő fajták megőrzését és a közösségi tanulás újjáélesztését tűzte ki célul.</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Az </w:t>
      </w:r>
      <w:r w:rsidRPr="001A0512">
        <w:rPr>
          <w:szCs w:val="22"/>
          <w:u w:val="single"/>
        </w:rPr>
        <w:t>Írottkő Natúrpark Egyesület</w:t>
      </w:r>
      <w:r w:rsidRPr="001A0512">
        <w:rPr>
          <w:szCs w:val="22"/>
        </w:rPr>
        <w:t xml:space="preserve"> 1997-ben alakult országunk első natúrparkjaként, osztrák minta alapján. Azóta számos natúrparki kezdeményezés indult el Magyarországon, bár nagyon kevés olyan natúrpark van, amely ilyen hosszú időn keresztül folyamatos tevékenységet végez. 2012. április 17-én, Kőszegen, </w:t>
      </w:r>
      <w:r w:rsidRPr="001A0512">
        <w:rPr>
          <w:szCs w:val="22"/>
          <w:u w:val="single"/>
        </w:rPr>
        <w:t>díszközgyűlés</w:t>
      </w:r>
      <w:r w:rsidRPr="001A0512">
        <w:rPr>
          <w:szCs w:val="22"/>
        </w:rPr>
        <w:t xml:space="preserve"> keretében ünnepelték meg a natúrpark alapításának 15. évfordulóját. </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u w:val="single"/>
        </w:rPr>
        <w:t>"Quo Vadis Leader?"</w:t>
      </w:r>
      <w:r w:rsidRPr="001A0512">
        <w:rPr>
          <w:szCs w:val="22"/>
        </w:rPr>
        <w:t xml:space="preserve"> elnevezésű rendezvényt szervezése 2012. június 5-én a VM-ben. A LEADER megközelítés megvalósulása az Európai Unió vidékpolitikájában több mint két évtizedes evolúciós folyamat eredménye, amely fejlődés korántsem ért véget. A konferencia célja volt meghatározni, hogy hová is tart a LEADER, valamint a jelenleg minden tagállamot leginkább foglalkoztató tervezési kérdések világosabbá tétele.</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augusztus 10-11-én rendezték meg a </w:t>
      </w:r>
      <w:r w:rsidRPr="001A0512">
        <w:rPr>
          <w:szCs w:val="22"/>
          <w:u w:val="single"/>
        </w:rPr>
        <w:t>XII. Tarka Marhafesztivált Bonyhádon</w:t>
      </w:r>
      <w:r w:rsidRPr="001A0512">
        <w:rPr>
          <w:szCs w:val="22"/>
        </w:rPr>
        <w:t xml:space="preserve">. A rendezvényt a hagyományoknak megfelelően került megszervezésre, első napja szakmai nap volt, amelyen előadás megtartására kérték fel az MNVH főtitkárát. A második napon magyartarka húsból készítettek ételeket a főzőversenyen részt vevők, közben szórakoztató műsorok folytak. </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augusztus 11-20. között került megrendezésre a </w:t>
      </w:r>
      <w:r w:rsidRPr="001A0512">
        <w:rPr>
          <w:szCs w:val="22"/>
          <w:u w:val="single"/>
        </w:rPr>
        <w:t>„Hétrétország – a szerek és porták fesztiválja”</w:t>
      </w:r>
      <w:r w:rsidRPr="001A0512">
        <w:rPr>
          <w:szCs w:val="22"/>
        </w:rPr>
        <w:t xml:space="preserve"> elnevezésű 10 napos rendezvény az Őrségben. A fesztivál létrehozásának célja 2001-ben az volt, hogy a háromoldalú kulturális sokszínűséget tükröző határ menti övezetben életre keljen egy olyan nagyrendezvény, amely hagyományt teremt és a jövőben az egész térség emblematikus turisztikai vonzerejévé válhat. Hétrétország missziója, hogy közös gyökerű európai kultúrát mutat fel egy korábban határok által szabdalt területen, ugyanakkor erőteljes értékközvetítő funkciót tölt be egy kulturálisan elhanyagolt, gazdaságilag magára hagyott közegben, amivé a 20. század második felében az Őrség vált. </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201</w:t>
      </w:r>
      <w:r w:rsidR="00423847" w:rsidRPr="001A0512">
        <w:rPr>
          <w:szCs w:val="22"/>
        </w:rPr>
        <w:t xml:space="preserve">2. augusztus 31. és szeptember </w:t>
      </w:r>
      <w:r w:rsidRPr="001A0512">
        <w:rPr>
          <w:szCs w:val="22"/>
        </w:rPr>
        <w:t xml:space="preserve">2. között került megrendezésre a lengyelországi Krosnoban a </w:t>
      </w:r>
      <w:r w:rsidRPr="001A0512">
        <w:rPr>
          <w:szCs w:val="22"/>
          <w:u w:val="single"/>
        </w:rPr>
        <w:t>X. Jubileumi Portius Magyar Borok Fesztiválja</w:t>
      </w:r>
      <w:r w:rsidRPr="001A0512">
        <w:rPr>
          <w:szCs w:val="22"/>
        </w:rPr>
        <w:t>. A rendezvény kiváló lehetőséget teremtett a magyar borok népszerűsítésére.</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szeptember 12-16. között 21. alkalommal került megrendezésre a </w:t>
      </w:r>
      <w:r w:rsidRPr="001A0512">
        <w:rPr>
          <w:szCs w:val="22"/>
          <w:u w:val="single"/>
        </w:rPr>
        <w:t>Nemzetközi Bor- és Pezsgőfesztivál a Budai Várban.</w:t>
      </w:r>
      <w:r w:rsidRPr="001A0512">
        <w:rPr>
          <w:szCs w:val="22"/>
        </w:rPr>
        <w:t xml:space="preserve"> A korábbi évekhez hasonlóan a legkiválóbb hazai borászok kínálták kóstolásra legjobb boraikat, emellett a neves borkereskedők jóvoltából számos külföldi bor is bemutatásra került. </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lastRenderedPageBreak/>
        <w:t xml:space="preserve">2012. szeptember 21-23. között hatodik alkalommal nyitotta meg kapuit a Kaposvári Egyetem Pannon Lovasakadémiáján a </w:t>
      </w:r>
      <w:r w:rsidRPr="001A0512">
        <w:rPr>
          <w:szCs w:val="22"/>
          <w:u w:val="single"/>
        </w:rPr>
        <w:t>Kaposvári Állattenyésztési Napok</w:t>
      </w:r>
      <w:r w:rsidRPr="001A0512">
        <w:rPr>
          <w:szCs w:val="22"/>
        </w:rPr>
        <w:t>. Ez a kiállítás a Dunántúl legnagyobb állattenyésztési kiállítása, mára közel 1000 állatot vonultattak fel, 120 kiállítót és 30 ezer látogatót köszönthettek Kaposváron. A Kaposvári Egyetem, mint házigazda és a Magyar Mezőgazdaság Kft</w:t>
      </w:r>
      <w:r w:rsidR="00423847" w:rsidRPr="001A0512">
        <w:rPr>
          <w:szCs w:val="22"/>
        </w:rPr>
        <w:t>.</w:t>
      </w:r>
      <w:r w:rsidRPr="001A0512">
        <w:rPr>
          <w:szCs w:val="22"/>
        </w:rPr>
        <w:t xml:space="preserve">, mint szervező, igyekezett minél több tenyészállatot bemutatni és bővebb képet adni a vidéki élet előnyeiről, éppen ezért a rendezvényen a szervezők a Móricz Zsigmond Mezőgazdasági Iskolával közösen, egy „Gazda Udvart” alakítottak ki. </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szeptember 26. napján került megrendezésre a </w:t>
      </w:r>
      <w:r w:rsidRPr="001A0512">
        <w:rPr>
          <w:szCs w:val="22"/>
          <w:u w:val="single"/>
        </w:rPr>
        <w:t>Nemzetközi Együttműködések - START UP Fórum</w:t>
      </w:r>
      <w:r w:rsidRPr="001A0512">
        <w:rPr>
          <w:szCs w:val="22"/>
        </w:rPr>
        <w:t xml:space="preserve"> elnevezésű esemény a VM Darányi Ignác termében.</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A 2012. szeptember 29-30-án megrendezett, </w:t>
      </w:r>
      <w:r w:rsidRPr="001A0512">
        <w:rPr>
          <w:szCs w:val="22"/>
          <w:u w:val="single"/>
        </w:rPr>
        <w:t>Főszezon ’12 kiállítás - „Falu a város szívében”</w:t>
      </w:r>
      <w:r w:rsidRPr="001A0512">
        <w:rPr>
          <w:szCs w:val="22"/>
        </w:rPr>
        <w:t xml:space="preserve"> elnevezésű esemény a magyar vidék és annak tradícióinak megismerését, továbbá a magyar termelők piacnyitását is célul tűzte ki, ennek része a vándorpiac mozgalom, amelynek keretében ezúttal a magyar termelők mellett a lengyel termelők is bemutatkozási lehetőséget kaptak.</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u w:val="single"/>
        </w:rPr>
        <w:t>Vidék Akadémia A Vidék Jövőjéért,</w:t>
      </w:r>
      <w:r w:rsidRPr="001A0512">
        <w:rPr>
          <w:szCs w:val="22"/>
        </w:rPr>
        <w:t xml:space="preserve"> Mezőtúron 2012. október 16-18. A rendezvény elsődleges célja az Európai Unió anyagi és szakmai támogatásával 2014-2020 között megvalósuló új vidékfejlesztési programidőszakra való felkészülés elősegítése. </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A </w:t>
      </w:r>
      <w:r w:rsidRPr="001A0512">
        <w:rPr>
          <w:szCs w:val="22"/>
          <w:u w:val="single"/>
        </w:rPr>
        <w:t>TRANSLEADER</w:t>
      </w:r>
      <w:r w:rsidRPr="001A0512">
        <w:rPr>
          <w:szCs w:val="22"/>
        </w:rPr>
        <w:t xml:space="preserve"> projekt keretében </w:t>
      </w:r>
      <w:r w:rsidRPr="001A0512">
        <w:rPr>
          <w:szCs w:val="22"/>
          <w:u w:val="single"/>
        </w:rPr>
        <w:t>három területi műhely</w:t>
      </w:r>
      <w:r w:rsidRPr="001A0512">
        <w:rPr>
          <w:szCs w:val="22"/>
        </w:rPr>
        <w:t xml:space="preserve"> valósult meg 2012. november 19-22. között, amelyeknek célja volt egyrészt több ország, Ausztria, Spanyolország, Finnország, Írország LEADER megvalósításának bemutatása, megismertetése, másrészt egy közös gondolkodás elindítása arról, hogyan is képzeli el Magyarország a LEADER megvalósítását a következő időszakban, 2014-től. A projekt keretein belül elvégzett külföldi kutatómunka eredményeként létrejött ország tanulmányok, valamint az azokat összehasonlító tanulmány került bemutatásra hazai helyszíneken, Alsópáhokon, Újszentmargitán és Inárcson.</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november 23. napján került megrendezésre a Kaposvári Egyetemen a </w:t>
      </w:r>
      <w:r w:rsidRPr="001A0512">
        <w:rPr>
          <w:szCs w:val="22"/>
          <w:u w:val="single"/>
        </w:rPr>
        <w:t>„Fejlesztéspolitika a gazdasági növekedés jegyében”</w:t>
      </w:r>
      <w:r w:rsidRPr="001A0512">
        <w:rPr>
          <w:szCs w:val="22"/>
        </w:rPr>
        <w:t xml:space="preserve"> című Somogy megyei területfejlesztési és vidékfejlesztési konferencia a Nemzetgazdasági Minisztérium, a VM, az MNVH</w:t>
      </w:r>
      <w:r w:rsidR="00423847" w:rsidRPr="001A0512">
        <w:rPr>
          <w:szCs w:val="22"/>
        </w:rPr>
        <w:t>,</w:t>
      </w:r>
      <w:r w:rsidRPr="001A0512">
        <w:rPr>
          <w:szCs w:val="22"/>
        </w:rPr>
        <w:t xml:space="preserve"> a Belügyminisztérium és a Somogy Megyei Önkormányzat közös szervezésében. A rendezvény célja volt egyrészt, a megye települései részére bemutatni az uniós és a hazai hosszú távú területfejlesztési, vidékfejlesztési elképzeléseket konkretizálva a településeket érintő kérdésekre, másrészt tájékoztatást adni a magyar gazdaságpolitika és a fejlesztéspolitika viszonyáról, egymáshoz való kapcsolatáról, nem utolsó sorban pedig információval szolgálni az önkormányzati rendszer átalakításáról.</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december 4-én közreműködés az </w:t>
      </w:r>
      <w:r w:rsidRPr="001A0512">
        <w:rPr>
          <w:szCs w:val="22"/>
          <w:u w:val="single"/>
        </w:rPr>
        <w:t xml:space="preserve">V. Országos Agrárfórum </w:t>
      </w:r>
      <w:r w:rsidRPr="001A0512">
        <w:rPr>
          <w:szCs w:val="22"/>
        </w:rPr>
        <w:t>elnevezésű, a Kis, Közép- és Agrárvállalkozók Országos Szolgáltató Egyesület szervezésében megvalósuló országos szakmai fórum lebonyolításában.</w:t>
      </w:r>
    </w:p>
    <w:p w:rsidR="00C61866" w:rsidRPr="001A0512" w:rsidRDefault="00C61866" w:rsidP="00495C8B">
      <w:pPr>
        <w:numPr>
          <w:ilvl w:val="0"/>
          <w:numId w:val="67"/>
        </w:numPr>
        <w:suppressAutoHyphens w:val="0"/>
        <w:spacing w:after="0" w:line="276" w:lineRule="auto"/>
        <w:ind w:left="709"/>
        <w:rPr>
          <w:szCs w:val="22"/>
          <w:u w:val="single"/>
        </w:rPr>
      </w:pPr>
      <w:r w:rsidRPr="001A0512">
        <w:rPr>
          <w:szCs w:val="22"/>
        </w:rPr>
        <w:t xml:space="preserve">2012. december 11-12. napján került megrendezésre a </w:t>
      </w:r>
      <w:r w:rsidRPr="001A0512">
        <w:rPr>
          <w:szCs w:val="22"/>
          <w:u w:val="single"/>
        </w:rPr>
        <w:t>II. Nemzeti Vidékfejlesztési Nap.</w:t>
      </w:r>
      <w:r w:rsidRPr="001A0512">
        <w:rPr>
          <w:b/>
          <w:szCs w:val="22"/>
        </w:rPr>
        <w:t xml:space="preserve"> </w:t>
      </w:r>
      <w:r w:rsidRPr="001A0512">
        <w:rPr>
          <w:szCs w:val="22"/>
        </w:rPr>
        <w:t>„A vidékért, együtt” mottóval meghirdetett kétnapos szakmai és kulturális rendezvény helyszíne a budapesti Vajdahunyad-várban található Magyar Mezőgazdasági Múzeum volt. A szakmai esemény Dr. Fazekas Sándor vidékfejlesztési miniszter ünnepélyes megnyitójával kezdődött, majd meghívott vendégeink – a Vidékfejlesztési Naphoz kapcsolódó díjátadásokat követően – pódiumbeszélgetéseket hallgathattak meg, délután pedig plenáris előadásokon és szekcióüléseken vehettek részt. A szakmai találkozó másnapján nemzetközi kitekintés keretében finn, észt, osztrák, olasz, lengyel, szlovák, valamint román hálózati előadók ismertették meg a résztvevőket a LEADER program jó gyakorlataival és tapasztalataival, valamint a következő programozási időszakra vonatkozó tervekkel, elképzelésekkel.</w:t>
      </w:r>
    </w:p>
    <w:p w:rsidR="00C61866" w:rsidRPr="00AA1ED3" w:rsidRDefault="00C61866" w:rsidP="00AA1ED3">
      <w:pPr>
        <w:pStyle w:val="Cmsor6"/>
      </w:pPr>
      <w:r w:rsidRPr="00AA1ED3">
        <w:lastRenderedPageBreak/>
        <w:t>Kommunikációs feladatok</w:t>
      </w:r>
    </w:p>
    <w:p w:rsidR="00C61866" w:rsidRPr="001A0512" w:rsidRDefault="00C61866" w:rsidP="00495C8B">
      <w:pPr>
        <w:numPr>
          <w:ilvl w:val="0"/>
          <w:numId w:val="68"/>
        </w:numPr>
        <w:suppressAutoHyphens w:val="0"/>
        <w:spacing w:after="0" w:line="276" w:lineRule="auto"/>
        <w:ind w:left="709" w:hanging="284"/>
        <w:rPr>
          <w:bCs/>
          <w:szCs w:val="22"/>
        </w:rPr>
      </w:pPr>
      <w:r w:rsidRPr="001A0512">
        <w:rPr>
          <w:bCs/>
          <w:szCs w:val="22"/>
        </w:rPr>
        <w:t>A Magyar Vidéki Mozaik és a Falu című folyóiratok számainak rendszeres megjelentetése.</w:t>
      </w:r>
    </w:p>
    <w:p w:rsidR="00C61866" w:rsidRPr="001A0512" w:rsidRDefault="00C61866" w:rsidP="00495C8B">
      <w:pPr>
        <w:numPr>
          <w:ilvl w:val="0"/>
          <w:numId w:val="68"/>
        </w:numPr>
        <w:suppressAutoHyphens w:val="0"/>
        <w:spacing w:after="0" w:line="276" w:lineRule="auto"/>
        <w:ind w:left="709" w:hanging="284"/>
        <w:rPr>
          <w:szCs w:val="22"/>
        </w:rPr>
      </w:pPr>
      <w:r w:rsidRPr="001A0512">
        <w:rPr>
          <w:bCs/>
          <w:szCs w:val="22"/>
        </w:rPr>
        <w:t xml:space="preserve">Az </w:t>
      </w:r>
      <w:hyperlink r:id="rId96" w:history="1">
        <w:r w:rsidRPr="001A0512">
          <w:rPr>
            <w:szCs w:val="22"/>
          </w:rPr>
          <w:t>info@umvp.eu</w:t>
        </w:r>
      </w:hyperlink>
      <w:r w:rsidRPr="001A0512">
        <w:rPr>
          <w:bCs/>
          <w:szCs w:val="22"/>
        </w:rPr>
        <w:t xml:space="preserve"> e-mail címre beérkező észrevételek feldolgozása.</w:t>
      </w:r>
    </w:p>
    <w:p w:rsidR="00C61866" w:rsidRPr="001A0512" w:rsidRDefault="00C61866" w:rsidP="00495C8B">
      <w:pPr>
        <w:numPr>
          <w:ilvl w:val="0"/>
          <w:numId w:val="68"/>
        </w:numPr>
        <w:suppressAutoHyphens w:val="0"/>
        <w:spacing w:after="0" w:line="276" w:lineRule="auto"/>
        <w:ind w:left="709" w:hanging="284"/>
        <w:rPr>
          <w:bCs/>
          <w:szCs w:val="22"/>
        </w:rPr>
      </w:pPr>
      <w:r w:rsidRPr="001A0512">
        <w:rPr>
          <w:bCs/>
          <w:szCs w:val="22"/>
        </w:rPr>
        <w:t xml:space="preserve">Az </w:t>
      </w:r>
      <w:r w:rsidRPr="001A0512">
        <w:rPr>
          <w:bCs/>
          <w:szCs w:val="22"/>
          <w:u w:val="single"/>
        </w:rPr>
        <w:t>MNVH és az ÚMVP honlapjának folyamatos fejlesztése</w:t>
      </w:r>
      <w:r w:rsidRPr="001A0512">
        <w:rPr>
          <w:bCs/>
          <w:szCs w:val="22"/>
        </w:rPr>
        <w:t xml:space="preserve"> és karbantartása, a felmerülő problémák, működésbeli zavarok kezelése, kijavítása, az oldalak általános karbantartásához kapcsolódó és eseti jelleggel felmerülő munkák, a megvalósult online fejlesztések folyamatos ellenőrzése, hibajavítások kezelése.</w:t>
      </w:r>
    </w:p>
    <w:p w:rsidR="00C61866" w:rsidRPr="001A0512" w:rsidRDefault="00C61866" w:rsidP="00495C8B">
      <w:pPr>
        <w:numPr>
          <w:ilvl w:val="0"/>
          <w:numId w:val="67"/>
        </w:numPr>
        <w:suppressAutoHyphens w:val="0"/>
        <w:spacing w:after="0" w:line="276" w:lineRule="auto"/>
        <w:ind w:left="709" w:hanging="284"/>
        <w:rPr>
          <w:szCs w:val="22"/>
        </w:rPr>
      </w:pPr>
      <w:r w:rsidRPr="001A0512">
        <w:rPr>
          <w:bCs/>
          <w:szCs w:val="22"/>
          <w:u w:val="single"/>
        </w:rPr>
        <w:t xml:space="preserve"> „Hírek” és „Sajtószemle”</w:t>
      </w:r>
      <w:r w:rsidRPr="001A0512">
        <w:rPr>
          <w:bCs/>
          <w:szCs w:val="22"/>
        </w:rPr>
        <w:t xml:space="preserve"> rovatok folyamatos töltése a vidék legérdekesebb híreivel; </w:t>
      </w:r>
      <w:r w:rsidRPr="001A0512">
        <w:rPr>
          <w:bCs/>
          <w:szCs w:val="22"/>
          <w:u w:val="single"/>
        </w:rPr>
        <w:t>„Dokumentumtár”</w:t>
      </w:r>
      <w:r w:rsidRPr="001A0512">
        <w:rPr>
          <w:bCs/>
          <w:szCs w:val="22"/>
        </w:rPr>
        <w:t xml:space="preserve"> elemeinek aktualizálása különös tekintettel a jogszabályokra és az ÚMVP intézkedései kapcsán kiadott közleményekre; legfrissebb intézkedések meghirdetésének közzététele a főoldalon a </w:t>
      </w:r>
      <w:r w:rsidRPr="001A0512">
        <w:rPr>
          <w:bCs/>
          <w:szCs w:val="22"/>
          <w:u w:val="single"/>
        </w:rPr>
        <w:t>„Fejlesszen Ön is!”</w:t>
      </w:r>
      <w:r w:rsidRPr="001A0512">
        <w:rPr>
          <w:bCs/>
          <w:szCs w:val="22"/>
        </w:rPr>
        <w:t xml:space="preserve"> rovatban; </w:t>
      </w:r>
      <w:r w:rsidRPr="001A0512">
        <w:rPr>
          <w:bCs/>
          <w:szCs w:val="22"/>
          <w:u w:val="single"/>
        </w:rPr>
        <w:t>Twitter-rovat</w:t>
      </w:r>
      <w:r w:rsidRPr="001A0512">
        <w:rPr>
          <w:bCs/>
          <w:szCs w:val="22"/>
        </w:rPr>
        <w:t xml:space="preserve"> állandó frissítése; az ÚMVP sikertörténeteinek folyamatos gyűjtése a </w:t>
      </w:r>
      <w:hyperlink r:id="rId97" w:history="1">
        <w:r w:rsidRPr="001A0512">
          <w:rPr>
            <w:szCs w:val="22"/>
          </w:rPr>
          <w:t>http://www.umvp.eu/?q=nekik-sikerult/itthon</w:t>
        </w:r>
      </w:hyperlink>
      <w:r w:rsidRPr="001A0512">
        <w:rPr>
          <w:bCs/>
          <w:szCs w:val="22"/>
        </w:rPr>
        <w:t xml:space="preserve"> hivatkozás alatt; az umvp.eu kétheti, </w:t>
      </w:r>
      <w:r w:rsidRPr="001A0512">
        <w:rPr>
          <w:bCs/>
          <w:szCs w:val="22"/>
          <w:u w:val="single"/>
        </w:rPr>
        <w:t>Vidékjáró</w:t>
      </w:r>
      <w:r w:rsidRPr="001A0512">
        <w:rPr>
          <w:bCs/>
          <w:szCs w:val="22"/>
        </w:rPr>
        <w:t xml:space="preserve"> című hírlevelének rendszeres tartalom-tervezése, az anyagok összeállítása, megjelentetése és a regisztrált felhasználóinknak kiküldése. Folyamatos videó-szolgáltatásunk elindítása az umvp.eu video galériájában és az mnvh.eu galériájában: </w:t>
      </w:r>
      <w:hyperlink r:id="rId98" w:history="1">
        <w:r w:rsidRPr="001A0512">
          <w:rPr>
            <w:szCs w:val="22"/>
          </w:rPr>
          <w:t>http://www.umvp.eu/?q=videotar</w:t>
        </w:r>
      </w:hyperlink>
      <w:r w:rsidRPr="001A0512">
        <w:rPr>
          <w:bCs/>
          <w:szCs w:val="22"/>
        </w:rPr>
        <w:t xml:space="preserve">; </w:t>
      </w:r>
      <w:hyperlink r:id="rId99" w:history="1">
        <w:r w:rsidRPr="001A0512">
          <w:rPr>
            <w:szCs w:val="22"/>
          </w:rPr>
          <w:t>http://www.mnvh.eu/galeria</w:t>
        </w:r>
      </w:hyperlink>
      <w:r w:rsidRPr="001A0512">
        <w:rPr>
          <w:bCs/>
          <w:szCs w:val="22"/>
        </w:rPr>
        <w:t>; valamint a youtube.com oldalon, rendezvényvideók megvágása, szerkesztése és honlapokon való publikálása.</w:t>
      </w:r>
    </w:p>
    <w:p w:rsidR="00C61866" w:rsidRPr="001A0512" w:rsidRDefault="00C61866" w:rsidP="00495C8B">
      <w:pPr>
        <w:numPr>
          <w:ilvl w:val="0"/>
          <w:numId w:val="67"/>
        </w:numPr>
        <w:suppressAutoHyphens w:val="0"/>
        <w:spacing w:after="0" w:line="276" w:lineRule="auto"/>
        <w:ind w:left="709" w:hanging="284"/>
        <w:rPr>
          <w:szCs w:val="22"/>
        </w:rPr>
      </w:pPr>
      <w:r w:rsidRPr="001A0512">
        <w:rPr>
          <w:szCs w:val="22"/>
        </w:rPr>
        <w:t xml:space="preserve">A 2012. január 20-29. között megrendezett </w:t>
      </w:r>
      <w:r w:rsidRPr="001A0512">
        <w:rPr>
          <w:szCs w:val="22"/>
          <w:u w:val="single"/>
        </w:rPr>
        <w:t>Grüne Woche „Zöld Hét”</w:t>
      </w:r>
      <w:r w:rsidRPr="001A0512">
        <w:rPr>
          <w:szCs w:val="22"/>
        </w:rPr>
        <w:t xml:space="preserve"> nemzetközi élelmiszeripari, mezőgazdasági és kertészeti kiállításon felvett filmanya</w:t>
      </w:r>
      <w:r w:rsidR="00423847" w:rsidRPr="001A0512">
        <w:rPr>
          <w:szCs w:val="22"/>
        </w:rPr>
        <w:t>gból egy 20 perces összeállítás</w:t>
      </w:r>
      <w:r w:rsidRPr="001A0512">
        <w:rPr>
          <w:szCs w:val="22"/>
        </w:rPr>
        <w:t xml:space="preserve"> készítése, melyről az ATV Új Mezőgazdaság Magazin című műsorában számolt be.</w:t>
      </w:r>
    </w:p>
    <w:p w:rsidR="00C61866" w:rsidRPr="001A0512" w:rsidRDefault="00C61866" w:rsidP="00495C8B">
      <w:pPr>
        <w:numPr>
          <w:ilvl w:val="0"/>
          <w:numId w:val="67"/>
        </w:numPr>
        <w:suppressAutoHyphens w:val="0"/>
        <w:spacing w:after="0" w:line="276" w:lineRule="auto"/>
        <w:ind w:left="709" w:hanging="284"/>
        <w:rPr>
          <w:szCs w:val="22"/>
        </w:rPr>
      </w:pPr>
      <w:r w:rsidRPr="001A0512">
        <w:rPr>
          <w:bCs/>
          <w:szCs w:val="22"/>
        </w:rPr>
        <w:t xml:space="preserve">A </w:t>
      </w:r>
      <w:r w:rsidRPr="001A0512">
        <w:rPr>
          <w:bCs/>
          <w:szCs w:val="22"/>
          <w:u w:val="single"/>
        </w:rPr>
        <w:t>Helyi Téma hetilapban</w:t>
      </w:r>
      <w:r w:rsidRPr="001A0512">
        <w:rPr>
          <w:bCs/>
          <w:szCs w:val="22"/>
        </w:rPr>
        <w:t xml:space="preserve"> két alkalommal jó gyakorlatok kerülnek bemutatásra, terjesztés céljával.</w:t>
      </w:r>
    </w:p>
    <w:p w:rsidR="00C61866" w:rsidRPr="001A0512" w:rsidRDefault="00C61866" w:rsidP="00495C8B">
      <w:pPr>
        <w:numPr>
          <w:ilvl w:val="0"/>
          <w:numId w:val="67"/>
        </w:numPr>
        <w:suppressAutoHyphens w:val="0"/>
        <w:spacing w:after="0" w:line="276" w:lineRule="auto"/>
        <w:ind w:left="709" w:hanging="284"/>
        <w:rPr>
          <w:szCs w:val="22"/>
        </w:rPr>
      </w:pPr>
      <w:r w:rsidRPr="001A0512">
        <w:rPr>
          <w:szCs w:val="22"/>
        </w:rPr>
        <w:t>A DUE Tallózó című lapban cikkek jelentek meg vidékfejlesztési témákban, az MNVH arculati elemeinek feltüntetésével, valamint rádióműsorban népszerűsítették a megjelent cikkeket.</w:t>
      </w:r>
    </w:p>
    <w:p w:rsidR="00C61866" w:rsidRPr="001A0512" w:rsidRDefault="00C61866" w:rsidP="00495C8B">
      <w:pPr>
        <w:numPr>
          <w:ilvl w:val="0"/>
          <w:numId w:val="67"/>
        </w:numPr>
        <w:suppressAutoHyphens w:val="0"/>
        <w:spacing w:after="0" w:line="276" w:lineRule="auto"/>
        <w:ind w:left="709" w:hanging="284"/>
        <w:rPr>
          <w:szCs w:val="22"/>
        </w:rPr>
      </w:pPr>
      <w:r w:rsidRPr="001A0512">
        <w:rPr>
          <w:szCs w:val="22"/>
        </w:rPr>
        <w:t xml:space="preserve">A VM az MNVH-val együttműködve az elmúlt év végén az ÚMVP Technikai Segítségnyújtás kerete terhére indította el azon 21 kiemelt projektet, amelyet a tárca egyfajta „zászlóshajó projektként”, mintaprogramként kíván megjeleníteni a jövőben. Az </w:t>
      </w:r>
      <w:r w:rsidRPr="001A0512">
        <w:rPr>
          <w:szCs w:val="22"/>
          <w:u w:val="single"/>
        </w:rPr>
        <w:t>ECHO TV „A vidék élni akar”</w:t>
      </w:r>
      <w:r w:rsidRPr="001A0512">
        <w:rPr>
          <w:szCs w:val="22"/>
        </w:rPr>
        <w:t xml:space="preserve"> című műsorában a 21 téma részletes feldolgozását vállalta öt részletben.</w:t>
      </w:r>
    </w:p>
    <w:p w:rsidR="00C61866" w:rsidRPr="001A0512" w:rsidRDefault="00C61866" w:rsidP="00495C8B">
      <w:pPr>
        <w:numPr>
          <w:ilvl w:val="0"/>
          <w:numId w:val="67"/>
        </w:numPr>
        <w:suppressAutoHyphens w:val="0"/>
        <w:spacing w:after="0" w:line="276" w:lineRule="auto"/>
        <w:ind w:left="709" w:hanging="284"/>
        <w:rPr>
          <w:szCs w:val="22"/>
        </w:rPr>
      </w:pPr>
      <w:r w:rsidRPr="001A0512">
        <w:rPr>
          <w:bCs/>
          <w:szCs w:val="22"/>
        </w:rPr>
        <w:t xml:space="preserve">A Vidék Mustra rendezvény népszerűsítése érdekében </w:t>
      </w:r>
      <w:r w:rsidRPr="001A0512">
        <w:rPr>
          <w:bCs/>
          <w:szCs w:val="22"/>
          <w:u w:val="single"/>
        </w:rPr>
        <w:t>reklámfilm</w:t>
      </w:r>
      <w:r w:rsidRPr="001A0512">
        <w:rPr>
          <w:bCs/>
          <w:szCs w:val="22"/>
        </w:rPr>
        <w:t xml:space="preserve"> készítése és sugárzása az M1 TV "Ma reggel" és a Duna TV "Gazdakör" című műsorának reklámblokkjában, valamint az </w:t>
      </w:r>
      <w:r w:rsidRPr="001A0512">
        <w:rPr>
          <w:bCs/>
          <w:szCs w:val="22"/>
          <w:u w:val="single"/>
        </w:rPr>
        <w:t>Echo Tv-ben adásidő vásárlása</w:t>
      </w:r>
      <w:r w:rsidRPr="001A0512">
        <w:rPr>
          <w:bCs/>
          <w:szCs w:val="22"/>
        </w:rPr>
        <w:t xml:space="preserve"> történt meg a </w:t>
      </w:r>
      <w:r w:rsidRPr="001A0512">
        <w:rPr>
          <w:szCs w:val="22"/>
        </w:rPr>
        <w:t xml:space="preserve">rendezvény </w:t>
      </w:r>
      <w:r w:rsidRPr="001A0512">
        <w:rPr>
          <w:bCs/>
          <w:szCs w:val="22"/>
        </w:rPr>
        <w:t xml:space="preserve">népszerűsítése érdekében, amely </w:t>
      </w:r>
      <w:r w:rsidRPr="001A0512">
        <w:rPr>
          <w:szCs w:val="22"/>
        </w:rPr>
        <w:t>20 alkalommal 20 másodperc reklám</w:t>
      </w:r>
      <w:r w:rsidR="00423847" w:rsidRPr="001A0512">
        <w:rPr>
          <w:szCs w:val="22"/>
        </w:rPr>
        <w:t xml:space="preserve"> megjelenését foglalt</w:t>
      </w:r>
      <w:r w:rsidRPr="001A0512">
        <w:rPr>
          <w:szCs w:val="22"/>
        </w:rPr>
        <w:t xml:space="preserve">a magában </w:t>
      </w:r>
      <w:r w:rsidR="00423847" w:rsidRPr="001A0512">
        <w:rPr>
          <w:szCs w:val="22"/>
        </w:rPr>
        <w:t xml:space="preserve">2012. </w:t>
      </w:r>
      <w:r w:rsidRPr="001A0512">
        <w:rPr>
          <w:szCs w:val="22"/>
        </w:rPr>
        <w:t>december</w:t>
      </w:r>
      <w:r w:rsidR="00423847" w:rsidRPr="001A0512">
        <w:rPr>
          <w:szCs w:val="22"/>
        </w:rPr>
        <w:t>é</w:t>
      </w:r>
      <w:r w:rsidRPr="001A0512">
        <w:rPr>
          <w:szCs w:val="22"/>
        </w:rPr>
        <w:t>ben.</w:t>
      </w:r>
    </w:p>
    <w:p w:rsidR="00C61866" w:rsidRPr="001A0512" w:rsidRDefault="00C61866" w:rsidP="00495C8B">
      <w:pPr>
        <w:numPr>
          <w:ilvl w:val="0"/>
          <w:numId w:val="67"/>
        </w:numPr>
        <w:suppressAutoHyphens w:val="0"/>
        <w:spacing w:after="0" w:line="276" w:lineRule="auto"/>
        <w:ind w:left="709" w:hanging="284"/>
        <w:rPr>
          <w:szCs w:val="22"/>
        </w:rPr>
      </w:pPr>
      <w:r w:rsidRPr="001A0512">
        <w:rPr>
          <w:szCs w:val="22"/>
        </w:rPr>
        <w:t>Hozzájárulás a TermészetBÚVÁR tudományos magazin rendszeres megjelenéséhez</w:t>
      </w:r>
      <w:r w:rsidR="001A0512" w:rsidRPr="001A0512">
        <w:rPr>
          <w:szCs w:val="22"/>
        </w:rPr>
        <w:t>.</w:t>
      </w:r>
      <w:r w:rsidRPr="001A0512">
        <w:rPr>
          <w:szCs w:val="22"/>
        </w:rPr>
        <w:t xml:space="preserve"> </w:t>
      </w:r>
    </w:p>
    <w:p w:rsidR="00C61866" w:rsidRPr="00AA1ED3" w:rsidRDefault="00C61866" w:rsidP="00AA1ED3">
      <w:pPr>
        <w:pStyle w:val="Cmsor6"/>
      </w:pPr>
      <w:r w:rsidRPr="00AA1ED3">
        <w:t>Kiemelt projektek</w:t>
      </w:r>
    </w:p>
    <w:p w:rsidR="00C61866" w:rsidRPr="001A0512" w:rsidRDefault="00C61866" w:rsidP="004869BB">
      <w:r w:rsidRPr="001A0512">
        <w:t>IH jóváhagyással megvalósult hálózati és nemzetközi projektek:</w:t>
      </w:r>
    </w:p>
    <w:p w:rsidR="00C61866" w:rsidRPr="001A0512" w:rsidRDefault="00A35D13" w:rsidP="00A35D13">
      <w:pPr>
        <w:pStyle w:val="Normllista2"/>
      </w:pPr>
      <w:r>
        <w:t>- </w:t>
      </w:r>
      <w:r w:rsidR="00C61866" w:rsidRPr="001A0512">
        <w:t xml:space="preserve">A XX. Magyar Országos Pálinka- és Törkölypálinka, Nemzetközi Gyümölcs- és Borpárlat Verseny Gyulán, a </w:t>
      </w:r>
      <w:r w:rsidR="00C61866" w:rsidRPr="001A0512">
        <w:rPr>
          <w:u w:val="single"/>
        </w:rPr>
        <w:t>XIII. Nemzetközi Kisüsti Pálinka Fesztivál, Kiállítás és Vásár</w:t>
      </w:r>
      <w:r w:rsidR="00C61866" w:rsidRPr="001A0512">
        <w:t xml:space="preserve"> keretén belül 2012. április 20-22-én került megrendezésre. A Pálinka Világ-kupa keretein belül választják ki Magyarország legjobb pálinkáját, amely megőrzendő nemzeti kincsként kerül be 2008 óta, Budapesten a Magyar Mezőgazdasági Múzeumba. A pálinkafőzés hagyományának vidékfejlesztésben betöltött szerepe igen jelentős hatással van a vidéki emberek életére, a helyi kulturális, turisztikai és gasztronómiai értékek jelentőségének megőrzésében.</w:t>
      </w:r>
    </w:p>
    <w:p w:rsidR="00C61866" w:rsidRPr="001A0512" w:rsidRDefault="00A35D13" w:rsidP="00A35D13">
      <w:pPr>
        <w:pStyle w:val="Normllista2"/>
      </w:pPr>
      <w:r>
        <w:lastRenderedPageBreak/>
        <w:t>- </w:t>
      </w:r>
      <w:r w:rsidR="00C61866" w:rsidRPr="001A0512">
        <w:t>A</w:t>
      </w:r>
      <w:r w:rsidR="00C61866" w:rsidRPr="001A0512">
        <w:rPr>
          <w:b/>
        </w:rPr>
        <w:t xml:space="preserve"> </w:t>
      </w:r>
      <w:r w:rsidR="00C61866" w:rsidRPr="001A0512">
        <w:rPr>
          <w:u w:val="single"/>
        </w:rPr>
        <w:t>Múzeumok éjszakája 2012.</w:t>
      </w:r>
      <w:r w:rsidR="00C61866" w:rsidRPr="001A0512">
        <w:rPr>
          <w:b/>
        </w:rPr>
        <w:t xml:space="preserve"> </w:t>
      </w:r>
      <w:r w:rsidR="00C61866" w:rsidRPr="001A0512">
        <w:t>rendezvény keretében nyílt nap szervezése a Magyar Mezőgazdasági Múzeumban - Vajdahunyad vára - 2012. június 16-án. A rendezvényen erdei élménypálya, kézműves foglalkozások, erdei totó és az „oktatást kiegészítő egyéb tevékenységek”, különböző előadások és kóstoltatás várta az érdeklődőket.</w:t>
      </w:r>
    </w:p>
    <w:p w:rsidR="00C61866" w:rsidRPr="001A0512" w:rsidRDefault="00A35D13" w:rsidP="00A35D13">
      <w:pPr>
        <w:pStyle w:val="Normllista2"/>
      </w:pPr>
      <w:r>
        <w:t>- </w:t>
      </w:r>
      <w:r w:rsidR="00C61866" w:rsidRPr="001A0512">
        <w:t xml:space="preserve">2012. június 29-ei nyitással, minden pénteken termelői piac került megszervezésre a VM épületének árkádja alatt, </w:t>
      </w:r>
      <w:r w:rsidR="00C61866" w:rsidRPr="001A0512">
        <w:rPr>
          <w:u w:val="single"/>
        </w:rPr>
        <w:t>Vidék Mustra – Termelői piac a város szívében</w:t>
      </w:r>
      <w:r w:rsidR="00C61866" w:rsidRPr="001A0512">
        <w:t xml:space="preserve"> címmel.</w:t>
      </w:r>
    </w:p>
    <w:p w:rsidR="00C61866" w:rsidRPr="001A0512" w:rsidRDefault="00A35D13" w:rsidP="00A35D13">
      <w:pPr>
        <w:pStyle w:val="Normllista2"/>
      </w:pPr>
      <w:r>
        <w:t>- </w:t>
      </w:r>
      <w:r w:rsidR="00C61866" w:rsidRPr="001A0512">
        <w:t xml:space="preserve">2012. augusztus 8-13. között részvétel a </w:t>
      </w:r>
      <w:r w:rsidR="00C61866" w:rsidRPr="001A0512">
        <w:rPr>
          <w:u w:val="single"/>
        </w:rPr>
        <w:t>Civil Szigeten,</w:t>
      </w:r>
      <w:r w:rsidR="00C61866" w:rsidRPr="001A0512">
        <w:t xml:space="preserve"> ahol a VM államtitkárságai is megjelennek egy-egy napon, tematikus, saját programmal. A Civil Sziget a Hajógyári szigeten megrendezett Sziget Fesztivál részeként valósul meg évről évre.</w:t>
      </w:r>
    </w:p>
    <w:p w:rsidR="00C61866" w:rsidRPr="001A0512" w:rsidRDefault="00A35D13" w:rsidP="00A35D13">
      <w:pPr>
        <w:pStyle w:val="Normllista2"/>
      </w:pPr>
      <w:r>
        <w:t>- </w:t>
      </w:r>
      <w:r w:rsidR="00C61866" w:rsidRPr="001A0512">
        <w:t xml:space="preserve">A „Nemzeti Vidékfejlesztési Stratégia célprogramjainak népszerűsítése és kapcsolódó rendezvények megvalósítása” érdekében az MNVH kiemelt projektként kezelte a stratégiai programok megfelelő kidolgozásához és megvalósulásuk előkészítéséhez szükséges tájékoztató és egyeztető rendezvényeket. Az első rendezvény 2012. október 31-én a VM Miniszteri Tanácstermében </w:t>
      </w:r>
      <w:r w:rsidR="00C61866" w:rsidRPr="001A0512">
        <w:rPr>
          <w:u w:val="single"/>
        </w:rPr>
        <w:t>„Vidékfejlesztési Együttműködések Felvidéki-Kárpátaljai Civil szervezetekkel”</w:t>
      </w:r>
      <w:r w:rsidR="00C61866" w:rsidRPr="001A0512">
        <w:t xml:space="preserve"> címmel, a második rendezvény 2012. november 16-án a VM Miniszteri Tanácstermében </w:t>
      </w:r>
      <w:r w:rsidR="00C61866" w:rsidRPr="001A0512">
        <w:rPr>
          <w:u w:val="single"/>
        </w:rPr>
        <w:t>„Vidékfejlesztési Együttműködések horvátországi, szlovéniai, ausztriai, magyar civil szervezetekkel”</w:t>
      </w:r>
      <w:r w:rsidR="00C61866" w:rsidRPr="001A0512">
        <w:t xml:space="preserve"> címmel, a harmadik rendezvény pedig 2012. december 5.</w:t>
      </w:r>
      <w:r w:rsidR="00F64BD4" w:rsidRPr="001A0512">
        <w:t>én</w:t>
      </w:r>
      <w:r w:rsidR="00C61866" w:rsidRPr="001A0512">
        <w:t xml:space="preserve"> Gödöllőn, a Szent István Egyetemen került megrendezésre </w:t>
      </w:r>
      <w:r w:rsidR="00C61866" w:rsidRPr="001A0512">
        <w:rPr>
          <w:u w:val="single"/>
        </w:rPr>
        <w:t>Kárpát-medencei Együttműködési Fórum</w:t>
      </w:r>
      <w:r w:rsidR="00C61866" w:rsidRPr="001A0512">
        <w:t xml:space="preserve"> címmel.</w:t>
      </w:r>
    </w:p>
    <w:p w:rsidR="00C61866" w:rsidRPr="001A0512" w:rsidRDefault="00C61866" w:rsidP="004869BB">
      <w:r w:rsidRPr="001A0512">
        <w:t>A Programból finanszírozott események látogatottsága nagy. Így sokan találkozhattak a Program jellegzetes arculati elemeivel, pályázati lehetőségeivel, kiadványaival, marketingeszközeivel.</w:t>
      </w:r>
    </w:p>
    <w:p w:rsidR="00C61866" w:rsidRPr="00896E03" w:rsidRDefault="00C61866" w:rsidP="00DB48A3">
      <w:pPr>
        <w:pStyle w:val="Cmsor3"/>
      </w:pPr>
      <w:bookmarkStart w:id="443" w:name="_Toc265660449"/>
      <w:bookmarkStart w:id="444" w:name="_Toc328638756"/>
      <w:r w:rsidRPr="00896E03">
        <w:t xml:space="preserve"> </w:t>
      </w:r>
      <w:bookmarkStart w:id="445" w:name="_Toc360176847"/>
      <w:r w:rsidRPr="00896E03">
        <w:t>Az MVH kommunikációs tevékenysége</w:t>
      </w:r>
      <w:bookmarkEnd w:id="443"/>
      <w:bookmarkEnd w:id="444"/>
      <w:bookmarkEnd w:id="445"/>
    </w:p>
    <w:p w:rsidR="001A0512" w:rsidRPr="001A0512" w:rsidRDefault="001A0512" w:rsidP="001A0512">
      <w:pPr>
        <w:tabs>
          <w:tab w:val="left" w:pos="0"/>
        </w:tabs>
        <w:rPr>
          <w:rFonts w:eastAsia="Calibri"/>
          <w:i/>
          <w:szCs w:val="22"/>
        </w:rPr>
      </w:pPr>
      <w:r>
        <w:rPr>
          <w:rFonts w:eastAsia="Calibri"/>
          <w:szCs w:val="22"/>
        </w:rPr>
        <w:t xml:space="preserve">A </w:t>
      </w:r>
      <w:r w:rsidRPr="001A0512">
        <w:rPr>
          <w:rFonts w:eastAsia="Calibri"/>
          <w:szCs w:val="22"/>
        </w:rPr>
        <w:t>Hivatal Kommunikációs és Sajtó Osztálya 2012-ben is általános és rendszeres tevékenységének keretében adott tájékoztatást a támogatásokkal kapcsolatos információkról.</w:t>
      </w:r>
    </w:p>
    <w:p w:rsidR="001A0512" w:rsidRPr="001A0512" w:rsidRDefault="00A35D13" w:rsidP="00A35D13">
      <w:pPr>
        <w:pStyle w:val="Normllista2"/>
      </w:pPr>
      <w:r>
        <w:t>- </w:t>
      </w:r>
      <w:r w:rsidR="001A0512" w:rsidRPr="001A0512">
        <w:t>Az egyes jogcímekkel kapcsolatos aktuális tudnivalókról híreket jelentett meg a Hivatal honlapján.</w:t>
      </w:r>
    </w:p>
    <w:p w:rsidR="001A0512" w:rsidRPr="001A0512" w:rsidRDefault="00A35D13" w:rsidP="00A35D13">
      <w:pPr>
        <w:pStyle w:val="Normllista2"/>
      </w:pPr>
      <w:r>
        <w:t>- </w:t>
      </w:r>
      <w:r w:rsidR="001A0512" w:rsidRPr="001A0512">
        <w:t>A fokozott érdeklődésre számot tartó jogcímekről, valamint a különösen fontos jogszabályváltozásokról sajtóközleményeket tett közzé. Többek között beszámolt a jelentős kifizetésekről. A sajtón keresztül is felhívta az érintettek figyelmét a kérelem-beadási határidőkre. Minden esetben az érintett szakmai osztályokkal együttműködve készültek a médiának szánt anyagok.</w:t>
      </w:r>
    </w:p>
    <w:p w:rsidR="001A0512" w:rsidRPr="00A35D13" w:rsidRDefault="00A35D13" w:rsidP="00A35D13">
      <w:pPr>
        <w:pStyle w:val="Normllista2"/>
      </w:pPr>
      <w:r>
        <w:t>- </w:t>
      </w:r>
      <w:r w:rsidR="001A0512" w:rsidRPr="00A35D13">
        <w:t>A Hivatal külön hangsúlyt fektetett a program jogcímeit meghirdető jogszabály módosítás miatti változások kommunikálására. A Hivatal 2012. júliusában sajtóközleményt adott ki arról, hogy módosultak a kifizetési kérelem benyújtására vonatkozó szabályok. 2012. második félévében a Hivatal többször tájékoztatta a sajtón keresztül az érintett ügyfeleket a kifizetési kérelmekre vonatkozó tudnivalókról, határidőkről.</w:t>
      </w:r>
    </w:p>
    <w:p w:rsidR="001A0512" w:rsidRPr="001A0512" w:rsidRDefault="00A35D13" w:rsidP="00A35D13">
      <w:pPr>
        <w:pStyle w:val="Normllista2"/>
      </w:pPr>
      <w:r>
        <w:t>- </w:t>
      </w:r>
      <w:r w:rsidR="001A0512" w:rsidRPr="001A0512">
        <w:rPr>
          <w:color w:val="000000"/>
        </w:rPr>
        <w:t>2012. december 20-án a Vidékfejlesztési Minisztériumban a Hivatal közreműködésével szervezett sajtótájékoztatón az MVH elnöke és a vidékfejlesztési miniszter közösen számoltak be a Program forrásainak felhasználásáról.  A tájékoztatón részletesen ismertették az Állattartó telepek korszerűsítése (ÁTK IV.), a Mikrovállalkozások létrehozása és fejlesztése, valamint a Turisztikai tevékenységek ösztönzése jogcímeken 2012-ben beérkezett támogatási kérelmekre jóváhagyott kötelezettségvállalási összegeket. Az eseményről „</w:t>
      </w:r>
      <w:r w:rsidR="001A0512" w:rsidRPr="001A0512">
        <w:rPr>
          <w:i/>
          <w:color w:val="000000"/>
        </w:rPr>
        <w:t>Maradéktalanul lehívjuk az uniós agrárforrásokat</w:t>
      </w:r>
      <w:r w:rsidR="001A0512" w:rsidRPr="001A0512">
        <w:rPr>
          <w:color w:val="000000"/>
        </w:rPr>
        <w:t>” címmel sajtóközleményt jelentetett meg.</w:t>
      </w:r>
    </w:p>
    <w:p w:rsidR="001A0512" w:rsidRPr="001A0512" w:rsidRDefault="00A35D13" w:rsidP="00A35D13">
      <w:pPr>
        <w:pStyle w:val="Normllista2"/>
      </w:pPr>
      <w:r>
        <w:t>- </w:t>
      </w:r>
      <w:r w:rsidR="001A0512" w:rsidRPr="001A0512">
        <w:t>Az MVH az egységes és pontos tájékoztatás érdekében 2012-ben is együttműködött a Magyar Agrárkamarával. A Kamara megjelentetni kívánt – az MVH-t is érintő - sajtóközleményeit csak az MVH szakmai jóváhagyásával adta ki. Ennek eredményeképpen jelentősen növekedett ezen közlemények szakmaisága és közérthetősége.</w:t>
      </w:r>
    </w:p>
    <w:p w:rsidR="001A0512" w:rsidRPr="001A0512" w:rsidRDefault="00A35D13" w:rsidP="00A35D13">
      <w:pPr>
        <w:pStyle w:val="Normllista2"/>
      </w:pPr>
      <w:r>
        <w:t>- </w:t>
      </w:r>
      <w:r w:rsidR="001A0512" w:rsidRPr="001A0512">
        <w:t xml:space="preserve">A hetente megjelenő hírlevél szolgáltatás, mely az ügyfelekkel való közvetlen kommunikációt erősíti, beszámolt minden lényeges agrártámogatáshoz kapcsolódó információról, és folyamatosan felhívta a figyelmet különböző határidők és előírások betartására, illetve az EMVA jogcímekhez kapcsolódó MVH közleményekre. A szolgáltatás elindulása (2011. év </w:t>
      </w:r>
      <w:r w:rsidR="001A0512" w:rsidRPr="001A0512">
        <w:lastRenderedPageBreak/>
        <w:t xml:space="preserve">eleje) óta folyamatosan nőtt a hírlevélre feliratkozottak száma, jelenleg több mint 18 ezer érdeklődőnek nyújt információkat. </w:t>
      </w:r>
    </w:p>
    <w:p w:rsidR="001A0512" w:rsidRPr="001A0512" w:rsidRDefault="00A35D13" w:rsidP="00A35D13">
      <w:pPr>
        <w:pStyle w:val="Normllista2"/>
      </w:pPr>
      <w:r>
        <w:t>- </w:t>
      </w:r>
      <w:r w:rsidR="001A0512" w:rsidRPr="001A0512">
        <w:t>A Hivatal Kommunikációs és Sajtó Osztálya, ahogy minden más jogcímet illetően, a Program kapcsán is megválaszolt minden felmerült újságírói kérdést, biztosítva a széleskörű és hiteles tájékoztatást. A kérdések túlnyomó többsége egy-egy jogcímmel kapcsolatos részletesebb tájékoztatásra vonatkozott, 2012-ben a legnagyobb érdeklődést a fiatal gazda támogatás váltotta ki. Országos és megyei, írott és elektronikus, gazdasági, mezőgazdasági és- agrártematikus, valamint közéleti sajtóorgánumoktól is kapott az MVH megkereséseket.</w:t>
      </w:r>
    </w:p>
    <w:p w:rsidR="00C07F4B" w:rsidRPr="0056491B" w:rsidRDefault="00C61866" w:rsidP="0056491B">
      <w:pPr>
        <w:pStyle w:val="Cmsor1"/>
      </w:pPr>
      <w:bookmarkStart w:id="446" w:name="_Toc360176848"/>
      <w:r w:rsidRPr="0056491B">
        <w:lastRenderedPageBreak/>
        <w:t>A</w:t>
      </w:r>
      <w:bookmarkStart w:id="447" w:name="_Toc232860208"/>
      <w:r w:rsidR="00703C11" w:rsidRPr="0056491B">
        <w:t xml:space="preserve"> </w:t>
      </w:r>
      <w:r w:rsidR="00C07F4B" w:rsidRPr="0056491B">
        <w:t>közösségi politikákkal meglévő összhang</w:t>
      </w:r>
      <w:bookmarkEnd w:id="447"/>
      <w:bookmarkEnd w:id="446"/>
    </w:p>
    <w:p w:rsidR="00884251" w:rsidRPr="006E6942" w:rsidRDefault="00884251" w:rsidP="0056491B">
      <w:pPr>
        <w:pStyle w:val="Cmsor2"/>
      </w:pPr>
      <w:bookmarkStart w:id="448" w:name="_Toc232860209"/>
      <w:bookmarkStart w:id="449" w:name="_Toc360176849"/>
      <w:r w:rsidRPr="006E6942">
        <w:t>A közösségi politikák változásai</w:t>
      </w:r>
      <w:bookmarkEnd w:id="448"/>
      <w:bookmarkEnd w:id="449"/>
      <w:r w:rsidR="00D951D8" w:rsidRPr="006E6942">
        <w:t xml:space="preserve"> </w:t>
      </w:r>
    </w:p>
    <w:p w:rsidR="006620CD" w:rsidRPr="00715E86" w:rsidRDefault="006620CD" w:rsidP="00D53DF7">
      <w:r w:rsidRPr="00715E86">
        <w:t>Az ÚMVP kiemelkedő figyelmet fordít a horizontális politikák érvényesítésére és a programszintű megvalósításra (fenntarthatóság, esélyegyenlőség, társadalmi/</w:t>
      </w:r>
      <w:r w:rsidR="008D6E32" w:rsidRPr="00715E86">
        <w:t>g</w:t>
      </w:r>
      <w:r w:rsidRPr="00715E86">
        <w:t>azdasági/</w:t>
      </w:r>
      <w:r w:rsidR="008D6E32" w:rsidRPr="00715E86">
        <w:t xml:space="preserve"> </w:t>
      </w:r>
      <w:r w:rsidRPr="00715E86">
        <w:t>környezeti biztonság, területiség). Ezeket a politikákat a stratégia tervezésekor, a programkészítés, a megvalósítás, az értékelés és az ellenőrzés folyamatában egyaránt figyelembe kell venni.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212"/>
      </w:tblGrid>
      <w:tr w:rsidR="00A60972" w:rsidRPr="00B649EB">
        <w:tc>
          <w:tcPr>
            <w:tcW w:w="9212" w:type="dxa"/>
            <w:shd w:val="clear" w:color="auto" w:fill="C0C0C0"/>
          </w:tcPr>
          <w:p w:rsidR="00A60972" w:rsidRPr="00B649EB" w:rsidRDefault="00A60972" w:rsidP="001B130B">
            <w:pPr>
              <w:jc w:val="center"/>
              <w:rPr>
                <w:b/>
                <w:sz w:val="24"/>
              </w:rPr>
            </w:pPr>
            <w:r w:rsidRPr="00B649EB">
              <w:rPr>
                <w:b/>
                <w:sz w:val="24"/>
              </w:rPr>
              <w:t>Nyilatkozat 2.</w:t>
            </w:r>
          </w:p>
          <w:p w:rsidR="007049BD" w:rsidRPr="00B649EB" w:rsidRDefault="007049BD" w:rsidP="001B130B">
            <w:pPr>
              <w:jc w:val="center"/>
              <w:rPr>
                <w:b/>
                <w:sz w:val="24"/>
              </w:rPr>
            </w:pPr>
            <w:r w:rsidRPr="00B649EB">
              <w:rPr>
                <w:b/>
                <w:sz w:val="24"/>
              </w:rPr>
              <w:t>A közösségi politikákkal való összhang</w:t>
            </w:r>
          </w:p>
          <w:p w:rsidR="00A60972" w:rsidRPr="00E427D8" w:rsidRDefault="00A60972" w:rsidP="00E427D8">
            <w:r w:rsidRPr="00E427D8">
              <w:t xml:space="preserve">Az Új Magyarország Vidékfejlesztési Program Irányító Hatósága kijelenti, hogy az </w:t>
            </w:r>
            <w:r w:rsidR="003E1EE8" w:rsidRPr="00E427D8">
              <w:t xml:space="preserve">Európai </w:t>
            </w:r>
            <w:r w:rsidRPr="00E427D8">
              <w:t>Me</w:t>
            </w:r>
            <w:r w:rsidR="002772BC" w:rsidRPr="00E427D8">
              <w:t>ző</w:t>
            </w:r>
            <w:r w:rsidRPr="00E427D8">
              <w:t>gazdasági Vidékfejlesztési Alapból (EMVA) nyújtandó vidékfejlesztési támogatásról szóló 1698/2005/EK tanácsi rendelet 5. cikke értelmében minden intézkedést megtett annak érdekében, hogy biztosítsa az összhangot az EMVA-ból és a tagállamoktól származó támogatás és a Közösség tevékenységei, politiká</w:t>
            </w:r>
            <w:r w:rsidR="006A4046" w:rsidRPr="00E427D8">
              <w:t>i</w:t>
            </w:r>
            <w:r w:rsidRPr="00E427D8">
              <w:t xml:space="preserve"> és prioritásai között. Az ÚMVP IH kijelenti, hogy az EMVA-ból származó támogatás összhangban áll a gazdasági és társadalmi kohézió és különösen a halászatra vonatkozó közösségi támogatási eszköz célkitűzéseivel.</w:t>
            </w:r>
          </w:p>
          <w:p w:rsidR="00A60972" w:rsidRPr="00E427D8" w:rsidRDefault="00A60972" w:rsidP="00E427D8">
            <w:r w:rsidRPr="00E427D8">
              <w:t xml:space="preserve">Az ÚMVP IH kijelenti, hogy minden intézkedést megtett annak érdekében, hogy biztosítsa a különböző alapokból, az </w:t>
            </w:r>
            <w:r w:rsidR="003E1EE8" w:rsidRPr="00E427D8">
              <w:t xml:space="preserve">Európai </w:t>
            </w:r>
            <w:r w:rsidRPr="00E427D8">
              <w:t xml:space="preserve">Regionális Fejlesztési Alapból, az </w:t>
            </w:r>
            <w:r w:rsidR="003E1EE8" w:rsidRPr="00E427D8">
              <w:t xml:space="preserve">Európai </w:t>
            </w:r>
            <w:r w:rsidRPr="00E427D8">
              <w:t xml:space="preserve">Szociális Alapból, a Kohéziós Alapból, a halászatra vonatkozó közösségi támogatási eszközből származó támogatások, valamint az </w:t>
            </w:r>
            <w:r w:rsidR="003E1EE8" w:rsidRPr="00E427D8">
              <w:t xml:space="preserve">Európai </w:t>
            </w:r>
            <w:r w:rsidRPr="00E427D8">
              <w:t>Mezőgazdasági Garancia</w:t>
            </w:r>
            <w:r w:rsidR="00A87258">
              <w:t xml:space="preserve"> A</w:t>
            </w:r>
            <w:r w:rsidRPr="00E427D8">
              <w:t>lap által finanszírozott intézkedések közötti összhangot.</w:t>
            </w:r>
          </w:p>
          <w:p w:rsidR="00A60972" w:rsidRPr="00B649EB" w:rsidRDefault="00A60972" w:rsidP="00E427D8">
            <w:pPr>
              <w:rPr>
                <w:sz w:val="24"/>
              </w:rPr>
            </w:pPr>
            <w:r w:rsidRPr="00E427D8">
              <w:t>Az ÚMVP IH kijelenti</w:t>
            </w:r>
            <w:r w:rsidRPr="00E427D8" w:rsidDel="00BE329C">
              <w:t xml:space="preserve"> </w:t>
            </w:r>
            <w:r w:rsidRPr="00E427D8">
              <w:t>az EMVA által finanszírozott műveletek megfelelnek a Szer</w:t>
            </w:r>
            <w:r w:rsidR="002772BC" w:rsidRPr="00E427D8">
              <w:t>ző</w:t>
            </w:r>
            <w:r w:rsidRPr="00E427D8">
              <w:t>désnek és a Szer</w:t>
            </w:r>
            <w:r w:rsidR="002772BC" w:rsidRPr="00E427D8">
              <w:t>ző</w:t>
            </w:r>
            <w:r w:rsidRPr="00E427D8">
              <w:t>dés alapján elfogadott jogi aktus(ok)nak.</w:t>
            </w:r>
          </w:p>
        </w:tc>
      </w:tr>
    </w:tbl>
    <w:p w:rsidR="00A45B66" w:rsidRPr="00896E03" w:rsidRDefault="00A45B66" w:rsidP="00DB48A3">
      <w:pPr>
        <w:pStyle w:val="Cmsor3"/>
      </w:pPr>
      <w:bookmarkStart w:id="450" w:name="_Toc232860210"/>
      <w:bookmarkStart w:id="451" w:name="_Toc360176850"/>
      <w:r w:rsidRPr="00896E03">
        <w:t xml:space="preserve">A más közösségi alapokkal történő lehatárolás </w:t>
      </w:r>
      <w:r w:rsidR="00D00499" w:rsidRPr="00896E03">
        <w:t>és komplementaritás</w:t>
      </w:r>
      <w:bookmarkEnd w:id="450"/>
      <w:bookmarkEnd w:id="451"/>
    </w:p>
    <w:p w:rsidR="007D725B" w:rsidRPr="00715E86" w:rsidRDefault="009C2C56" w:rsidP="00D53DF7">
      <w:r w:rsidRPr="00715E86">
        <w:t xml:space="preserve">Az EMVA, </w:t>
      </w:r>
      <w:r w:rsidR="00D00499" w:rsidRPr="00715E86">
        <w:t xml:space="preserve">a Kohéziós Alap és a Strukturális Alapok közötti </w:t>
      </w:r>
      <w:r w:rsidR="00B971CD" w:rsidRPr="00715E86">
        <w:t xml:space="preserve">lehatárolást és az eszközök tartalmi koordinációját az operatív programok tervezési-végrehajtási részleteit tartalmazó akciótervek biztosítják. </w:t>
      </w:r>
      <w:r w:rsidR="007D725B" w:rsidRPr="00715E86">
        <w:t>A más uniós alapokkal történő koherenciát és komplementaritást a teljes programidőszakra vonatkozóan a</w:t>
      </w:r>
      <w:r w:rsidRPr="00715E86">
        <w:t>z ÚMVP</w:t>
      </w:r>
      <w:r w:rsidR="007D725B" w:rsidRPr="00715E86">
        <w:t xml:space="preserve"> részletekbe menőe</w:t>
      </w:r>
      <w:r w:rsidR="004512A3" w:rsidRPr="00715E86">
        <w:t>n tárgyalja</w:t>
      </w:r>
      <w:r w:rsidR="007D725B" w:rsidRPr="00715E86">
        <w:t>. A legfőbb lehatárolási elvek:</w:t>
      </w:r>
    </w:p>
    <w:p w:rsidR="007D725B" w:rsidRPr="00C300F2" w:rsidRDefault="00F14EDB" w:rsidP="009D1B7B">
      <w:pPr>
        <w:numPr>
          <w:ilvl w:val="0"/>
          <w:numId w:val="20"/>
        </w:numPr>
        <w:spacing w:after="0"/>
        <w:ind w:left="714" w:hanging="357"/>
        <w:rPr>
          <w:bCs/>
          <w:iCs/>
        </w:rPr>
      </w:pPr>
      <w:r w:rsidRPr="00C300F2">
        <w:rPr>
          <w:bCs/>
          <w:iCs/>
        </w:rPr>
        <w:t xml:space="preserve">A III. tengelyhez tartozó </w:t>
      </w:r>
      <w:r w:rsidR="007D725B" w:rsidRPr="00C300F2">
        <w:rPr>
          <w:bCs/>
          <w:iCs/>
        </w:rPr>
        <w:t xml:space="preserve">intézkedések esetében az 5000 lakosnál kevesebb lelket számláló vagy a 100 lakosnál kisebb népsűrűségű települések jogosultak támogatásra. Ez alól kivételek a városok és a kistérségi központok, de jogosultak a nem jogosult települések külterületei. A </w:t>
      </w:r>
      <w:r w:rsidR="00A87258">
        <w:rPr>
          <w:bCs/>
          <w:iCs/>
        </w:rPr>
        <w:t xml:space="preserve">LEADER intézkedés esetében a </w:t>
      </w:r>
      <w:r w:rsidR="00A87258" w:rsidRPr="00A87258">
        <w:t>10</w:t>
      </w:r>
      <w:r w:rsidR="00A87258">
        <w:t xml:space="preserve"> </w:t>
      </w:r>
      <w:r w:rsidR="007D725B" w:rsidRPr="00A87258">
        <w:t>000</w:t>
      </w:r>
      <w:r w:rsidR="007D725B" w:rsidRPr="00C300F2">
        <w:rPr>
          <w:bCs/>
          <w:iCs/>
        </w:rPr>
        <w:t xml:space="preserve"> fős lakosságszám alatti, vagy a 120 fő/km2-nél kisebb népsűrűséggel rendelkező települések</w:t>
      </w:r>
      <w:r w:rsidR="00A87258">
        <w:rPr>
          <w:bCs/>
          <w:iCs/>
        </w:rPr>
        <w:t>, valamint a nem jogosult tele</w:t>
      </w:r>
      <w:r w:rsidR="007D725B" w:rsidRPr="00C300F2">
        <w:rPr>
          <w:bCs/>
          <w:iCs/>
        </w:rPr>
        <w:t>pülések külterületei jogosultak támog</w:t>
      </w:r>
      <w:r w:rsidRPr="00C300F2">
        <w:rPr>
          <w:bCs/>
          <w:iCs/>
        </w:rPr>
        <w:t>atásra az ÚMVP keretében. Mindegyik</w:t>
      </w:r>
      <w:r w:rsidR="007D725B" w:rsidRPr="00C300F2">
        <w:rPr>
          <w:bCs/>
          <w:iCs/>
        </w:rPr>
        <w:t xml:space="preserve"> esetre vonatkozik, hogy </w:t>
      </w:r>
      <w:r w:rsidRPr="00C300F2">
        <w:rPr>
          <w:bCs/>
          <w:iCs/>
        </w:rPr>
        <w:t xml:space="preserve">a </w:t>
      </w:r>
      <w:r w:rsidR="007D725B" w:rsidRPr="00C300F2">
        <w:rPr>
          <w:bCs/>
          <w:iCs/>
        </w:rPr>
        <w:t>Budapest vonzáskörzetében lévő valame</w:t>
      </w:r>
      <w:r w:rsidRPr="00C300F2">
        <w:rPr>
          <w:bCs/>
          <w:iCs/>
        </w:rPr>
        <w:t>nnyi település ki van zárva a támogatásokból.</w:t>
      </w:r>
    </w:p>
    <w:p w:rsidR="007D725B" w:rsidRPr="00C300F2" w:rsidRDefault="007D725B" w:rsidP="009D1B7B">
      <w:pPr>
        <w:numPr>
          <w:ilvl w:val="0"/>
          <w:numId w:val="20"/>
        </w:numPr>
        <w:spacing w:after="0"/>
        <w:ind w:left="714" w:hanging="357"/>
        <w:rPr>
          <w:bCs/>
          <w:iCs/>
        </w:rPr>
      </w:pPr>
      <w:r w:rsidRPr="00C300F2">
        <w:rPr>
          <w:bCs/>
          <w:iCs/>
        </w:rPr>
        <w:t>A kedvezményezett jövedelme: a</w:t>
      </w:r>
      <w:r w:rsidR="008C3D2E" w:rsidRPr="00C300F2">
        <w:rPr>
          <w:bCs/>
          <w:iCs/>
        </w:rPr>
        <w:t xml:space="preserve"> mezőgazdaságból származó </w:t>
      </w:r>
      <w:r w:rsidRPr="00C300F2">
        <w:rPr>
          <w:bCs/>
          <w:iCs/>
        </w:rPr>
        <w:t xml:space="preserve">éves nettó jövedelem </w:t>
      </w:r>
      <w:r w:rsidR="008C3D2E" w:rsidRPr="00C300F2">
        <w:rPr>
          <w:bCs/>
          <w:iCs/>
        </w:rPr>
        <w:t>aránya intézkedésenként meghatározásra kerül</w:t>
      </w:r>
      <w:r w:rsidRPr="00C300F2">
        <w:rPr>
          <w:bCs/>
          <w:iCs/>
        </w:rPr>
        <w:t>.</w:t>
      </w:r>
    </w:p>
    <w:p w:rsidR="007D725B" w:rsidRPr="00C300F2" w:rsidRDefault="007D725B" w:rsidP="005A67C5">
      <w:pPr>
        <w:numPr>
          <w:ilvl w:val="0"/>
          <w:numId w:val="20"/>
        </w:numPr>
        <w:rPr>
          <w:bCs/>
          <w:iCs/>
        </w:rPr>
      </w:pPr>
      <w:r w:rsidRPr="00C300F2">
        <w:rPr>
          <w:bCs/>
          <w:iCs/>
        </w:rPr>
        <w:t>Beruházás: a beruházás típusának megfelelően, a</w:t>
      </w:r>
      <w:r w:rsidR="00F14EDB" w:rsidRPr="00C300F2">
        <w:rPr>
          <w:bCs/>
          <w:iCs/>
        </w:rPr>
        <w:t>z</w:t>
      </w:r>
      <w:r w:rsidRPr="00C300F2">
        <w:rPr>
          <w:bCs/>
          <w:iCs/>
        </w:rPr>
        <w:t xml:space="preserve"> EK-szerződés (1997-es konszolidált változat) 1. mellékletében felsorolt mezőgazdasági termékekkel kapcsolatosan.</w:t>
      </w:r>
    </w:p>
    <w:p w:rsidR="00A14145" w:rsidRDefault="00A14145" w:rsidP="00A14145">
      <w:r w:rsidRPr="00F66158">
        <w:t>A Strukturális Alapok és a Kohéziós Alap forrásainak felhasználására az Új Magyarország Fejlesztési Terv szolgál stratégiai tervdokumentumként. Az ÚMFT operatív programok (OP-k) bevezetésével közvetve kapcsolódik a Kohéziós Politikához</w:t>
      </w:r>
      <w:smartTag w:uri="urn:schemas-microsoft-com:office:smarttags" w:element="PersonName">
        <w:r w:rsidRPr="00F66158">
          <w:t>,</w:t>
        </w:r>
      </w:smartTag>
      <w:r w:rsidRPr="00F66158">
        <w:t xml:space="preserve"> gazdaságfejlesztési</w:t>
      </w:r>
      <w:smartTag w:uri="urn:schemas-microsoft-com:office:smarttags" w:element="PersonName">
        <w:r w:rsidRPr="00F66158">
          <w:t>,</w:t>
        </w:r>
      </w:smartTag>
      <w:r w:rsidRPr="00F66158">
        <w:t xml:space="preserve"> vízgazdálkodási és vízminőség-védelmi szempontjain keresztül</w:t>
      </w:r>
      <w:smartTag w:uri="urn:schemas-microsoft-com:office:smarttags" w:element="PersonName">
        <w:r w:rsidRPr="00F66158">
          <w:t>,</w:t>
        </w:r>
      </w:smartTag>
      <w:r w:rsidRPr="00F66158">
        <w:t xml:space="preserve"> de a halászati ágazat fejlesztéseit célzó konkrét intézkedéseket nem tartalmaz.</w:t>
      </w:r>
    </w:p>
    <w:p w:rsidR="00A14145" w:rsidRPr="00F66158" w:rsidRDefault="007E5FDF" w:rsidP="00DB48A3">
      <w:pPr>
        <w:pStyle w:val="bra-cmetbla"/>
      </w:pPr>
      <w:fldSimple w:instr=" SEQ táblázat \* ARABIC ">
        <w:r w:rsidR="00E5031F">
          <w:rPr>
            <w:noProof/>
          </w:rPr>
          <w:t>114</w:t>
        </w:r>
      </w:fldSimple>
      <w:r w:rsidR="00DB48A3">
        <w:t xml:space="preserve">. táblázat: </w:t>
      </w:r>
      <w:r w:rsidR="00A14145" w:rsidRPr="00F66158">
        <w:t>Egyéb forrásokból finanszírozott hasonló tevékenységektől való lehatárolás összefoglalása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51"/>
        <w:gridCol w:w="4933"/>
        <w:gridCol w:w="1402"/>
      </w:tblGrid>
      <w:tr w:rsidR="00A14145" w:rsidRPr="001A0512" w:rsidTr="00A14145">
        <w:tc>
          <w:tcPr>
            <w:tcW w:w="1589" w:type="pct"/>
            <w:tcBorders>
              <w:top w:val="single" w:sz="12" w:space="0" w:color="auto"/>
              <w:bottom w:val="single" w:sz="12" w:space="0" w:color="auto"/>
            </w:tcBorders>
            <w:vAlign w:val="center"/>
          </w:tcPr>
          <w:p w:rsidR="00A14145" w:rsidRPr="001A0512" w:rsidRDefault="00A14145" w:rsidP="00DB48A3">
            <w:pPr>
              <w:pStyle w:val="Tbla-cm"/>
            </w:pPr>
            <w:r w:rsidRPr="001A0512">
              <w:t>OP megnevezése</w:t>
            </w:r>
          </w:p>
        </w:tc>
        <w:tc>
          <w:tcPr>
            <w:tcW w:w="2656" w:type="pct"/>
            <w:tcBorders>
              <w:top w:val="single" w:sz="12" w:space="0" w:color="auto"/>
              <w:bottom w:val="single" w:sz="12" w:space="0" w:color="auto"/>
            </w:tcBorders>
            <w:vAlign w:val="center"/>
          </w:tcPr>
          <w:p w:rsidR="00A14145" w:rsidRPr="001A0512" w:rsidRDefault="00A14145" w:rsidP="00DB48A3">
            <w:pPr>
              <w:pStyle w:val="Tbla-cm"/>
            </w:pPr>
            <w:r w:rsidRPr="001A0512">
              <w:t>Tevékenységi kör</w:t>
            </w:r>
          </w:p>
        </w:tc>
        <w:tc>
          <w:tcPr>
            <w:tcW w:w="755" w:type="pct"/>
            <w:tcBorders>
              <w:top w:val="single" w:sz="12" w:space="0" w:color="auto"/>
              <w:bottom w:val="single" w:sz="12" w:space="0" w:color="auto"/>
            </w:tcBorders>
            <w:vAlign w:val="center"/>
          </w:tcPr>
          <w:p w:rsidR="00A14145" w:rsidRPr="001A0512" w:rsidRDefault="00A14145" w:rsidP="00DB48A3">
            <w:pPr>
              <w:pStyle w:val="Tbla-cm"/>
            </w:pPr>
            <w:r w:rsidRPr="001A0512">
              <w:t>Átfedés kockázata</w:t>
            </w:r>
          </w:p>
        </w:tc>
      </w:tr>
      <w:tr w:rsidR="00A14145" w:rsidRPr="001A0512" w:rsidTr="00A14145">
        <w:tc>
          <w:tcPr>
            <w:tcW w:w="1589" w:type="pct"/>
            <w:tcBorders>
              <w:top w:val="single" w:sz="12" w:space="0" w:color="auto"/>
            </w:tcBorders>
            <w:vAlign w:val="center"/>
          </w:tcPr>
          <w:p w:rsidR="00A14145" w:rsidRPr="001A0512" w:rsidRDefault="00A14145" w:rsidP="00DB48A3">
            <w:pPr>
              <w:pStyle w:val="Tbla-bal"/>
            </w:pPr>
            <w:r w:rsidRPr="001A0512">
              <w:t>Regionális Operatív Programok (ROP-ok)</w:t>
            </w:r>
          </w:p>
        </w:tc>
        <w:tc>
          <w:tcPr>
            <w:tcW w:w="2656" w:type="pct"/>
            <w:tcBorders>
              <w:top w:val="single" w:sz="12" w:space="0" w:color="auto"/>
            </w:tcBorders>
            <w:vAlign w:val="center"/>
          </w:tcPr>
          <w:p w:rsidR="00A14145" w:rsidRPr="001A0512" w:rsidRDefault="00A14145" w:rsidP="00DB48A3">
            <w:pPr>
              <w:pStyle w:val="Tbla-bal"/>
            </w:pPr>
            <w:r w:rsidRPr="001A0512">
              <w:t>A ROP-ok lehetővé teszik a horgász- és vízi turisztikai fejlesztéseket; támogatják a regionális vízrendezési akciókat, továbbá kisléptékű szennyvízkezelési és csapadékvíz-elvezetési fejlesztéseik szolgálják a vízminőséget</w:t>
            </w:r>
          </w:p>
        </w:tc>
        <w:tc>
          <w:tcPr>
            <w:tcW w:w="755" w:type="pct"/>
            <w:tcBorders>
              <w:top w:val="single" w:sz="12" w:space="0" w:color="auto"/>
            </w:tcBorders>
            <w:vAlign w:val="center"/>
          </w:tcPr>
          <w:p w:rsidR="00A14145" w:rsidRPr="001A0512" w:rsidRDefault="00A14145" w:rsidP="00DB48A3">
            <w:pPr>
              <w:pStyle w:val="Tbla-kzp"/>
            </w:pPr>
            <w:r w:rsidRPr="001A0512">
              <w:t>NINCS</w:t>
            </w:r>
          </w:p>
        </w:tc>
      </w:tr>
      <w:tr w:rsidR="00A14145" w:rsidRPr="001A0512" w:rsidTr="00A14145">
        <w:tc>
          <w:tcPr>
            <w:tcW w:w="1589" w:type="pct"/>
            <w:vAlign w:val="center"/>
          </w:tcPr>
          <w:p w:rsidR="00A14145" w:rsidRPr="001A0512" w:rsidRDefault="00A14145" w:rsidP="00DB48A3">
            <w:pPr>
              <w:pStyle w:val="Tbla-bal"/>
            </w:pPr>
            <w:r w:rsidRPr="001A0512">
              <w:t>Környezet és Energia Operatív Program (KEOP)</w:t>
            </w:r>
          </w:p>
        </w:tc>
        <w:tc>
          <w:tcPr>
            <w:tcW w:w="2656" w:type="pct"/>
            <w:vAlign w:val="center"/>
          </w:tcPr>
          <w:p w:rsidR="00A14145" w:rsidRPr="001A0512" w:rsidRDefault="00A14145" w:rsidP="00DB48A3">
            <w:pPr>
              <w:pStyle w:val="Tbla-bal"/>
            </w:pPr>
            <w:r w:rsidRPr="001A0512">
              <w:t>Vízrendezési (a Duna, a Tisza, és a Balaton térségében), megújuló energia felhasználásával kapcsolatos, természetvédelmi, környezettudatossági (fenntartható fogyasztás) tevékenységekhez kapcsolódnak</w:t>
            </w:r>
          </w:p>
        </w:tc>
        <w:tc>
          <w:tcPr>
            <w:tcW w:w="755" w:type="pct"/>
            <w:vAlign w:val="center"/>
          </w:tcPr>
          <w:p w:rsidR="00A14145" w:rsidRPr="001A0512" w:rsidRDefault="00A14145" w:rsidP="00DB48A3">
            <w:pPr>
              <w:pStyle w:val="Tbla-kzp"/>
            </w:pPr>
            <w:r w:rsidRPr="001A0512">
              <w:t>NINCS*</w:t>
            </w:r>
          </w:p>
        </w:tc>
      </w:tr>
      <w:tr w:rsidR="00A14145" w:rsidRPr="001A0512" w:rsidTr="00A14145">
        <w:tc>
          <w:tcPr>
            <w:tcW w:w="1589" w:type="pct"/>
            <w:vAlign w:val="center"/>
          </w:tcPr>
          <w:p w:rsidR="00A14145" w:rsidRPr="001A0512" w:rsidRDefault="00A14145" w:rsidP="00DB48A3">
            <w:pPr>
              <w:pStyle w:val="Tbla-bal"/>
            </w:pPr>
            <w:r w:rsidRPr="001A0512">
              <w:t xml:space="preserve">ÚMFT Balaton Térségi Komplex Programja </w:t>
            </w:r>
            <w:r w:rsidRPr="001A0512">
              <w:rPr>
                <w:i/>
              </w:rPr>
              <w:t>(“Zászlóshajó Projekt”)</w:t>
            </w:r>
          </w:p>
        </w:tc>
        <w:tc>
          <w:tcPr>
            <w:tcW w:w="2656" w:type="pct"/>
            <w:vAlign w:val="center"/>
          </w:tcPr>
          <w:p w:rsidR="00A14145" w:rsidRPr="001A0512" w:rsidRDefault="00A14145" w:rsidP="00DB48A3">
            <w:pPr>
              <w:pStyle w:val="Tbla-bal"/>
            </w:pPr>
            <w:r w:rsidRPr="001A0512">
              <w:t>A nem gazdasági célú, élőhely és őshonos állatvilág fenntartására irányuló halászati intézkedések (rekreációs célokat szolgáló kikötők létesítése, turizmus, vitorlásturizmus stb.)</w:t>
            </w:r>
          </w:p>
        </w:tc>
        <w:tc>
          <w:tcPr>
            <w:tcW w:w="755" w:type="pct"/>
            <w:vAlign w:val="center"/>
          </w:tcPr>
          <w:p w:rsidR="00A14145" w:rsidRPr="001A0512" w:rsidRDefault="00A14145" w:rsidP="00DB48A3">
            <w:pPr>
              <w:pStyle w:val="Tbla-kzp"/>
            </w:pPr>
            <w:r w:rsidRPr="001A0512">
              <w:t>NINCS</w:t>
            </w:r>
          </w:p>
        </w:tc>
      </w:tr>
      <w:tr w:rsidR="00A14145" w:rsidRPr="001A0512" w:rsidTr="00A14145">
        <w:tc>
          <w:tcPr>
            <w:tcW w:w="1589" w:type="pct"/>
            <w:tcBorders>
              <w:top w:val="single" w:sz="4" w:space="0" w:color="auto"/>
              <w:left w:val="single" w:sz="12" w:space="0" w:color="auto"/>
              <w:bottom w:val="single" w:sz="4" w:space="0" w:color="auto"/>
              <w:right w:val="single" w:sz="4" w:space="0" w:color="auto"/>
            </w:tcBorders>
            <w:vAlign w:val="center"/>
          </w:tcPr>
          <w:p w:rsidR="00A14145" w:rsidRPr="001A0512" w:rsidRDefault="00A14145" w:rsidP="00DB48A3">
            <w:pPr>
              <w:pStyle w:val="Tbla-bal"/>
            </w:pPr>
            <w:r w:rsidRPr="001A0512">
              <w:t>ÚMFT Balaton Térségi Komplex Programja (“Zászlóshajó Projekt”)</w:t>
            </w:r>
          </w:p>
        </w:tc>
        <w:tc>
          <w:tcPr>
            <w:tcW w:w="2656" w:type="pct"/>
            <w:tcBorders>
              <w:top w:val="single" w:sz="4" w:space="0" w:color="auto"/>
              <w:left w:val="single" w:sz="4" w:space="0" w:color="auto"/>
              <w:bottom w:val="single" w:sz="4" w:space="0" w:color="auto"/>
              <w:right w:val="single" w:sz="4" w:space="0" w:color="auto"/>
            </w:tcBorders>
            <w:vAlign w:val="center"/>
          </w:tcPr>
          <w:p w:rsidR="00A14145" w:rsidRPr="001A0512" w:rsidRDefault="00A14145" w:rsidP="00DB48A3">
            <w:pPr>
              <w:pStyle w:val="Tbla-bal"/>
            </w:pPr>
            <w:r w:rsidRPr="001A0512">
              <w:t>A nem gazdasági célú, élőhely és őshonos állatvilág fenntartására irányuló halászati intézkedések (rekreációs célokat szolgáló kikötők létesítése, turizmus, vitorlásturizmus stb.)</w:t>
            </w:r>
          </w:p>
        </w:tc>
        <w:tc>
          <w:tcPr>
            <w:tcW w:w="755" w:type="pct"/>
            <w:tcBorders>
              <w:top w:val="single" w:sz="4" w:space="0" w:color="auto"/>
              <w:left w:val="single" w:sz="4" w:space="0" w:color="auto"/>
              <w:bottom w:val="single" w:sz="4" w:space="0" w:color="auto"/>
              <w:right w:val="single" w:sz="12" w:space="0" w:color="auto"/>
            </w:tcBorders>
            <w:vAlign w:val="center"/>
          </w:tcPr>
          <w:p w:rsidR="00A14145" w:rsidRPr="001A0512" w:rsidRDefault="00A14145" w:rsidP="00DB48A3">
            <w:pPr>
              <w:pStyle w:val="Tbla-kzp"/>
            </w:pPr>
            <w:r w:rsidRPr="001A0512">
              <w:t>NINCS</w:t>
            </w:r>
          </w:p>
        </w:tc>
      </w:tr>
      <w:tr w:rsidR="00A14145" w:rsidRPr="001A0512" w:rsidTr="00A14145">
        <w:tc>
          <w:tcPr>
            <w:tcW w:w="1589" w:type="pct"/>
            <w:tcBorders>
              <w:top w:val="single" w:sz="4" w:space="0" w:color="auto"/>
              <w:left w:val="single" w:sz="12" w:space="0" w:color="auto"/>
              <w:bottom w:val="single" w:sz="4" w:space="0" w:color="auto"/>
              <w:right w:val="single" w:sz="4" w:space="0" w:color="auto"/>
            </w:tcBorders>
            <w:vAlign w:val="center"/>
          </w:tcPr>
          <w:p w:rsidR="00A14145" w:rsidRPr="001A0512" w:rsidRDefault="00A14145" w:rsidP="00DB48A3">
            <w:pPr>
              <w:pStyle w:val="Tbla-bal"/>
            </w:pPr>
            <w:r w:rsidRPr="001A0512">
              <w:t>Gazdaságfejlesztési Operatív Program (GOP)</w:t>
            </w:r>
          </w:p>
        </w:tc>
        <w:tc>
          <w:tcPr>
            <w:tcW w:w="2656" w:type="pct"/>
            <w:tcBorders>
              <w:top w:val="single" w:sz="4" w:space="0" w:color="auto"/>
              <w:left w:val="single" w:sz="4" w:space="0" w:color="auto"/>
              <w:bottom w:val="single" w:sz="4" w:space="0" w:color="auto"/>
              <w:right w:val="single" w:sz="4" w:space="0" w:color="auto"/>
            </w:tcBorders>
            <w:vAlign w:val="center"/>
          </w:tcPr>
          <w:p w:rsidR="00A14145" w:rsidRPr="001A0512" w:rsidRDefault="00A14145" w:rsidP="00DB48A3">
            <w:pPr>
              <w:pStyle w:val="Tbla-bal"/>
            </w:pPr>
            <w:r w:rsidRPr="001A0512">
              <w:t>Fő célja a „produktív szektor hosszú távon fenntartható versenyképességének erősítése”</w:t>
            </w:r>
          </w:p>
        </w:tc>
        <w:tc>
          <w:tcPr>
            <w:tcW w:w="755" w:type="pct"/>
            <w:tcBorders>
              <w:top w:val="single" w:sz="4" w:space="0" w:color="auto"/>
              <w:left w:val="single" w:sz="4" w:space="0" w:color="auto"/>
              <w:bottom w:val="single" w:sz="4" w:space="0" w:color="auto"/>
              <w:right w:val="single" w:sz="12" w:space="0" w:color="auto"/>
            </w:tcBorders>
            <w:vAlign w:val="center"/>
          </w:tcPr>
          <w:p w:rsidR="00A14145" w:rsidRPr="001A0512" w:rsidRDefault="00A14145" w:rsidP="00DB48A3">
            <w:pPr>
              <w:pStyle w:val="Tbla-kzp"/>
            </w:pPr>
            <w:r w:rsidRPr="001A0512">
              <w:t>NINCS</w:t>
            </w:r>
          </w:p>
        </w:tc>
      </w:tr>
      <w:tr w:rsidR="00A14145" w:rsidRPr="001A0512" w:rsidTr="00A14145">
        <w:tc>
          <w:tcPr>
            <w:tcW w:w="1589" w:type="pct"/>
            <w:tcBorders>
              <w:top w:val="single" w:sz="4" w:space="0" w:color="auto"/>
              <w:left w:val="single" w:sz="12" w:space="0" w:color="auto"/>
              <w:bottom w:val="single" w:sz="4" w:space="0" w:color="auto"/>
              <w:right w:val="single" w:sz="4" w:space="0" w:color="auto"/>
            </w:tcBorders>
            <w:vAlign w:val="center"/>
          </w:tcPr>
          <w:p w:rsidR="00A14145" w:rsidRPr="001A0512" w:rsidRDefault="00A14145" w:rsidP="00DB48A3">
            <w:pPr>
              <w:pStyle w:val="Tbla-bal"/>
            </w:pPr>
            <w:r w:rsidRPr="001A0512">
              <w:t>Környezet és Energia Operatív Program (KEOP)</w:t>
            </w:r>
          </w:p>
        </w:tc>
        <w:tc>
          <w:tcPr>
            <w:tcW w:w="2656" w:type="pct"/>
            <w:tcBorders>
              <w:top w:val="single" w:sz="4" w:space="0" w:color="auto"/>
              <w:left w:val="single" w:sz="4" w:space="0" w:color="auto"/>
              <w:bottom w:val="single" w:sz="4" w:space="0" w:color="auto"/>
              <w:right w:val="single" w:sz="4" w:space="0" w:color="auto"/>
            </w:tcBorders>
            <w:vAlign w:val="center"/>
          </w:tcPr>
          <w:p w:rsidR="00A14145" w:rsidRPr="001A0512" w:rsidRDefault="00A14145" w:rsidP="00DB48A3">
            <w:pPr>
              <w:pStyle w:val="Tbla-bal"/>
            </w:pPr>
            <w:r w:rsidRPr="001A0512">
              <w:t xml:space="preserve">Hozzájárul a hazai és nemzetközi jogszabályok által védett természeti területek értékeinek megőrzéséhez, az optimális természetvédelmi tevékenység megvalósításához </w:t>
            </w:r>
          </w:p>
        </w:tc>
        <w:tc>
          <w:tcPr>
            <w:tcW w:w="755" w:type="pct"/>
            <w:tcBorders>
              <w:top w:val="single" w:sz="4" w:space="0" w:color="auto"/>
              <w:left w:val="single" w:sz="4" w:space="0" w:color="auto"/>
              <w:bottom w:val="single" w:sz="4" w:space="0" w:color="auto"/>
              <w:right w:val="single" w:sz="12" w:space="0" w:color="auto"/>
            </w:tcBorders>
            <w:vAlign w:val="center"/>
          </w:tcPr>
          <w:p w:rsidR="00A14145" w:rsidRPr="001A0512" w:rsidRDefault="00A14145" w:rsidP="00DB48A3">
            <w:pPr>
              <w:pStyle w:val="Tbla-kzp"/>
            </w:pPr>
            <w:r w:rsidRPr="001A0512">
              <w:t>NINCS</w:t>
            </w:r>
          </w:p>
        </w:tc>
      </w:tr>
      <w:tr w:rsidR="00A14145" w:rsidRPr="001A0512" w:rsidTr="00A14145">
        <w:tc>
          <w:tcPr>
            <w:tcW w:w="1589" w:type="pct"/>
            <w:tcBorders>
              <w:top w:val="single" w:sz="4" w:space="0" w:color="auto"/>
              <w:left w:val="single" w:sz="12" w:space="0" w:color="auto"/>
              <w:bottom w:val="single" w:sz="4" w:space="0" w:color="auto"/>
              <w:right w:val="single" w:sz="4" w:space="0" w:color="auto"/>
            </w:tcBorders>
            <w:vAlign w:val="center"/>
          </w:tcPr>
          <w:p w:rsidR="00A14145" w:rsidRPr="001A0512" w:rsidRDefault="00A14145" w:rsidP="00DB48A3">
            <w:pPr>
              <w:pStyle w:val="Tbla-bal"/>
            </w:pPr>
            <w:r w:rsidRPr="001A0512">
              <w:t>Államreform Operatív Program (ÁOP)</w:t>
            </w:r>
          </w:p>
        </w:tc>
        <w:tc>
          <w:tcPr>
            <w:tcW w:w="2656" w:type="pct"/>
            <w:tcBorders>
              <w:top w:val="single" w:sz="4" w:space="0" w:color="auto"/>
              <w:left w:val="single" w:sz="4" w:space="0" w:color="auto"/>
              <w:bottom w:val="single" w:sz="4" w:space="0" w:color="auto"/>
              <w:right w:val="single" w:sz="4" w:space="0" w:color="auto"/>
            </w:tcBorders>
            <w:vAlign w:val="center"/>
          </w:tcPr>
          <w:p w:rsidR="00A14145" w:rsidRPr="001A0512" w:rsidRDefault="00A14145" w:rsidP="00DB48A3">
            <w:pPr>
              <w:pStyle w:val="Tbla-bal"/>
            </w:pPr>
            <w:r w:rsidRPr="001A0512">
              <w:t xml:space="preserve">Célja hogy növekedjen a közigazgatás teljesítménye. </w:t>
            </w:r>
          </w:p>
        </w:tc>
        <w:tc>
          <w:tcPr>
            <w:tcW w:w="755" w:type="pct"/>
            <w:tcBorders>
              <w:top w:val="single" w:sz="4" w:space="0" w:color="auto"/>
              <w:left w:val="single" w:sz="4" w:space="0" w:color="auto"/>
              <w:bottom w:val="single" w:sz="4" w:space="0" w:color="auto"/>
              <w:right w:val="single" w:sz="12" w:space="0" w:color="auto"/>
            </w:tcBorders>
            <w:vAlign w:val="center"/>
          </w:tcPr>
          <w:p w:rsidR="00A14145" w:rsidRPr="001A0512" w:rsidRDefault="00A14145" w:rsidP="00DB48A3">
            <w:pPr>
              <w:pStyle w:val="Tbla-kzp"/>
            </w:pPr>
            <w:r w:rsidRPr="001A0512">
              <w:t>NINCS</w:t>
            </w:r>
          </w:p>
        </w:tc>
      </w:tr>
      <w:tr w:rsidR="00A14145" w:rsidRPr="001A0512" w:rsidTr="00A14145">
        <w:tc>
          <w:tcPr>
            <w:tcW w:w="1589" w:type="pct"/>
            <w:tcBorders>
              <w:top w:val="single" w:sz="4" w:space="0" w:color="auto"/>
              <w:left w:val="single" w:sz="12" w:space="0" w:color="auto"/>
              <w:bottom w:val="single" w:sz="12" w:space="0" w:color="auto"/>
              <w:right w:val="single" w:sz="4" w:space="0" w:color="auto"/>
            </w:tcBorders>
            <w:vAlign w:val="center"/>
          </w:tcPr>
          <w:p w:rsidR="00A14145" w:rsidRPr="001A0512" w:rsidRDefault="00A14145" w:rsidP="00DB48A3">
            <w:pPr>
              <w:pStyle w:val="Tbla-bal"/>
            </w:pPr>
            <w:r w:rsidRPr="001A0512">
              <w:t>Társadalmi Megújulás Operatív Program (TÁMOP)</w:t>
            </w:r>
          </w:p>
        </w:tc>
        <w:tc>
          <w:tcPr>
            <w:tcW w:w="2656" w:type="pct"/>
            <w:tcBorders>
              <w:top w:val="single" w:sz="4" w:space="0" w:color="auto"/>
              <w:left w:val="single" w:sz="4" w:space="0" w:color="auto"/>
              <w:bottom w:val="single" w:sz="12" w:space="0" w:color="auto"/>
              <w:right w:val="single" w:sz="4" w:space="0" w:color="auto"/>
            </w:tcBorders>
            <w:vAlign w:val="center"/>
          </w:tcPr>
          <w:p w:rsidR="00A14145" w:rsidRPr="001A0512" w:rsidRDefault="00A14145" w:rsidP="00DB48A3">
            <w:pPr>
              <w:pStyle w:val="Tbla-bal"/>
            </w:pPr>
            <w:r w:rsidRPr="001A0512">
              <w:t>A foglalkoztatás bővítéséhez és a tartós növekedéshez járul hozzá, elsősorban az emberi erőforrások fejlesztésével továbbá a halászati ágazatban dolgozók képzési lehetőségeinek biztosításával és bővítésével</w:t>
            </w:r>
          </w:p>
        </w:tc>
        <w:tc>
          <w:tcPr>
            <w:tcW w:w="755" w:type="pct"/>
            <w:tcBorders>
              <w:top w:val="single" w:sz="4" w:space="0" w:color="auto"/>
              <w:left w:val="single" w:sz="4" w:space="0" w:color="auto"/>
              <w:bottom w:val="single" w:sz="12" w:space="0" w:color="auto"/>
              <w:right w:val="single" w:sz="12" w:space="0" w:color="auto"/>
            </w:tcBorders>
            <w:vAlign w:val="center"/>
          </w:tcPr>
          <w:p w:rsidR="00A14145" w:rsidRPr="001A0512" w:rsidRDefault="00A14145" w:rsidP="00DB48A3">
            <w:pPr>
              <w:pStyle w:val="Tbla-kzp"/>
            </w:pPr>
            <w:r w:rsidRPr="001A0512">
              <w:t>NINCS</w:t>
            </w:r>
          </w:p>
        </w:tc>
      </w:tr>
    </w:tbl>
    <w:p w:rsidR="0084371F" w:rsidRPr="0084371F" w:rsidRDefault="0084371F" w:rsidP="00E427D8"/>
    <w:p w:rsidR="009A7F17" w:rsidRPr="00BD037E" w:rsidRDefault="0084371F" w:rsidP="0084371F">
      <w:pPr>
        <w:suppressAutoHyphens w:val="0"/>
        <w:autoSpaceDE w:val="0"/>
        <w:autoSpaceDN w:val="0"/>
        <w:adjustRightInd w:val="0"/>
        <w:spacing w:after="0"/>
        <w:ind w:firstLine="0"/>
      </w:pPr>
      <w:r w:rsidRPr="00BD037E">
        <w:t>A KÖZ</w:t>
      </w:r>
      <w:r w:rsidR="009A7F17" w:rsidRPr="00BD037E">
        <w:t xml:space="preserve">OP </w:t>
      </w:r>
      <w:r w:rsidR="00FC1246" w:rsidRPr="00BD037E">
        <w:t>é</w:t>
      </w:r>
      <w:r w:rsidR="009A7F17" w:rsidRPr="00BD037E">
        <w:t xml:space="preserve">s az </w:t>
      </w:r>
      <w:r w:rsidRPr="00BD037E">
        <w:t>ÚMVST közö</w:t>
      </w:r>
      <w:r w:rsidR="009A7F17" w:rsidRPr="00BD037E">
        <w:t xml:space="preserve">tt nincsenek </w:t>
      </w:r>
      <w:r w:rsidRPr="00BD037E">
        <w:t>átfedő</w:t>
      </w:r>
      <w:r w:rsidR="009A7F17" w:rsidRPr="00BD037E">
        <w:t xml:space="preserve"> c</w:t>
      </w:r>
      <w:r w:rsidRPr="00BD037E">
        <w:t>é</w:t>
      </w:r>
      <w:r w:rsidR="009A7F17" w:rsidRPr="00BD037E">
        <w:t xml:space="preserve">lok </w:t>
      </w:r>
      <w:r w:rsidR="00FC1246" w:rsidRPr="00BD037E">
        <w:t>é</w:t>
      </w:r>
      <w:r w:rsidR="009A7F17" w:rsidRPr="00BD037E">
        <w:t xml:space="preserve">s </w:t>
      </w:r>
      <w:r w:rsidRPr="00BD037E">
        <w:t>prioritások</w:t>
      </w:r>
      <w:r w:rsidR="00FC1246" w:rsidRPr="00BD037E">
        <w:t>. Az Ú</w:t>
      </w:r>
      <w:r w:rsidR="009A7F17" w:rsidRPr="00BD037E">
        <w:t xml:space="preserve">MVST olyan </w:t>
      </w:r>
      <w:r w:rsidRPr="00BD037E">
        <w:t>számozás nélküli, a közúthálózat</w:t>
      </w:r>
      <w:r w:rsidR="009A7F17" w:rsidRPr="00BD037E">
        <w:t xml:space="preserve"> r</w:t>
      </w:r>
      <w:r w:rsidRPr="00BD037E">
        <w:t>é</w:t>
      </w:r>
      <w:r w:rsidR="009A7F17" w:rsidRPr="00BD037E">
        <w:t>sz</w:t>
      </w:r>
      <w:r w:rsidRPr="00BD037E">
        <w:t xml:space="preserve">ét nem képező </w:t>
      </w:r>
      <w:r w:rsidR="009A7F17" w:rsidRPr="00BD037E">
        <w:t>mez</w:t>
      </w:r>
      <w:r w:rsidRPr="00BD037E">
        <w:t>őgazdasági es erdészeti bekötő</w:t>
      </w:r>
      <w:r w:rsidR="009A7F17" w:rsidRPr="00BD037E">
        <w:t xml:space="preserve"> es </w:t>
      </w:r>
      <w:r w:rsidRPr="00BD037E">
        <w:t>feltáró utak fejle</w:t>
      </w:r>
      <w:r w:rsidR="009A7F17" w:rsidRPr="00BD037E">
        <w:t>szt</w:t>
      </w:r>
      <w:r w:rsidRPr="00BD037E">
        <w:t>é</w:t>
      </w:r>
      <w:r w:rsidR="009A7F17" w:rsidRPr="00BD037E">
        <w:t>s</w:t>
      </w:r>
      <w:r w:rsidRPr="00BD037E">
        <w:t>é</w:t>
      </w:r>
      <w:r w:rsidR="009A7F17" w:rsidRPr="00BD037E">
        <w:t xml:space="preserve">t </w:t>
      </w:r>
      <w:r w:rsidRPr="00BD037E">
        <w:t>támogatja</w:t>
      </w:r>
      <w:r w:rsidR="009A7F17" w:rsidRPr="00BD037E">
        <w:t>, amely k</w:t>
      </w:r>
      <w:r w:rsidRPr="00BD037E">
        <w:t>ívül esik a KÖZ</w:t>
      </w:r>
      <w:r w:rsidR="009A7F17" w:rsidRPr="00BD037E">
        <w:t>OP</w:t>
      </w:r>
      <w:r w:rsidRPr="00BD037E">
        <w:t xml:space="preserve"> által támogatott közlekedési háló</w:t>
      </w:r>
      <w:r w:rsidR="009A7F17" w:rsidRPr="00BD037E">
        <w:t>zatokon</w:t>
      </w:r>
      <w:r w:rsidRPr="00BD037E">
        <w:t xml:space="preserve">. </w:t>
      </w:r>
    </w:p>
    <w:p w:rsidR="00D95525" w:rsidRPr="00D95525" w:rsidRDefault="008D6E32" w:rsidP="00DA27DF">
      <w:r w:rsidRPr="00D95525">
        <w:rPr>
          <w:bCs/>
          <w:iCs/>
        </w:rPr>
        <w:t xml:space="preserve">Az </w:t>
      </w:r>
      <w:r w:rsidR="003E1EE8" w:rsidRPr="00D95525">
        <w:rPr>
          <w:bCs/>
          <w:iCs/>
        </w:rPr>
        <w:t xml:space="preserve">Európai </w:t>
      </w:r>
      <w:r w:rsidRPr="00D95525">
        <w:rPr>
          <w:bCs/>
          <w:iCs/>
        </w:rPr>
        <w:t xml:space="preserve">Halászati Alap támogatásával létrejövő </w:t>
      </w:r>
      <w:r w:rsidRPr="0084371F">
        <w:rPr>
          <w:b/>
          <w:bCs/>
          <w:iCs/>
        </w:rPr>
        <w:t xml:space="preserve">Halászati Operatív Program és az ÚMVP közötti </w:t>
      </w:r>
      <w:r w:rsidR="00D95525" w:rsidRPr="0084371F">
        <w:rPr>
          <w:b/>
          <w:bCs/>
          <w:iCs/>
        </w:rPr>
        <w:t xml:space="preserve">pontos </w:t>
      </w:r>
      <w:r w:rsidRPr="0084371F">
        <w:rPr>
          <w:b/>
          <w:bCs/>
          <w:iCs/>
        </w:rPr>
        <w:t>lehatárolás még 2007 folyamán megtörtént.</w:t>
      </w:r>
      <w:r w:rsidRPr="00D95525">
        <w:rPr>
          <w:bCs/>
          <w:iCs/>
        </w:rPr>
        <w:t xml:space="preserve"> </w:t>
      </w:r>
      <w:r w:rsidR="00D95525" w:rsidRPr="00D95525">
        <w:t>A HOP és az ÚMVP céljai közösek a környezetvédelmet és a fenntartható fejl</w:t>
      </w:r>
      <w:r w:rsidR="00D95525" w:rsidRPr="00D95525">
        <w:rPr>
          <w:rFonts w:eastAsia="TimesNewRoman"/>
        </w:rPr>
        <w:t>ő</w:t>
      </w:r>
      <w:r w:rsidR="00D95525" w:rsidRPr="00D95525">
        <w:t>dést illet</w:t>
      </w:r>
      <w:r w:rsidR="00D95525" w:rsidRPr="00D95525">
        <w:rPr>
          <w:rFonts w:eastAsia="TimesNewRoman"/>
        </w:rPr>
        <w:t>ő</w:t>
      </w:r>
      <w:r w:rsidR="00D95525" w:rsidRPr="00D95525">
        <w:t>en, így egymást kiegészítve külön forrásból biztosítják, hogy a stratégiákban megfogalmazott célok teljesíthet</w:t>
      </w:r>
      <w:r w:rsidR="00D95525" w:rsidRPr="00D95525">
        <w:rPr>
          <w:rFonts w:eastAsia="TimesNewRoman"/>
        </w:rPr>
        <w:t>ő</w:t>
      </w:r>
      <w:r w:rsidR="00D95525" w:rsidRPr="00D95525">
        <w:t xml:space="preserve">ek legyenek. </w:t>
      </w:r>
    </w:p>
    <w:p w:rsidR="00D95525" w:rsidRDefault="00D95525" w:rsidP="00DA27DF">
      <w:r w:rsidRPr="00D95525">
        <w:t xml:space="preserve">A vidékfejlesztési programhoz való kapcsolódás számtalan helyen megtörténik. Több ponton kapcsolódási </w:t>
      </w:r>
      <w:r w:rsidRPr="00AB5DC5">
        <w:t>pont</w:t>
      </w:r>
      <w:r w:rsidRPr="00D95525">
        <w:t xml:space="preserve"> van a szakképzés fejlesztésének terén, a szaktanácsadás rendszerében, továbbá, a halászati program kedvezményezettjei – mint vidéken élő népesség – a vidékfejlesztési program III. tengelyében szereplő intézkedéseknek is kedvezményezettjeivé, haszonélvezőivé válhatnak. </w:t>
      </w:r>
    </w:p>
    <w:p w:rsidR="00D95525" w:rsidRPr="003E35A2" w:rsidRDefault="00D95525" w:rsidP="00AB5DC5">
      <w:r w:rsidRPr="003E35A2">
        <w:t xml:space="preserve">A HOP és az ÚMVP közös végrehajtási rendszere garantálja, hogy a két program egymást kiegészítve, átfedések </w:t>
      </w:r>
      <w:r w:rsidRPr="00AB5DC5">
        <w:t>nélkül</w:t>
      </w:r>
      <w:r w:rsidRPr="003E35A2">
        <w:t xml:space="preserve"> működjön. Az Integrált Irányítási és Ellenőrzési Rendszer (IIER) (akkreditált informatikai rendszer) biztosítja, hogy a kedvezményezettek nyilvántartása az előírásoknak megfelelő legyen, továbbá az egységes számlakezelés kizárja annak lehetőségét, hogy egyazon költség két helyen kerüljön elszámolásra.</w:t>
      </w:r>
    </w:p>
    <w:p w:rsidR="00D95525" w:rsidRPr="00D95525" w:rsidRDefault="00D95525" w:rsidP="00D95525">
      <w:pPr>
        <w:rPr>
          <w:szCs w:val="22"/>
        </w:rPr>
      </w:pPr>
      <w:r w:rsidRPr="00D95525">
        <w:rPr>
          <w:szCs w:val="22"/>
        </w:rPr>
        <w:t>Az EMVA a következő esetekben nyújt támogatást a vízi környezetvédelemmel kapcsolatos kötelezettségek finanszírozására:</w:t>
      </w:r>
    </w:p>
    <w:p w:rsidR="00D95525" w:rsidRPr="00D95525" w:rsidRDefault="00D95525" w:rsidP="009D1B64">
      <w:pPr>
        <w:numPr>
          <w:ilvl w:val="0"/>
          <w:numId w:val="24"/>
        </w:numPr>
        <w:suppressAutoHyphens w:val="0"/>
        <w:spacing w:after="0"/>
        <w:rPr>
          <w:szCs w:val="22"/>
        </w:rPr>
      </w:pPr>
      <w:r w:rsidRPr="00D95525">
        <w:rPr>
          <w:szCs w:val="22"/>
        </w:rPr>
        <w:t>mezőgazdasági és akvakultúra tevékenységet egyaránt folytató vállalkozások részére</w:t>
      </w:r>
      <w:smartTag w:uri="urn:schemas-microsoft-com:office:smarttags" w:element="PersonName">
        <w:r w:rsidRPr="00D95525">
          <w:rPr>
            <w:szCs w:val="22"/>
          </w:rPr>
          <w:t>,</w:t>
        </w:r>
      </w:smartTag>
      <w:r w:rsidRPr="00D95525">
        <w:rPr>
          <w:szCs w:val="22"/>
        </w:rPr>
        <w:t xml:space="preserve"> amennyiben az akvakultúra a vállalkozás tevékenységeinek csak kisebb hányadát képviseli;</w:t>
      </w:r>
    </w:p>
    <w:p w:rsidR="00D95525" w:rsidRPr="00D95525" w:rsidRDefault="00D95525" w:rsidP="009D1B64">
      <w:pPr>
        <w:numPr>
          <w:ilvl w:val="0"/>
          <w:numId w:val="24"/>
        </w:numPr>
        <w:suppressAutoHyphens w:val="0"/>
        <w:spacing w:after="0"/>
        <w:rPr>
          <w:szCs w:val="22"/>
        </w:rPr>
      </w:pPr>
      <w:r w:rsidRPr="00D95525">
        <w:rPr>
          <w:szCs w:val="22"/>
        </w:rPr>
        <w:lastRenderedPageBreak/>
        <w:t>olyan vállalkozások részére</w:t>
      </w:r>
      <w:smartTag w:uri="urn:schemas-microsoft-com:office:smarttags" w:element="PersonName">
        <w:r w:rsidRPr="00D95525">
          <w:rPr>
            <w:szCs w:val="22"/>
          </w:rPr>
          <w:t>,</w:t>
        </w:r>
      </w:smartTag>
      <w:r w:rsidRPr="00D95525">
        <w:rPr>
          <w:szCs w:val="22"/>
        </w:rPr>
        <w:t xml:space="preserve"> ahol (a hazai jogszabályok szerint) nem kereskedelmi céllal folyik az akvakultúra tevékenység;</w:t>
      </w:r>
    </w:p>
    <w:p w:rsidR="00D95525" w:rsidRPr="00D95525" w:rsidRDefault="00D95525" w:rsidP="009D1B64">
      <w:pPr>
        <w:numPr>
          <w:ilvl w:val="0"/>
          <w:numId w:val="24"/>
        </w:numPr>
        <w:suppressAutoHyphens w:val="0"/>
        <w:spacing w:after="0"/>
        <w:rPr>
          <w:szCs w:val="22"/>
        </w:rPr>
      </w:pPr>
      <w:r w:rsidRPr="00D95525">
        <w:rPr>
          <w:szCs w:val="22"/>
        </w:rPr>
        <w:t>a halastavak környezetében fekvő mezőgazdaságilag művelhető területek esetében</w:t>
      </w:r>
      <w:smartTag w:uri="urn:schemas-microsoft-com:office:smarttags" w:element="PersonName">
        <w:r w:rsidRPr="00D95525">
          <w:rPr>
            <w:szCs w:val="22"/>
          </w:rPr>
          <w:t>,</w:t>
        </w:r>
      </w:smartTag>
      <w:r w:rsidRPr="00D95525">
        <w:rPr>
          <w:szCs w:val="22"/>
        </w:rPr>
        <w:t xml:space="preserve"> amennyiben az a halastavak környezeti minőségének javítására szolgál;</w:t>
      </w:r>
    </w:p>
    <w:p w:rsidR="00D95525" w:rsidRPr="00D95525" w:rsidRDefault="00D95525" w:rsidP="009D1B64">
      <w:pPr>
        <w:numPr>
          <w:ilvl w:val="0"/>
          <w:numId w:val="24"/>
        </w:numPr>
        <w:suppressAutoHyphens w:val="0"/>
        <w:spacing w:after="0"/>
        <w:rPr>
          <w:szCs w:val="22"/>
        </w:rPr>
      </w:pPr>
      <w:r w:rsidRPr="00D95525">
        <w:rPr>
          <w:szCs w:val="22"/>
        </w:rPr>
        <w:t>a nem akvakultúra termelésre használt halastavak (és egyéb vizes élőhelyek) környezeti minőségét javító kötelezettségeinek esetében.</w:t>
      </w:r>
    </w:p>
    <w:p w:rsidR="00884251" w:rsidRPr="00896E03" w:rsidRDefault="00884251" w:rsidP="00DB48A3">
      <w:pPr>
        <w:pStyle w:val="Cmsor3"/>
      </w:pPr>
      <w:bookmarkStart w:id="452" w:name="_Toc232860211"/>
      <w:bookmarkStart w:id="453" w:name="_Toc360176851"/>
      <w:r w:rsidRPr="00896E03">
        <w:t>Kapcsolat a Közös Agrárpolitikával</w:t>
      </w:r>
      <w:bookmarkEnd w:id="452"/>
      <w:bookmarkEnd w:id="453"/>
    </w:p>
    <w:p w:rsidR="00052437" w:rsidRDefault="00052437" w:rsidP="00AB5DC5">
      <w:pPr>
        <w:rPr>
          <w:rFonts w:cs="Times New Roman"/>
          <w:bCs/>
          <w:iCs/>
          <w:szCs w:val="22"/>
        </w:rPr>
      </w:pPr>
      <w:r w:rsidRPr="000E239E">
        <w:rPr>
          <w:rFonts w:cs="Times New Roman"/>
          <w:szCs w:val="22"/>
        </w:rPr>
        <w:t xml:space="preserve">A közös agrárpolitika felülvizsgálata egy újabb mérföldkövet jelentett a KAP 2003-as reformját követően. </w:t>
      </w:r>
      <w:r w:rsidRPr="000E239E">
        <w:rPr>
          <w:rFonts w:cs="Times New Roman"/>
          <w:bCs/>
          <w:iCs/>
          <w:szCs w:val="22"/>
        </w:rPr>
        <w:t xml:space="preserve">Az Agrárminiszterek Tanácsa, mintegy félévnyi intenzív szakértői és politikai tárgyalásokat követően 2008 végén </w:t>
      </w:r>
      <w:r w:rsidRPr="00AB5DC5">
        <w:t>elfogadta</w:t>
      </w:r>
      <w:r w:rsidRPr="000E239E">
        <w:rPr>
          <w:rFonts w:cs="Times New Roman"/>
          <w:bCs/>
          <w:iCs/>
          <w:szCs w:val="22"/>
        </w:rPr>
        <w:t xml:space="preserve"> a KAP állapotfelméréséről szóló kompromisszumos javaslatcsomagot, mely a Bizottság KAP 2008-as felülvizsgálatához tett javaslatain alapult. A széleskörű javaslatcsomag célként a 2003-as reformok finomhangolását megjelölve, és ezzel is „hozzájárulni” a mezőgazdaság jövőbeli prioritásaival kapcsolatos vitákhoz. A módosítások azon túl, hogy felkészítik az EU mezőgazdaságát a gyorsan változó világgazdasági környezethez való jobb alkalmazkodásra számos, a reform 2005-ben megkezdett alkalmazása óta szükségessé vált változtatást vezetnek be. A csomag jogszabályi formában 2009 januárjában jelent csak meg, de 2008. évre vonatkozóan már összegezhetőek mindazok a döntési pontok, melyek Magyarország számára </w:t>
      </w:r>
      <w:r w:rsidR="002B30E2" w:rsidRPr="000E239E">
        <w:rPr>
          <w:rFonts w:cs="Times New Roman"/>
          <w:bCs/>
          <w:iCs/>
          <w:szCs w:val="22"/>
        </w:rPr>
        <w:t>rövidtávon</w:t>
      </w:r>
      <w:r w:rsidRPr="000E239E">
        <w:rPr>
          <w:rFonts w:cs="Times New Roman"/>
          <w:bCs/>
          <w:iCs/>
          <w:szCs w:val="22"/>
        </w:rPr>
        <w:t xml:space="preserve"> is jelentkeznek.</w:t>
      </w:r>
    </w:p>
    <w:p w:rsidR="00BB71A0" w:rsidRPr="00715E86" w:rsidRDefault="00BB71A0" w:rsidP="00715E86">
      <w:r w:rsidRPr="00715E86">
        <w:t xml:space="preserve">A 2009 januárjában publikált megállapítások az alábbiak szerint összegezhetőek: </w:t>
      </w:r>
    </w:p>
    <w:p w:rsidR="00BB71A0" w:rsidRDefault="00BB71A0" w:rsidP="00BB71A0">
      <w:pPr>
        <w:numPr>
          <w:ilvl w:val="0"/>
          <w:numId w:val="24"/>
        </w:numPr>
        <w:rPr>
          <w:rFonts w:cs="Times New Roman"/>
          <w:bCs/>
          <w:iCs/>
          <w:szCs w:val="22"/>
        </w:rPr>
      </w:pPr>
      <w:r>
        <w:rPr>
          <w:rFonts w:cs="Times New Roman"/>
          <w:bCs/>
          <w:iCs/>
          <w:szCs w:val="22"/>
        </w:rPr>
        <w:t>A KAP állapotfelmérése hozzájárult ahhoz, hogy a mezőgazdasági termelők megf</w:t>
      </w:r>
      <w:r w:rsidR="002B30E2">
        <w:rPr>
          <w:rFonts w:cs="Times New Roman"/>
          <w:bCs/>
          <w:iCs/>
          <w:szCs w:val="22"/>
        </w:rPr>
        <w:t>elelhessenek az új kihívásoknak;</w:t>
      </w:r>
    </w:p>
    <w:p w:rsidR="00621FF2" w:rsidRDefault="00621FF2" w:rsidP="00BB71A0">
      <w:pPr>
        <w:numPr>
          <w:ilvl w:val="0"/>
          <w:numId w:val="24"/>
        </w:numPr>
        <w:rPr>
          <w:rFonts w:cs="Times New Roman"/>
          <w:bCs/>
          <w:iCs/>
          <w:szCs w:val="22"/>
        </w:rPr>
      </w:pPr>
      <w:r>
        <w:rPr>
          <w:rFonts w:cs="Times New Roman"/>
          <w:bCs/>
          <w:iCs/>
          <w:szCs w:val="22"/>
        </w:rPr>
        <w:t xml:space="preserve">Az állapotfelmérés eredményeként korszerűbbé, egyszerűbbé és ésszerűbbé </w:t>
      </w:r>
      <w:r w:rsidR="002B30E2">
        <w:rPr>
          <w:rFonts w:cs="Times New Roman"/>
          <w:bCs/>
          <w:iCs/>
          <w:szCs w:val="22"/>
        </w:rPr>
        <w:t>válhat</w:t>
      </w:r>
      <w:r>
        <w:rPr>
          <w:rFonts w:cs="Times New Roman"/>
          <w:bCs/>
          <w:iCs/>
          <w:szCs w:val="22"/>
        </w:rPr>
        <w:t xml:space="preserve"> a KAP, megszűnhetnek a mezőgazdasági termelőket érintő korlátozások, akik így jobban képesek reagálni a piac jelzéseire, és megfelelni az új kihívásoknak</w:t>
      </w:r>
      <w:r w:rsidR="002B30E2">
        <w:rPr>
          <w:rFonts w:cs="Times New Roman"/>
          <w:bCs/>
          <w:iCs/>
          <w:szCs w:val="22"/>
        </w:rPr>
        <w:t>;</w:t>
      </w:r>
    </w:p>
    <w:p w:rsidR="00621FF2" w:rsidRDefault="00621FF2" w:rsidP="00621FF2">
      <w:pPr>
        <w:numPr>
          <w:ilvl w:val="0"/>
          <w:numId w:val="24"/>
        </w:numPr>
        <w:rPr>
          <w:rFonts w:cs="Times New Roman"/>
          <w:bCs/>
          <w:iCs/>
          <w:szCs w:val="22"/>
        </w:rPr>
      </w:pPr>
      <w:r>
        <w:rPr>
          <w:rFonts w:cs="Times New Roman"/>
          <w:bCs/>
          <w:iCs/>
          <w:szCs w:val="22"/>
        </w:rPr>
        <w:t xml:space="preserve">A megállapodás eltörölte a szántóterületekre vonatkozó területpihentetést, emelte a tejkvótát, amelyek 2015-ig fokozatosan megszűnnek, és a piaci intervenciót valódi biztonsági hálóvá alakította. </w:t>
      </w:r>
    </w:p>
    <w:p w:rsidR="00052437" w:rsidRPr="00AA1ED3" w:rsidRDefault="00052437" w:rsidP="00AA1ED3">
      <w:pPr>
        <w:pStyle w:val="Cmsor6"/>
      </w:pPr>
      <w:r w:rsidRPr="00AA1ED3">
        <w:t>Kötelező moduláció - átcsoportosítás a közvetlen kifizetésekből vidékfejlesztésre</w:t>
      </w:r>
    </w:p>
    <w:p w:rsidR="002B06D4" w:rsidRPr="00AB5DC5" w:rsidRDefault="00621FF2" w:rsidP="00AB5DC5">
      <w:r w:rsidRPr="00AB5DC5">
        <w:t xml:space="preserve">A KAP felülvizsgálata során megállapodtak a </w:t>
      </w:r>
      <w:r w:rsidR="00CC5D26" w:rsidRPr="00AB5DC5">
        <w:t>moduláció növeléséről is, melynek következtében a mezőgazdasági termelőknek nyújtott kifizetések összege csökken, az így fennmaradó pénzeszközök a vidékfejlesztési alapba kerülnek át</w:t>
      </w:r>
      <w:r w:rsidR="009665D6" w:rsidRPr="00AB5DC5">
        <w:t xml:space="preserve">. </w:t>
      </w:r>
    </w:p>
    <w:p w:rsidR="00052437" w:rsidRPr="00AB5DC5" w:rsidRDefault="00052437" w:rsidP="00AB5DC5">
      <w:r w:rsidRPr="00AB5DC5">
        <w:t>Az alapmodulációt tekintve, mivel az új tagállamoknak kifizetett közvetlen támogatások 2012-ben ér</w:t>
      </w:r>
      <w:r w:rsidR="002B06D4" w:rsidRPr="00AB5DC5">
        <w:t xml:space="preserve">ték </w:t>
      </w:r>
      <w:r w:rsidRPr="00AB5DC5">
        <w:t xml:space="preserve">el a régi országok támogatási szintjének 90 százalékát, a 10 százalékos moduláció azt jelenti, hogy ebben a költségvetési időszakban a magyar termelőkre nem vonatkozik az elvonás és az átcsoportosítás, de a </w:t>
      </w:r>
      <w:r w:rsidRPr="00954D1F">
        <w:rPr>
          <w:i/>
        </w:rPr>
        <w:t>top up</w:t>
      </w:r>
      <w:r w:rsidRPr="00AB5DC5">
        <w:t>-nál már figyelembe kell venni a modulációt.</w:t>
      </w:r>
    </w:p>
    <w:p w:rsidR="002B06D4" w:rsidRPr="00AB5DC5" w:rsidRDefault="00052437" w:rsidP="00AB5DC5">
      <w:r w:rsidRPr="00AB5DC5">
        <w:t xml:space="preserve">A progresszív moduláció esetében az új tagállamok, így Magyarország esetében az induló év 2012 </w:t>
      </w:r>
      <w:r w:rsidR="002B06D4" w:rsidRPr="00AB5DC5">
        <w:t xml:space="preserve">volt. </w:t>
      </w:r>
    </w:p>
    <w:p w:rsidR="00052437" w:rsidRPr="00AB5DC5" w:rsidRDefault="002B06D4" w:rsidP="00AB5DC5">
      <w:r w:rsidRPr="00AB5DC5">
        <w:t xml:space="preserve">A megállapodás az évi 300 000 eurót meghaladó kifizetések esetében további 4%-os csökkenést írt elő 2009-től kezdődően, amelyet vidékfejlesztésre csoportosítanak. Az így keletkező összegeket a tagállamok az éghajlatváltozás, a hatékony vízgazdálkodás, a biológiai sokféleség, illetve az ezekhez kapcsolódó innováció területét érintő programok megerősítésére, valamint a tejágazat kísérő intézkedéseire fordíthatták. </w:t>
      </w:r>
      <w:r w:rsidR="00052437" w:rsidRPr="00AB5DC5">
        <w:t xml:space="preserve"> A progresszív moduláció 538 hazai nagyüzemet érint majd, és a hazai nagyüzemeknek tulajdonképpen viszonylag kevés elvonással kell számolniuk.</w:t>
      </w:r>
    </w:p>
    <w:p w:rsidR="00052437" w:rsidRPr="00AA1ED3" w:rsidRDefault="00052437" w:rsidP="00AA1ED3">
      <w:pPr>
        <w:pStyle w:val="Cmsor6"/>
      </w:pPr>
      <w:r w:rsidRPr="00AA1ED3">
        <w:lastRenderedPageBreak/>
        <w:t>Az átcsoportosított vidékfejlesztési források társfinanszírozása</w:t>
      </w:r>
    </w:p>
    <w:p w:rsidR="00FC1246" w:rsidRPr="00AB5DC5" w:rsidRDefault="00FC1246" w:rsidP="00634CDA">
      <w:pPr>
        <w:pStyle w:val="Szvegtrzs"/>
      </w:pPr>
      <w:r w:rsidRPr="00AB5DC5">
        <w:t>Az EU Bizottság szándéka az volt a progresszív elem bevezetésével, hogy az segíthet megoldani az egyéni termelői határértékekhez kapcsolódó méltányossági problémákat. Megállapodás született arról, hogy az átcsoportosított vidékfejlesztési források nemzeti társfinanszírozási kötelezettsége a nem konvergencia régiók esetében 25%, a konvergencia régiók esetében pedig 10% legyen. Az új tagállamok, így Magyarország es</w:t>
      </w:r>
      <w:r w:rsidR="00C248E7">
        <w:t xml:space="preserve">etében az induló év 2012 volt. </w:t>
      </w:r>
    </w:p>
    <w:p w:rsidR="00052437" w:rsidRPr="00AB5DC5" w:rsidRDefault="00052437" w:rsidP="00634CDA">
      <w:r w:rsidRPr="00AB5DC5">
        <w:t xml:space="preserve">Magyarország azt szerette volna, hogy az állapotfelmérés révén </w:t>
      </w:r>
      <w:r w:rsidR="00FC1246" w:rsidRPr="00AB5DC5">
        <w:t xml:space="preserve">a </w:t>
      </w:r>
      <w:r w:rsidRPr="00AB5DC5">
        <w:t xml:space="preserve">vidékfejlesztésre átcsoportosított közvetlen támogatások </w:t>
      </w:r>
      <w:r w:rsidRPr="00634CDA">
        <w:t>felhasználása</w:t>
      </w:r>
      <w:r w:rsidRPr="00AB5DC5">
        <w:t xml:space="preserve"> nemzeti társfinanszírozás nélkül valósulhasson meg, mert eredetileg közvetlen kifizetésként ezek a pénzek nemzeti társfinanszírozás nélkül kerültek volna a gazdálkodókhoz az első pillérben.</w:t>
      </w:r>
    </w:p>
    <w:p w:rsidR="00052437" w:rsidRPr="00AA1ED3" w:rsidRDefault="00052437" w:rsidP="00AA1ED3">
      <w:pPr>
        <w:pStyle w:val="Cmsor6"/>
      </w:pPr>
      <w:r w:rsidRPr="00AA1ED3">
        <w:t>Kifizetési alsóhatár</w:t>
      </w:r>
    </w:p>
    <w:p w:rsidR="00052437" w:rsidRPr="00AB5DC5" w:rsidRDefault="00052437" w:rsidP="00634CDA">
      <w:r w:rsidRPr="00AB5DC5">
        <w:t xml:space="preserve">A Tanács döntése értelmében 2010-től nem fizethető ki támogatás </w:t>
      </w:r>
      <w:smartTag w:uri="urn:schemas-microsoft-com:office:smarttags" w:element="metricconverter">
        <w:smartTagPr>
          <w:attr w:name="ProductID" w:val="1 ha"/>
        </w:smartTagPr>
        <w:r w:rsidRPr="00AB5DC5">
          <w:t>1 ha</w:t>
        </w:r>
      </w:smartTag>
      <w:r w:rsidRPr="00AB5DC5">
        <w:t xml:space="preserve"> vagy 100 euró összeg alatt. Az összeghatár 2013-as értéken értendő. Ezen küszöbök tagállami hatáskörben változtathatók, ami Magyarország vonatkozásában megegyezik a jelenlegi 0,3 hektáros alsó határral. Esetünkben fontos, hogy az SPS-re történő esetleges átállás esetén is az ültevények 0,3 hektártól - a jelenlegi SAPS előírásokat folytatva – továbbra is jogosultak lehessenek, hiszen ez több ezer hazai kistermelőt tartana benn a rendszerben. A föld nélküli jogosultságok esetében csak összegszerű alsóhatár lehetséges.</w:t>
      </w:r>
    </w:p>
    <w:p w:rsidR="00052437" w:rsidRPr="00AA1ED3" w:rsidRDefault="001B3426" w:rsidP="00AA1ED3">
      <w:pPr>
        <w:pStyle w:val="Cmsor6"/>
      </w:pPr>
      <w:r w:rsidRPr="00AA1ED3">
        <w:t>Kiegészítő támogatás az EU 12 mezőgazdasági termelőinek (</w:t>
      </w:r>
      <w:r w:rsidR="00052437" w:rsidRPr="00AA1ED3">
        <w:t>új tagországoknak 90 millió euró többlettámogatás</w:t>
      </w:r>
      <w:r w:rsidRPr="00AA1ED3">
        <w:t>)</w:t>
      </w:r>
    </w:p>
    <w:p w:rsidR="00052437" w:rsidRPr="00AB5DC5" w:rsidRDefault="00052437" w:rsidP="00AB5DC5">
      <w:r w:rsidRPr="00AB5DC5">
        <w:t>A Bizottság - akceptálva az új tagországok közös kérését, hogy a KAP állapotfelmérés segítse elő a régi és új tagállamok támogatási szintje közötti különbség csökkentését - a döntéssel a megszüntetett energianövény-támogatás jelenlegi, évenkénti teljes összegét - 90 millió eurót- az új tagországok között osztotta fel. Az EU10-ek 2010-, 2011- és 2012-ben részesül</w:t>
      </w:r>
      <w:r w:rsidR="00FC1246" w:rsidRPr="00AB5DC5">
        <w:t>t</w:t>
      </w:r>
      <w:r w:rsidRPr="00AB5DC5">
        <w:t>ek ebből a forrásból. Magyarország évente 13 millió euró többletforráshoz jut</w:t>
      </w:r>
      <w:r w:rsidR="00FC1246" w:rsidRPr="00AB5DC5">
        <w:t xml:space="preserve">ott. </w:t>
      </w:r>
    </w:p>
    <w:p w:rsidR="00052437" w:rsidRPr="00AA1ED3" w:rsidRDefault="00052437" w:rsidP="00AA1ED3">
      <w:pPr>
        <w:pStyle w:val="Cmsor6"/>
      </w:pPr>
      <w:r w:rsidRPr="00AA1ED3">
        <w:t>Nem mezőgazdasági profilú vállalkozások kizárása</w:t>
      </w:r>
    </w:p>
    <w:p w:rsidR="00052437" w:rsidRPr="000E239E" w:rsidRDefault="00052437" w:rsidP="00634CDA">
      <w:pPr>
        <w:rPr>
          <w:rFonts w:cs="Times New Roman"/>
          <w:szCs w:val="22"/>
        </w:rPr>
      </w:pPr>
      <w:r w:rsidRPr="000E239E">
        <w:rPr>
          <w:rFonts w:cs="Times New Roman"/>
          <w:szCs w:val="22"/>
        </w:rPr>
        <w:t>Új szabályozási lehetőség, hogy a tagország 2010-től a nem mezőgazdasági profilú cégeket és személyeket - objektív szempontok alkalmazásával - kizárja a támogatási rendszerből. Ebbe a körbe sorolhatók azon vállalkozások is, melyeknek a mezőgazdasági tevékenység gazdasági össztevékenységük csupán kis részét teszi ki.  Egy 2010-ben készített felmérés alapján azonban kiderült, hogy ezt a pontot egyetlen tagállam sem alkalmazza, lévén igen nehéz bíróság előtt is védhető objektív kritériumokat találni a kizárásra egy olyan szektorban, ahol a szereplők nagy hányada csak melléktevékenységként folytat mezőgazdasági termelést.</w:t>
      </w:r>
    </w:p>
    <w:p w:rsidR="00052437" w:rsidRPr="000E239E" w:rsidRDefault="00052437" w:rsidP="00052437">
      <w:pPr>
        <w:keepNext/>
        <w:ind w:firstLine="0"/>
        <w:rPr>
          <w:rFonts w:cs="Times New Roman"/>
          <w:b/>
          <w:bCs/>
          <w:szCs w:val="22"/>
        </w:rPr>
      </w:pPr>
      <w:r w:rsidRPr="000E239E">
        <w:rPr>
          <w:rFonts w:cs="Times New Roman"/>
          <w:b/>
          <w:bCs/>
          <w:szCs w:val="22"/>
        </w:rPr>
        <w:t>Nem kizárólag mezőgazdasági célú földhasználat</w:t>
      </w:r>
    </w:p>
    <w:p w:rsidR="00052437" w:rsidRPr="000E239E" w:rsidRDefault="00052437" w:rsidP="00634CDA">
      <w:pPr>
        <w:rPr>
          <w:rFonts w:cs="Times New Roman"/>
          <w:szCs w:val="22"/>
        </w:rPr>
      </w:pPr>
      <w:r w:rsidRPr="000E239E">
        <w:rPr>
          <w:rFonts w:cs="Times New Roman"/>
          <w:szCs w:val="22"/>
        </w:rPr>
        <w:t xml:space="preserve">A </w:t>
      </w:r>
      <w:r w:rsidRPr="00954D1F">
        <w:rPr>
          <w:rFonts w:cs="Times New Roman"/>
          <w:i/>
          <w:szCs w:val="22"/>
        </w:rPr>
        <w:t>Health Check</w:t>
      </w:r>
      <w:r w:rsidRPr="000E239E">
        <w:rPr>
          <w:rFonts w:cs="Times New Roman"/>
          <w:szCs w:val="22"/>
        </w:rPr>
        <w:t xml:space="preserve"> szabályok lehetővé tesznek a döntően mezőgazdasági célú földhasználat megtartása mellett korlátozott, nem mezőgazdasági célú földhasználatot is amennyiben az nem akadályozza a mezőgazdasági tevékenységet. A szabályozás kritériumait a tagállamnak kell megalkotnia a tevékenység intenzitása, jellege, időtartama és időpontja alapján.</w:t>
      </w:r>
    </w:p>
    <w:p w:rsidR="00052437" w:rsidRPr="000E239E" w:rsidRDefault="00052437" w:rsidP="00052437">
      <w:pPr>
        <w:ind w:firstLine="0"/>
        <w:rPr>
          <w:rFonts w:cs="Times New Roman"/>
          <w:b/>
          <w:bCs/>
          <w:szCs w:val="22"/>
        </w:rPr>
      </w:pPr>
      <w:r w:rsidRPr="000E239E">
        <w:rPr>
          <w:rFonts w:cs="Times New Roman"/>
          <w:b/>
          <w:bCs/>
          <w:szCs w:val="22"/>
        </w:rPr>
        <w:t>Támogatások termeléshez kötése</w:t>
      </w:r>
    </w:p>
    <w:p w:rsidR="00052437" w:rsidRPr="000E239E" w:rsidRDefault="00052437" w:rsidP="00634CDA">
      <w:pPr>
        <w:rPr>
          <w:rFonts w:cs="Times New Roman"/>
          <w:szCs w:val="22"/>
        </w:rPr>
      </w:pPr>
      <w:r w:rsidRPr="000E239E">
        <w:rPr>
          <w:rFonts w:cs="Times New Roman"/>
          <w:szCs w:val="22"/>
        </w:rPr>
        <w:t xml:space="preserve">Az opcionálisan termeléshez köthető támogatások esetében az anyajuh (50%) és az anyatehén (100%) jogcímek változatlan formában köthetők termeléshez. A magyarországi sajátosságok következtében azonban – az anyajuh támogatás jogcím, a SAPS területre jutó levonás nagysága miatt teljes egészében, míg az anyatehén, a több elemből álló boríték miatt részben köthető termeléshez. A kötelezően termeléshez kötött rizs, héjas gyümölcsök, fehérjenövények és az átmeneti bogyós gyümölcs támogatás továbbá a feldolgozóipari támogatásban részesülő szárított takarmány esetében 2012-ig meghosszabbították a régi rendszert, míg a durumbúza és az energianövények esetében a termeléshez kötés 2009 végéig volt lehetséges. </w:t>
      </w:r>
    </w:p>
    <w:p w:rsidR="00052437" w:rsidRPr="00AA1ED3" w:rsidRDefault="00052437" w:rsidP="00AA1ED3">
      <w:pPr>
        <w:pStyle w:val="Cmsor6"/>
      </w:pPr>
      <w:r w:rsidRPr="00AA1ED3">
        <w:lastRenderedPageBreak/>
        <w:t>A 68. cikk (Különleges támogatások)</w:t>
      </w:r>
    </w:p>
    <w:p w:rsidR="002C699E" w:rsidRPr="00AA1ED3" w:rsidRDefault="002C699E" w:rsidP="00AA1ED3">
      <w:r w:rsidRPr="00AA1ED3">
        <w:t xml:space="preserve">A megállapodás szerint a tagállamok ágazatonként a nemzeti felső határuk (közvetlen támogatások összege) 10%-át elkülönítve használhatják fel, amelyeket az adott ágazatban a környezet védelme és a termékek minőségének és forgalmazásának javítása érdekében hozott intézkedésekkel kapcsolatos közvetlen kifizetések céljára fordíthatnak. Ez a lehetőség sokkal rugalmasabbá válik: fordítható arra, hogy a </w:t>
      </w:r>
      <w:r w:rsidRPr="002657B7">
        <w:rPr>
          <w:b/>
          <w:spacing w:val="-2"/>
          <w:szCs w:val="22"/>
          <w:lang w:eastAsia="en-GB"/>
        </w:rPr>
        <w:t>hátrányos helyzetű régiókban</w:t>
      </w:r>
      <w:r w:rsidRPr="00AA1ED3">
        <w:t xml:space="preserve"> tejet, marhahúst, kecske- és juhhúst, valamint rizst termelők vagy </w:t>
      </w:r>
      <w:r w:rsidRPr="002657B7">
        <w:rPr>
          <w:b/>
          <w:spacing w:val="-2"/>
          <w:szCs w:val="22"/>
          <w:lang w:eastAsia="en-GB"/>
        </w:rPr>
        <w:t>veszélyeztetett gazdálkodási ágak</w:t>
      </w:r>
      <w:r w:rsidRPr="00AA1ED3">
        <w:t xml:space="preserve"> támogatást kapjanak. Továbbá kockázatkezelési intézkedések, például katasztrófák esetén biztosítási programok vagy az állatbetegségeket kezelő közös alapok. Fontos, hogy ez a lehetőség az SAPS rendszert működtető tagállamok részére is elérhető. Speciális támogatás mind a SAPS, mind az SPS rendszerben nyújtható az ország teljes pénzügyi támogatási borítékának maximum 10%-áig. Ez a 10%-os keret két részre oszlik: (a) termeléshez kötött konstrukciók 3,5%-ig, (b) termeléstől leválasztott konstrukciók 6,5%-ig.</w:t>
      </w:r>
    </w:p>
    <w:p w:rsidR="00052437" w:rsidRPr="00AA1ED3" w:rsidRDefault="00052437" w:rsidP="00634CDA">
      <w:r w:rsidRPr="00AA1ED3">
        <w:t>Magyarországon 2010-től a következő területeken alkalmazzuk a külön</w:t>
      </w:r>
      <w:r w:rsidR="002C699E" w:rsidRPr="00AA1ED3">
        <w:t>leges támogatásokat: tejszektor,</w:t>
      </w:r>
      <w:r w:rsidRPr="00AA1ED3">
        <w:t xml:space="preserve"> dohány szerkezetátalakítási program, zöldség-gyümölcs szerkezetátalakítási program.</w:t>
      </w:r>
    </w:p>
    <w:p w:rsidR="00052437" w:rsidRPr="00AA1ED3" w:rsidRDefault="00052437" w:rsidP="00AA1ED3">
      <w:pPr>
        <w:pStyle w:val="Cmsor6"/>
      </w:pPr>
      <w:r w:rsidRPr="00AA1ED3">
        <w:t>Kölcsönös megfeleltetés bevezetése</w:t>
      </w:r>
    </w:p>
    <w:p w:rsidR="00D16AD7" w:rsidRPr="002657B7" w:rsidRDefault="00D16AD7" w:rsidP="00634CDA">
      <w:r w:rsidRPr="002657B7">
        <w:t xml:space="preserve">A mezőgazdasági termelők támogatásának feltétele bizonyos környezetvédelmi, állatjólléti és élelmiszerminőséggel kapcsolatos </w:t>
      </w:r>
      <w:r w:rsidRPr="002657B7">
        <w:rPr>
          <w:b/>
        </w:rPr>
        <w:t>előírások betartása</w:t>
      </w:r>
      <w:r w:rsidRPr="002657B7">
        <w:t>. Ha a mezőgazdasági termelő nem tartja be a szabályokat, akkor a számára kifizetendő támogatás csökkentésével kell számolnia. Ez egyszerűbbé válik azoknak az előírásoknak az eltörlésével, amelyek a mezőgazdasági termelő felelőssége szempontjából nem relevánsak, vagy ahhoz nem kapcsolódnak. A rendszer új követelményekkel is kiegészül, amelyek segítségével megőrizhetők a területpihentetésből eredő kedvező környezeti hatások, és megoldhatók egyes vízgazdálkodási problémák. Az új tagállamok elérték, hogy az állatjóléti követelményeket csak 2013-tól alkalmazzák.</w:t>
      </w:r>
    </w:p>
    <w:p w:rsidR="00052437" w:rsidRPr="00AA1ED3" w:rsidRDefault="00052437" w:rsidP="00AA1ED3">
      <w:pPr>
        <w:pStyle w:val="Cmsor6"/>
      </w:pPr>
      <w:r w:rsidRPr="00AA1ED3">
        <w:t>Intervenció</w:t>
      </w:r>
    </w:p>
    <w:p w:rsidR="00052437" w:rsidRPr="00B35B48" w:rsidRDefault="00052437" w:rsidP="00634CDA">
      <w:pPr>
        <w:rPr>
          <w:b/>
          <w:szCs w:val="22"/>
        </w:rPr>
      </w:pPr>
      <w:r w:rsidRPr="00B35B48">
        <w:rPr>
          <w:szCs w:val="22"/>
        </w:rPr>
        <w:t xml:space="preserve">A gabona intervenció jelenlegi szabályozása szerint a búzán kívül minden más intervencióra jogosult gabona (kukorica, árpa, rizs, durumbúza, cirok) intervenciós </w:t>
      </w:r>
      <w:r w:rsidRPr="006B5DD6">
        <w:rPr>
          <w:szCs w:val="22"/>
        </w:rPr>
        <w:t>felvásárlása évente 0 tonnában van</w:t>
      </w:r>
      <w:r w:rsidRPr="00B35B48">
        <w:rPr>
          <w:szCs w:val="22"/>
        </w:rPr>
        <w:t xml:space="preserve"> rögzítve azzal, hogy a felvásárolható mennyiséget az aktuális piaci helyzet figyelembevételével a Bizottság bármikor megemelheti. </w:t>
      </w:r>
    </w:p>
    <w:p w:rsidR="00052437" w:rsidRPr="00B35B48" w:rsidRDefault="00052437" w:rsidP="00634CDA">
      <w:pPr>
        <w:rPr>
          <w:b/>
          <w:szCs w:val="22"/>
        </w:rPr>
      </w:pPr>
      <w:r w:rsidRPr="00B35B48">
        <w:rPr>
          <w:szCs w:val="22"/>
        </w:rPr>
        <w:t xml:space="preserve">Ezeknél a gabonáknál (kukorica, árpa, rizs, durumbúza, cirok) az intervenciós felvásárlás – amennyiben erre sor kerül – az eddigi fix áras (101,31 </w:t>
      </w:r>
      <w:r w:rsidR="00954D1F">
        <w:rPr>
          <w:szCs w:val="22"/>
        </w:rPr>
        <w:t>euró</w:t>
      </w:r>
      <w:r w:rsidRPr="00B35B48">
        <w:rPr>
          <w:szCs w:val="22"/>
        </w:rPr>
        <w:t xml:space="preserve">/t) felvásárlással ellentétben pályázatos rendszerben működik. Ennek értelmében a beérkező felajánlások közül csak a legkedvezőbbeket fogadja el a Bizottság, a felvásárlási ár nem lehet magasabb a 101,31 </w:t>
      </w:r>
      <w:r w:rsidR="00954D1F">
        <w:rPr>
          <w:szCs w:val="22"/>
        </w:rPr>
        <w:t>euró</w:t>
      </w:r>
      <w:r w:rsidRPr="00B35B48">
        <w:rPr>
          <w:szCs w:val="22"/>
        </w:rPr>
        <w:t xml:space="preserve">/t intervenciós árnál. </w:t>
      </w:r>
    </w:p>
    <w:p w:rsidR="00052437" w:rsidRPr="00B35B48" w:rsidRDefault="00052437" w:rsidP="00634CDA">
      <w:pPr>
        <w:rPr>
          <w:szCs w:val="22"/>
        </w:rPr>
      </w:pPr>
      <w:r w:rsidRPr="00B35B48">
        <w:rPr>
          <w:szCs w:val="22"/>
        </w:rPr>
        <w:t xml:space="preserve">A búza intervenciója EU-s szinten évente 3 millió tonnás felvásárlásig a 101,31 </w:t>
      </w:r>
      <w:r w:rsidR="00954D1F">
        <w:rPr>
          <w:szCs w:val="22"/>
        </w:rPr>
        <w:t>euró</w:t>
      </w:r>
      <w:r w:rsidRPr="00B35B48">
        <w:rPr>
          <w:szCs w:val="22"/>
        </w:rPr>
        <w:t>/t fix intervenciós áron működik, e mennyiség felett is kötelezően nyitva marad az intervenció, de a fix felvásárlási ár helyett a többi intervencióra jogosult gabonánál használatos pályázatos eljárást kell alkalmaznia a Bizottságnak. A búza intervenció minden évben november 1-től a következő év május 31-ig van nyitva.</w:t>
      </w:r>
    </w:p>
    <w:p w:rsidR="00052437" w:rsidRPr="00B35B48" w:rsidRDefault="00052437" w:rsidP="00634CDA">
      <w:pPr>
        <w:rPr>
          <w:szCs w:val="22"/>
        </w:rPr>
      </w:pPr>
      <w:r w:rsidRPr="00B35B48">
        <w:rPr>
          <w:szCs w:val="22"/>
        </w:rPr>
        <w:t>Állati termékekre vonatkozóan megszűnik a sertéshús intervenció, valamint a sajt magántárolási lehetősége.</w:t>
      </w:r>
    </w:p>
    <w:p w:rsidR="00052437" w:rsidRPr="00AA1ED3" w:rsidRDefault="00052437" w:rsidP="00AA1ED3">
      <w:pPr>
        <w:pStyle w:val="Cmsor6"/>
      </w:pPr>
      <w:r w:rsidRPr="00AA1ED3">
        <w:t>Tejkvóta</w:t>
      </w:r>
    </w:p>
    <w:p w:rsidR="00052437" w:rsidRPr="00B35B48" w:rsidRDefault="00052437" w:rsidP="00634CDA">
      <w:pPr>
        <w:rPr>
          <w:szCs w:val="22"/>
        </w:rPr>
      </w:pPr>
      <w:r w:rsidRPr="00B35B48">
        <w:rPr>
          <w:szCs w:val="22"/>
        </w:rPr>
        <w:t>A Tanács elfogadta a Bizottság javaslatát, amely szerint 2009-től indulóan 5 éven át minden évben 1 százalékkal emelkedik a tejkvóta, mielőtt 2015-ben végleg eltörölnék.</w:t>
      </w:r>
    </w:p>
    <w:p w:rsidR="00052437" w:rsidRPr="00B35B48" w:rsidRDefault="00052437" w:rsidP="00634CDA">
      <w:pPr>
        <w:rPr>
          <w:szCs w:val="22"/>
        </w:rPr>
      </w:pPr>
      <w:r w:rsidRPr="00B35B48">
        <w:rPr>
          <w:szCs w:val="22"/>
        </w:rPr>
        <w:t>A döntés piacvesztést okozhat a hazai tejtermelőknél, főként azért, mert hazánk nyerstej exportőrnek számít, és a kvótaemelés miatt kiszorulhat például az olasz piacról. Ezen túlmenően a kvótaemeléssel termelésbővülést elérő, környező országok jelentős mennyiségű, a magyar tejnél olcsóbb tejet és tejtermékeket szállíthatnak a magyar piacra.</w:t>
      </w:r>
    </w:p>
    <w:p w:rsidR="00052437" w:rsidRPr="00E17A46" w:rsidRDefault="00052437" w:rsidP="00634CDA">
      <w:pPr>
        <w:rPr>
          <w:szCs w:val="22"/>
        </w:rPr>
      </w:pPr>
      <w:r w:rsidRPr="00B35B48">
        <w:rPr>
          <w:szCs w:val="22"/>
        </w:rPr>
        <w:lastRenderedPageBreak/>
        <w:t>A döntés azt is magába foglalja, hogy amennyiben az üzemi kvótakihasználás nem éri el a 85%-ot (korábban 70% volt ez az érték), a tagállamok a nemzeti tartalékba helyezhetik a fel nem használt részt. A tejágazatot ugyanakkor a vidékfejlesztés keretében létrehozott külön forrás (speciális intézkedésekkel) segítheti az átállásban.</w:t>
      </w:r>
      <w:r w:rsidRPr="00B35B48">
        <w:rPr>
          <w:color w:val="FF0000"/>
          <w:szCs w:val="22"/>
        </w:rPr>
        <w:t xml:space="preserve"> </w:t>
      </w:r>
    </w:p>
    <w:p w:rsidR="00884251" w:rsidRPr="00896E03" w:rsidRDefault="00884251" w:rsidP="00DB48A3">
      <w:pPr>
        <w:pStyle w:val="Cmsor3"/>
      </w:pPr>
      <w:bookmarkStart w:id="454" w:name="_Toc200710313"/>
      <w:bookmarkStart w:id="455" w:name="_Toc200711675"/>
      <w:bookmarkStart w:id="456" w:name="_Toc232860212"/>
      <w:bookmarkStart w:id="457" w:name="_Toc360176852"/>
      <w:bookmarkEnd w:id="454"/>
      <w:bookmarkEnd w:id="455"/>
      <w:r w:rsidRPr="00896E03">
        <w:t>Kapcsolódás az uniós politikákhoz</w:t>
      </w:r>
      <w:bookmarkEnd w:id="456"/>
      <w:bookmarkEnd w:id="457"/>
      <w:r w:rsidR="0084371F" w:rsidRPr="00896E03">
        <w:t xml:space="preserve"> </w:t>
      </w:r>
      <w:r w:rsidR="00596555" w:rsidRPr="00896E03">
        <w:t xml:space="preserve"> </w:t>
      </w:r>
    </w:p>
    <w:p w:rsidR="004D4D93" w:rsidRPr="00E17A46" w:rsidRDefault="00884251" w:rsidP="00634CDA">
      <w:pPr>
        <w:rPr>
          <w:szCs w:val="22"/>
        </w:rPr>
      </w:pPr>
      <w:r w:rsidRPr="00E17A46">
        <w:rPr>
          <w:szCs w:val="22"/>
        </w:rPr>
        <w:t xml:space="preserve">Az Új Magyarország Vidékfejlesztési Program megvalósításában további lehetőséget, egyes esetekben pedig a támogatások igénybevételének feltételét jelenti a különféle uniós </w:t>
      </w:r>
      <w:r w:rsidR="004D4D93" w:rsidRPr="00E17A46">
        <w:rPr>
          <w:szCs w:val="22"/>
        </w:rPr>
        <w:t>stratégiákhoz való kapcsolódás.</w:t>
      </w:r>
    </w:p>
    <w:p w:rsidR="004D4D93" w:rsidRPr="00E17A46" w:rsidRDefault="00884251" w:rsidP="00634CDA">
      <w:pPr>
        <w:rPr>
          <w:szCs w:val="22"/>
        </w:rPr>
      </w:pPr>
      <w:r w:rsidRPr="00E17A46">
        <w:rPr>
          <w:szCs w:val="22"/>
        </w:rPr>
        <w:t xml:space="preserve">A versenyképes mezőgazdasági termelés megvalósítása, a szerkezetátalakítás, az élelmiszerbiztonság megteremtése konzisztensen illeszkedik az </w:t>
      </w:r>
      <w:r w:rsidR="0067607D" w:rsidRPr="00E17A46">
        <w:rPr>
          <w:szCs w:val="22"/>
        </w:rPr>
        <w:t>euró</w:t>
      </w:r>
      <w:r w:rsidRPr="00E17A46">
        <w:rPr>
          <w:szCs w:val="22"/>
        </w:rPr>
        <w:t>pai Biogazdálkozási és Él</w:t>
      </w:r>
      <w:r w:rsidR="004D4D93" w:rsidRPr="00E17A46">
        <w:rPr>
          <w:szCs w:val="22"/>
        </w:rPr>
        <w:t>elmezési Cselekvési Programhoz</w:t>
      </w:r>
      <w:r w:rsidRPr="00E17A46">
        <w:rPr>
          <w:szCs w:val="22"/>
        </w:rPr>
        <w:t>, a megújuló energiaforrások felhasználását ösztönző kötelezettségvállaláshoz</w:t>
      </w:r>
      <w:r w:rsidR="004D4D93" w:rsidRPr="00E17A46">
        <w:rPr>
          <w:szCs w:val="22"/>
        </w:rPr>
        <w:t>.</w:t>
      </w:r>
    </w:p>
    <w:p w:rsidR="00884251" w:rsidRPr="00E17A46" w:rsidRDefault="00884251" w:rsidP="00634CDA">
      <w:pPr>
        <w:rPr>
          <w:szCs w:val="22"/>
        </w:rPr>
      </w:pPr>
      <w:r w:rsidRPr="00E17A46">
        <w:rPr>
          <w:szCs w:val="22"/>
        </w:rPr>
        <w:t>A racionális földhasznosítást, a mezőgazdasági és erdészeti rendszerek kialakítását szolgáló fejlesztések forrásai a Natura 2000 és a Víz Keretirányelv programjaiban való részvétellel növelhetők. Az éghajlatváltozás hatásainak tudatos kompenzálásához további lehetőséget nyújt az EU erdészeti stratégiai és cselekvési terve, amely igen fontos a fenntarthatósággal és a munkahelyteremtéssel kapcsolatos intézkedések megvalósításában. Az Új Magyarország Vidékfejlesztési Program valamennyi prioritása közvetett vagy közvetlen kapcsolatban van az EU környezetvédelmi cselekvési programjával.</w:t>
      </w:r>
    </w:p>
    <w:p w:rsidR="00461517" w:rsidRPr="00896E03" w:rsidRDefault="00461517" w:rsidP="00DB48A3">
      <w:pPr>
        <w:pStyle w:val="Cmsor3"/>
      </w:pPr>
      <w:bookmarkStart w:id="458" w:name="_Toc328638762"/>
      <w:bookmarkStart w:id="459" w:name="_Toc360176853"/>
      <w:r w:rsidRPr="00896E03">
        <w:t>Közbeszerzés</w:t>
      </w:r>
      <w:bookmarkEnd w:id="458"/>
      <w:bookmarkEnd w:id="459"/>
      <w:r w:rsidRPr="00896E03">
        <w:t xml:space="preserve"> </w:t>
      </w:r>
    </w:p>
    <w:p w:rsidR="00461517" w:rsidRPr="00AA1ED3" w:rsidRDefault="00461517" w:rsidP="00AA1ED3">
      <w:r w:rsidRPr="00AA1ED3">
        <w:t>A közbeszerzésekről szóló 2003. évi CXXIX. törvény 2012. január 1-jén hatályát vesztette, rendelkezéseit a 2012. január 1. napját megelőzően megkezdett beszerzésekre, közbeszerzési eljárások alapján megkötött szerződésekre, tervpályázati eljárásokra és az azokkal kapcsolatban kérelmezett, kezdeményezett vagy hivatalból indított jogorvoslati eljárásokra és előzetes vitarendezési eljárásokra kell alkalmazni.</w:t>
      </w:r>
    </w:p>
    <w:p w:rsidR="00461517" w:rsidRPr="00AA1ED3" w:rsidRDefault="00461517" w:rsidP="00AA1ED3">
      <w:r w:rsidRPr="00AA1ED3">
        <w:t>2012. január 1-jét követően a Közbeszerzésekről szóló 2011. évi CVIII. törvényben (a továbbiakban: Kbt.) foglaltakat kell alkalmazni.</w:t>
      </w:r>
    </w:p>
    <w:p w:rsidR="00461517" w:rsidRPr="00AA1ED3" w:rsidRDefault="00461517" w:rsidP="00AA1ED3">
      <w:pPr>
        <w:pStyle w:val="Cmsor6"/>
      </w:pPr>
      <w:r w:rsidRPr="00AA1ED3">
        <w:t xml:space="preserve">A törvény felépítése: </w:t>
      </w:r>
    </w:p>
    <w:p w:rsidR="00461517" w:rsidRPr="00AA1ED3" w:rsidRDefault="00461517" w:rsidP="00AA1ED3">
      <w:r w:rsidRPr="00AA1ED3">
        <w:t xml:space="preserve">Első rész: Általános rendelkezések - valamennyi eljárásrendre és típusra alkalmazandó. </w:t>
      </w:r>
    </w:p>
    <w:p w:rsidR="00461517" w:rsidRPr="00AA1ED3" w:rsidRDefault="00461517" w:rsidP="00AA1ED3">
      <w:r w:rsidRPr="00AA1ED3">
        <w:t xml:space="preserve">Második rész: Az uniós értékhatárt elérő értékű közbeszerzések szabályai - ezen a részen belül az építési koncesszióra vonatkozó szabályok és közszolgáltatókra vonatkozó szabályok. </w:t>
      </w:r>
    </w:p>
    <w:p w:rsidR="00461517" w:rsidRPr="00AA1ED3" w:rsidRDefault="00461517" w:rsidP="00AA1ED3">
      <w:r w:rsidRPr="00AA1ED3">
        <w:t xml:space="preserve">Harmadik rész: A nemzeti eljárásrend. </w:t>
      </w:r>
    </w:p>
    <w:p w:rsidR="00461517" w:rsidRPr="00AA1ED3" w:rsidRDefault="00461517" w:rsidP="00AA1ED3">
      <w:r w:rsidRPr="00AA1ED3">
        <w:t xml:space="preserve">Negyedik rész: A közbeszerzési szerződések: a közbeszerzési eljárás alapján létrejövő szerződés megkötése, tartalma, érvénytelensége, A megkötött szerződés módosítása és teljesítése, valamint a biztosítékok. </w:t>
      </w:r>
    </w:p>
    <w:p w:rsidR="00461517" w:rsidRPr="00AA1ED3" w:rsidRDefault="00461517" w:rsidP="00AA1ED3">
      <w:r w:rsidRPr="00AA1ED3">
        <w:t xml:space="preserve">Ötödik rész: A közbeszerzésekkel kapcsolatos jogorvoslat </w:t>
      </w:r>
    </w:p>
    <w:p w:rsidR="00461517" w:rsidRPr="00AA1ED3" w:rsidRDefault="00461517" w:rsidP="00AA1ED3">
      <w:r w:rsidRPr="00AA1ED3">
        <w:t>Hatodik rész: A Közbeszerzési Hatóság (korábban: Közbeszerzések Tanácsa)</w:t>
      </w:r>
    </w:p>
    <w:p w:rsidR="00461517" w:rsidRPr="00AA1ED3" w:rsidRDefault="00461517" w:rsidP="00AA1ED3">
      <w:r w:rsidRPr="00AA1ED3">
        <w:t xml:space="preserve">Hetedik rész: Záró rendelkezések </w:t>
      </w:r>
    </w:p>
    <w:p w:rsidR="00461517" w:rsidRPr="00AA1ED3" w:rsidRDefault="00461517" w:rsidP="00AA1ED3">
      <w:pPr>
        <w:pStyle w:val="Cmsor6"/>
      </w:pPr>
      <w:r w:rsidRPr="00AA1ED3">
        <w:t xml:space="preserve">A közbeszerzési eljárás tárgya </w:t>
      </w:r>
    </w:p>
    <w:p w:rsidR="00461517" w:rsidRPr="00E17A46" w:rsidRDefault="00461517" w:rsidP="005E6125">
      <w:pPr>
        <w:pStyle w:val="Normllista1"/>
        <w:rPr>
          <w:lang w:eastAsia="en-US"/>
        </w:rPr>
      </w:pPr>
      <w:r w:rsidRPr="00E17A46">
        <w:rPr>
          <w:lang w:eastAsia="en-US"/>
        </w:rPr>
        <w:t xml:space="preserve">- árubeszerzés </w:t>
      </w:r>
    </w:p>
    <w:p w:rsidR="00461517" w:rsidRPr="00E17A46" w:rsidRDefault="00461517" w:rsidP="005E6125">
      <w:pPr>
        <w:pStyle w:val="Normllista1"/>
        <w:rPr>
          <w:lang w:eastAsia="en-US"/>
        </w:rPr>
      </w:pPr>
      <w:r w:rsidRPr="00E17A46">
        <w:rPr>
          <w:lang w:eastAsia="en-US"/>
        </w:rPr>
        <w:t xml:space="preserve">- építési beruházás </w:t>
      </w:r>
    </w:p>
    <w:p w:rsidR="00461517" w:rsidRPr="00E17A46" w:rsidRDefault="00461517" w:rsidP="005E6125">
      <w:pPr>
        <w:pStyle w:val="Normllista1"/>
        <w:rPr>
          <w:lang w:eastAsia="en-US"/>
        </w:rPr>
      </w:pPr>
      <w:r w:rsidRPr="00E17A46">
        <w:rPr>
          <w:lang w:eastAsia="en-US"/>
        </w:rPr>
        <w:lastRenderedPageBreak/>
        <w:t xml:space="preserve">- építési koncesszió (klasszikus ajánlatkérők esetén) </w:t>
      </w:r>
    </w:p>
    <w:p w:rsidR="00461517" w:rsidRPr="00E17A46" w:rsidRDefault="00461517" w:rsidP="005E6125">
      <w:pPr>
        <w:pStyle w:val="Normllista1"/>
        <w:rPr>
          <w:lang w:eastAsia="en-US"/>
        </w:rPr>
      </w:pPr>
      <w:r w:rsidRPr="00E17A46">
        <w:rPr>
          <w:lang w:eastAsia="en-US"/>
        </w:rPr>
        <w:t xml:space="preserve">- szolgáltatás megrendelése </w:t>
      </w:r>
    </w:p>
    <w:p w:rsidR="00461517" w:rsidRPr="00E17A46" w:rsidRDefault="00461517" w:rsidP="005E6125">
      <w:pPr>
        <w:pStyle w:val="Normllista1"/>
        <w:rPr>
          <w:lang w:eastAsia="en-US"/>
        </w:rPr>
      </w:pPr>
      <w:r w:rsidRPr="00E17A46">
        <w:rPr>
          <w:lang w:eastAsia="en-US"/>
        </w:rPr>
        <w:t xml:space="preserve">- szolgáltatási koncesszió (csak nemzeti eljárásrendben, csak klasszikus ajánlatkérők esetén) </w:t>
      </w:r>
    </w:p>
    <w:p w:rsidR="00461517" w:rsidRPr="00E17A46" w:rsidRDefault="00461517" w:rsidP="009C4E1A">
      <w:pPr>
        <w:pStyle w:val="Cmsor6"/>
      </w:pPr>
      <w:r w:rsidRPr="00E17A46">
        <w:t>Közbeszerzési értékhatárok</w:t>
      </w:r>
    </w:p>
    <w:p w:rsidR="00461517" w:rsidRPr="00E17A46" w:rsidRDefault="00461517" w:rsidP="004869BB">
      <w:r w:rsidRPr="00E17A46">
        <w:t>A jelenleg hatályos törvény nem tartalmazza sem a nemzeti, sem az uniós közbeszerzési értékhatárokat. A közbeszerzési értékhatárok meghatározott időközönként változhatnak. Az értékhatárok felülvizsgálata két évente történik. A nemzeti közbeszerzési értékhatár minden évben a költségvetési törvényben kerülnek meghatározásra. A 2012. január 1-jétől 2012. december 31-éig a közösségi eljárásrendben, valamint a nemzeti eljárásrendben irányadó közbeszerzési értékhatárok a Magyar Köztársaság 2012. évi költségvetéséről szóló 2011. évi CLXXXVIII. törvény határozza meg. Közbeszerzési értékhatárok 2012. január 1-jétől - 2012. december 31-éig</w:t>
      </w:r>
    </w:p>
    <w:p w:rsidR="00461517" w:rsidRPr="00E17A46" w:rsidRDefault="00461517" w:rsidP="004869BB">
      <w:r w:rsidRPr="00E17A46">
        <w:t>Nemzeti eljárásrendben:</w:t>
      </w:r>
    </w:p>
    <w:tbl>
      <w:tblPr>
        <w:tblW w:w="9747" w:type="dxa"/>
        <w:tblBorders>
          <w:top w:val="nil"/>
          <w:left w:val="nil"/>
          <w:bottom w:val="nil"/>
          <w:right w:val="nil"/>
        </w:tblBorders>
        <w:tblLayout w:type="fixed"/>
        <w:tblLook w:val="0000" w:firstRow="0" w:lastRow="0" w:firstColumn="0" w:lastColumn="0" w:noHBand="0" w:noVBand="0"/>
      </w:tblPr>
      <w:tblGrid>
        <w:gridCol w:w="4189"/>
        <w:gridCol w:w="5558"/>
      </w:tblGrid>
      <w:tr w:rsidR="00461517" w:rsidRPr="00E17A46" w:rsidTr="00461517">
        <w:trPr>
          <w:trHeight w:val="110"/>
        </w:trPr>
        <w:tc>
          <w:tcPr>
            <w:tcW w:w="4189" w:type="dxa"/>
          </w:tcPr>
          <w:p w:rsidR="00461517" w:rsidRPr="00E17A46" w:rsidRDefault="00461517" w:rsidP="00AA1ED3">
            <w:pPr>
              <w:pStyle w:val="Tbla-kzp"/>
            </w:pPr>
            <w:r w:rsidRPr="00E17A46">
              <w:t xml:space="preserve">árubeszerzés esetében: </w:t>
            </w:r>
          </w:p>
        </w:tc>
        <w:tc>
          <w:tcPr>
            <w:tcW w:w="5558" w:type="dxa"/>
          </w:tcPr>
          <w:p w:rsidR="00461517" w:rsidRPr="00E17A46" w:rsidRDefault="00461517" w:rsidP="00AA1ED3">
            <w:pPr>
              <w:pStyle w:val="Tbla-kzp"/>
            </w:pPr>
            <w:r w:rsidRPr="00E17A46">
              <w:t xml:space="preserve">8 millió Ft. </w:t>
            </w:r>
          </w:p>
        </w:tc>
      </w:tr>
      <w:tr w:rsidR="00461517" w:rsidRPr="00E17A46" w:rsidTr="00461517">
        <w:trPr>
          <w:trHeight w:val="110"/>
        </w:trPr>
        <w:tc>
          <w:tcPr>
            <w:tcW w:w="4189" w:type="dxa"/>
            <w:tcBorders>
              <w:left w:val="nil"/>
              <w:bottom w:val="nil"/>
            </w:tcBorders>
          </w:tcPr>
          <w:p w:rsidR="00461517" w:rsidRPr="00E17A46" w:rsidRDefault="00461517" w:rsidP="00AA1ED3">
            <w:pPr>
              <w:pStyle w:val="Tbla-kzp"/>
            </w:pPr>
            <w:r w:rsidRPr="00E17A46">
              <w:t xml:space="preserve">építési beruházás esetében: </w:t>
            </w:r>
          </w:p>
        </w:tc>
        <w:tc>
          <w:tcPr>
            <w:tcW w:w="5558" w:type="dxa"/>
            <w:tcBorders>
              <w:bottom w:val="nil"/>
              <w:right w:val="nil"/>
            </w:tcBorders>
          </w:tcPr>
          <w:p w:rsidR="00461517" w:rsidRPr="00E17A46" w:rsidRDefault="00461517" w:rsidP="00AA1ED3">
            <w:pPr>
              <w:pStyle w:val="Tbla-kzp"/>
            </w:pPr>
            <w:r w:rsidRPr="00E17A46">
              <w:t xml:space="preserve">15 millió Ft. </w:t>
            </w:r>
          </w:p>
        </w:tc>
      </w:tr>
      <w:tr w:rsidR="00461517" w:rsidRPr="00E17A46" w:rsidTr="00461517">
        <w:trPr>
          <w:trHeight w:val="110"/>
        </w:trPr>
        <w:tc>
          <w:tcPr>
            <w:tcW w:w="4189" w:type="dxa"/>
            <w:tcBorders>
              <w:left w:val="nil"/>
              <w:bottom w:val="nil"/>
            </w:tcBorders>
          </w:tcPr>
          <w:p w:rsidR="00461517" w:rsidRPr="00E17A46" w:rsidRDefault="00461517" w:rsidP="00AA1ED3">
            <w:pPr>
              <w:pStyle w:val="Tbla-kzp"/>
            </w:pPr>
            <w:r w:rsidRPr="00E17A46">
              <w:t xml:space="preserve">építési koncesszió esetében: </w:t>
            </w:r>
          </w:p>
        </w:tc>
        <w:tc>
          <w:tcPr>
            <w:tcW w:w="5558" w:type="dxa"/>
            <w:tcBorders>
              <w:bottom w:val="nil"/>
              <w:right w:val="nil"/>
            </w:tcBorders>
          </w:tcPr>
          <w:p w:rsidR="00461517" w:rsidRPr="00E17A46" w:rsidRDefault="00461517" w:rsidP="00AA1ED3">
            <w:pPr>
              <w:pStyle w:val="Tbla-kzp"/>
            </w:pPr>
            <w:r w:rsidRPr="00E17A46">
              <w:t xml:space="preserve">100 millió Ft. </w:t>
            </w:r>
          </w:p>
        </w:tc>
      </w:tr>
      <w:tr w:rsidR="00461517" w:rsidRPr="00E17A46" w:rsidTr="00461517">
        <w:trPr>
          <w:trHeight w:val="110"/>
        </w:trPr>
        <w:tc>
          <w:tcPr>
            <w:tcW w:w="4189" w:type="dxa"/>
            <w:tcBorders>
              <w:left w:val="nil"/>
              <w:bottom w:val="nil"/>
            </w:tcBorders>
          </w:tcPr>
          <w:p w:rsidR="00461517" w:rsidRPr="00E17A46" w:rsidRDefault="00461517" w:rsidP="00AA1ED3">
            <w:pPr>
              <w:pStyle w:val="Tbla-kzp"/>
            </w:pPr>
            <w:r w:rsidRPr="00E17A46">
              <w:t xml:space="preserve">szolgáltatás megrendelése </w:t>
            </w:r>
          </w:p>
        </w:tc>
        <w:tc>
          <w:tcPr>
            <w:tcW w:w="5558" w:type="dxa"/>
            <w:tcBorders>
              <w:bottom w:val="nil"/>
              <w:right w:val="nil"/>
            </w:tcBorders>
          </w:tcPr>
          <w:p w:rsidR="00461517" w:rsidRPr="00E17A46" w:rsidRDefault="00461517" w:rsidP="00AA1ED3">
            <w:pPr>
              <w:pStyle w:val="Tbla-kzp"/>
            </w:pPr>
            <w:r w:rsidRPr="00E17A46">
              <w:t xml:space="preserve">8 millió Ft. </w:t>
            </w:r>
          </w:p>
        </w:tc>
      </w:tr>
    </w:tbl>
    <w:p w:rsidR="00461517" w:rsidRPr="00E17A46" w:rsidRDefault="00461517" w:rsidP="005E6125"/>
    <w:p w:rsidR="00461517" w:rsidRPr="00E17A46" w:rsidRDefault="00461517" w:rsidP="005E6125">
      <w:r w:rsidRPr="00E17A46">
        <w:t>Kivételek, amelyekre nem kell a közbeszerzési törvény szabályait alkalmazni</w:t>
      </w:r>
      <w:r w:rsidR="00954D1F">
        <w:t>.</w:t>
      </w:r>
      <w:r w:rsidRPr="00E17A46">
        <w:t xml:space="preserve"> </w:t>
      </w:r>
    </w:p>
    <w:p w:rsidR="00461517" w:rsidRPr="00E17A46" w:rsidRDefault="00461517" w:rsidP="005E6125">
      <w:r w:rsidRPr="00E17A46">
        <w:t xml:space="preserve">Vannak olyan beszerzési tárgyak, amelyekre nem kell a közbeszerzési törvény szabályait alkalmazni. Ezek két csoportba sorolhatóak: </w:t>
      </w:r>
    </w:p>
    <w:p w:rsidR="00461517" w:rsidRPr="00E17A46" w:rsidRDefault="00461517" w:rsidP="007B5AEF">
      <w:pPr>
        <w:pStyle w:val="Normllista2"/>
      </w:pPr>
      <w:r w:rsidRPr="00E17A46">
        <w:t xml:space="preserve">- amelyek esetében egyáltalán nem kell közbeszerzési eljárást lefolytatni </w:t>
      </w:r>
    </w:p>
    <w:p w:rsidR="00461517" w:rsidRPr="00E17A46" w:rsidRDefault="00461517" w:rsidP="007B5AEF">
      <w:pPr>
        <w:pStyle w:val="Normllista2"/>
      </w:pPr>
      <w:r w:rsidRPr="00E17A46">
        <w:t>- amelyek esetében csak egys</w:t>
      </w:r>
      <w:r w:rsidR="00954D1F">
        <w:t>zerű eljárást le kell folytatni.</w:t>
      </w:r>
    </w:p>
    <w:p w:rsidR="00E17A46" w:rsidRPr="00E17A46" w:rsidRDefault="00E17A46" w:rsidP="005E6125"/>
    <w:p w:rsidR="00461517" w:rsidRPr="00E17A46" w:rsidRDefault="00461517" w:rsidP="005E6125">
      <w:r w:rsidRPr="00E17A46">
        <w:t xml:space="preserve">Az ajánlatkérőket különböző szempontok alapján lehet csoportosítani. </w:t>
      </w:r>
    </w:p>
    <w:p w:rsidR="00461517" w:rsidRPr="00E17A46" w:rsidRDefault="00461517" w:rsidP="005E6125">
      <w:r w:rsidRPr="00E17A46">
        <w:t xml:space="preserve">Ezek a következők: </w:t>
      </w:r>
    </w:p>
    <w:p w:rsidR="00461517" w:rsidRPr="00E17A46" w:rsidRDefault="00461517" w:rsidP="007B5AEF">
      <w:pPr>
        <w:pStyle w:val="Normllista2"/>
      </w:pPr>
      <w:r w:rsidRPr="00E17A46">
        <w:t xml:space="preserve">- Az államháztartás alrendszerei </w:t>
      </w:r>
    </w:p>
    <w:p w:rsidR="00461517" w:rsidRPr="00E17A46" w:rsidRDefault="00461517" w:rsidP="007B5AEF">
      <w:pPr>
        <w:pStyle w:val="Normllista2"/>
      </w:pPr>
      <w:r w:rsidRPr="00E17A46">
        <w:t xml:space="preserve">- Közjogi intézmények </w:t>
      </w:r>
    </w:p>
    <w:p w:rsidR="00461517" w:rsidRPr="00E17A46" w:rsidRDefault="00461517" w:rsidP="007B5AEF">
      <w:pPr>
        <w:pStyle w:val="Normllista2"/>
      </w:pPr>
      <w:r w:rsidRPr="00E17A46">
        <w:t xml:space="preserve">- Házon belüli" vagy másként „in - house" szervezetek </w:t>
      </w:r>
    </w:p>
    <w:p w:rsidR="00461517" w:rsidRPr="00E17A46" w:rsidRDefault="00461517" w:rsidP="007B5AEF">
      <w:pPr>
        <w:pStyle w:val="Normllista2"/>
      </w:pPr>
      <w:r w:rsidRPr="00E17A46">
        <w:t xml:space="preserve">- Közszolgáltatók </w:t>
      </w:r>
    </w:p>
    <w:p w:rsidR="00461517" w:rsidRPr="00E17A46" w:rsidRDefault="00461517" w:rsidP="007B5AEF">
      <w:pPr>
        <w:pStyle w:val="Normllista2"/>
      </w:pPr>
      <w:r w:rsidRPr="00E17A46">
        <w:t xml:space="preserve">- Támogatott szervezetek </w:t>
      </w:r>
    </w:p>
    <w:p w:rsidR="00461517" w:rsidRPr="00E17A46" w:rsidRDefault="00461517" w:rsidP="007B5AEF">
      <w:pPr>
        <w:pStyle w:val="Normllista2"/>
      </w:pPr>
      <w:r w:rsidRPr="00E17A46">
        <w:t>- Önkéntes vagy külön kötelezés alapján alkalmazók</w:t>
      </w:r>
      <w:r w:rsidR="00954D1F">
        <w:t>.</w:t>
      </w:r>
      <w:r w:rsidRPr="00E17A46">
        <w:t xml:space="preserve"> </w:t>
      </w:r>
    </w:p>
    <w:p w:rsidR="00461517" w:rsidRPr="00E17A46" w:rsidRDefault="00461517" w:rsidP="005E6125"/>
    <w:p w:rsidR="00461517" w:rsidRPr="00E17A46" w:rsidRDefault="00461517" w:rsidP="005E6125">
      <w:r w:rsidRPr="00E17A46">
        <w:t xml:space="preserve">Klasszikus ajánlatkérők: </w:t>
      </w:r>
    </w:p>
    <w:p w:rsidR="00461517" w:rsidRPr="00E17A46" w:rsidRDefault="00461517" w:rsidP="005E6125">
      <w:r w:rsidRPr="00E17A46">
        <w:t xml:space="preserve">A klasszikus ajánlatkérők körét az új Kbt. 6.§ (1) bekezdés a)-c) pontjai határozzák meg. </w:t>
      </w:r>
    </w:p>
    <w:p w:rsidR="00461517" w:rsidRPr="00E17A46" w:rsidRDefault="00461517" w:rsidP="007B5AEF">
      <w:pPr>
        <w:pStyle w:val="Normllista2"/>
      </w:pPr>
      <w:r w:rsidRPr="00E17A46">
        <w:t xml:space="preserve">- az állam, a regionális és a helyi "hatóságok", </w:t>
      </w:r>
    </w:p>
    <w:p w:rsidR="00461517" w:rsidRPr="00E17A46" w:rsidRDefault="00461517" w:rsidP="007B5AEF">
      <w:pPr>
        <w:pStyle w:val="Normllista2"/>
      </w:pPr>
      <w:r w:rsidRPr="00E17A46">
        <w:t xml:space="preserve">- az ún. közjogi szervezetek, </w:t>
      </w:r>
    </w:p>
    <w:p w:rsidR="00461517" w:rsidRPr="00E17A46" w:rsidRDefault="00461517" w:rsidP="007B5AEF">
      <w:pPr>
        <w:pStyle w:val="Normllista2"/>
      </w:pPr>
      <w:r w:rsidRPr="00E17A46">
        <w:t xml:space="preserve">- azok a "társulások", amelyeket egy vagy több, az előzőekben felsorolt szervezet hoz létre. </w:t>
      </w:r>
    </w:p>
    <w:p w:rsidR="00461517" w:rsidRPr="00E17A46" w:rsidRDefault="00461517" w:rsidP="005E6125">
      <w:r w:rsidRPr="00E17A46">
        <w:t>A Kbt. 6. §-ának (1) bekezdés b) pontja szerint ajánlatkérő az állam, a helyi önkormányzat és minden költségvetési szerv, a közalapítvány, a helyi és országos nemzetiségi önkormányzat, a helyi önkormányzatok társulása, a helyi önkormányzat által a helyben központosított közbeszerzés keretében, valamint több helyi önkormányzat, illetve a közös hivatalhoz tartozó települések központosított közbeszerzési rendszere keretében ajánlatkérésre kizárólagosan feljogosított szervezet, a területfejlesztési önkormányzati társulás, a térségi fejlesztési tanács.</w:t>
      </w:r>
    </w:p>
    <w:p w:rsidR="00461517" w:rsidRPr="00E17A46" w:rsidRDefault="00461517" w:rsidP="00AA6631">
      <w:pPr>
        <w:pStyle w:val="Cmsor6"/>
      </w:pPr>
      <w:r w:rsidRPr="00E17A46">
        <w:lastRenderedPageBreak/>
        <w:t xml:space="preserve">A verseny biztosítása, a többszörös megjelenés tilalma </w:t>
      </w:r>
    </w:p>
    <w:p w:rsidR="00461517" w:rsidRPr="00E17A46" w:rsidRDefault="00461517" w:rsidP="005E6125">
      <w:r w:rsidRPr="00E17A46">
        <w:t xml:space="preserve">Az ajánlattevői státusz kizárja, hogy a gazdasági szereplő bármely más minőségben megjelenjen más ajánlatban. A Kbt. lehetőséget biztosít azonban az ajánlatban alvállalkozóként megjelenő személyeknek/szervezetekben, hogy akár több ajánlattevő oldalán is megjelenjenek. Ennek oka abban keresendő, hogy az alvállalkozó a versenyjogi szabályok miatt köteles valamennyi ajánlattevőnek azonos áron megajánlani a szolgáltatásait, így az árak befolyásolására elméletben az ő oldalukról nincs mód. Természetesen az alvállalkozó ajánlattevő más ajánlatban nem lehet, hiszen akkor már az ajánlattevőre vonatkozó többszörös megjelenés tilalma alatt állna. </w:t>
      </w:r>
    </w:p>
    <w:p w:rsidR="00461517" w:rsidRPr="00E17A46" w:rsidRDefault="00461517" w:rsidP="004869BB">
      <w:r w:rsidRPr="00E17A46">
        <w:t>Az ajánlatkérőnek szignalizációs kötelezettsége áll fenn, amennyiben az általa lefolytatott eljárás során a tisztességtelen piaci magatartás és versenykorlátozás tilalmáról szóló 1996. évi LVII. törvény rendelkezéseinek megsértését észleli.</w:t>
      </w:r>
    </w:p>
    <w:p w:rsidR="00461517" w:rsidRPr="00E17A46" w:rsidRDefault="00461517" w:rsidP="00AA6631">
      <w:pPr>
        <w:pStyle w:val="Cmsor6"/>
      </w:pPr>
      <w:r w:rsidRPr="00E17A46">
        <w:t xml:space="preserve">Az ajánlattételi határidő, és a rövidítési lehetőségek </w:t>
      </w:r>
    </w:p>
    <w:p w:rsidR="00461517" w:rsidRPr="00E17A46" w:rsidRDefault="00461517" w:rsidP="004869BB">
      <w:r w:rsidRPr="00E17A46">
        <w:t>Ajánlatkérőnek az ajánlattételi és részvételi határidőt az egyes eljárási fajtákra vonatkozóan előírt minimális határidőket figyelembe véve, valamint minden olyan esetben, amikor minimális határidőt e törvény nem határoz meg, úgy köteles meghatározni, hogy - tekintettel a szerződés tárgyára, a benyújtandó ajánlat összetettségére, valamint az ajánlattevők, részvételre jelentkezők által benyújtandó dokumentumok körére - elegendő idő álljon rendelkezésre az ajánlat, illetve a részvételi jelentkezés összeállításához és benyújtásához. Ez alapján mindig az adott helyzet egyedi körülményeire figyelemmel lehet megítélni, hogy ajánlatkérő elegendő részvételi vagy ajánlattételi határidőt határozott-e meg. Az tehát, hogy az ajánlatkérő a törvény szerinti minimálisan megengedett határidőt írta elő, nem mentesíti annak vizsgálata alól, hogy az adott helyzetben az lehetővé tette-e a megfelelő ajánlattételt. Az ajánlattételi és részvételi határidő módosítása kizárólag a határidők hosszabbítását jelentheti. A határidő meghosszabbítása esetén követendő eljárás ahhoz igazodik, hogy az érintett határidőt tartalmazó felhívást hirdetményben közzétették-e. Ha az eljárást megindító felhívást hirdetményben közzétették, az eredeti határidő lejárta előtt hirdetményben kell közzétenni a módosított határidőt és a meghosszabbítás indokát. A nem hirdetménnyel induló eljárásokban az eredeti határidő lejárta előtt egyidejűleg, közvetlenül kell tájékoztatni az ajánlattéte</w:t>
      </w:r>
      <w:bookmarkStart w:id="460" w:name="_GoBack"/>
      <w:bookmarkEnd w:id="460"/>
      <w:r w:rsidRPr="00E17A46">
        <w:t>lre, illetve - a közszolgáltatói szerződések odaítélésére vonatkozó szabályok szerint - közvetlenül részvételre felhívott gazdasági szereplőket. Ha az ajánlattételi határidő meghosszabbítására a két szakaszból álló közbeszerzési eljárás ajánlattételi szakaszában kerül sor, az ajánlatkérő az eredeti ajánlattételi határidő lejárta előtt egyidejűleg, közvetlenül tájékoztatja az ajánlattételre felhívott gazdasági szereplőket az új határidőről.</w:t>
      </w:r>
    </w:p>
    <w:p w:rsidR="00461517" w:rsidRPr="00AA6631" w:rsidRDefault="00461517" w:rsidP="00264DB1">
      <w:pPr>
        <w:pStyle w:val="Cmsor6"/>
      </w:pPr>
      <w:r w:rsidRPr="00AA6631">
        <w:t xml:space="preserve">A beszerzés tárgya, mennyisége, rész és alternatív ajánlat </w:t>
      </w:r>
    </w:p>
    <w:p w:rsidR="00461517" w:rsidRPr="00E17A46" w:rsidRDefault="00461517" w:rsidP="005E6125">
      <w:r w:rsidRPr="00E17A46">
        <w:t xml:space="preserve">Az ajánlati felhívásban a közbeszerzés tárgyát, illetőleg teljes mennyiségét meg kell adni. A közbeszerzés mennyiségét a legalacsonyabb vagy a legmagasabb mennyiséget vagy értéket és az ettől való eltérés lehetőségét és százalékos mértékét közölve is meg lehet határozni. A Közbeszerzési Hatóság gyakorlata szerint a 100%-os eltérés mértékét megengedő kiírás jogellenes. </w:t>
      </w:r>
    </w:p>
    <w:p w:rsidR="00461517" w:rsidRPr="00E17A46" w:rsidRDefault="00461517" w:rsidP="005E6125">
      <w:r w:rsidRPr="00E17A46">
        <w:t xml:space="preserve">Az ajánlatkérő köteles megvizsgálni beszerzését abból a szempontból, hogy a beszerzés tárgyának jellege lehetővé teszi-e a közbeszerzés egy részére történő ajánlattétel biztosítását. Amennyiben a részajánlat-tételi lehetőség biztosítható, az ajánlatkérő az ajánlati felhívásban köteles lehetővé tenni a közbeszerzés egy részére történő ajánlattételt. Ez alól csak két esetben mentesülhet: ha részajánlat-tételi lehetőség </w:t>
      </w:r>
    </w:p>
    <w:p w:rsidR="00461517" w:rsidRPr="00E17A46" w:rsidRDefault="00461517" w:rsidP="00264DB1">
      <w:pPr>
        <w:pStyle w:val="Normllista1"/>
      </w:pPr>
      <w:r w:rsidRPr="00E17A46">
        <w:t>- a beszerzés tárgyának természetéből adódóan nem biztosítható vagy</w:t>
      </w:r>
    </w:p>
    <w:p w:rsidR="00461517" w:rsidRPr="00E17A46" w:rsidRDefault="00461517" w:rsidP="00264DB1">
      <w:pPr>
        <w:pStyle w:val="Normllista1"/>
        <w:rPr>
          <w:szCs w:val="22"/>
        </w:rPr>
      </w:pPr>
      <w:r w:rsidRPr="00E17A46">
        <w:rPr>
          <w:szCs w:val="22"/>
        </w:rPr>
        <w:t>-</w:t>
      </w:r>
      <w:r w:rsidR="00264DB1">
        <w:rPr>
          <w:szCs w:val="22"/>
        </w:rPr>
        <w:t> </w:t>
      </w:r>
      <w:r w:rsidRPr="00E17A46">
        <w:rPr>
          <w:szCs w:val="22"/>
        </w:rPr>
        <w:t xml:space="preserve">gazdasági, műszaki és minőségi, vagy a szerződés teljesítésével kapcsolatos más szempontokat figyelembe véve ésszerűtlen. </w:t>
      </w:r>
    </w:p>
    <w:p w:rsidR="00461517" w:rsidRPr="00E17A46" w:rsidRDefault="00461517" w:rsidP="004869BB">
      <w:r w:rsidRPr="00E17A46">
        <w:t xml:space="preserve">Elképzelhető olyan eset is, amikor az ajánlatkérőnek több elképzelése van a beszerzést illetően, de valamilyen oknál fogva (akár azért, mert nem tudja az adott változatok árait) nem tudja eldönteni, melyiket kívánja megvalósítani. Ebben az esetben lehetősége van arra, hogy alternatív ajánlatokat </w:t>
      </w:r>
      <w:r w:rsidRPr="00E17A46">
        <w:lastRenderedPageBreak/>
        <w:t>kérjen. Ebben az esetben azonban nem dönthet önmagában az ár: az ajánlatkérő köteles az összességében legelőnyösebb ajánlat bírálati szempont alapján kiválasztani a nyertes ajánlattevőt.</w:t>
      </w:r>
    </w:p>
    <w:p w:rsidR="00461517" w:rsidRPr="00E17A46" w:rsidRDefault="00461517" w:rsidP="00264DB1">
      <w:pPr>
        <w:pStyle w:val="Cmsor6"/>
      </w:pPr>
      <w:r w:rsidRPr="00E17A46">
        <w:t xml:space="preserve">A dokumentáció tartalma </w:t>
      </w:r>
    </w:p>
    <w:p w:rsidR="00461517" w:rsidRPr="00E17A46" w:rsidRDefault="00461517" w:rsidP="007B5AEF">
      <w:r w:rsidRPr="00E17A46">
        <w:t xml:space="preserve">A Kbt. csak az ajánlattételhez szükséges dokumentációt szabályozza, és csak azt az iratanyagot nevezi dokumentációnak, amelyet az ajánlatkérő az ajánlattételhez bocsát a gazdasági szereplők rendelkezésére. </w:t>
      </w:r>
    </w:p>
    <w:p w:rsidR="00461517" w:rsidRPr="00E17A46" w:rsidRDefault="00461517" w:rsidP="00896E03">
      <w:r w:rsidRPr="00E17A46">
        <w:t xml:space="preserve">Dokumentációt nyílt eljárásban kötelező készíteni, hirdetmény nélküli tárgyalásos eljárásban ez csak lehetőség. A dokumentációnak egyebek mellett tartalmaznia kell a szerződéstervezetet. </w:t>
      </w:r>
    </w:p>
    <w:p w:rsidR="00461517" w:rsidRPr="00E17A46" w:rsidRDefault="00461517" w:rsidP="00896E03">
      <w:r w:rsidRPr="00E17A46">
        <w:t xml:space="preserve">Tárgyalásos eljárásban és versenypárbeszéd esetén az ajánlatkérő jogosult szerződéstervezet helyett csak az általa ismert szerződéses feltételeket meghatározni. </w:t>
      </w:r>
    </w:p>
    <w:p w:rsidR="00461517" w:rsidRPr="00E17A46" w:rsidRDefault="00461517" w:rsidP="004869BB">
      <w:r w:rsidRPr="00E17A46">
        <w:t>A versenypárbeszédben az ismertetőt ad, amely elnevezés arra utal, hogy a közbeszerzési műszaki leírásnak, továbbá a szerződéses feltételeknek a meghatározását csak olyan mértékben adja meg, ahogyan az ajánlatkérő erre képes.</w:t>
      </w:r>
    </w:p>
    <w:p w:rsidR="00461517" w:rsidRPr="00E17A46" w:rsidRDefault="00461517" w:rsidP="00264DB1">
      <w:r w:rsidRPr="00E17A46">
        <w:t xml:space="preserve">A dokumentációnak kötelező és ajánlott tartalmi elemei vannak. A törvény előírja például, hogy a dokumentációnak tartalmaznia kell egy olyan listát, amelyben az ajánlatkérő felsorolja azokat az igazolásokat, nyilatkozatokat, amelyet az ajánlattevőnek be kell nyújtania. Célszerű (de nem kötelező) a dokumentációban ajánlott iratmintákat is megadni, de azokkal tartalmilag mindenben megegyező nyilatkozatot is el kell fogadni. </w:t>
      </w:r>
    </w:p>
    <w:p w:rsidR="00461517" w:rsidRPr="00E17A46" w:rsidRDefault="00461517" w:rsidP="004869BB">
      <w:r w:rsidRPr="00E17A46">
        <w:t>A közbeszerzési műszaki leírás megadható a felhívásban, de rendszerint a dokumentáció részét képezi. A műszaki leírásra vonatkozó részletes szabályokat külön rendelet tartalmazza.</w:t>
      </w:r>
    </w:p>
    <w:p w:rsidR="00461517" w:rsidRPr="00E17A46" w:rsidRDefault="00461517" w:rsidP="00264DB1">
      <w:r w:rsidRPr="00E17A46">
        <w:t xml:space="preserve">Építési beruházás megvalósítására vonatkozó közbeszerzési eljárásban a megfelelő ajánlattétel, továbbá az ajánlatok érdemi összehasonlítása érdekében az ajánlatkérő köteles a közbeszerzés tárgyára vonatkozó, annak megfelelő árazatlan költségvetést az ajánlattevők rendelkezésére bocsátani. </w:t>
      </w:r>
    </w:p>
    <w:p w:rsidR="00461517" w:rsidRPr="00E17A46" w:rsidRDefault="00461517" w:rsidP="004869BB">
      <w:r w:rsidRPr="00E17A46">
        <w:t>Építési beruházás és szolgáltatás megrendelése esetében az ajánlatkérő az ajánlati vagy ajánlattételi felhívásban előírhatja, hogy az ajánlattevő tájékozódjon az adózásra, a környezetvédelemre, az egészségvédelemre és a fogyatékossággal élők esélyegyenlőségére, valamint köteles előírni, hogy tájékozódjon a munkavállalók védelmére és a munkafeltételekre vonatkozó olyan kötelezettségekről, amelyeknek a teljesítés helyén és a szerződés teljesítése során meg kell felelni. Ha az ajánlatkérő előírja az ilyen tájékozódást, a dokumentációban köteles megadni azoknak a szervezeteknek (hatóságoknak) a nevét és címét (elérhetőségét), amelyektől az ajánlattevő megfelelő tájékoztatást kaphat. A dokumentációnak tehát ez is kötelező tartalmi eleme.</w:t>
      </w:r>
    </w:p>
    <w:p w:rsidR="00461517" w:rsidRPr="00E17A46" w:rsidRDefault="00461517" w:rsidP="00264DB1">
      <w:pPr>
        <w:pStyle w:val="Cmsor6"/>
      </w:pPr>
      <w:r w:rsidRPr="00E17A46">
        <w:t xml:space="preserve">A kizáró okok rendszere </w:t>
      </w:r>
    </w:p>
    <w:p w:rsidR="00461517" w:rsidRPr="00E17A46" w:rsidRDefault="00461517" w:rsidP="004869BB">
      <w:r w:rsidRPr="00E17A46">
        <w:t>Közbeszerzési eljárásban csak olyan gazdasági szereplő tehet ajánlatot, amely megfelel az ajánlatkérő által támasztott alkalmassági követelményeknek, és egyben nem áll kizáró ok hatálya alatt. A több szakaszból álló eljárásokban az ajánlatkérő ezeket már a részvételi szakaszban ellenőrzi. . A kizáró okokat az ajánlattevőkre és alvállalkozóira is alkalmazni kell. Vannak olyan okok, amelyek fennállása esetén az adott cég abszolút kizárja magát a közbeszerzési eljárásokból (pl. felszámolás alatt álló, vagy jogellenes magatartása miatt a közbeszerzésektől eltiltott cég).</w:t>
      </w:r>
    </w:p>
    <w:p w:rsidR="00461517" w:rsidRPr="00E17A46" w:rsidRDefault="00461517" w:rsidP="00264DB1">
      <w:pPr>
        <w:pStyle w:val="Cmsor6"/>
      </w:pPr>
      <w:r w:rsidRPr="00E17A46">
        <w:t xml:space="preserve">Az alkalmasság </w:t>
      </w:r>
    </w:p>
    <w:p w:rsidR="00461517" w:rsidRPr="00E17A46" w:rsidRDefault="00461517" w:rsidP="004869BB">
      <w:r w:rsidRPr="00E17A46">
        <w:t>Ajánlatkérő köteles vizsgálni az ajánlattevők pénzügyi és gazdasági, továbbá műszaki, illetőleg szakmai alkalmasságát.</w:t>
      </w:r>
    </w:p>
    <w:p w:rsidR="00461517" w:rsidRPr="00E17A46" w:rsidRDefault="00461517" w:rsidP="00264DB1">
      <w:r w:rsidRPr="00E17A46">
        <w:t xml:space="preserve">Az alkalmassági feltételek meghatározásakor a következőkre kell figyelemmel lenni: </w:t>
      </w:r>
    </w:p>
    <w:p w:rsidR="00461517" w:rsidRPr="00E17A46" w:rsidRDefault="00461517" w:rsidP="00264DB1">
      <w:pPr>
        <w:pStyle w:val="Normllista1"/>
      </w:pPr>
      <w:r w:rsidRPr="00E17A46">
        <w:t xml:space="preserve">- pontosan határozza meg, hogy milyen körülmények megléte esetén alkalmas vagy milyen körülmények hiányában alkalmatlan a szerződés teljesítésére a gazdasági szereplő. Az ajánlatkérő pozitív módon vagy negatív meghatározással előírhatja az alkalmassági feltételt. </w:t>
      </w:r>
    </w:p>
    <w:p w:rsidR="00461517" w:rsidRPr="00E17A46" w:rsidRDefault="00461517" w:rsidP="00264DB1">
      <w:pPr>
        <w:pStyle w:val="Normllista1"/>
      </w:pPr>
      <w:r w:rsidRPr="00E17A46">
        <w:lastRenderedPageBreak/>
        <w:t xml:space="preserve">- az ajánlatkérőnek az alkalmassági követelmények meghatározását a közbeszerzés tárgyára kell korlátoznia. Az alkalmasság körében így pl. csak olyan referenciák követelhetőek meg, amelyek az adott közbeszerzés tárgyához kapcsolódó tapasztalatot igazolnak, vagy csak olyan műszaki felszereltség írható elő, ami az adott közbeszerzés teljesítéséhez szükséges. </w:t>
      </w:r>
    </w:p>
    <w:p w:rsidR="00461517" w:rsidRPr="00E17A46" w:rsidRDefault="00461517" w:rsidP="00264DB1">
      <w:pPr>
        <w:pStyle w:val="Normllista1"/>
      </w:pPr>
      <w:r w:rsidRPr="00E17A46">
        <w:t xml:space="preserve">- azokat - a közbeszerzés becsült értékére is tekintettel - legfeljebb a szerződés teljesítéséhez ténylegesen szükséges feltételek mértékéig lehet előírni. </w:t>
      </w:r>
    </w:p>
    <w:p w:rsidR="00461517" w:rsidRPr="00E17A46" w:rsidRDefault="00461517" w:rsidP="004869BB">
      <w:r w:rsidRPr="00E17A46">
        <w:t>Az alkalmasság előírása arányos kell, hogy legyen az adott közbeszerzés jellemzőivel, nem követelhet meg többet, mint ami valóban szükséges a teljesítéshez vagy pl. a referenciák esetében, mint ami valóban alátámasztja, hogy a gazdasági szereplő egy megegyező nagyságrendű feladatot teljesíteni tud.</w:t>
      </w:r>
    </w:p>
    <w:p w:rsidR="00461517" w:rsidRPr="00E17A46" w:rsidRDefault="00461517" w:rsidP="004869BB">
      <w:r w:rsidRPr="00E17A46">
        <w:t>A Technikai Segítségnyújtás céljára biztosított forrás kedvezményezettjei: a vidékfejlesztési miniszter, mint Irányító Hatóság, a Magyar Nemzeti Vidéki Hálózat, a Mezőgazdasági és Vidékfejlesztési Hivatal; valamint az IH részeként a Vidékfejlesztési Képzési és Szaktanácsadási Intézet, mint az IH technikai támogató egysége.</w:t>
      </w:r>
    </w:p>
    <w:p w:rsidR="00461517" w:rsidRPr="00E17A46" w:rsidRDefault="00461517" w:rsidP="004869BB">
      <w:r w:rsidRPr="00E17A46">
        <w:t xml:space="preserve">Az uniós és a nemzeti közbeszerzési szabályokat, így különösen a Kbt-t az Irányító Hatóság a Program megvalósítása során teljes mértékben alkalmazza. </w:t>
      </w:r>
    </w:p>
    <w:p w:rsidR="00461517" w:rsidRPr="00E17A46" w:rsidRDefault="00461517" w:rsidP="004869BB">
      <w:r w:rsidRPr="00E17A46">
        <w:t xml:space="preserve">Az Irányító Hatóság hatásköre a jogosultsági kritériumok megállapítása, illetve a támogatható költségek listájának meghatározása. Az Irányító Hatóság hatásköre az egyes TS projektek kedvezményezettjének kiválasztása, illetve meghatározása, a TS céljaival összhangban. A projektek kiválasztása során az IH biztosítja a nyílt és átlátható kiválasztási eljárást és a versenyt. </w:t>
      </w:r>
    </w:p>
    <w:p w:rsidR="00461517" w:rsidRPr="00E17A46" w:rsidRDefault="00461517" w:rsidP="004869BB">
      <w:r w:rsidRPr="00E17A46">
        <w:t>A Technikai Segítségnyújtás intézkedés keretébe tartozó projektek:</w:t>
      </w:r>
    </w:p>
    <w:p w:rsidR="00461517" w:rsidRPr="00E17A46" w:rsidRDefault="00896E03" w:rsidP="00896E03">
      <w:pPr>
        <w:pStyle w:val="Normllista2"/>
      </w:pPr>
      <w:r>
        <w:t xml:space="preserve">- </w:t>
      </w:r>
      <w:r w:rsidR="00461517" w:rsidRPr="00E17A46">
        <w:t>a lehető legnagyobb mértékben járulnak hozzá a program céljainak megvalósításához;</w:t>
      </w:r>
    </w:p>
    <w:p w:rsidR="00461517" w:rsidRPr="00E17A46" w:rsidRDefault="00896E03" w:rsidP="00896E03">
      <w:pPr>
        <w:pStyle w:val="Normllista2"/>
      </w:pPr>
      <w:r>
        <w:t xml:space="preserve">- </w:t>
      </w:r>
      <w:r w:rsidR="00461517" w:rsidRPr="00E17A46">
        <w:t>érvényesítik a projekt céljaival kapcsolatos közösségi politikákat (különös tekintettel az állami támogatás, a közbeszerzés, a környezetvédelem és az esélyegyenlőség kérdéseire);</w:t>
      </w:r>
    </w:p>
    <w:p w:rsidR="00461517" w:rsidRPr="00E17A46" w:rsidRDefault="00896E03" w:rsidP="00896E03">
      <w:pPr>
        <w:pStyle w:val="Normllista2"/>
      </w:pPr>
      <w:r>
        <w:t xml:space="preserve">- </w:t>
      </w:r>
      <w:r w:rsidR="00461517" w:rsidRPr="00E17A46">
        <w:t>biztosítják a költséghatékony és a gazdaságilag legelőnyösebb módon történő megvalósítást;</w:t>
      </w:r>
    </w:p>
    <w:p w:rsidR="00461517" w:rsidRPr="00E17A46" w:rsidRDefault="00896E03" w:rsidP="00896E03">
      <w:pPr>
        <w:pStyle w:val="Normllista2"/>
      </w:pPr>
      <w:r>
        <w:t xml:space="preserve">- </w:t>
      </w:r>
      <w:r w:rsidR="00461517" w:rsidRPr="00E17A46">
        <w:t>biztosítják a hatékony megvalósításban résztvevő összes szereplő bevonását;</w:t>
      </w:r>
    </w:p>
    <w:p w:rsidR="00461517" w:rsidRPr="00E17A46" w:rsidRDefault="00896E03" w:rsidP="00896E03">
      <w:pPr>
        <w:pStyle w:val="Normllista2"/>
      </w:pPr>
      <w:r>
        <w:t xml:space="preserve">- </w:t>
      </w:r>
      <w:r w:rsidR="00461517" w:rsidRPr="00E17A46">
        <w:t>innovatív megoldásokat alkalmaznak;</w:t>
      </w:r>
    </w:p>
    <w:p w:rsidR="00461517" w:rsidRPr="00E17A46" w:rsidRDefault="00896E03" w:rsidP="00896E03">
      <w:pPr>
        <w:pStyle w:val="Normllista2"/>
      </w:pPr>
      <w:r>
        <w:t xml:space="preserve">- </w:t>
      </w:r>
      <w:r w:rsidR="00461517" w:rsidRPr="00E17A46">
        <w:t>fel tudnak mutatni valamilyen kimenetet, eredményeket, valamint rendszeres (megvalósítási) jelentéseket, amelyek mindegyike mérhető és ellenőrizhető.</w:t>
      </w:r>
    </w:p>
    <w:p w:rsidR="00461517" w:rsidRPr="00E17A46" w:rsidRDefault="00461517" w:rsidP="00461517">
      <w:pPr>
        <w:pStyle w:val="Szvegtrzs"/>
        <w:rPr>
          <w:szCs w:val="22"/>
          <w:highlight w:val="yellow"/>
        </w:rPr>
      </w:pPr>
      <w:r w:rsidRPr="00E17A46">
        <w:rPr>
          <w:rFonts w:cs="Times New Roman"/>
          <w:szCs w:val="22"/>
        </w:rPr>
        <w:t>Az Irányító Hatóság kötelezettséget vállal arra, hogy a TS keretében létrejött szerződések nyílt és átlátható eljárások alapján kerülnek kialakításra, még a közbeszerzési eljárásra kötelező értékhatár alatt is.</w:t>
      </w:r>
    </w:p>
    <w:p w:rsidR="00884251" w:rsidRPr="00896E03" w:rsidRDefault="00884251" w:rsidP="00DB48A3">
      <w:pPr>
        <w:pStyle w:val="Cmsor3"/>
      </w:pPr>
      <w:bookmarkStart w:id="461" w:name="_Toc232859106"/>
      <w:bookmarkStart w:id="462" w:name="_Toc136258764"/>
      <w:bookmarkStart w:id="463" w:name="_Toc196203080"/>
      <w:bookmarkStart w:id="464" w:name="_Toc232860214"/>
      <w:bookmarkStart w:id="465" w:name="_Toc360176854"/>
      <w:bookmarkEnd w:id="461"/>
      <w:r w:rsidRPr="00896E03">
        <w:t>Állami támogatások</w:t>
      </w:r>
      <w:bookmarkEnd w:id="462"/>
      <w:bookmarkEnd w:id="463"/>
      <w:bookmarkEnd w:id="464"/>
      <w:bookmarkEnd w:id="465"/>
    </w:p>
    <w:p w:rsidR="00027E6F" w:rsidRPr="00027E6F" w:rsidRDefault="00027E6F" w:rsidP="00D53DF7">
      <w:r w:rsidRPr="00027E6F">
        <w:t>Az uniós alapok által támogatott programok megvalósítása során felmerülő, az állami támogatásokkal kapcsolatos feladatokra vonatkozó rendelkezéseket az alábbi hazai jogszabályok tartalmazzák:</w:t>
      </w:r>
    </w:p>
    <w:p w:rsidR="00027E6F" w:rsidRPr="00027E6F" w:rsidRDefault="00027E6F" w:rsidP="00D53DF7">
      <w:r w:rsidRPr="00027E6F">
        <w:t xml:space="preserve">1) </w:t>
      </w:r>
      <w:r w:rsidRPr="00027E6F">
        <w:rPr>
          <w:i/>
        </w:rPr>
        <w:t>Az Európai Közösséget létrehozó Szerződés 87. cikkének (1) bekezdése szerinti, az európai uniós versenyjogi értelemben vett állami támogatásokkal kapcsolatos eljárásról és a regionális támogatási térképről szóló 37/2011. (III. 22.) Korm. rendelet</w:t>
      </w:r>
      <w:r w:rsidRPr="00027E6F">
        <w:t>, amely hatályon kívül helyezte a korábbi, az állami támogatásokkal kapcsolatos eljárásról és a regionális támogatási térképről szóló 85/2004. (IV.19.) Korm. rendeletet.</w:t>
      </w:r>
    </w:p>
    <w:p w:rsidR="00027E6F" w:rsidRPr="00027E6F" w:rsidRDefault="00027E6F" w:rsidP="00D53DF7">
      <w:r w:rsidRPr="00027E6F">
        <w:t xml:space="preserve">2) </w:t>
      </w:r>
      <w:r w:rsidRPr="00027E6F">
        <w:rPr>
          <w:i/>
        </w:rPr>
        <w:t>A Programra meghatározott előirányzatok felhasználásának állami támogatási szempontú szabályairól szóló 77/2007. (VII.30.) FVM rendelet.</w:t>
      </w:r>
      <w:r w:rsidRPr="00D53DF7">
        <w:t xml:space="preserve"> A rendelet a Programban meghatározott előirányzatok felhasználásának állami támogatási szempontú szabályait foglalja össze, egyben a 2007-2013 időszakban meghirdetésre kerülő, az EK-Szerződés 87. cikk (1) bekezdése szerinti állami támogatásnak minősülő Program intézkedéseket egységes támogatási programként tartalmazza. A rendeletet az Európai Bizottság az </w:t>
      </w:r>
      <w:r w:rsidRPr="00027E6F">
        <w:rPr>
          <w:i/>
          <w:iCs/>
        </w:rPr>
        <w:t>XR 131/2007</w:t>
      </w:r>
      <w:r w:rsidRPr="00D53DF7">
        <w:t xml:space="preserve"> </w:t>
      </w:r>
      <w:r w:rsidRPr="00027E6F">
        <w:rPr>
          <w:i/>
          <w:iCs/>
        </w:rPr>
        <w:t>nyilvántartási szám</w:t>
      </w:r>
      <w:r w:rsidRPr="00027E6F">
        <w:t xml:space="preserve"> alatt regisztrálta.</w:t>
      </w:r>
    </w:p>
    <w:p w:rsidR="00027E6F" w:rsidRPr="00027E6F" w:rsidRDefault="00027E6F" w:rsidP="00D53DF7">
      <w:r w:rsidRPr="00027E6F">
        <w:lastRenderedPageBreak/>
        <w:t>A rendelet 2012-ben nem került módosításra, a rendelet és az XR/131/2007. sz. bejelentés alapján támogatási határozat 2012. december 31-ig hozható az érintett intézkedések tekintetében.</w:t>
      </w:r>
    </w:p>
    <w:p w:rsidR="00027E6F" w:rsidRPr="00027E6F" w:rsidRDefault="00027E6F" w:rsidP="00D53DF7">
      <w:r w:rsidRPr="00027E6F">
        <w:t>A regionális beruházási támogatásokra vonatkozó adatokat a jelentés 6. számú melléklete tartalmazza.</w:t>
      </w:r>
    </w:p>
    <w:p w:rsidR="00027E6F" w:rsidRPr="00027E6F" w:rsidRDefault="00027E6F" w:rsidP="00D53DF7">
      <w:r w:rsidRPr="00027E6F">
        <w:rPr>
          <w:i/>
        </w:rPr>
        <w:t>3) Az agrár- és vidékfejlesztési állami támogatások Európai Bizottság részére történő bejelentési rendjéről szóló 4/2009. (I.10.) Korm. rendelet</w:t>
      </w:r>
      <w:r w:rsidRPr="00027E6F">
        <w:t xml:space="preserve">. </w:t>
      </w:r>
    </w:p>
    <w:p w:rsidR="00027E6F" w:rsidRPr="00027E6F" w:rsidRDefault="00027E6F" w:rsidP="00D53DF7">
      <w:r w:rsidRPr="00027E6F">
        <w:t>A rendelet hatálya alá tartozó támogatások közösségi szabályoknak való megfelelésének vizsgálatával és a Bizottság részére történő bejelentésével kapcsolatos feladatokat az agrárpolitikáért felelős miniszter látja el. Ezek a feladatok a következő ügyek intézésére terjednek ki:</w:t>
      </w:r>
    </w:p>
    <w:p w:rsidR="00027E6F" w:rsidRPr="00B54091" w:rsidRDefault="00027E6F" w:rsidP="00B54091">
      <w:pPr>
        <w:pStyle w:val="Listaszerbekezds"/>
        <w:numPr>
          <w:ilvl w:val="0"/>
          <w:numId w:val="88"/>
        </w:numPr>
        <w:tabs>
          <w:tab w:val="num" w:pos="720"/>
        </w:tabs>
        <w:suppressAutoHyphens w:val="0"/>
        <w:spacing w:after="0"/>
        <w:rPr>
          <w:rFonts w:eastAsia="Times New Roman" w:cs="Times New Roman"/>
          <w:kern w:val="0"/>
          <w:szCs w:val="22"/>
        </w:rPr>
      </w:pPr>
      <w:r w:rsidRPr="00B54091">
        <w:rPr>
          <w:rFonts w:eastAsia="Times New Roman" w:cs="Times New Roman"/>
          <w:kern w:val="0"/>
          <w:szCs w:val="22"/>
        </w:rPr>
        <w:t>a rendelet hatálya alá tartozó létező támogatásnak minősülő állami támogatások bejelentésével, egyszerűsített bejelentésével,</w:t>
      </w:r>
    </w:p>
    <w:p w:rsidR="00027E6F" w:rsidRPr="00B54091" w:rsidRDefault="00027E6F" w:rsidP="00B54091">
      <w:pPr>
        <w:pStyle w:val="Listaszerbekezds"/>
        <w:numPr>
          <w:ilvl w:val="0"/>
          <w:numId w:val="88"/>
        </w:numPr>
        <w:tabs>
          <w:tab w:val="num" w:pos="720"/>
        </w:tabs>
        <w:suppressAutoHyphens w:val="0"/>
        <w:spacing w:after="0"/>
        <w:rPr>
          <w:rFonts w:eastAsia="Times New Roman" w:cs="Times New Roman"/>
          <w:kern w:val="0"/>
          <w:szCs w:val="22"/>
        </w:rPr>
      </w:pPr>
      <w:r w:rsidRPr="00B54091">
        <w:rPr>
          <w:rFonts w:eastAsia="Times New Roman" w:cs="Times New Roman"/>
          <w:kern w:val="0"/>
          <w:szCs w:val="22"/>
        </w:rPr>
        <w:t>a rendelet hatálya alá tartozó új állami támogatások bejelentésével, egyszerűsített bejelentésével,</w:t>
      </w:r>
    </w:p>
    <w:p w:rsidR="00027E6F" w:rsidRPr="00B54091" w:rsidRDefault="00027E6F" w:rsidP="00B54091">
      <w:pPr>
        <w:pStyle w:val="Listaszerbekezds"/>
        <w:numPr>
          <w:ilvl w:val="0"/>
          <w:numId w:val="88"/>
        </w:numPr>
        <w:tabs>
          <w:tab w:val="num" w:pos="720"/>
        </w:tabs>
        <w:suppressAutoHyphens w:val="0"/>
        <w:spacing w:after="0"/>
        <w:rPr>
          <w:rFonts w:eastAsia="Times New Roman" w:cs="Times New Roman"/>
          <w:kern w:val="0"/>
          <w:szCs w:val="22"/>
        </w:rPr>
      </w:pPr>
      <w:r w:rsidRPr="00B54091">
        <w:rPr>
          <w:rFonts w:eastAsia="Times New Roman" w:cs="Times New Roman"/>
          <w:kern w:val="0"/>
          <w:szCs w:val="22"/>
        </w:rPr>
        <w:t>a mezőgazdasági, a halászati, illetve az általános csoportmentességi rendeletekben foglaltak alapján a Bizottság tájékoztatásával, és</w:t>
      </w:r>
    </w:p>
    <w:p w:rsidR="00027E6F" w:rsidRPr="00B54091" w:rsidRDefault="00027E6F" w:rsidP="00B54091">
      <w:pPr>
        <w:pStyle w:val="Listaszerbekezds"/>
        <w:numPr>
          <w:ilvl w:val="0"/>
          <w:numId w:val="88"/>
        </w:numPr>
        <w:tabs>
          <w:tab w:val="num" w:pos="720"/>
        </w:tabs>
        <w:suppressAutoHyphens w:val="0"/>
        <w:spacing w:after="0"/>
        <w:rPr>
          <w:rFonts w:eastAsia="Times New Roman" w:cs="Times New Roman"/>
          <w:kern w:val="0"/>
          <w:szCs w:val="22"/>
        </w:rPr>
      </w:pPr>
      <w:r w:rsidRPr="00B54091">
        <w:rPr>
          <w:rFonts w:eastAsia="Times New Roman" w:cs="Times New Roman"/>
          <w:kern w:val="0"/>
          <w:szCs w:val="22"/>
        </w:rPr>
        <w:t>a mezőgazdasági, a halászati, illetve az általános csekély összegű (</w:t>
      </w:r>
      <w:r w:rsidRPr="00B54091">
        <w:rPr>
          <w:rFonts w:eastAsia="Times New Roman" w:cs="Times New Roman"/>
          <w:i/>
          <w:kern w:val="0"/>
          <w:szCs w:val="22"/>
        </w:rPr>
        <w:t>de minimis</w:t>
      </w:r>
      <w:r w:rsidRPr="00B54091">
        <w:rPr>
          <w:rFonts w:eastAsia="Times New Roman" w:cs="Times New Roman"/>
          <w:kern w:val="0"/>
          <w:szCs w:val="22"/>
        </w:rPr>
        <w:t>) rendeletek hatálya alá tartozó agrár- és vidékfejlesztési állami támogatásokkal kapcsolatos ügyek.</w:t>
      </w:r>
    </w:p>
    <w:p w:rsidR="00027E6F" w:rsidRPr="00027E6F" w:rsidRDefault="00027E6F" w:rsidP="00D53DF7">
      <w:r w:rsidRPr="00027E6F">
        <w:t>A rendeletet az agrár- és vidékfejlesztési állami támogatásokkal kapcsolatos egyes eljárási kérdésekről szóló 353/2012. (XII.13.) Korm. rendelet 2013. január 1-től hatályon kívül helyezte és felváltotta.</w:t>
      </w:r>
    </w:p>
    <w:p w:rsidR="00027E6F" w:rsidRPr="00027E6F" w:rsidRDefault="00027E6F" w:rsidP="00D53DF7">
      <w:pPr>
        <w:rPr>
          <w:bCs/>
          <w:i/>
        </w:rPr>
      </w:pPr>
      <w:r w:rsidRPr="00027E6F">
        <w:rPr>
          <w:bCs/>
        </w:rPr>
        <w:t xml:space="preserve">4) </w:t>
      </w:r>
      <w:r w:rsidRPr="00027E6F">
        <w:rPr>
          <w:bCs/>
          <w:i/>
        </w:rPr>
        <w:t>A Program keretében a LEADER helyi akciócsoportok részére nyújtandó működési előlegről szóló 220/2009. (X. 8.) Korm. rendelet (a továbbiakban: Rendelet)</w:t>
      </w:r>
    </w:p>
    <w:p w:rsidR="00027E6F" w:rsidRPr="00027E6F" w:rsidRDefault="00027E6F" w:rsidP="00D53DF7">
      <w:r w:rsidRPr="00027E6F">
        <w:t xml:space="preserve">A Helyi Akciócsoportok a Tanács 1698/2005/EK rendeletének 63. cikk c) pontjának megfelelően működési költségeik finanszírozására forrást kapnak az Irányító Hatóságtól ugyanezen rendelet 59. cikkének megfelelő rendszerben. Ezen működési költség a programozási időszak végéig kerül meghatározásra, mellyel összefüggésben előlegfizetés történhet. A helyi akciócsoportok a 482/2009/EK rendelet és a 220/2009. (X. 8.) Kormányrendelet (a továbbiakban: Rendelet) alapján működési előleget vehettek igénybe. Az előleg összege a LEADER működési forrás legfeljebb 20%-a lehetett. </w:t>
      </w:r>
    </w:p>
    <w:p w:rsidR="00027E6F" w:rsidRPr="00027E6F" w:rsidRDefault="00027E6F" w:rsidP="00D53DF7">
      <w:r w:rsidRPr="00027E6F">
        <w:t>A Rendelet alapján a HACS-oknak legkésőbb 2010. év végéig el kellett volna számolniuk a felvett előleggel. Több HACS jelezte, hogy likviditási nehézséget okoz számára a működési előleggel való elszámolás Rendeletben rögzített 2010. december 31-i határidejének betartása. A rendelet 2010. év végén került módosításra, mely módosítás meghosszabbította az előleg elszámolás határidejét 2011. december 31-ig.</w:t>
      </w:r>
    </w:p>
    <w:p w:rsidR="00027E6F" w:rsidRPr="00027E6F" w:rsidRDefault="00027E6F" w:rsidP="00D53DF7">
      <w:r w:rsidRPr="00027E6F">
        <w:t xml:space="preserve">Mivel a program módosítás EU Bizottság által történő befogadása előtt került kifizetésre a kedvezményezettek részére az előleg, ezért a Bizottság pénzügyi korrekciót alkalmazott. 2010. év utolsó negyedévében az MVH levonta a költségnyilatkozatból az uniós társfinanszírozás szempontjából jogosulatlan előleget a Bizottság kérésének megfelelően. </w:t>
      </w:r>
    </w:p>
    <w:p w:rsidR="00027E6F" w:rsidRPr="00027E6F" w:rsidRDefault="00027E6F" w:rsidP="00D53DF7">
      <w:pPr>
        <w:rPr>
          <w:bCs/>
          <w:i/>
        </w:rPr>
      </w:pPr>
      <w:r w:rsidRPr="00027E6F">
        <w:rPr>
          <w:bCs/>
        </w:rPr>
        <w:t xml:space="preserve">5) </w:t>
      </w:r>
      <w:r w:rsidRPr="00027E6F">
        <w:rPr>
          <w:bCs/>
          <w:i/>
        </w:rPr>
        <w:t>A Program finanszírozáshoz igénybe vehető projekt kiegészítő hitelről szóló 78/2009. (VI.30.) FVM rendelet</w:t>
      </w:r>
    </w:p>
    <w:p w:rsidR="00027E6F" w:rsidRPr="00027E6F" w:rsidRDefault="00027E6F" w:rsidP="00D53DF7">
      <w:r w:rsidRPr="00D53DF7">
        <w:t xml:space="preserve">Az Agrárfejlesztési Hitelprogramot az Európai Bizottság az </w:t>
      </w:r>
      <w:r w:rsidRPr="00027E6F">
        <w:rPr>
          <w:i/>
          <w:iCs/>
        </w:rPr>
        <w:t>XA 243/2007 nyilvántartási szám</w:t>
      </w:r>
      <w:r w:rsidRPr="00027E6F">
        <w:t xml:space="preserve"> alatt regisztrálta. Az Új Magyarország Agrárfejlesztési Hitelprogram 3. Hitelcélját megtestesítő projekt kiegészítő hitelt az Európai bizottság Top-Ups RDP 121 szám alatt regisztrálta. A vonatkozó Program program-módosítását (az Európai Bizottság felé történő notifikációval együtt) a VM vidékfejlesztési részlege végezte. </w:t>
      </w:r>
    </w:p>
    <w:p w:rsidR="00027E6F" w:rsidRPr="00027E6F" w:rsidRDefault="00027E6F" w:rsidP="00D53DF7">
      <w:r w:rsidRPr="00027E6F">
        <w:t xml:space="preserve">Az Agrárfejlesztési Hitelprogram kiegészítő nemzeti finanszírozást biztosíthat a Program „Mezőgazdasági üzemek korszerűsítése” intézkedéséhez kapcsolódóan 2009-2013 között. </w:t>
      </w:r>
    </w:p>
    <w:p w:rsidR="00027E6F" w:rsidRPr="00027E6F" w:rsidRDefault="00027E6F" w:rsidP="00D53DF7">
      <w:r w:rsidRPr="00027E6F">
        <w:lastRenderedPageBreak/>
        <w:t>A hitelprogramban lévő támogatástartalom miatt az azt igénybevevő kedvezményezettek esetén az érintett jogcímben a támogatási mértékek felső határát (maximális támogatási összeg vagy támogatási intenzitás alapján számított támogatási összeg) be kell tartani.</w:t>
      </w:r>
    </w:p>
    <w:p w:rsidR="00027E6F" w:rsidRPr="00027E6F" w:rsidRDefault="00027E6F" w:rsidP="00D53DF7">
      <w:r w:rsidRPr="00027E6F">
        <w:t>A hitelprogramhoz kapcsolódó adatokat a jelentés 6. számú melléklete tartalmazza.</w:t>
      </w:r>
    </w:p>
    <w:p w:rsidR="00027E6F" w:rsidRPr="00027E6F" w:rsidRDefault="00027E6F" w:rsidP="00027E6F">
      <w:pPr>
        <w:keepNext/>
        <w:suppressAutoHyphens w:val="0"/>
        <w:spacing w:before="360" w:line="276" w:lineRule="auto"/>
        <w:ind w:firstLine="0"/>
        <w:rPr>
          <w:rFonts w:eastAsia="Times New Roman" w:cs="Times New Roman"/>
          <w:b/>
          <w:bCs/>
          <w:i/>
          <w:kern w:val="0"/>
          <w:szCs w:val="22"/>
        </w:rPr>
      </w:pPr>
      <w:r w:rsidRPr="00027E6F">
        <w:rPr>
          <w:rFonts w:eastAsia="Times New Roman" w:cs="Times New Roman"/>
          <w:b/>
          <w:bCs/>
          <w:i/>
          <w:kern w:val="0"/>
          <w:szCs w:val="22"/>
        </w:rPr>
        <w:t>Általános csekély összegű (de minimis) szabállyal érintett támogatási jogcímek</w:t>
      </w:r>
    </w:p>
    <w:p w:rsidR="00027E6F" w:rsidRPr="00D53DF7" w:rsidRDefault="00027E6F" w:rsidP="00264DB1">
      <w:r w:rsidRPr="00D53DF7">
        <w:t xml:space="preserve">Az 1998/2006/EK bizottsági rendelet szerinti </w:t>
      </w:r>
      <w:r w:rsidRPr="00053C2D">
        <w:t>általános csekély összegű (</w:t>
      </w:r>
      <w:r w:rsidRPr="00053C2D">
        <w:rPr>
          <w:i/>
          <w:kern w:val="22"/>
          <w:szCs w:val="20"/>
        </w:rPr>
        <w:t>de minimis)</w:t>
      </w:r>
      <w:r w:rsidRPr="00053C2D">
        <w:t xml:space="preserve"> szabállyal érintett támogatási jogcímekre vonatkozó lényegesebb adatokat a jelentés 7. számú melléklete tartalmazza</w:t>
      </w:r>
      <w:r w:rsidRPr="00D53DF7">
        <w:t>.</w:t>
      </w:r>
    </w:p>
    <w:p w:rsidR="00745CC7" w:rsidRDefault="00745CC7" w:rsidP="00626F2F">
      <w:pPr>
        <w:pStyle w:val="Cmsor2"/>
      </w:pPr>
      <w:bookmarkStart w:id="466" w:name="_Toc232859110"/>
      <w:bookmarkStart w:id="467" w:name="_Toc232860215"/>
      <w:bookmarkStart w:id="468" w:name="_Toc360176855"/>
      <w:bookmarkEnd w:id="466"/>
      <w:r w:rsidRPr="00C80289">
        <w:t>Környezeti szempontú fenntarthatóság</w:t>
      </w:r>
      <w:bookmarkEnd w:id="467"/>
      <w:bookmarkEnd w:id="468"/>
      <w:r w:rsidR="000B563C" w:rsidRPr="00C80289">
        <w:t xml:space="preserve"> </w:t>
      </w:r>
    </w:p>
    <w:p w:rsidR="00E81CFE" w:rsidRPr="0067607D" w:rsidRDefault="00E81CFE" w:rsidP="00E81CFE">
      <w:pPr>
        <w:pStyle w:val="j-nomlszveg"/>
      </w:pPr>
      <w:r w:rsidRPr="0067607D">
        <w:t>A horizontális politikák érvényesítésekor alapvető feltétel a helyi fenntarthatóság és a tájszemlélet elveinek figyelembevétele. A</w:t>
      </w:r>
      <w:r>
        <w:t xml:space="preserve"> Program</w:t>
      </w:r>
      <w:r w:rsidRPr="0067607D">
        <w:t xml:space="preserve"> II. tengelyének intézkedései közvetlenül szolgálják a környezeti szempontú fenntarthatóságot, míg más intézkedések esetében ez részben közvetlenül, részben az adott támogatási jogcím előírásain keresztül érvényesül.</w:t>
      </w:r>
    </w:p>
    <w:p w:rsidR="00E81CFE" w:rsidRPr="0067607D" w:rsidRDefault="00E81CFE" w:rsidP="00E81CFE">
      <w:pPr>
        <w:pStyle w:val="j-nomlszveg"/>
      </w:pPr>
      <w:r w:rsidRPr="0067607D">
        <w:t>A</w:t>
      </w:r>
      <w:r>
        <w:t xml:space="preserve"> Program</w:t>
      </w:r>
      <w:r w:rsidRPr="0067607D">
        <w:t xml:space="preserve"> beruházási célú támogatásainak értékelésekor horizontális szempontként megjelenik, hogy az ügyfél részt vesz-e az agrár</w:t>
      </w:r>
      <w:r>
        <w:t>-</w:t>
      </w:r>
      <w:r w:rsidRPr="0067607D">
        <w:t>környezetgazdálkodási</w:t>
      </w:r>
      <w:r>
        <w:t xml:space="preserve"> </w:t>
      </w:r>
      <w:r w:rsidRPr="0067607D">
        <w:t>programban. A programban való részvétel projektenként 7</w:t>
      </w:r>
      <w:r>
        <w:t>%-</w:t>
      </w:r>
      <w:r w:rsidRPr="0067607D">
        <w:t>os súlyt kapott az értékelési szempontok között. A gépbeszerzések esetében csak korszerű, 2 évnél nem öregebb, a gépkatalógusban szereplő gépekre kapható támogatás és plusz pont jár a legkorszerűbb gépekért. A növénytermesztés létesítményei esetében ezen túlmutatóan csak a legmodernebb, energetikailag leghatékonyabb berendezések terményszárítók beszerzése támogatható. Az állattartó telepek korszerűsítése a trágyakezelés megoldásán keresztül szintén a fenntartható fejlődést szolgálja. A megújuló energiaforrások használatának ösztönzése számos beruházási jogcímben megjelenik értékelési szempontként (többletpontok formájában), illetve külön jogcím is szolgálja a kazáncserék támogatását. Az aprófalvas, tanyás térségekben a helyi fejlesztések tervezése, végrehajtása és értékelése folyamán ösztönözést kap az ökoturizmus fejlesztése, az ökogazdálkodás, valamint a helyi örökségvédelemre és helyi sajátosságokra alapuló fejlesztések.</w:t>
      </w:r>
    </w:p>
    <w:p w:rsidR="00E81CFE" w:rsidRPr="00E81CFE" w:rsidRDefault="00E81CFE" w:rsidP="00E81CFE">
      <w:pPr>
        <w:pStyle w:val="Szvegtrzs"/>
      </w:pPr>
      <w:r w:rsidRPr="0067607D">
        <w:t>Az SKV stratégiai környezeti értékelés alapján a specifikus feltételek közül a társadalmi felelősségvállalás játszik jelentős szerepet az üzleti tervekkel vagy fenntarthatósági tervekkel kísért intézkedések esetében. Emellett a társadalmi felelősségvállalás nagyban meghatározza a környezeti fenntarthatóságot és társadalmi elterjedtségét, amelyeknek a projektekbe való integrálása különösen fontos elvárás.</w:t>
      </w:r>
    </w:p>
    <w:p w:rsidR="00C80289" w:rsidRPr="000C2FDF" w:rsidRDefault="00C80289" w:rsidP="00616E93">
      <w:pPr>
        <w:pStyle w:val="Cmsor2"/>
      </w:pPr>
      <w:bookmarkStart w:id="469" w:name="_Toc360176856"/>
      <w:r w:rsidRPr="000C2FDF">
        <w:t>Esélyegyenlőség és a környezeti szempontú fenntarthatóság érvényesülése néhány jogcím esetében</w:t>
      </w:r>
      <w:bookmarkEnd w:id="469"/>
      <w:r w:rsidRPr="000C2FDF">
        <w:t xml:space="preserve"> </w:t>
      </w:r>
      <w:r w:rsidR="00024BBC" w:rsidRPr="000C2FDF">
        <w:t xml:space="preserve"> </w:t>
      </w:r>
    </w:p>
    <w:p w:rsidR="00EF7245" w:rsidRPr="00EF7245" w:rsidRDefault="00EF7245" w:rsidP="00616E93">
      <w:r w:rsidRPr="00EF7245">
        <w:t>Valamennyi uniós forrásból támogatott fejlesztésben érvényesíteni kell az esélyegyenlőség elvét. Az esélyegyenlőségi politika a diszkrimináció tilalmán túl konkrét lépések megtételének szükségességét is előírja. A közösségi jogalkotás alapját az Amszterdami Szerződés (1997) cikkei adják. A strukturális alapokra vonatkozó általános rendelkezéseket az Európai Tanács 1260/1999. számú rendelete fektette le. Az említett rendelet többek között kiemel két olyan területet (horizontális politikát) is, melyre a végrehajtás során a pályázóknak külön figyelmet kell fordítani: az esélyegyenlőséget és a környezetvédelmet. Az esélyegyenlőségi elv érvényesítése során az Európai Unió nagy figyelmet fordít a nők, a megváltozott munkaképességűek, a romák és a fiatalok hátrányainak csökkentésére. Magyarországon 2003-ban jelent meg az egyenlő bánásmódról és az esélyegyenlőség előmozdításáról szóló 2003. évi CXXV. törvény.</w:t>
      </w:r>
    </w:p>
    <w:p w:rsidR="00EF7245" w:rsidRPr="003E35A2" w:rsidRDefault="00EF7245" w:rsidP="00616E93">
      <w:r w:rsidRPr="003E35A2">
        <w:t xml:space="preserve">Az MVH a pályáztatási és a támogatás folyósítási rendszerét úgy alakította ki, hogy a környezetvédelmi szempontok érvényesüléséről az ennek megállapítására leginkább felkészült szakhatóság igazolása alapján győződjön meg. </w:t>
      </w:r>
    </w:p>
    <w:p w:rsidR="00EF7245" w:rsidRPr="003E35A2" w:rsidRDefault="00EF7245" w:rsidP="00616E93">
      <w:r w:rsidRPr="003E35A2">
        <w:lastRenderedPageBreak/>
        <w:t>Az esélyegyenlőség szempontjai az uniós és hazai jogszabályok maradéktalan betartásával szintén érvényesülnek a támogatási kérelmek ügykezelése során. Jogszabályokon felüli intézkedés nem történt.</w:t>
      </w:r>
    </w:p>
    <w:p w:rsidR="00EF7245" w:rsidRPr="00EF7245" w:rsidRDefault="00EF7245" w:rsidP="00616E93">
      <w:pPr>
        <w:rPr>
          <w:b/>
        </w:rPr>
      </w:pPr>
      <w:r w:rsidRPr="00EF7245">
        <w:t>A Program keretében igényelhető támogatások esetében a benyújtott kérelmek elbírálása során csaknem minden jogcím esetében megjelennek esélyegyenlőségre és környezeti szempontú fenntarthatóságra vonatkozó értékelési szempontok. A jogcímek keretében igényelhető támogatás feltételeit szabályozó rendeletek tartalmazzák a különböző szempontokra adható pontszámokat.</w:t>
      </w:r>
    </w:p>
    <w:p w:rsidR="00EF7245" w:rsidRPr="00EF7245" w:rsidRDefault="00EF7245" w:rsidP="00616E93">
      <w:r w:rsidRPr="00DA27DF">
        <w:t>Az esélyegyenlőségi szempontok szinte az</w:t>
      </w:r>
      <w:r w:rsidRPr="00EF7245">
        <w:rPr>
          <w:b/>
        </w:rPr>
        <w:t xml:space="preserve"> </w:t>
      </w:r>
      <w:r w:rsidRPr="00EF7245">
        <w:t>összes jogcímnél megjelennek, a II. tengely (Környezet és vidék fejlesztése) jogcímei esetén a környezeti szempontú fenntarthatóság kap hangsúlyt.</w:t>
      </w:r>
    </w:p>
    <w:p w:rsidR="00EF7245" w:rsidRPr="00DA27DF" w:rsidRDefault="00EF7245" w:rsidP="00DA27DF">
      <w:r w:rsidRPr="00EF7245">
        <w:t xml:space="preserve">Az </w:t>
      </w:r>
      <w:r w:rsidRPr="00EF7245">
        <w:rPr>
          <w:u w:val="single"/>
        </w:rPr>
        <w:t>esélyegyenlőségi</w:t>
      </w:r>
      <w:r w:rsidRPr="00DA27DF">
        <w:t xml:space="preserve"> szempontokat tekintve a kérelmet benyújtók többletpontot kaphatnak a jogcím rendeletében meghatározottaktól függően amennyiben: </w:t>
      </w:r>
    </w:p>
    <w:p w:rsidR="00EF7245" w:rsidRPr="00EF7245" w:rsidRDefault="00D53DF7" w:rsidP="00D53DF7">
      <w:pPr>
        <w:pStyle w:val="Normllista2"/>
      </w:pPr>
      <w:r>
        <w:t>- </w:t>
      </w:r>
      <w:r w:rsidR="00EF7245" w:rsidRPr="00EF7245">
        <w:t>az ügyfél vagy foglalkoztatott: nő, roma származású vagy csökkent munkaképességű,</w:t>
      </w:r>
    </w:p>
    <w:p w:rsidR="00EF7245" w:rsidRPr="00EF7245" w:rsidRDefault="00D53DF7" w:rsidP="00D53DF7">
      <w:pPr>
        <w:pStyle w:val="Normllista2"/>
      </w:pPr>
      <w:r>
        <w:t>- </w:t>
      </w:r>
      <w:r w:rsidR="00EF7245" w:rsidRPr="00EF7245">
        <w:t>az ügyfél lakhelye/székhelye vagy a beruházás megvalósítási helye hátrányos helyzetű/elmaradott terület.</w:t>
      </w:r>
    </w:p>
    <w:p w:rsidR="00EF7245" w:rsidRPr="00BD037E" w:rsidRDefault="00EF7245" w:rsidP="00EF7245">
      <w:pPr>
        <w:suppressAutoHyphens w:val="0"/>
        <w:spacing w:after="0"/>
        <w:ind w:firstLine="0"/>
      </w:pPr>
      <w:r w:rsidRPr="00BD037E">
        <w:t xml:space="preserve">A környezeti szempontú fenntarthatóságot tekintve a kérelmet benyújtók többletpontot kaphatnak a jogcím rendeletében meghatározottaktól függően amennyiben: </w:t>
      </w:r>
    </w:p>
    <w:p w:rsidR="00EF7245" w:rsidRPr="00EF7245" w:rsidRDefault="00D53DF7" w:rsidP="00D53DF7">
      <w:pPr>
        <w:pStyle w:val="Normllista2"/>
      </w:pPr>
      <w:r>
        <w:t>- </w:t>
      </w:r>
      <w:r w:rsidR="00EF7245" w:rsidRPr="00EF7245">
        <w:t>környezetvédelmi szempontokat érvényesítenek a gazdálkodás során (például részvétel az agrár-környezetgazdálkodási programban),</w:t>
      </w:r>
    </w:p>
    <w:p w:rsidR="00EF7245" w:rsidRPr="00EF7245" w:rsidRDefault="00D53DF7" w:rsidP="00D53DF7">
      <w:pPr>
        <w:pStyle w:val="Normllista2"/>
      </w:pPr>
      <w:r>
        <w:t>- </w:t>
      </w:r>
      <w:r w:rsidR="00EF7245" w:rsidRPr="00EF7245">
        <w:t>megújuló energiaforrásokat alkalmaznak,</w:t>
      </w:r>
    </w:p>
    <w:p w:rsidR="000C2FDF" w:rsidRPr="000C2FDF" w:rsidRDefault="00D53DF7" w:rsidP="00D53DF7">
      <w:pPr>
        <w:pStyle w:val="Normllista2"/>
      </w:pPr>
      <w:r>
        <w:t>- </w:t>
      </w:r>
      <w:r w:rsidR="00EF7245" w:rsidRPr="00EF7245">
        <w:t>korszerű, energia</w:t>
      </w:r>
      <w:r w:rsidR="00BE06B9">
        <w:t>-</w:t>
      </w:r>
      <w:r w:rsidR="00EF7245" w:rsidRPr="00EF7245">
        <w:t>hatékony, környezetbarát gépeket, létesítményeket alkalmaznak/hoznak létre.</w:t>
      </w:r>
      <w:bookmarkStart w:id="470" w:name="_Toc353450274"/>
    </w:p>
    <w:p w:rsidR="000C2FDF" w:rsidRPr="00D53DF7" w:rsidRDefault="000C2FDF" w:rsidP="00D53DF7">
      <w:pPr>
        <w:pStyle w:val="Cmsor6"/>
      </w:pPr>
      <w:r w:rsidRPr="00D53DF7">
        <w:t>Esélyegyenlőség érvényesülése</w:t>
      </w:r>
      <w:bookmarkEnd w:id="470"/>
    </w:p>
    <w:p w:rsidR="000C2FDF" w:rsidRPr="00D53DF7" w:rsidRDefault="00896E03" w:rsidP="00D53DF7">
      <w:pPr>
        <w:pStyle w:val="Cmsor6"/>
      </w:pPr>
      <w:r w:rsidRPr="00D53DF7">
        <w:t xml:space="preserve">I. </w:t>
      </w:r>
      <w:r w:rsidR="000C2FDF" w:rsidRPr="00D53DF7">
        <w:t xml:space="preserve">tengely </w:t>
      </w:r>
    </w:p>
    <w:p w:rsidR="000C2FDF" w:rsidRPr="00896E03" w:rsidRDefault="000C2FDF" w:rsidP="00896E03">
      <w:r w:rsidRPr="00896E03">
        <w:t>A 2012-ben megjelent jogcímrendeletekben az esélyegyenlőség szempontjai az alábbiak szerint érvényesültek a pontozásban, a kérelem elbírálása során:</w:t>
      </w:r>
    </w:p>
    <w:p w:rsidR="000C2FDF" w:rsidRPr="000C2FDF" w:rsidRDefault="000C2FDF" w:rsidP="00DB48A3">
      <w:pPr>
        <w:pStyle w:val="Cmsor7"/>
      </w:pPr>
      <w:r w:rsidRPr="000C2FDF">
        <w:t>Álla</w:t>
      </w:r>
      <w:r w:rsidR="00DB48A3">
        <w:t>t</w:t>
      </w:r>
      <w:r w:rsidRPr="000C2FDF">
        <w:t xml:space="preserve">tartó telepek korszerűsítése IV. támogatási kérelem benyújtási időszak </w:t>
      </w:r>
    </w:p>
    <w:p w:rsidR="000C2FDF" w:rsidRPr="000C2FDF" w:rsidRDefault="000C2FDF" w:rsidP="00495C8B">
      <w:pPr>
        <w:numPr>
          <w:ilvl w:val="0"/>
          <w:numId w:val="32"/>
        </w:numPr>
        <w:suppressAutoHyphens w:val="0"/>
        <w:spacing w:after="0"/>
        <w:ind w:left="567"/>
        <w:jc w:val="left"/>
        <w:rPr>
          <w:rFonts w:eastAsia="Times New Roman" w:cs="Times New Roman"/>
          <w:kern w:val="0"/>
          <w:szCs w:val="22"/>
        </w:rPr>
      </w:pPr>
      <w:r w:rsidRPr="000C2FDF">
        <w:rPr>
          <w:rFonts w:eastAsia="Times New Roman" w:cs="Times New Roman"/>
          <w:kern w:val="0"/>
          <w:szCs w:val="22"/>
        </w:rPr>
        <w:t>Kisértékű beruházások esetében</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természetes személy</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Az ügyfél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3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 xml:space="preserve">Az ügyfél csökkent munkaképességű: </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4 pont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nem természetes személy</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A foglalkoztatott nők száma legalább 2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3 pont</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Csökkent munkaképességű személy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4 pont</w:t>
      </w:r>
    </w:p>
    <w:p w:rsidR="000C2FDF" w:rsidRPr="000C2FDF" w:rsidRDefault="000C2FDF" w:rsidP="000C2FDF">
      <w:pPr>
        <w:suppressAutoHyphens w:val="0"/>
        <w:spacing w:after="0"/>
        <w:ind w:firstLine="0"/>
        <w:rPr>
          <w:rFonts w:eastAsia="Times New Roman" w:cs="Times New Roman"/>
          <w:kern w:val="0"/>
          <w:szCs w:val="22"/>
          <w:u w:val="single"/>
        </w:rPr>
      </w:pPr>
    </w:p>
    <w:p w:rsidR="000C2FDF" w:rsidRPr="000C2FDF" w:rsidRDefault="000C2FDF" w:rsidP="00495C8B">
      <w:pPr>
        <w:numPr>
          <w:ilvl w:val="0"/>
          <w:numId w:val="32"/>
        </w:numPr>
        <w:suppressAutoHyphens w:val="0"/>
        <w:spacing w:after="0"/>
        <w:ind w:left="567"/>
        <w:jc w:val="left"/>
        <w:rPr>
          <w:rFonts w:eastAsia="Times New Roman" w:cs="Times New Roman"/>
          <w:kern w:val="0"/>
          <w:szCs w:val="22"/>
        </w:rPr>
      </w:pPr>
      <w:r w:rsidRPr="000C2FDF">
        <w:rPr>
          <w:rFonts w:eastAsia="Times New Roman" w:cs="Times New Roman"/>
          <w:kern w:val="0"/>
          <w:szCs w:val="22"/>
        </w:rPr>
        <w:t>Nem kisértékű beruházások esetében</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természetes személy</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Az ügyfél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3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 xml:space="preserve">Az ügyfél csökkent munkaképességű: </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2 pont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nem természetes személy</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A foglalkoztatott nők száma legalább 2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3 pont</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Csökkent munkaképességű személy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DB48A3">
      <w:pPr>
        <w:pStyle w:val="Cmsor7"/>
      </w:pPr>
      <w:r w:rsidRPr="000C2FDF">
        <w:t>Mezőgazdasági termékek értéknövelése:</w:t>
      </w:r>
    </w:p>
    <w:p w:rsidR="000C2FDF" w:rsidRPr="003E35A2" w:rsidRDefault="000C2FDF" w:rsidP="00896E03">
      <w:r w:rsidRPr="003E35A2">
        <w:t>A beadott támogatási kérelmek esetében a hatályos jogszabályoknak megfelelően az esélyegyenlőség pontozási szempontként jelent meg a következők szerint:</w:t>
      </w:r>
    </w:p>
    <w:p w:rsidR="000C2FDF" w:rsidRPr="000C2FDF" w:rsidRDefault="000C2FDF" w:rsidP="000C2FDF">
      <w:pPr>
        <w:suppressAutoHyphens w:val="0"/>
        <w:spacing w:after="0"/>
        <w:ind w:firstLine="708"/>
        <w:rPr>
          <w:rFonts w:eastAsia="Times New Roman" w:cs="Times New Roman"/>
          <w:i/>
          <w:kern w:val="0"/>
          <w:szCs w:val="22"/>
        </w:rPr>
      </w:pPr>
      <w:r w:rsidRPr="000C2FDF">
        <w:rPr>
          <w:rFonts w:eastAsia="Times New Roman" w:cs="Times New Roman"/>
          <w:i/>
          <w:kern w:val="0"/>
          <w:szCs w:val="22"/>
        </w:rPr>
        <w:t>Ha az ügyfél vállalkozás nem mezőgazdasági termelő</w:t>
      </w:r>
    </w:p>
    <w:p w:rsidR="000C2FDF" w:rsidRPr="000C2FDF" w:rsidRDefault="000C2FDF" w:rsidP="000C2FDF">
      <w:pPr>
        <w:suppressAutoHyphens w:val="0"/>
        <w:spacing w:after="0"/>
        <w:ind w:left="708" w:firstLine="708"/>
        <w:rPr>
          <w:rFonts w:eastAsia="Times New Roman" w:cs="Times New Roman"/>
          <w:kern w:val="0"/>
          <w:szCs w:val="22"/>
        </w:rPr>
      </w:pPr>
      <w:r w:rsidRPr="000C2FDF">
        <w:rPr>
          <w:rFonts w:eastAsia="Times New Roman" w:cs="Times New Roman"/>
          <w:kern w:val="0"/>
          <w:szCs w:val="22"/>
        </w:rPr>
        <w:t>A foglalkoztatottak számának legalább 20%-a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0C2FDF">
      <w:pPr>
        <w:suppressAutoHyphens w:val="0"/>
        <w:spacing w:after="0"/>
        <w:ind w:left="708" w:firstLine="708"/>
        <w:rPr>
          <w:rFonts w:eastAsia="Times New Roman" w:cs="Times New Roman"/>
          <w:kern w:val="0"/>
          <w:szCs w:val="22"/>
        </w:rPr>
      </w:pPr>
      <w:r w:rsidRPr="000C2FDF">
        <w:rPr>
          <w:rFonts w:eastAsia="Times New Roman" w:cs="Times New Roman"/>
          <w:kern w:val="0"/>
          <w:szCs w:val="22"/>
        </w:rPr>
        <w:lastRenderedPageBreak/>
        <w:t>Csökkent munkaképességű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0C2FDF">
      <w:pPr>
        <w:suppressAutoHyphens w:val="0"/>
        <w:spacing w:after="0"/>
        <w:ind w:firstLine="708"/>
        <w:rPr>
          <w:rFonts w:eastAsia="Times New Roman" w:cs="Times New Roman"/>
          <w:i/>
          <w:kern w:val="0"/>
          <w:szCs w:val="22"/>
        </w:rPr>
      </w:pPr>
      <w:r w:rsidRPr="000C2FDF">
        <w:rPr>
          <w:rFonts w:eastAsia="Times New Roman" w:cs="Times New Roman"/>
          <w:i/>
          <w:kern w:val="0"/>
          <w:szCs w:val="22"/>
        </w:rPr>
        <w:t>Ha az ügyfél vállalkozás mezőgazdasági termelő</w:t>
      </w:r>
    </w:p>
    <w:p w:rsidR="000C2FDF" w:rsidRPr="000C2FDF" w:rsidRDefault="000C2FDF" w:rsidP="000C2FDF">
      <w:pPr>
        <w:suppressAutoHyphens w:val="0"/>
        <w:spacing w:after="0"/>
        <w:ind w:left="708" w:firstLine="708"/>
        <w:rPr>
          <w:rFonts w:eastAsia="Times New Roman" w:cs="Times New Roman"/>
          <w:kern w:val="0"/>
          <w:szCs w:val="22"/>
        </w:rPr>
      </w:pPr>
      <w:r w:rsidRPr="000C2FDF">
        <w:rPr>
          <w:rFonts w:eastAsia="Times New Roman" w:cs="Times New Roman"/>
          <w:kern w:val="0"/>
          <w:szCs w:val="22"/>
        </w:rPr>
        <w:t>A foglalkoztatottak számának legalább 5%-a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0C2FDF">
      <w:pPr>
        <w:suppressAutoHyphens w:val="0"/>
        <w:spacing w:after="0"/>
        <w:ind w:left="708" w:firstLine="708"/>
        <w:rPr>
          <w:rFonts w:eastAsia="Times New Roman" w:cs="Times New Roman"/>
          <w:kern w:val="0"/>
          <w:szCs w:val="22"/>
        </w:rPr>
      </w:pPr>
      <w:r w:rsidRPr="000C2FDF">
        <w:rPr>
          <w:rFonts w:eastAsia="Times New Roman" w:cs="Times New Roman"/>
          <w:kern w:val="0"/>
          <w:szCs w:val="22"/>
        </w:rPr>
        <w:t>Csökkent munkaképességű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DB48A3">
      <w:pPr>
        <w:pStyle w:val="Cmsor7"/>
      </w:pPr>
      <w:r w:rsidRPr="000C2FDF">
        <w:t>Mezőgazdasági utak fejlesztése</w:t>
      </w:r>
    </w:p>
    <w:p w:rsidR="000C2FDF" w:rsidRPr="00BD037E" w:rsidRDefault="000C2FDF" w:rsidP="00896E03">
      <w:r w:rsidRPr="00BD037E">
        <w:t>A jogcímre beadott támogatási kérelmek esetén a hatályos jogszabályoknak megfelelően az esélyegyenlőség pontozási szempontként jelent meg a következők szerint:</w:t>
      </w:r>
    </w:p>
    <w:p w:rsidR="000C2FDF" w:rsidRPr="00BD037E" w:rsidRDefault="000C2FDF" w:rsidP="00896E03">
      <w:r w:rsidRPr="00BD037E">
        <w:t>A jogcím hatályos rendelete 2012-es benyújtási időszakra vonatkozóan az esélyegyenlőséget úgy kívánja biztosítani, hogy a pontozásban kiemelten kezeli a hátrányos helyzetű területeket, továbbá a tanyás térségeket. Önkormányzatok esetén a beruházás elősegíti az életvitelszerűen tanyán gazdálkodók elérését, dombvidéki területeken a mezőgazdasági földterületek megközelítését.</w:t>
      </w:r>
    </w:p>
    <w:p w:rsidR="000C2FDF" w:rsidRPr="000C2FDF" w:rsidRDefault="000C2FDF" w:rsidP="00DB48A3">
      <w:pPr>
        <w:pStyle w:val="Cmsor7"/>
      </w:pPr>
      <w:r w:rsidRPr="000C2FDF">
        <w:t>Kertészet korszerűsítése III. támogatási kérelem benyújtási időszak</w:t>
      </w:r>
    </w:p>
    <w:p w:rsidR="000C2FDF" w:rsidRPr="00BD037E" w:rsidRDefault="000C2FDF" w:rsidP="000C2FDF">
      <w:pPr>
        <w:suppressAutoHyphens w:val="0"/>
        <w:spacing w:after="0"/>
        <w:ind w:firstLine="0"/>
      </w:pPr>
      <w:r w:rsidRPr="00BD037E">
        <w:t>A jogcím esetében az alábbi esélyegyenlőségi szempontok érvényesültek a kérelem elbírálása során:</w:t>
      </w:r>
    </w:p>
    <w:p w:rsidR="000C2FDF" w:rsidRPr="00BD037E" w:rsidRDefault="000C2FDF" w:rsidP="000C2FDF">
      <w:pPr>
        <w:suppressAutoHyphens w:val="0"/>
        <w:spacing w:after="0"/>
        <w:ind w:left="709" w:firstLine="0"/>
      </w:pP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természetes személy</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Az ügyfél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 xml:space="preserve">Az ügyfél csökkent munkaképességű: </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2 pont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nem természetes személy</w:t>
      </w:r>
    </w:p>
    <w:p w:rsidR="000C2FDF" w:rsidRPr="000C2FDF" w:rsidRDefault="000C2FDF" w:rsidP="000C2FDF">
      <w:pPr>
        <w:suppressAutoHyphens w:val="0"/>
        <w:spacing w:after="0"/>
        <w:ind w:left="2127" w:hanging="851"/>
        <w:rPr>
          <w:rFonts w:eastAsia="Times New Roman" w:cs="Times New Roman"/>
          <w:kern w:val="0"/>
          <w:szCs w:val="22"/>
        </w:rPr>
      </w:pPr>
      <w:r w:rsidRPr="000C2FDF">
        <w:rPr>
          <w:rFonts w:eastAsia="Times New Roman" w:cs="Times New Roman"/>
          <w:kern w:val="0"/>
          <w:szCs w:val="22"/>
        </w:rPr>
        <w:t>Nők foglalkoztatása:</w:t>
      </w:r>
    </w:p>
    <w:p w:rsidR="000C2FDF" w:rsidRPr="000C2FDF" w:rsidRDefault="000C2FDF" w:rsidP="000C2FDF">
      <w:pPr>
        <w:suppressAutoHyphens w:val="0"/>
        <w:spacing w:after="0"/>
        <w:ind w:left="1701" w:firstLine="0"/>
        <w:rPr>
          <w:rFonts w:eastAsia="Times New Roman" w:cs="Times New Roman"/>
          <w:kern w:val="0"/>
          <w:szCs w:val="22"/>
        </w:rPr>
      </w:pPr>
      <w:r w:rsidRPr="000C2FDF">
        <w:rPr>
          <w:rFonts w:eastAsia="Times New Roman" w:cs="Times New Roman"/>
          <w:kern w:val="0"/>
          <w:szCs w:val="22"/>
        </w:rPr>
        <w:t>A foglalkoztatott nők száma 1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1 pont</w:t>
      </w:r>
    </w:p>
    <w:p w:rsidR="000C2FDF" w:rsidRPr="000C2FDF" w:rsidRDefault="000C2FDF" w:rsidP="000C2FDF">
      <w:pPr>
        <w:suppressAutoHyphens w:val="0"/>
        <w:spacing w:after="0"/>
        <w:ind w:left="2127" w:hanging="426"/>
        <w:rPr>
          <w:rFonts w:eastAsia="Times New Roman" w:cs="Times New Roman"/>
          <w:kern w:val="0"/>
          <w:szCs w:val="22"/>
        </w:rPr>
      </w:pPr>
      <w:r w:rsidRPr="000C2FDF">
        <w:rPr>
          <w:rFonts w:eastAsia="Times New Roman" w:cs="Times New Roman"/>
          <w:kern w:val="0"/>
          <w:szCs w:val="22"/>
        </w:rPr>
        <w:t>A foglalkoztatott nők száma legalább 2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2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Csökkent munkaképességű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BD037E" w:rsidRDefault="000C2FDF" w:rsidP="000C2FDF">
      <w:pPr>
        <w:suppressAutoHyphens w:val="0"/>
        <w:spacing w:after="0"/>
        <w:ind w:firstLine="0"/>
      </w:pPr>
      <w:r w:rsidRPr="00BD037E">
        <w:t>A benyújtott, társadalmi felelősség vállalásra vonatkozó terv 1 többletponttal értékelhető.</w:t>
      </w:r>
    </w:p>
    <w:p w:rsidR="000C2FDF" w:rsidRPr="000C2FDF" w:rsidRDefault="000C2FDF" w:rsidP="00DB48A3">
      <w:pPr>
        <w:pStyle w:val="Cmsor7"/>
      </w:pPr>
      <w:r w:rsidRPr="000C2FDF">
        <w:t xml:space="preserve">Baromfi telepek korszerűsítése </w:t>
      </w:r>
    </w:p>
    <w:p w:rsidR="000C2FDF" w:rsidRPr="00BD037E" w:rsidRDefault="000C2FDF" w:rsidP="00BD037E">
      <w:r w:rsidRPr="00BD037E">
        <w:t>A jogcím esetében az alábbi esélyegyenlőségi szempontok érvényesülnek a kérelem elbírálása során:</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természetes személy</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Az ügyfél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3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 xml:space="preserve">Az ügyfél csökkent munkaképességű: </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4 pont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nem természetes személy</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A foglalkoztatott nők száma legalább 2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3 pont</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Csökkent munkaképességű személy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DB48A3">
      <w:pPr>
        <w:pStyle w:val="Cmsor7"/>
      </w:pPr>
      <w:r w:rsidRPr="000C2FDF">
        <w:t>Öntözés, melioráció, területi vízgazdálkodás</w:t>
      </w:r>
    </w:p>
    <w:p w:rsidR="000C2FDF" w:rsidRPr="003E35A2" w:rsidRDefault="000C2FDF" w:rsidP="00896E03">
      <w:r w:rsidRPr="003E35A2">
        <w:t>A beadott támogatási kérelmek esetében a hatályos jogszabályoknak megfelelően az esélyegyenlőség pontozási szempontként jelent meg a következők szerint: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természetes személy</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Az ügyfél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4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 xml:space="preserve">Az ügyfél roma származású: </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1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 xml:space="preserve">Az ügyfél csökkent munkaképességű: </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3 pont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nem természetes személy</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Helyi/Megyei/Országos Cigány Önkormányzat nyilatkozata</w:t>
      </w:r>
      <w:r w:rsidRPr="000C2FDF">
        <w:rPr>
          <w:rFonts w:eastAsia="Times New Roman" w:cs="Times New Roman"/>
          <w:kern w:val="0"/>
          <w:szCs w:val="22"/>
        </w:rPr>
        <w:tab/>
      </w:r>
      <w:r w:rsidRPr="000C2FDF">
        <w:rPr>
          <w:rFonts w:eastAsia="Times New Roman" w:cs="Times New Roman"/>
          <w:kern w:val="0"/>
          <w:szCs w:val="22"/>
        </w:rPr>
        <w:tab/>
        <w:t>1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Nők foglalkoztatása</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ab/>
        <w:t>A foglalkoztatottak számának több, mint 50 %-a nő</w:t>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5 pont</w:t>
      </w:r>
    </w:p>
    <w:p w:rsidR="000C2FDF" w:rsidRPr="000C2FDF" w:rsidRDefault="000C2FDF" w:rsidP="000C2FDF">
      <w:pPr>
        <w:tabs>
          <w:tab w:val="left" w:pos="1701"/>
        </w:tabs>
        <w:suppressAutoHyphens w:val="0"/>
        <w:spacing w:after="0"/>
        <w:ind w:left="1276" w:firstLine="0"/>
        <w:rPr>
          <w:rFonts w:eastAsia="Times New Roman" w:cs="Times New Roman"/>
          <w:kern w:val="0"/>
          <w:szCs w:val="22"/>
        </w:rPr>
      </w:pPr>
      <w:r w:rsidRPr="000C2FDF">
        <w:rPr>
          <w:rFonts w:eastAsia="Times New Roman" w:cs="Times New Roman"/>
          <w:kern w:val="0"/>
          <w:szCs w:val="22"/>
        </w:rPr>
        <w:tab/>
        <w:t>A foglalkoztatottak számának 20-50 %-a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2 pont</w:t>
      </w:r>
    </w:p>
    <w:p w:rsidR="000C2FDF" w:rsidRPr="000C2FDF" w:rsidRDefault="000C2FDF" w:rsidP="000C2FDF">
      <w:pPr>
        <w:tabs>
          <w:tab w:val="left" w:pos="1701"/>
        </w:tabs>
        <w:suppressAutoHyphens w:val="0"/>
        <w:spacing w:after="0"/>
        <w:ind w:left="1701" w:firstLine="0"/>
        <w:rPr>
          <w:rFonts w:eastAsia="Times New Roman" w:cs="Times New Roman"/>
          <w:kern w:val="0"/>
          <w:szCs w:val="22"/>
        </w:rPr>
      </w:pPr>
      <w:r w:rsidRPr="000C2FDF">
        <w:rPr>
          <w:rFonts w:eastAsia="Times New Roman" w:cs="Times New Roman"/>
          <w:kern w:val="0"/>
          <w:szCs w:val="22"/>
        </w:rPr>
        <w:t xml:space="preserve">A foglalkoztatottak számának kevesebb, mint 20 %-a nő, </w:t>
      </w:r>
    </w:p>
    <w:p w:rsidR="000C2FDF" w:rsidRPr="000C2FDF" w:rsidRDefault="000C2FDF" w:rsidP="000C2FDF">
      <w:pPr>
        <w:tabs>
          <w:tab w:val="left" w:pos="1701"/>
        </w:tabs>
        <w:suppressAutoHyphens w:val="0"/>
        <w:spacing w:after="0"/>
        <w:ind w:left="1276" w:firstLine="140"/>
        <w:rPr>
          <w:rFonts w:eastAsia="Times New Roman" w:cs="Times New Roman"/>
          <w:kern w:val="0"/>
          <w:szCs w:val="22"/>
        </w:rPr>
      </w:pPr>
      <w:r w:rsidRPr="000C2FDF">
        <w:rPr>
          <w:rFonts w:eastAsia="Times New Roman" w:cs="Times New Roman"/>
          <w:kern w:val="0"/>
          <w:szCs w:val="22"/>
        </w:rPr>
        <w:tab/>
      </w:r>
      <w:r w:rsidRPr="000C2FDF">
        <w:rPr>
          <w:rFonts w:eastAsia="Times New Roman" w:cs="Times New Roman"/>
          <w:kern w:val="0"/>
          <w:szCs w:val="22"/>
        </w:rPr>
        <w:tab/>
        <w:t>de legalább 1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1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lastRenderedPageBreak/>
        <w:t>Csökkent munkaképességű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715E86" w:rsidRDefault="000C2FDF" w:rsidP="00896E03">
      <w:r w:rsidRPr="00715E86">
        <w:t>Korábban a társadalmi felelősségvállalás az üzleti tervekben megjelent, de az üzleti terv értékelése a pontozási szempontok között nem szerepelt. Ebben is hozott változást a 2008. június 16-tól benyújtott támogatási kérelmekre vonatkozó szabályozás, ami szerint a benyújtott, társadalmi felelősség vállalásra vonatkozó terv többletponttal értékelhető.</w:t>
      </w:r>
    </w:p>
    <w:p w:rsidR="000C2FDF" w:rsidRPr="000C2FDF" w:rsidRDefault="000C2FDF" w:rsidP="00DB48A3">
      <w:pPr>
        <w:pStyle w:val="Cmsor7"/>
      </w:pPr>
      <w:r w:rsidRPr="000C2FDF">
        <w:t>Mezőgazdasági utak fejlesztése</w:t>
      </w:r>
    </w:p>
    <w:p w:rsidR="000C2FDF" w:rsidRPr="003E35A2" w:rsidRDefault="000C2FDF" w:rsidP="00896E03">
      <w:r w:rsidRPr="003E35A2">
        <w:t>A jogcímre beadott támogatási kérelmek esetén a hatályos jogszabályoknak megfelelően az esélyegyenlőség pontozási szempontként jelent meg a következők szerint:</w:t>
      </w:r>
    </w:p>
    <w:p w:rsidR="000C2FDF" w:rsidRPr="003E35A2" w:rsidRDefault="000C2FDF" w:rsidP="00896E03">
      <w:r w:rsidRPr="003E35A2">
        <w:t>A jogcím hatályos rendelete 2012-es benyújtási időszakra vonatkozóan az esélyegyenlőséget úgy kívánja biztosítani, hogy a pontozásban kiemelten kezeli a hátrányos helyzetű területeket, továbbá a tanyás térségeket.</w:t>
      </w:r>
    </w:p>
    <w:p w:rsidR="000C2FDF" w:rsidRPr="000C2FDF" w:rsidRDefault="000C2FDF" w:rsidP="00DB48A3">
      <w:pPr>
        <w:pStyle w:val="Cmsor7"/>
      </w:pPr>
      <w:r w:rsidRPr="000C2FDF">
        <w:t>Kertészet korszerűsítése:</w:t>
      </w:r>
    </w:p>
    <w:p w:rsidR="000C2FDF" w:rsidRPr="00715E86" w:rsidRDefault="000C2FDF" w:rsidP="00715E86">
      <w:r w:rsidRPr="00715E86">
        <w:t>A jogcím hatályos rendeletében 2012-es benyújtási időszakra vonatkozóan az esélyegyenlőség pontozási szempontként a következők szerint jelent meg:</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természetes személy</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Az ügyfél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 xml:space="preserve">Az ügyfél csökkent munkaképességű: </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2 pont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nem természetes személy</w:t>
      </w:r>
    </w:p>
    <w:p w:rsidR="000C2FDF" w:rsidRPr="000C2FDF" w:rsidRDefault="000C2FDF" w:rsidP="000C2FDF">
      <w:pPr>
        <w:suppressAutoHyphens w:val="0"/>
        <w:spacing w:after="0"/>
        <w:ind w:left="2127" w:hanging="851"/>
        <w:rPr>
          <w:rFonts w:eastAsia="Times New Roman" w:cs="Times New Roman"/>
          <w:kern w:val="0"/>
          <w:szCs w:val="22"/>
        </w:rPr>
      </w:pPr>
      <w:r w:rsidRPr="000C2FDF">
        <w:rPr>
          <w:rFonts w:eastAsia="Times New Roman" w:cs="Times New Roman"/>
          <w:kern w:val="0"/>
          <w:szCs w:val="22"/>
        </w:rPr>
        <w:t>Nők foglalkoztatása:</w:t>
      </w:r>
    </w:p>
    <w:p w:rsidR="000C2FDF" w:rsidRPr="000C2FDF" w:rsidRDefault="000C2FDF" w:rsidP="000C2FDF">
      <w:pPr>
        <w:suppressAutoHyphens w:val="0"/>
        <w:spacing w:after="0"/>
        <w:ind w:left="1701" w:firstLine="0"/>
        <w:rPr>
          <w:rFonts w:eastAsia="Times New Roman" w:cs="Times New Roman"/>
          <w:kern w:val="0"/>
          <w:szCs w:val="22"/>
        </w:rPr>
      </w:pPr>
      <w:r w:rsidRPr="000C2FDF">
        <w:rPr>
          <w:rFonts w:eastAsia="Times New Roman" w:cs="Times New Roman"/>
          <w:kern w:val="0"/>
          <w:szCs w:val="22"/>
        </w:rPr>
        <w:t>A foglalkoztatott nők száma 1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1 pont</w:t>
      </w:r>
    </w:p>
    <w:p w:rsidR="000C2FDF" w:rsidRPr="000C2FDF" w:rsidRDefault="000C2FDF" w:rsidP="000C2FDF">
      <w:pPr>
        <w:suppressAutoHyphens w:val="0"/>
        <w:spacing w:after="0"/>
        <w:ind w:left="2127" w:hanging="426"/>
        <w:rPr>
          <w:rFonts w:eastAsia="Times New Roman" w:cs="Times New Roman"/>
          <w:kern w:val="0"/>
          <w:szCs w:val="22"/>
        </w:rPr>
      </w:pPr>
      <w:r w:rsidRPr="000C2FDF">
        <w:rPr>
          <w:rFonts w:eastAsia="Times New Roman" w:cs="Times New Roman"/>
          <w:kern w:val="0"/>
          <w:szCs w:val="22"/>
        </w:rPr>
        <w:t>A foglalkoztatott nők száma legalább 2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2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Csökkent munkaképességű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BD037E" w:rsidRDefault="000C2FDF" w:rsidP="00BD037E">
      <w:r w:rsidRPr="00BD037E">
        <w:t>A benyújtott, társadalmi felelősség vállalásra vonatkozó terv 1 többletponttal értékelhető.</w:t>
      </w:r>
    </w:p>
    <w:p w:rsidR="000C2FDF" w:rsidRPr="000C2FDF" w:rsidRDefault="000C2FDF" w:rsidP="00DB48A3">
      <w:pPr>
        <w:pStyle w:val="Cmsor7"/>
      </w:pPr>
      <w:r w:rsidRPr="000C2FDF">
        <w:t>Fiatalerdők állománynevelése:</w:t>
      </w:r>
    </w:p>
    <w:p w:rsidR="000C2FDF" w:rsidRPr="003E35A2" w:rsidRDefault="000C2FDF" w:rsidP="00896E03">
      <w:r w:rsidRPr="003E35A2">
        <w:t>A beadott támogatási kérelmek esetében a hatályos jogszabályoknak megfelelően az esélyegyenlőség pontozási szempontként jelent meg a következők szerint: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természetes személy</w:t>
      </w:r>
    </w:p>
    <w:p w:rsidR="000C2FDF" w:rsidRPr="000C2FDF" w:rsidRDefault="000C2FDF" w:rsidP="000C2FDF">
      <w:pPr>
        <w:suppressAutoHyphens w:val="0"/>
        <w:spacing w:after="0"/>
        <w:ind w:left="708" w:firstLine="612"/>
        <w:rPr>
          <w:rFonts w:eastAsia="Times New Roman" w:cs="Times New Roman"/>
          <w:kern w:val="0"/>
          <w:szCs w:val="22"/>
        </w:rPr>
      </w:pPr>
      <w:r w:rsidRPr="000C2FDF">
        <w:rPr>
          <w:rFonts w:eastAsia="Times New Roman" w:cs="Times New Roman"/>
          <w:kern w:val="0"/>
          <w:szCs w:val="22"/>
        </w:rPr>
        <w:t>Ha az ügyfél nő: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4 pont</w:t>
      </w:r>
    </w:p>
    <w:p w:rsidR="000C2FDF" w:rsidRPr="00E427D8" w:rsidRDefault="000C2FDF" w:rsidP="000C2FDF">
      <w:pPr>
        <w:suppressAutoHyphens w:val="0"/>
        <w:autoSpaceDE w:val="0"/>
        <w:autoSpaceDN w:val="0"/>
        <w:adjustRightInd w:val="0"/>
        <w:spacing w:after="0"/>
        <w:ind w:left="568" w:firstLine="752"/>
        <w:jc w:val="left"/>
        <w:rPr>
          <w:rFonts w:eastAsia="Times New Roman" w:cs="Times New Roman"/>
          <w:kern w:val="0"/>
          <w:szCs w:val="22"/>
        </w:rPr>
      </w:pPr>
      <w:r w:rsidRPr="000C2FDF">
        <w:rPr>
          <w:rFonts w:eastAsia="Times New Roman" w:cs="Times New Roman"/>
          <w:kern w:val="0"/>
          <w:szCs w:val="22"/>
        </w:rPr>
        <w:t>Az ügyfél csökkent munkaképességű:</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4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Közfoglalkoztatás:</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4 pont</w:t>
      </w:r>
    </w:p>
    <w:p w:rsidR="000C2FDF" w:rsidRPr="000C2FDF" w:rsidRDefault="000C2FDF" w:rsidP="000C2FDF">
      <w:pPr>
        <w:suppressAutoHyphens w:val="0"/>
        <w:spacing w:after="0"/>
        <w:ind w:left="709" w:firstLine="0"/>
        <w:rPr>
          <w:rFonts w:eastAsia="Times New Roman" w:cs="Times New Roman"/>
          <w:i/>
          <w:kern w:val="0"/>
          <w:szCs w:val="22"/>
        </w:rPr>
      </w:pPr>
      <w:r w:rsidRPr="000C2FDF">
        <w:rPr>
          <w:rFonts w:eastAsia="Times New Roman" w:cs="Times New Roman"/>
          <w:i/>
          <w:kern w:val="0"/>
          <w:szCs w:val="22"/>
        </w:rPr>
        <w:t>Ha az ügyfél nem természetes személy</w:t>
      </w:r>
    </w:p>
    <w:p w:rsidR="000C2FDF" w:rsidRPr="000C2FDF" w:rsidRDefault="000C2FDF" w:rsidP="000C2FDF">
      <w:pPr>
        <w:suppressAutoHyphens w:val="0"/>
        <w:spacing w:after="0"/>
        <w:ind w:left="2127" w:hanging="851"/>
        <w:rPr>
          <w:rFonts w:eastAsia="Times New Roman" w:cs="Times New Roman"/>
          <w:kern w:val="0"/>
          <w:szCs w:val="22"/>
        </w:rPr>
      </w:pPr>
      <w:r w:rsidRPr="000C2FDF">
        <w:rPr>
          <w:rFonts w:eastAsia="Times New Roman" w:cs="Times New Roman"/>
          <w:kern w:val="0"/>
          <w:szCs w:val="22"/>
        </w:rPr>
        <w:t>Nők foglalkoztatása:</w:t>
      </w:r>
    </w:p>
    <w:p w:rsidR="000C2FDF" w:rsidRPr="000C2FDF" w:rsidRDefault="000C2FDF" w:rsidP="000C2FDF">
      <w:pPr>
        <w:suppressAutoHyphens w:val="0"/>
        <w:spacing w:after="0"/>
        <w:ind w:left="1701" w:firstLine="0"/>
        <w:rPr>
          <w:rFonts w:eastAsia="Times New Roman" w:cs="Times New Roman"/>
          <w:kern w:val="0"/>
          <w:szCs w:val="22"/>
        </w:rPr>
      </w:pPr>
      <w:r w:rsidRPr="000C2FDF">
        <w:rPr>
          <w:rFonts w:eastAsia="Times New Roman" w:cs="Times New Roman"/>
          <w:kern w:val="0"/>
          <w:szCs w:val="22"/>
        </w:rPr>
        <w:t>A foglalkoztatott nők száma 1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2 pont</w:t>
      </w:r>
    </w:p>
    <w:p w:rsidR="000C2FDF" w:rsidRPr="000C2FDF" w:rsidRDefault="000C2FDF" w:rsidP="000C2FDF">
      <w:pPr>
        <w:suppressAutoHyphens w:val="0"/>
        <w:spacing w:after="0"/>
        <w:ind w:left="2127" w:hanging="426"/>
        <w:rPr>
          <w:rFonts w:eastAsia="Times New Roman" w:cs="Times New Roman"/>
          <w:kern w:val="0"/>
          <w:szCs w:val="22"/>
        </w:rPr>
      </w:pPr>
      <w:r w:rsidRPr="000C2FDF">
        <w:rPr>
          <w:rFonts w:eastAsia="Times New Roman" w:cs="Times New Roman"/>
          <w:kern w:val="0"/>
          <w:szCs w:val="22"/>
        </w:rPr>
        <w:t>A foglalkoztatott nők száma legalább 2 fő</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00A97222">
        <w:rPr>
          <w:rFonts w:eastAsia="Times New Roman" w:cs="Times New Roman"/>
          <w:kern w:val="0"/>
          <w:szCs w:val="22"/>
        </w:rPr>
        <w:tab/>
      </w:r>
      <w:r w:rsidRPr="000C2FDF">
        <w:rPr>
          <w:rFonts w:eastAsia="Times New Roman" w:cs="Times New Roman"/>
          <w:kern w:val="0"/>
          <w:szCs w:val="22"/>
        </w:rPr>
        <w:t>4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Csökkent munkaképességű foglalkoztatása:</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4 pont</w:t>
      </w:r>
    </w:p>
    <w:p w:rsidR="000C2FDF" w:rsidRPr="000C2FDF" w:rsidRDefault="000C2FDF" w:rsidP="000C2FDF">
      <w:pPr>
        <w:suppressAutoHyphens w:val="0"/>
        <w:spacing w:after="0"/>
        <w:ind w:left="1276" w:firstLine="0"/>
        <w:rPr>
          <w:rFonts w:eastAsia="Times New Roman" w:cs="Times New Roman"/>
          <w:kern w:val="0"/>
          <w:szCs w:val="22"/>
        </w:rPr>
      </w:pPr>
      <w:r w:rsidRPr="000C2FDF">
        <w:rPr>
          <w:rFonts w:eastAsia="Times New Roman" w:cs="Times New Roman"/>
          <w:kern w:val="0"/>
          <w:szCs w:val="22"/>
        </w:rPr>
        <w:t>Közfoglalkoztatás:</w:t>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r>
      <w:r w:rsidRPr="000C2FDF">
        <w:rPr>
          <w:rFonts w:eastAsia="Times New Roman" w:cs="Times New Roman"/>
          <w:kern w:val="0"/>
          <w:szCs w:val="22"/>
        </w:rPr>
        <w:tab/>
        <w:t>4 pont</w:t>
      </w:r>
    </w:p>
    <w:p w:rsidR="000C2FDF" w:rsidRPr="000C2FDF" w:rsidRDefault="000C2FDF" w:rsidP="00DB48A3">
      <w:pPr>
        <w:pStyle w:val="Cmsor7"/>
      </w:pPr>
      <w:r w:rsidRPr="000C2FDF">
        <w:t>Fiatal mezőgazdasági termelők számára nyújtandó támogatás:</w:t>
      </w:r>
    </w:p>
    <w:p w:rsidR="000C2FDF" w:rsidRPr="003E35A2" w:rsidRDefault="000C2FDF" w:rsidP="00896E03">
      <w:r w:rsidRPr="003E35A2">
        <w:t>A benyújtott támogatási kérelmek esetében a hatályos jogszabályoknak megfelelően az esélyegyenlőség pontozási szempontként jelent meg a következők szerint:</w:t>
      </w:r>
    </w:p>
    <w:p w:rsidR="000C2FDF" w:rsidRPr="00AA6631" w:rsidRDefault="000C2FDF" w:rsidP="000C2FDF">
      <w:pPr>
        <w:suppressAutoHyphens w:val="0"/>
        <w:spacing w:after="0"/>
        <w:ind w:left="709" w:firstLine="0"/>
      </w:pPr>
      <w:r w:rsidRPr="00AA6631">
        <w:t>Ha az ügyfél nő:</w:t>
      </w:r>
      <w:r w:rsidRPr="00AA6631">
        <w:tab/>
      </w:r>
      <w:r w:rsidRPr="00AA6631">
        <w:tab/>
      </w:r>
      <w:r w:rsidRPr="00AA6631">
        <w:tab/>
      </w:r>
      <w:r w:rsidRPr="00AA6631">
        <w:tab/>
      </w:r>
      <w:r w:rsidRPr="00AA6631">
        <w:tab/>
      </w:r>
      <w:r w:rsidRPr="00AA6631">
        <w:tab/>
      </w:r>
      <w:r w:rsidRPr="00AA6631">
        <w:tab/>
      </w:r>
      <w:r w:rsidRPr="00AA6631">
        <w:tab/>
        <w:t>2 pont</w:t>
      </w:r>
    </w:p>
    <w:p w:rsidR="000C2FDF" w:rsidRPr="00AA6631" w:rsidRDefault="000C2FDF" w:rsidP="000C2FDF">
      <w:pPr>
        <w:suppressAutoHyphens w:val="0"/>
        <w:spacing w:after="0"/>
        <w:ind w:left="709" w:firstLine="0"/>
      </w:pPr>
      <w:r w:rsidRPr="00AA6631">
        <w:t>Csökkent munkaképességű:</w:t>
      </w:r>
      <w:r w:rsidRPr="00AA6631">
        <w:tab/>
      </w:r>
      <w:r w:rsidRPr="00AA6631">
        <w:tab/>
      </w:r>
      <w:r w:rsidRPr="00AA6631">
        <w:tab/>
      </w:r>
      <w:r w:rsidRPr="00AA6631">
        <w:tab/>
      </w:r>
      <w:r w:rsidRPr="00AA6631">
        <w:tab/>
      </w:r>
      <w:r w:rsidRPr="00AA6631">
        <w:tab/>
      </w:r>
      <w:r w:rsidRPr="00AA6631">
        <w:tab/>
        <w:t>1 pont</w:t>
      </w:r>
    </w:p>
    <w:p w:rsidR="000C2FDF" w:rsidRPr="00AA6631" w:rsidRDefault="000C2FDF" w:rsidP="000C2FDF">
      <w:pPr>
        <w:suppressAutoHyphens w:val="0"/>
        <w:spacing w:after="0"/>
        <w:ind w:left="709" w:firstLine="0"/>
      </w:pPr>
      <w:r w:rsidRPr="00AA6631">
        <w:t>Az ügyfél tartózkodási helye hátrányos helyzetű településen van:</w:t>
      </w:r>
      <w:r w:rsidRPr="00AA6631">
        <w:tab/>
      </w:r>
      <w:r w:rsidRPr="00AA6631">
        <w:tab/>
        <w:t>6 pont</w:t>
      </w:r>
    </w:p>
    <w:p w:rsidR="000C2FDF" w:rsidRPr="00D53DF7" w:rsidRDefault="00F92037" w:rsidP="00D53DF7">
      <w:pPr>
        <w:pStyle w:val="Cmsor6"/>
      </w:pPr>
      <w:r w:rsidRPr="00D53DF7">
        <w:lastRenderedPageBreak/>
        <w:t xml:space="preserve">II. </w:t>
      </w:r>
      <w:r w:rsidR="000C2FDF" w:rsidRPr="00D53DF7">
        <w:t>tengely</w:t>
      </w:r>
    </w:p>
    <w:p w:rsidR="000C2FDF" w:rsidRPr="000C2FDF" w:rsidRDefault="000C2FDF" w:rsidP="00DB48A3">
      <w:pPr>
        <w:pStyle w:val="Cmsor7"/>
      </w:pPr>
      <w:r w:rsidRPr="000C2FDF">
        <w:t>Tejágazat szerkezetátalakítását kísérő állatjóléti támogatás (EMVA)</w:t>
      </w:r>
    </w:p>
    <w:p w:rsidR="000C2FDF" w:rsidRPr="00896E03" w:rsidRDefault="000C2FDF" w:rsidP="00DA27DF">
      <w:r w:rsidRPr="00896E03">
        <w:t>A jogcím kiemelt célja az állattartással foglalkozó kis- és középvállalkozások ágazatban történő megmaradásának biztosítása, az állattartási körülmények javítása. Célja, hogy ösztönözze az állattartó tevékenység fenntartását, az állatállomány növelését. Az ebből származó jövedelem hozzájárul a vidéki lakosság életkörülményeinek javításához.</w:t>
      </w:r>
    </w:p>
    <w:p w:rsidR="000C2FDF" w:rsidRPr="00D53DF7" w:rsidRDefault="000C2FDF" w:rsidP="00D53DF7">
      <w:pPr>
        <w:pStyle w:val="Cmsor6"/>
      </w:pPr>
      <w:r w:rsidRPr="00D53DF7">
        <w:t xml:space="preserve">III.- IV. tengely </w:t>
      </w:r>
    </w:p>
    <w:p w:rsidR="000C2FDF" w:rsidRPr="00896E03" w:rsidRDefault="000C2FDF" w:rsidP="00896E03">
      <w:r w:rsidRPr="00896E03">
        <w:t xml:space="preserve">A Program kiemelt figyelemmel kezeli a hátrányos helyzetű munkavállalókat illetve a hátrányos helyzetű térségeket, gazdasági és társadalom-politikai jelentősége miatt. </w:t>
      </w:r>
    </w:p>
    <w:p w:rsidR="000C2FDF" w:rsidRPr="00D53DF7" w:rsidRDefault="000C2FDF" w:rsidP="00DB48A3">
      <w:pPr>
        <w:pStyle w:val="Cmsor7"/>
      </w:pPr>
      <w:r w:rsidRPr="00D53DF7">
        <w:t xml:space="preserve">Mikrovállalkozások létrehozása és fejlesztése, Turisztikai tevékenységek ösztönzése, Falumegújítás és -fejlesztés, Vidéki örökség megőrzése </w:t>
      </w:r>
    </w:p>
    <w:p w:rsidR="000C2FDF" w:rsidRPr="00896E03" w:rsidRDefault="000C2FDF" w:rsidP="00896E03">
      <w:r w:rsidRPr="00896E03">
        <w:t>A négy intézkedés elsődleges célja a mezőgazdaságból élő vidéki lakosság keresőképességének javítása, valamint az olyan agrárágazaton kívüli munkahelyek megteremtése és megtartása, amelyek hozzájárulhatnak a vidéki területekről való elvándorlás visszaszorításához és a vidéki életkörülmények javításához. Célja, hogy ösztönözze a mezőgazdaságból származó jövedelemmel rendelkező háztartások egyéb jövedelemtermelő, termelő és szolgáltató tevékenységeit, továbbá támogassa a helyben előállított termékek piacra vitelét.</w:t>
      </w:r>
    </w:p>
    <w:p w:rsidR="000C2FDF" w:rsidRPr="00896E03" w:rsidRDefault="000C2FDF" w:rsidP="00896E03">
      <w:r w:rsidRPr="00896E03">
        <w:t>Az intézkedés kapcsolódik a nemek közötti társadalmi egyenlőtlenség megszüntetéséhez, valamint a hátrányos helyzetű társadalmi csoportok munkaerő-piaci integrációjának támogatásához.</w:t>
      </w:r>
    </w:p>
    <w:p w:rsidR="000C2FDF" w:rsidRPr="00896E03" w:rsidRDefault="000C2FDF" w:rsidP="00896E03">
      <w:r w:rsidRPr="00896E03">
        <w:t xml:space="preserve">A jogcímrendeletek céljai között nevesítésre került a foglalkoztatás, mint cél. Ennek megfelelően a támogatási kérelmek is rákérdeznek arra, hogy a támogatási kérelmet benyújtó ügyfél szándékozik-e új munkahelyet létrehozni valamint hátrányos helyzetű munkavállalót kíván-e foglalkoztatni valamint a projekt megvalósítását a jogszabály által besorolt hátrányos helyzetű térségben kívánja-e megvalósítani. </w:t>
      </w:r>
    </w:p>
    <w:p w:rsidR="000C2FDF" w:rsidRPr="000C2FDF" w:rsidRDefault="000C2FDF" w:rsidP="00DB48A3">
      <w:pPr>
        <w:pStyle w:val="Cmsor7"/>
      </w:pPr>
      <w:r w:rsidRPr="000C2FDF">
        <w:t>LEADER Helyi vidékfejlesztési stratégiák (HVS-ek) megvalósítása</w:t>
      </w:r>
    </w:p>
    <w:p w:rsidR="000C2FDF" w:rsidRPr="00AA6631" w:rsidRDefault="000C2FDF" w:rsidP="00DA27DF">
      <w:r w:rsidRPr="00AA6631">
        <w:t>Minden HACS az általa kialakított HVS megvalósítását szolgáló célterületnek megfelelően határozta meg a pontozási szempontokat. Mivel a cél az volt, hogy a pontozás minél objektívabb legyen, így a célterületekben különböző arányban szerepelnek esélyegyenlőségre vonatkozó szempontok. Emellett egységes pontozást a keretjogszabály csak a fentebb említett jogcímeknél és szempontoknál ír elő.</w:t>
      </w:r>
    </w:p>
    <w:p w:rsidR="000C2FDF" w:rsidRPr="00AA6631" w:rsidRDefault="000C2FDF" w:rsidP="00896E03">
      <w:r w:rsidRPr="00AA6631">
        <w:t xml:space="preserve">Az esélyegyenlőség szempontjából a Helyi Akciócsoportok a célterületeiken maguk határozhatták meg a célcsoportok esélyegyenlőséget is érvényesítő pontozási feltételeit: pl. fogyatékkal élők, roma származásúak, 50 évnél idősebb munkavállalók, 25 év alatti pályakezdők, nők. A Program egyes intézkedései, ezen belül kiemelten a LEADER esetén célcsoportonként, továbbá nagy számban potenciális kedvezményezettként megjelennek a demokratikusan megválasztott kisebbségi önkormányzatok, melyek e programban is támogatásra jogosultak, támogatási kérelmet nyújthattak be. </w:t>
      </w:r>
      <w:bookmarkStart w:id="471" w:name="_Toc353450275"/>
      <w:bookmarkStart w:id="472" w:name="_Toc297561017"/>
    </w:p>
    <w:p w:rsidR="000C2FDF" w:rsidRPr="00D53DF7" w:rsidRDefault="000C2FDF" w:rsidP="00D53DF7">
      <w:pPr>
        <w:pStyle w:val="Cmsor6"/>
      </w:pPr>
      <w:r w:rsidRPr="00D53DF7">
        <w:t>Környezeti szempontú fenntarthatóság érvényesülése</w:t>
      </w:r>
      <w:bookmarkEnd w:id="471"/>
      <w:r w:rsidRPr="00D53DF7">
        <w:t xml:space="preserve">  </w:t>
      </w:r>
    </w:p>
    <w:bookmarkEnd w:id="472"/>
    <w:p w:rsidR="000C2FDF" w:rsidRPr="00D53DF7" w:rsidRDefault="00896E03" w:rsidP="00D53DF7">
      <w:pPr>
        <w:pStyle w:val="Cmsor6"/>
      </w:pPr>
      <w:r w:rsidRPr="00D53DF7">
        <w:t xml:space="preserve">I. </w:t>
      </w:r>
      <w:r w:rsidR="000C2FDF" w:rsidRPr="00D53DF7">
        <w:t>tengely</w:t>
      </w:r>
    </w:p>
    <w:p w:rsidR="000C2FDF" w:rsidRPr="000C2FDF" w:rsidRDefault="000C2FDF" w:rsidP="00DB48A3">
      <w:pPr>
        <w:pStyle w:val="Cmsor7"/>
      </w:pPr>
      <w:r w:rsidRPr="000C2FDF">
        <w:t>Állattartó telepek korszerűsítése IV. támogatási kérelem benyújtási időszak</w:t>
      </w:r>
    </w:p>
    <w:p w:rsidR="000C2FDF" w:rsidRPr="003E35A2" w:rsidRDefault="000C2FDF" w:rsidP="00896E03">
      <w:r w:rsidRPr="003E35A2">
        <w:t>A jogcím keretében meghirdetett fejlesztési célok - mint például az állattartó telepeken keletkező trágya kezelését, felhasználását szolgáló, az állattartás minőségének javítását célzó, a telepi állat-</w:t>
      </w:r>
      <w:r w:rsidRPr="003E35A2">
        <w:lastRenderedPageBreak/>
        <w:t xml:space="preserve">egészségügyi helyzetet javító, az állatbetegségek kialakulását és terjedését megelőző épített, beépített technológia és infrastruktúra beruházások - önmagukban is szolgálják a környezeti fenntarthatóságot. </w:t>
      </w:r>
    </w:p>
    <w:p w:rsidR="000C2FDF" w:rsidRPr="003E35A2" w:rsidRDefault="000C2FDF" w:rsidP="00896E03">
      <w:r w:rsidRPr="003E35A2">
        <w:t>A jogcím keretében többletpont adható bioállattartásra, biotakarmány termesztésre, bio állati termékek előállítására, vagy az AKG programban történő részvétel esetében, továbbá amennyiben a fejlesztés tartalmaz megújuló energia hasznosítást.</w:t>
      </w:r>
    </w:p>
    <w:p w:rsidR="000C2FDF" w:rsidRPr="000C2FDF" w:rsidRDefault="000C2FDF" w:rsidP="00DB48A3">
      <w:pPr>
        <w:pStyle w:val="Cmsor7"/>
      </w:pPr>
      <w:r w:rsidRPr="000C2FDF">
        <w:t>Mez</w:t>
      </w:r>
      <w:r w:rsidR="00DB48A3">
        <w:t>ő</w:t>
      </w:r>
      <w:r w:rsidRPr="000C2FDF">
        <w:t>gazdasági termékek értéknövelése</w:t>
      </w:r>
    </w:p>
    <w:p w:rsidR="000C2FDF" w:rsidRPr="003E35A2" w:rsidRDefault="000C2FDF" w:rsidP="00896E03">
      <w:r w:rsidRPr="003E35A2">
        <w:t>A beadott támogatási kérelmek esetében a hatályos jogszabályoknak megfelelően a környezeti szempontú fenntarthatóság érvényesülése pontozási szempontként megjelenik a következők szerint:</w:t>
      </w:r>
    </w:p>
    <w:p w:rsidR="000C2FDF" w:rsidRPr="003E35A2" w:rsidRDefault="000C2FDF" w:rsidP="00896E03">
      <w:r w:rsidRPr="003E35A2">
        <w:t>Amennyiben az ügyfél biogazdálkodást folytat, vagy helyt adó/részben helyt adó támogatási határozattal rendelkezik a 2009. évi agrárkörnyezet-gazdálkodási programban (AKG), és ezt még nem vonták vissza, és nem zárták ki a 2009-es AKG programból, abban az esetben részére 6 pont adható. Amennyiben az ügyfél feldolgozó tevékenységéhez közvetlenül kapcsolódóan megújuló energiaforrást használ, abban az esetben további 5 pont adható.</w:t>
      </w:r>
    </w:p>
    <w:p w:rsidR="000C2FDF" w:rsidRPr="000C2FDF" w:rsidRDefault="000C2FDF" w:rsidP="00DB48A3">
      <w:pPr>
        <w:pStyle w:val="Cmsor7"/>
      </w:pPr>
      <w:r w:rsidRPr="000C2FDF">
        <w:t>Öntözés, melioráció, területi vízgazdálkodás</w:t>
      </w:r>
    </w:p>
    <w:p w:rsidR="000C2FDF" w:rsidRPr="003E35A2" w:rsidRDefault="000C2FDF" w:rsidP="00896E03">
      <w:r w:rsidRPr="003E35A2">
        <w:t>A jogcím keretében meghirdetett fejlesztési célok önmagukban is kifejezetten a környezeti fenntarthatóságot szolgálják. A meliorációval a talaj eróziós és deflációs károsodását akadályozzák meg, valamint elősegítik az egészséges talajélet kialakulását. Az öntözés korszerűsítésének célja az édesvízzel való okszerű, takarékos gazdálkodás, valamint az elsivatagosodás megakadályozása.</w:t>
      </w:r>
    </w:p>
    <w:p w:rsidR="000C2FDF" w:rsidRPr="000C2FDF" w:rsidRDefault="000C2FDF" w:rsidP="00DB48A3">
      <w:pPr>
        <w:pStyle w:val="Cmsor7"/>
      </w:pPr>
      <w:r w:rsidRPr="000C2FDF">
        <w:t>Mezőgazdasági utak fejlesztése</w:t>
      </w:r>
    </w:p>
    <w:p w:rsidR="000C2FDF" w:rsidRPr="00715E86" w:rsidRDefault="000C2FDF" w:rsidP="00896E03">
      <w:r w:rsidRPr="00715E86">
        <w:t>A jogcím keretében többletpont adható, amennyiben a kérelemben szereplő összes útárok vízi létesítményhez csatlakozik, ezáltal is csökkentve a vizek által okozott eróziós hatásokat.</w:t>
      </w:r>
    </w:p>
    <w:p w:rsidR="000C2FDF" w:rsidRPr="00715E86" w:rsidRDefault="000C2FDF" w:rsidP="00896E03">
      <w:r w:rsidRPr="00715E86">
        <w:t>A pontszám a 2012-es benyújtási időszakra vonatkozóan 25 ponttal jutalmazza azokat a beruházásokat, melyek esetén valamennyi útárok vízi létesítményhez kapcsolódik.</w:t>
      </w:r>
    </w:p>
    <w:p w:rsidR="000C2FDF" w:rsidRPr="000C2FDF" w:rsidRDefault="000C2FDF" w:rsidP="00DB48A3">
      <w:pPr>
        <w:pStyle w:val="Cmsor7"/>
      </w:pPr>
      <w:r w:rsidRPr="000C2FDF">
        <w:t>Kertészet korszerűsítése III. támogatási kérelem benyújtási időszak</w:t>
      </w:r>
    </w:p>
    <w:p w:rsidR="000C2FDF" w:rsidRPr="000C2FDF" w:rsidRDefault="000C2FDF" w:rsidP="00DA27DF">
      <w:r w:rsidRPr="000C2FDF">
        <w:t xml:space="preserve">A jogcím keretében több, megújuló energiaforrás használatára alkalmas beruházás, gép, technológiai berendezés megvalósítására van lehetőség. </w:t>
      </w:r>
    </w:p>
    <w:p w:rsidR="000C2FDF" w:rsidRPr="000C2FDF" w:rsidRDefault="000C2FDF" w:rsidP="00DA27DF">
      <w:r w:rsidRPr="000C2FDF">
        <w:t>A 3. célterületen megvalósuló termelő termálkút létesítése, a biomassza kazánok és nap, - és geotermikus energiahasznosító berendezések beszerzésének támogatása a fenntartható energiaellátást szolgálhatják.</w:t>
      </w:r>
    </w:p>
    <w:p w:rsidR="000C2FDF" w:rsidRPr="00DA27DF" w:rsidRDefault="000C2FDF" w:rsidP="00DA27DF">
      <w:r w:rsidRPr="000C2FDF">
        <w:rPr>
          <w:color w:val="000000"/>
        </w:rPr>
        <w:t>A jogcím keretében többletpont adható amennyiben az ügyfél a támogatási kérelemmel érintett létesítmény üzemeltetéséhez megújuló energiaforrás használatát tervezi, vagy meglévő üzem esetén a beruházáshoz csatlakoztatva használ, továbbá amennyiben az ügyfél részt vesz az AKG programban</w:t>
      </w:r>
      <w:r w:rsidRPr="00DA27DF">
        <w:t>.</w:t>
      </w:r>
    </w:p>
    <w:p w:rsidR="000C2FDF" w:rsidRPr="000C2FDF" w:rsidRDefault="000C2FDF" w:rsidP="00DB48A3">
      <w:pPr>
        <w:pStyle w:val="Cmsor7"/>
      </w:pPr>
      <w:r w:rsidRPr="000C2FDF">
        <w:t>Fiatal mezőgazdasági termelők számára nyújtandó támogatás:</w:t>
      </w:r>
    </w:p>
    <w:p w:rsidR="000C2FDF" w:rsidRPr="000C2FDF" w:rsidRDefault="000C2FDF" w:rsidP="00DA27DF">
      <w:r w:rsidRPr="000C2FDF">
        <w:t>A jogcím keretében a támogatási kérelem benyújtásakor az ügyfél vállalhatta, hogy a működtetési időszak folyamán ökológiai gazdálkodást folytat a gazdasága meghatározott méretének %-ában. A %-os vállalás alapján kaphatott az ügyfél 1-5 pontot.</w:t>
      </w:r>
    </w:p>
    <w:p w:rsidR="000C2FDF" w:rsidRPr="000C2FDF" w:rsidRDefault="000C2FDF" w:rsidP="00DA27DF">
      <w:r w:rsidRPr="000C2FDF">
        <w:t>Az ügyfél vállalhatta a támogatási kérelemben, hogy az életvitelszerű tartózkodási helye a működtetési időszak folyamán tanyán vagy 1000 fő alatti lakosságszámú településen lesz. Ha a feltétel a támogatási kérelem benyújtását megelőző egy évben teljesült, akkor 15 pont volt adható, amennyiben az ügyfél a vállalta a feltételt, akkor 12 pontban részesülhetett.</w:t>
      </w:r>
    </w:p>
    <w:p w:rsidR="000C2FDF" w:rsidRPr="00D53DF7" w:rsidRDefault="00896E03" w:rsidP="00D53DF7">
      <w:pPr>
        <w:pStyle w:val="Cmsor6"/>
      </w:pPr>
      <w:r w:rsidRPr="00D53DF7">
        <w:lastRenderedPageBreak/>
        <w:t xml:space="preserve">II. </w:t>
      </w:r>
      <w:r w:rsidR="000C2FDF" w:rsidRPr="00D53DF7">
        <w:t>tengely</w:t>
      </w:r>
    </w:p>
    <w:p w:rsidR="000C2FDF" w:rsidRPr="000C2FDF" w:rsidRDefault="000C2FDF" w:rsidP="00DB48A3">
      <w:pPr>
        <w:pStyle w:val="Cmsor7"/>
      </w:pPr>
      <w:r w:rsidRPr="000C2FDF">
        <w:t>Tejágazat szerkezetátalakítását kísérő állatjóléti támogatás (EMVA)</w:t>
      </w:r>
    </w:p>
    <w:p w:rsidR="000C2FDF" w:rsidRPr="000C2FDF" w:rsidRDefault="000C2FDF" w:rsidP="00DA27DF">
      <w:pPr>
        <w:rPr>
          <w:u w:val="single"/>
        </w:rPr>
      </w:pPr>
      <w:r w:rsidRPr="000C2FDF">
        <w:t>A környezeti szempontú fenntarthatóság a jogcím végrehajtási rendeletének keretében meghirdetett célokban nyilvánul meg. A támogatás igénybevételének feltételei, mint az állatállomány sűrűségének csökkentése és az állatok számára jobb állattartási körülmények biztosítása, a takarmányozás körülményeinek javítása, a betegségek megelőzése illetve a szigorúbb higiéniai és takarmányozási előírások alkalmazása mind a környezeti fenntarthatóság irányába megfogalmazott célok.</w:t>
      </w:r>
    </w:p>
    <w:p w:rsidR="000C2FDF" w:rsidRPr="00D53DF7" w:rsidRDefault="00896E03" w:rsidP="00D53DF7">
      <w:pPr>
        <w:pStyle w:val="Cmsor6"/>
      </w:pPr>
      <w:r w:rsidRPr="00D53DF7">
        <w:t xml:space="preserve">III. </w:t>
      </w:r>
      <w:r w:rsidR="000C2FDF" w:rsidRPr="00D53DF7">
        <w:t>– IV. tengely</w:t>
      </w:r>
    </w:p>
    <w:p w:rsidR="000C2FDF" w:rsidRPr="000C2FDF" w:rsidRDefault="000C2FDF" w:rsidP="00DB48A3">
      <w:pPr>
        <w:pStyle w:val="Cmsor7"/>
      </w:pPr>
      <w:r w:rsidRPr="000C2FDF">
        <w:t xml:space="preserve">Mikrovállalkozások létrehozása és fejlesztése, Turisztikai tevékenységek ösztönzése, Falumegújítás és -fejlesztés, Vidéki örökség megőrzése </w:t>
      </w:r>
    </w:p>
    <w:p w:rsidR="000C2FDF" w:rsidRPr="00DA27DF" w:rsidRDefault="000C2FDF" w:rsidP="00DA27DF">
      <w:r w:rsidRPr="00DA27DF">
        <w:t>A négy jogcím esetében a környezeti szempontú fenntarthatóság a horizontális pontozási szempontok között jelenik meg. Az értékelés alapján plusz pontot kap az a támogatási kérelem, melyből megállapítható, hogy a támogatás révén tervezett új tevékenység vagy beruházás figyelembe veszi az energiahatékonyság követelményeit, a megújuló erőforrások használatát vagy a környezetbarát és környezetkímélő technológiák alkalmazásainak szempontjait.</w:t>
      </w:r>
    </w:p>
    <w:p w:rsidR="000C2FDF" w:rsidRPr="000C2FDF" w:rsidRDefault="000C2FDF" w:rsidP="002B6CB3">
      <w:pPr>
        <w:pStyle w:val="Cmsor7"/>
      </w:pPr>
      <w:r w:rsidRPr="000C2FDF">
        <w:t>LEADER Helyi vidékfejlesztési stratégiák (HVS-ek) megvalósítása</w:t>
      </w:r>
    </w:p>
    <w:p w:rsidR="000C2FDF" w:rsidRPr="000C2FDF" w:rsidRDefault="000C2FDF" w:rsidP="00DA27DF">
      <w:r w:rsidRPr="000C2FDF">
        <w:t xml:space="preserve">A LEADER TK2 esetében a pályázatok értékelése a Helyi Akciócsoportok (HACS) által meghatározott célterület-specifikus </w:t>
      </w:r>
      <w:r w:rsidRPr="00DA27DF">
        <w:t>pontozási szempontok alapján történik. Minden HACS a VM keretrendelet alapján, az általa kialakított célterületnek megfelelően</w:t>
      </w:r>
      <w:r w:rsidRPr="000C2FDF">
        <w:t xml:space="preserve"> határozta meg a pontozási szempontokat. Mivel a cél az volt, hogy a pontozás minél objektívabb legyen, így a célterületekben különböző arányban szerepelnek </w:t>
      </w:r>
      <w:r w:rsidRPr="000C2FDF">
        <w:rPr>
          <w:i/>
          <w:u w:val="single"/>
        </w:rPr>
        <w:t>a környezeti szempontú fenntarthatóságra vonatkozó szempontok</w:t>
      </w:r>
      <w:r w:rsidRPr="000C2FDF">
        <w:t xml:space="preserve"> (pl. megújuló energiahasznosítás formái). A környezeti fenntarthatóságot a HACS-ok szinte minden fejlesztési jellegű célterületben értékelési szempontként előírták. Ez a VM és az MVH felkészítési és ellenőrzési munkájának is köszönhető. Az értékelésen túl nagy számban vannak kifejezetten a környezetvédelmi célterületek is. (A célterületek mindegyikére vonatkozó, egységes pontozás kizárólag a Közösségi célú és a Vállalkozási alapú fejlesztés jogcímek esetében van pénzügyi terv, üzleti terv és működtetési és fenntarthatósági terv értékelés vonatkozásában. A támogatás célja ugyanis a helyi igényekhez és sajátosságokhoz igazodó, a Helyi Vidékfejlesztési Stratégiákban meghatározott LEADER fejlesztések megvalósításának elősegítése, amelynek az értékelésekben is teret kell engedni.</w:t>
      </w:r>
    </w:p>
    <w:p w:rsidR="00E17A46" w:rsidRPr="00F35797" w:rsidRDefault="00E17A46" w:rsidP="006E6942">
      <w:pPr>
        <w:pStyle w:val="Cmsor2"/>
        <w:rPr>
          <w:szCs w:val="32"/>
        </w:rPr>
      </w:pPr>
      <w:bookmarkStart w:id="473" w:name="_Toc328638768"/>
      <w:bookmarkStart w:id="474" w:name="_Toc360176857"/>
      <w:r w:rsidRPr="00F35797">
        <w:t>Esélyegyenlőség, társadalmi befogadás és a rom</w:t>
      </w:r>
      <w:r>
        <w:t>ák</w:t>
      </w:r>
      <w:r w:rsidRPr="00F35797">
        <w:t xml:space="preserve"> társadalmi </w:t>
      </w:r>
      <w:r>
        <w:t>felzárkózásának</w:t>
      </w:r>
      <w:r w:rsidRPr="00F35797">
        <w:t xml:space="preserve"> elősegítése</w:t>
      </w:r>
      <w:bookmarkEnd w:id="473"/>
      <w:bookmarkEnd w:id="474"/>
    </w:p>
    <w:p w:rsidR="00B921B3" w:rsidRPr="00F35797" w:rsidRDefault="00B921B3" w:rsidP="00B921B3">
      <w:pPr>
        <w:pStyle w:val="j-nomlszveg"/>
      </w:pPr>
      <w:r w:rsidRPr="00F35797">
        <w:t xml:space="preserve">A roma integráció a </w:t>
      </w:r>
      <w:r>
        <w:t>Program</w:t>
      </w:r>
      <w:r w:rsidRPr="00F35797">
        <w:t xml:space="preserve"> egyik kiemelt célja. Ezt elsősorban azoknál a jogcímeknél lehet megvalósítani, amelyek esetében a roma etnikumhoz tartozók nagyobb érdeklődésére lehet számítani, pl. I., a III. és a IV. tengely jogcímei. E mellett a roma integrációt szolgálják azok az előírások, amelyekkel a hátrányos helyzetű rétegnek a munkába állását, vállalkozóvá válását </w:t>
      </w:r>
      <w:r>
        <w:t>hivatott</w:t>
      </w:r>
      <w:r w:rsidRPr="00F35797">
        <w:t xml:space="preserve"> elősegíteni. A foglalkoztatáshoz hasonlóan a készségek elsajátítása jogcímnél és a közösségi kezdeményezéseket támogató jogcímeknél is jelentős preferencia érvényesül akkor, ha a rendezvényeken jelentős számban romák vesznek részt.</w:t>
      </w:r>
      <w:r>
        <w:t xml:space="preserve"> </w:t>
      </w:r>
    </w:p>
    <w:p w:rsidR="00B921B3" w:rsidRPr="00F35797" w:rsidRDefault="00B921B3" w:rsidP="00B921B3">
      <w:pPr>
        <w:pStyle w:val="j-nomlszveg"/>
        <w:rPr>
          <w:rStyle w:val="Stlus12pt"/>
        </w:rPr>
      </w:pPr>
      <w:r w:rsidRPr="00F35797">
        <w:t xml:space="preserve">Az </w:t>
      </w:r>
      <w:r w:rsidRPr="007666B2">
        <w:t>I. tengely</w:t>
      </w:r>
      <w:r w:rsidRPr="00F35797">
        <w:t xml:space="preserve"> esetében </w:t>
      </w:r>
      <w:r>
        <w:t>a Program</w:t>
      </w:r>
      <w:r w:rsidRPr="00F35797">
        <w:t xml:space="preserve"> beruházási célú támogatásainak értékelésekor fontos szerephez jut az esélyegyenlőség kérdése. A horizontális értékelési szempontoknál 100-ból akár 29 pontot is kaphatnak az esélyegyenlőséget szem előtt tartó ügyfelek.</w:t>
      </w:r>
      <w:r w:rsidRPr="00F35797">
        <w:rPr>
          <w:rStyle w:val="Stlus12pt"/>
        </w:rPr>
        <w:t xml:space="preserve"> Ha a foglalkoztatottak több mint 50%-a nő, az </w:t>
      </w:r>
      <w:r>
        <w:rPr>
          <w:rStyle w:val="Stlus12pt"/>
        </w:rPr>
        <w:t>5</w:t>
      </w:r>
      <w:r w:rsidRPr="00F35797">
        <w:rPr>
          <w:rStyle w:val="Stlus12pt"/>
        </w:rPr>
        <w:t xml:space="preserve">, ha a női foglalkoztatottak száma 20 és 50% között van az 2 pontot jelent a kérelem értékelésekor. Egyes jogcímeknél az a vállalkozó is kap 1 pontot, aki legalább egy nőt foglalkoztat. A csökkent </w:t>
      </w:r>
      <w:r w:rsidRPr="00F35797">
        <w:rPr>
          <w:rStyle w:val="Stlus12pt"/>
        </w:rPr>
        <w:lastRenderedPageBreak/>
        <w:t>munkaképességűek foglalkoztatásáért, vagy ha az ügyfél maga is csökkent munkakép</w:t>
      </w:r>
      <w:r>
        <w:rPr>
          <w:rStyle w:val="Stlus12pt"/>
        </w:rPr>
        <w:t>ességű azt az értékelés során 2-4%</w:t>
      </w:r>
      <w:r w:rsidRPr="00F35797">
        <w:rPr>
          <w:rStyle w:val="Stlus12pt"/>
        </w:rPr>
        <w:t>-os súllyal veszik figyelembe a bírálók.</w:t>
      </w:r>
    </w:p>
    <w:p w:rsidR="00B921B3" w:rsidRDefault="00B921B3" w:rsidP="00B921B3">
      <w:pPr>
        <w:pStyle w:val="j-nomlszveg"/>
        <w:rPr>
          <w:szCs w:val="22"/>
        </w:rPr>
      </w:pPr>
      <w:r w:rsidRPr="00F35797">
        <w:t>A roma népesség társadalmi integrációját figyelembe véve a roma származású kérelmezők a j</w:t>
      </w:r>
      <w:r w:rsidRPr="00F35797">
        <w:rPr>
          <w:rStyle w:val="Stlus12pt"/>
        </w:rPr>
        <w:t xml:space="preserve">ogcím jellegétől függően 100-ból </w:t>
      </w:r>
      <w:r>
        <w:rPr>
          <w:rStyle w:val="Stlus12pt"/>
        </w:rPr>
        <w:t>1</w:t>
      </w:r>
      <w:r w:rsidRPr="00F35797">
        <w:rPr>
          <w:rStyle w:val="Stlus12pt"/>
        </w:rPr>
        <w:t xml:space="preserve"> pontot kaphatnak, ha származásukat nyilatkozatban megerősítik. Ha a helyi </w:t>
      </w:r>
      <w:r>
        <w:rPr>
          <w:rStyle w:val="Stlus12pt"/>
        </w:rPr>
        <w:t>Roma</w:t>
      </w:r>
      <w:r w:rsidRPr="00F35797">
        <w:rPr>
          <w:rStyle w:val="Stlus12pt"/>
        </w:rPr>
        <w:t xml:space="preserve"> </w:t>
      </w:r>
      <w:r>
        <w:rPr>
          <w:rStyle w:val="Stlus12pt"/>
        </w:rPr>
        <w:t>Nemzetiségi</w:t>
      </w:r>
      <w:r w:rsidRPr="00F35797">
        <w:rPr>
          <w:rStyle w:val="Stlus12pt"/>
        </w:rPr>
        <w:t xml:space="preserve"> Önkormányzat vagy az Országos </w:t>
      </w:r>
      <w:r>
        <w:rPr>
          <w:rStyle w:val="Stlus12pt"/>
        </w:rPr>
        <w:t>Roma</w:t>
      </w:r>
      <w:r w:rsidRPr="00F35797">
        <w:rPr>
          <w:rStyle w:val="Stlus12pt"/>
        </w:rPr>
        <w:t xml:space="preserve"> Önkormányzat nyilatkozik arról, hogy támogatja a beruházást, az további </w:t>
      </w:r>
      <w:r>
        <w:rPr>
          <w:rStyle w:val="Stlus12pt"/>
        </w:rPr>
        <w:t>1%</w:t>
      </w:r>
      <w:r w:rsidRPr="00F35797">
        <w:rPr>
          <w:rStyle w:val="Stlus12pt"/>
        </w:rPr>
        <w:t>-os súllyal jelenik meg a kérelem értékelésénél.</w:t>
      </w:r>
      <w:r>
        <w:rPr>
          <w:rStyle w:val="Stlus12pt"/>
        </w:rPr>
        <w:t xml:space="preserve"> Az I. tengely jogcímei esetében, a benyújtott támogatási kérelmek 10 %-át támogatta nyilatkozatával a helyi vagy az országos Roma Nemzetiségi Önkormányzat átlagosan. A mezőgazdasági termékek értéknövelése, és a növénytermesztés létesítményeinek korszerűsítése intézkedések esetében ez az érték 45%-ot érte el, a kertészet korszerűsítése és a mezőgazdasági utak fejlesztéséhez nyújtandó támogatások esetében kb 25 % volt. </w:t>
      </w:r>
      <w:r w:rsidRPr="003A0685">
        <w:rPr>
          <w:szCs w:val="22"/>
        </w:rPr>
        <w:t xml:space="preserve">Az I. tengelyes </w:t>
      </w:r>
      <w:r>
        <w:rPr>
          <w:szCs w:val="22"/>
        </w:rPr>
        <w:t>jogcímek</w:t>
      </w:r>
      <w:r w:rsidRPr="003A0685">
        <w:rPr>
          <w:szCs w:val="22"/>
        </w:rPr>
        <w:t xml:space="preserve"> esetében az erdészeti célra használt géppark fejlesztése </w:t>
      </w:r>
      <w:r>
        <w:rPr>
          <w:szCs w:val="22"/>
        </w:rPr>
        <w:t xml:space="preserve">jogcím esetén </w:t>
      </w:r>
      <w:r w:rsidRPr="003A0685">
        <w:rPr>
          <w:szCs w:val="22"/>
        </w:rPr>
        <w:t xml:space="preserve">a roma származású ügyfelek aránya elérte </w:t>
      </w:r>
      <w:r>
        <w:rPr>
          <w:szCs w:val="22"/>
        </w:rPr>
        <w:t>a 20%-ot.</w:t>
      </w:r>
    </w:p>
    <w:p w:rsidR="00B921B3" w:rsidRPr="00F35797" w:rsidRDefault="00B921B3" w:rsidP="00B921B3">
      <w:pPr>
        <w:pStyle w:val="j-nomlszveg"/>
      </w:pPr>
      <w:r w:rsidRPr="00F35797">
        <w:t xml:space="preserve">A </w:t>
      </w:r>
      <w:r w:rsidRPr="007666B2">
        <w:t>III.-IV. tengely</w:t>
      </w:r>
      <w:r w:rsidRPr="00F35797">
        <w:t xml:space="preserve"> esetében a pályázatok értékelése horizontális szempontok valamint a Helyi Akciócsoportok (HACS) által meghatározott célterület-specifikus környezetvédelmi és esélyegyenlőségi szempontok alapján történik. A támogatás célja a helyi igényekhez és sajátosságokhoz igazodó, a Helyi Vidékfejlesztési Stratégiákban meghatározott LEADER fejlesztések megvalósításának elősegítése, a fenntarthatóság és esélyegyenlőség elveinek figyelembe vételével.</w:t>
      </w:r>
      <w:r>
        <w:t xml:space="preserve"> </w:t>
      </w:r>
    </w:p>
    <w:p w:rsidR="00B921B3" w:rsidRDefault="00B921B3" w:rsidP="00B921B3">
      <w:pPr>
        <w:pStyle w:val="j-nomlszveg"/>
        <w:rPr>
          <w:color w:val="000000"/>
        </w:rPr>
      </w:pPr>
      <w:r w:rsidRPr="00F35797">
        <w:t xml:space="preserve">A horizontális pontozási szempontok között megjelenek az esélyegyenlőség szempontjai, amelynek során az esélyegyenlőségért a horizontális szempontokra adható összes pontszám minimum 25%-át lehet megszerezni. A HACS-ok a saját, célterület specifikációjukban a horizontális szempontokra a minimumnál magasabb arányban is határoztak meg pontszerzési lehetőséget. Az esélyegyenlőség szempontjából a célcsoportok: fogyatékkal élők, roma származásúak, 50 évnél idősebb munkavállalók, 25 év alatti pályakezdők, nők. </w:t>
      </w:r>
      <w:r>
        <w:t>A</w:t>
      </w:r>
      <w:r w:rsidRPr="001634B1">
        <w:t xml:space="preserve"> Program </w:t>
      </w:r>
      <w:r w:rsidRPr="00F35797">
        <w:t xml:space="preserve">egyes intézkedései esetén célcsoportonként megjelennek a kisebbségi önkormányzatok, melyek e programban támogatásra jogosultak, támogatási kérelmet nyújthattak be. </w:t>
      </w:r>
      <w:r w:rsidRPr="00E04C4E">
        <w:t xml:space="preserve">A fejlesztési elképzelések kivitelezése során alapvető fontossággal bír a LEADER-megközelítés, ami a települési önkormányzatok, vállalkozások és civil szervezetek együttműködését, valamint a részvételükkel megalakult helyi közösségek által a helyi vidékfejlesztési stratégiába (HVS) foglalt, alulról jövő kezdeményezések megvalósítását jelenti.  Azon szervezeteknek, melyek tagjai egy LEADER HACS-nak, ugyan közvetlenebb lehetősége van arra, hogy a Helyi Vidékfejlesztési Stratégiák (HVS) kialakításakor és felülvizsgálatakor javaslatokat fogalmazzon meg, de erre az egyes helyi stratégiák társadalmasítása során minden, a lefedett területen működő jogi- és természetes személynek (szervezet képviselőjének) is lehetősége van. </w:t>
      </w:r>
      <w:r w:rsidRPr="00E04C4E">
        <w:rPr>
          <w:color w:val="000000"/>
        </w:rPr>
        <w:t xml:space="preserve">Ezáltal a HVS és a javaslatok, igények alapján fogalmazza meg az illetékes helyi akciócsoport a LEADER célterületeit. </w:t>
      </w:r>
    </w:p>
    <w:p w:rsidR="00B921B3" w:rsidRDefault="00B921B3" w:rsidP="00B921B3">
      <w:pPr>
        <w:pStyle w:val="j-nomlszveg"/>
      </w:pPr>
    </w:p>
    <w:p w:rsidR="00B921B3" w:rsidRPr="00E04C4E" w:rsidRDefault="00B921B3" w:rsidP="00B921B3">
      <w:pPr>
        <w:pStyle w:val="j-nomlszveg"/>
        <w:spacing w:before="0"/>
      </w:pPr>
      <w:r w:rsidRPr="00E04C4E">
        <w:t>LEADER célterületek</w:t>
      </w:r>
      <w:r>
        <w:t>:</w:t>
      </w:r>
    </w:p>
    <w:p w:rsidR="00B921B3" w:rsidRPr="00E04C4E" w:rsidRDefault="00B921B3" w:rsidP="00B921B3">
      <w:pPr>
        <w:pStyle w:val="j-felsorols1"/>
        <w:spacing w:after="120"/>
      </w:pPr>
      <w:r>
        <w:t>k</w:t>
      </w:r>
      <w:r w:rsidRPr="00E04C4E">
        <w:t>özösségi célú fejlesztés</w:t>
      </w:r>
    </w:p>
    <w:p w:rsidR="00B921B3" w:rsidRPr="00E04C4E" w:rsidRDefault="00B921B3" w:rsidP="00B921B3">
      <w:pPr>
        <w:pStyle w:val="j-felsorols1"/>
        <w:spacing w:after="120"/>
      </w:pPr>
      <w:r w:rsidRPr="00E04C4E">
        <w:t>vállalkozás alapú fejlesztés</w:t>
      </w:r>
    </w:p>
    <w:p w:rsidR="00B921B3" w:rsidRPr="00E04C4E" w:rsidRDefault="00B921B3" w:rsidP="00B921B3">
      <w:pPr>
        <w:pStyle w:val="j-felsorols1"/>
        <w:spacing w:after="120"/>
      </w:pPr>
      <w:r w:rsidRPr="00E04C4E">
        <w:t>rendezvény</w:t>
      </w:r>
    </w:p>
    <w:p w:rsidR="00B921B3" w:rsidRPr="00E04C4E" w:rsidRDefault="00B921B3" w:rsidP="00B921B3">
      <w:pPr>
        <w:pStyle w:val="j-felsorols1"/>
        <w:spacing w:after="120"/>
      </w:pPr>
      <w:r w:rsidRPr="00E04C4E">
        <w:t>képzés</w:t>
      </w:r>
    </w:p>
    <w:p w:rsidR="00B921B3" w:rsidRPr="00E04C4E" w:rsidRDefault="00B921B3" w:rsidP="00B921B3">
      <w:pPr>
        <w:pStyle w:val="j-felsorols1"/>
        <w:spacing w:after="120"/>
      </w:pPr>
      <w:r w:rsidRPr="00E04C4E">
        <w:t>térségen belüli együttműködés</w:t>
      </w:r>
    </w:p>
    <w:p w:rsidR="00B921B3" w:rsidRPr="00E04C4E" w:rsidRDefault="00B921B3" w:rsidP="00B921B3">
      <w:pPr>
        <w:pStyle w:val="j-felsorols1"/>
        <w:spacing w:after="240"/>
      </w:pPr>
      <w:r w:rsidRPr="00E04C4E">
        <w:t>tervek és tanulmányok</w:t>
      </w:r>
      <w:r>
        <w:t>.</w:t>
      </w:r>
    </w:p>
    <w:p w:rsidR="00B921B3" w:rsidRPr="00E04C4E" w:rsidRDefault="00B921B3" w:rsidP="00B921B3">
      <w:pPr>
        <w:pStyle w:val="j-nomlszveg"/>
        <w:spacing w:before="0"/>
      </w:pPr>
      <w:r w:rsidRPr="00E04C4E">
        <w:t xml:space="preserve">Ezen célterület témák mintájára dolgozták ki a LEADER HACS-ok a HVS-prioritásait figyelembe véve, a helyi szereplők bevonásával, azok projektötletei alapján a saját célterületeiket. Amelyekre a helyi civil és nem civil szervezetek, önkormányzatok, azok társulásai, </w:t>
      </w:r>
      <w:r>
        <w:t xml:space="preserve">Roma Nemzetiségi </w:t>
      </w:r>
      <w:r w:rsidRPr="00E04C4E">
        <w:t>Ö</w:t>
      </w:r>
      <w:r>
        <w:t>nkormányzato</w:t>
      </w:r>
      <w:r w:rsidRPr="00E04C4E">
        <w:t>k, vállalkozások és magánember</w:t>
      </w:r>
      <w:r>
        <w:t xml:space="preserve">ek nyújthatták be pályázataikat. Ezek között megtalálhatók kis értékű célterületek is melyek a hátrányos helyzetű lakosságnak lettek megfogalmazva. A HACS-ok kb. harmada fogalmazott meg mintegy 50-60 célterületet a hátrányos helyzetű, köztük a roma lakosság felzárkóztatása céljából. </w:t>
      </w:r>
      <w:r w:rsidRPr="003A0685">
        <w:t xml:space="preserve">Ezek a HACS-ok működési területe </w:t>
      </w:r>
      <w:r w:rsidRPr="003A0685">
        <w:lastRenderedPageBreak/>
        <w:t>leginkább azokban a megyékben található, ahol a népességhez viszonyítva nagyobb a roma lakosság aránya, mint Borsod-Abaúj-Zemlén megye, Szabolcs-Szatmár-Bereg megye, Békés megye, Baranya megye, Hajdú- Bihar és Jász-Nagykun-Szolnok megye. Az országnak e hátrányos helyzetű területein találhatók azok a megyék, ahol a RIPI munkatársai a HVS tervezés kapcsán bevonták a roma szervezeteket a helyi LEADER közösség munkájába.</w:t>
      </w:r>
      <w:r>
        <w:t xml:space="preserve"> A 2011 második félévében meghirdetett célterületekre beadott pályázatok, kivitelezése, megvalósítása jelenleg is folyamatban van.</w:t>
      </w:r>
    </w:p>
    <w:p w:rsidR="00B921B3" w:rsidRDefault="00B921B3" w:rsidP="00B921B3">
      <w:pPr>
        <w:pStyle w:val="j-nomlszveg"/>
        <w:spacing w:before="0"/>
      </w:pPr>
      <w:r>
        <w:t>A III. tengely esetében a pályázók mintegy 50 %-a vállalta, míg 321. sz. intézkedés esetében (IKSZT) a pályázóknak többmint 90%-a vállalta, hogy hátrányos helyzetű munkavállalót foglalkoztat a fejlesztést követően, a közösségi házban. 2012 év végéig 300 integrált közösségi és szolgáltató teret adtak át országszerte, közöttük kettő olyan is átadásra került, melyet roma nemzetiségi érdekvédő szervezetek hoztak létre. A 321-es intézkedés másik jogcímében, a vidéki gazdaság és lakosság számára nyújtott alapszolgáltatások körében a kistérségi közlekedési szolgáltatások fejlesztésére igénybe vehető támogatásnál a pályázók 71 %-a vállalta, hogy csökkent munkaképességű személyt foglalkoztat.</w:t>
      </w:r>
    </w:p>
    <w:p w:rsidR="00B921B3" w:rsidRDefault="00B921B3" w:rsidP="00B921B3">
      <w:pPr>
        <w:pStyle w:val="j-nomlszveg"/>
        <w:spacing w:before="0" w:after="0"/>
      </w:pPr>
      <w:r>
        <w:t xml:space="preserve">A LEADER HACS-oknál rendelkezésre álló fejlesztési források lehetővé tették, hogy 322 és 323-as intézkedések esetében 2012-ben ismételten sor kerüljön egy LEADER HACS-okon keresztül lebonyolított támogatási kérelem benyújtási körre. Amennyiben a HACS is egyetértett a két intézkedésnél új pontozási elemként bekerült, hogy a pályázó többlet pontot kapott azért, ha társadalmi befogadást erősítő, roma származású fiatalokat célzó közösségformáló programot tart a beruházás helyszínén. </w:t>
      </w:r>
    </w:p>
    <w:p w:rsidR="00B921B3" w:rsidRPr="00F35797" w:rsidRDefault="00B921B3" w:rsidP="00B921B3">
      <w:pPr>
        <w:pStyle w:val="j-nomlszveg"/>
      </w:pPr>
      <w:r w:rsidRPr="00F35797">
        <w:t xml:space="preserve">A III. és IV. tengelyhez kapcsolódnak szervesen az VM-nek a romák integrációjával kapcsolatos feladatai, amelyet a Roma Integráció Évtizede Program Stratégiai Tervhez kapcsolódó, a 2008-2009. évi kormányzati intézkedési tervről szóló 1105/2007. (XII. 27.) Korm. határozat III. fejezetében meghatározottak alapján lát el. </w:t>
      </w:r>
    </w:p>
    <w:p w:rsidR="00B921B3" w:rsidRPr="003C16F0" w:rsidRDefault="00B921B3" w:rsidP="00B921B3">
      <w:pPr>
        <w:pStyle w:val="j-nomlszveg"/>
        <w:rPr>
          <w:b/>
          <w:lang w:bidi="bn-IN"/>
        </w:rPr>
      </w:pPr>
      <w:r w:rsidRPr="003C16F0">
        <w:rPr>
          <w:b/>
          <w:lang w:bidi="bn-IN"/>
        </w:rPr>
        <w:t>Az EPIR tevékenységeinek általános bemutatása</w:t>
      </w:r>
    </w:p>
    <w:p w:rsidR="00B921B3" w:rsidRDefault="00B921B3" w:rsidP="00B921B3">
      <w:pPr>
        <w:pStyle w:val="j-nomlszveg"/>
        <w:rPr>
          <w:lang w:bidi="bn-IN"/>
        </w:rPr>
      </w:pPr>
      <w:r>
        <w:rPr>
          <w:lang w:bidi="bn-IN"/>
        </w:rPr>
        <w:t>Az Esélyegyenlőségi Programiroda (EPIR) jogelődjeként ismert Roma Integrációs Programiroda (RIPI) 2007 májusában jött létre a vidékfejlesztéshez kapcsolódóan a roma integráció szempontjainak érvényesítése érdekében. A NAKVI megalakításával, 2012-ben az EPIR kibővítette tevékenységét, további célcsoportok megszólításával és bevonásával.</w:t>
      </w:r>
    </w:p>
    <w:p w:rsidR="00B921B3" w:rsidRDefault="00B921B3" w:rsidP="00B921B3">
      <w:pPr>
        <w:pStyle w:val="j-nomlszveg"/>
        <w:rPr>
          <w:lang w:bidi="bn-IN"/>
        </w:rPr>
      </w:pPr>
      <w:r>
        <w:rPr>
          <w:lang w:bidi="bn-IN"/>
        </w:rPr>
        <w:t>Az EPIR célja, hogy a Magyarországon élő hátrányos helyzetű társadalmi csoportok (kiemelten is a romák és a hátrányos helyzetű kistérségekben élők) esélyegyenlőségének megteremtése érdekében segítséget és támogatást biztosítson erőforrásaik és érdekérvényesítő képességük fejlesztéséhez. Az EPIR elsősorban az oktatásban, művészeti, kulturális életben, a foglalkoztatásban, a helyi vidékfejlesztési programokban való részvételi esélyek javításához nyújt segítséget és ehhez kapcsolódóan maga is valósít meg programokat.</w:t>
      </w:r>
    </w:p>
    <w:p w:rsidR="00B921B3" w:rsidRDefault="00B921B3" w:rsidP="00B921B3">
      <w:pPr>
        <w:pStyle w:val="j-nomlszveg"/>
        <w:rPr>
          <w:lang w:bidi="bn-IN"/>
        </w:rPr>
      </w:pPr>
      <w:r>
        <w:rPr>
          <w:lang w:bidi="bn-IN"/>
        </w:rPr>
        <w:t>Az EPIR céljai megvalósítása érdekében az alábbi tevékenységeket látja el folyamatosan:</w:t>
      </w:r>
    </w:p>
    <w:p w:rsidR="00B921B3" w:rsidRDefault="00B921B3" w:rsidP="00B921B3">
      <w:pPr>
        <w:pStyle w:val="j-nomlszveg"/>
        <w:ind w:left="708"/>
        <w:rPr>
          <w:lang w:bidi="bn-IN"/>
        </w:rPr>
      </w:pPr>
      <w:r>
        <w:rPr>
          <w:lang w:bidi="bn-IN"/>
        </w:rPr>
        <w:t>- szakmai konferenciák, fórumok szervezésével lehetővé teszi a vidékfejlesztéssel kapcsolatos információk (például pályázati információk), tudás eljuttatását a hátrányos helyzetű régiókban dolgozó szakemberekhez;</w:t>
      </w:r>
    </w:p>
    <w:p w:rsidR="00B921B3" w:rsidRDefault="00B921B3" w:rsidP="00B921B3">
      <w:pPr>
        <w:pStyle w:val="j-nomlszveg"/>
        <w:ind w:left="708"/>
        <w:rPr>
          <w:lang w:bidi="bn-IN"/>
        </w:rPr>
      </w:pPr>
      <w:r>
        <w:rPr>
          <w:lang w:bidi="bn-IN"/>
        </w:rPr>
        <w:t>- támogatja az esélyegyenlőség érvényesülését szolgáló kezdeményezéseket, különösen a roma integrációt elősegítő vidékfejlesztési törekvéseket, projektek kidolgozását, megvalósítását;</w:t>
      </w:r>
    </w:p>
    <w:p w:rsidR="00B921B3" w:rsidRDefault="00B921B3" w:rsidP="00B921B3">
      <w:pPr>
        <w:pStyle w:val="j-nomlszveg"/>
        <w:ind w:left="708"/>
        <w:rPr>
          <w:lang w:bidi="bn-IN"/>
        </w:rPr>
      </w:pPr>
      <w:r>
        <w:rPr>
          <w:lang w:bidi="bn-IN"/>
        </w:rPr>
        <w:t>- különböző fórumokon szakmai tájékoztatást nyújt az esélyegyenlőségi szempontok érvényesülésének fontosságáról, így különösen az ÚMVP hátrányos helyzetűek integrációját elősegítő lehetőségeiről, eszközeiről;</w:t>
      </w:r>
    </w:p>
    <w:p w:rsidR="00B921B3" w:rsidRDefault="00B921B3" w:rsidP="00B921B3">
      <w:pPr>
        <w:pStyle w:val="j-nomlszveg"/>
        <w:ind w:left="708"/>
        <w:rPr>
          <w:lang w:bidi="bn-IN"/>
        </w:rPr>
      </w:pPr>
      <w:r>
        <w:rPr>
          <w:lang w:bidi="bn-IN"/>
        </w:rPr>
        <w:t>- szakmai segítséget nyújt a helyi és országos szintű, az esélyegyenlőség területén működő szervezeteknek, elősegítve azok sikeres részvételét az EMVA intézkedéseiben;</w:t>
      </w:r>
    </w:p>
    <w:p w:rsidR="00B921B3" w:rsidRDefault="00B921B3" w:rsidP="00B921B3">
      <w:pPr>
        <w:pStyle w:val="j-nomlszveg"/>
        <w:ind w:left="708"/>
        <w:rPr>
          <w:lang w:bidi="bn-IN"/>
        </w:rPr>
      </w:pPr>
      <w:r>
        <w:rPr>
          <w:lang w:bidi="bn-IN"/>
        </w:rPr>
        <w:t>- gyűjti és közzéteszi azokat a hazai és nemzetközi „legjobb gyakorlatokat” amelyek az esélyegyenlőség érvényesülését, így különösen a roma integrációt érintik és közreműködik azok alkalmazási lehetőségeinek kidolgozásában;</w:t>
      </w:r>
    </w:p>
    <w:p w:rsidR="00B921B3" w:rsidRDefault="00B921B3" w:rsidP="00B921B3">
      <w:pPr>
        <w:pStyle w:val="j-nomlszveg"/>
        <w:ind w:left="708"/>
        <w:rPr>
          <w:lang w:bidi="bn-IN"/>
        </w:rPr>
      </w:pPr>
      <w:r>
        <w:rPr>
          <w:lang w:bidi="bn-IN"/>
        </w:rPr>
        <w:lastRenderedPageBreak/>
        <w:t xml:space="preserve">- működteti a </w:t>
      </w:r>
      <w:hyperlink r:id="rId100" w:history="1">
        <w:r w:rsidRPr="006C5508">
          <w:rPr>
            <w:rStyle w:val="Hiperhivatkozs"/>
            <w:lang w:bidi="bn-IN"/>
          </w:rPr>
          <w:t>www.epir.hu</w:t>
        </w:r>
      </w:hyperlink>
      <w:r>
        <w:rPr>
          <w:lang w:bidi="bn-IN"/>
        </w:rPr>
        <w:t xml:space="preserve"> honlapot a melyen keresztül az esélyegyenlőség témakörével kapcsolatos híreket, aktuális pályázati lehetőségeket tesz közzé;</w:t>
      </w:r>
    </w:p>
    <w:p w:rsidR="00B921B3" w:rsidRDefault="00B921B3" w:rsidP="00B921B3">
      <w:pPr>
        <w:pStyle w:val="j-nomlszveg"/>
        <w:ind w:left="708"/>
        <w:rPr>
          <w:lang w:bidi="bn-IN"/>
        </w:rPr>
      </w:pPr>
      <w:r>
        <w:rPr>
          <w:lang w:bidi="bn-IN"/>
        </w:rPr>
        <w:t xml:space="preserve">- az </w:t>
      </w:r>
      <w:hyperlink r:id="rId101" w:history="1">
        <w:r w:rsidRPr="006C5508">
          <w:rPr>
            <w:rStyle w:val="Hiperhivatkozs"/>
            <w:lang w:bidi="bn-IN"/>
          </w:rPr>
          <w:t>epir@epir.hu</w:t>
        </w:r>
      </w:hyperlink>
      <w:r>
        <w:rPr>
          <w:lang w:bidi="bn-IN"/>
        </w:rPr>
        <w:t xml:space="preserve"> email címen válaszol a közösségek, szakmai partnerek és a VRA képzésein részt vett szervezetek kérdéseire, megkereséseire, továbbá válaszol az irodához beérkező telefonos megkeresésekre.</w:t>
      </w:r>
    </w:p>
    <w:p w:rsidR="00B921B3" w:rsidRDefault="00B921B3" w:rsidP="00B921B3">
      <w:pPr>
        <w:pStyle w:val="j-nomlszveg"/>
        <w:rPr>
          <w:lang w:bidi="bn-IN"/>
        </w:rPr>
      </w:pPr>
    </w:p>
    <w:p w:rsidR="00B921B3" w:rsidRPr="003C16F0" w:rsidRDefault="00B921B3" w:rsidP="00B921B3">
      <w:pPr>
        <w:pStyle w:val="j-nomlszveg"/>
        <w:rPr>
          <w:b/>
          <w:lang w:bidi="bn-IN"/>
        </w:rPr>
      </w:pPr>
      <w:r w:rsidRPr="003C16F0">
        <w:rPr>
          <w:b/>
          <w:lang w:bidi="bn-IN"/>
        </w:rPr>
        <w:t>Az EPIR 2012. évi konkrét feladatainak részletezése</w:t>
      </w:r>
    </w:p>
    <w:p w:rsidR="00B921B3" w:rsidRPr="003C16F0" w:rsidRDefault="00B921B3" w:rsidP="00B921B3">
      <w:pPr>
        <w:pStyle w:val="j-nomlszveg"/>
        <w:rPr>
          <w:b/>
          <w:lang w:bidi="bn-IN"/>
        </w:rPr>
      </w:pPr>
      <w:r w:rsidRPr="003C16F0">
        <w:rPr>
          <w:b/>
          <w:lang w:bidi="bn-IN"/>
        </w:rPr>
        <w:t>A Vidékfejlesztési Roma Akadémia utókövetési folyamatainak ellátása:</w:t>
      </w:r>
    </w:p>
    <w:p w:rsidR="00B921B3" w:rsidRDefault="00B921B3" w:rsidP="00B921B3">
      <w:pPr>
        <w:pStyle w:val="j-nomlszveg"/>
        <w:rPr>
          <w:lang w:bidi="bn-IN"/>
        </w:rPr>
      </w:pPr>
      <w:r>
        <w:rPr>
          <w:lang w:bidi="bn-IN"/>
        </w:rPr>
        <w:t>Az EPIR kiemelt tevékenységei között szerepel a Vidékfejlesztési Roma Akadémia (VRA) program lebonyolítása (2008-2009). A programhoz kapcsolódóan, az abban részt vevők számára két alkalommal szervezett az Iroda személyes találkozót, szakmai fórumot:</w:t>
      </w:r>
    </w:p>
    <w:p w:rsidR="00B921B3" w:rsidRDefault="00B921B3" w:rsidP="00B921B3">
      <w:pPr>
        <w:pStyle w:val="j-nomlszveg"/>
        <w:numPr>
          <w:ilvl w:val="0"/>
          <w:numId w:val="72"/>
        </w:numPr>
        <w:rPr>
          <w:lang w:bidi="bn-IN"/>
        </w:rPr>
      </w:pPr>
      <w:r>
        <w:rPr>
          <w:lang w:bidi="bn-IN"/>
        </w:rPr>
        <w:t>Vidékfejlesztési Roma Akadémia - Szakmai találkozó szervezése 2012. április 24-én;</w:t>
      </w:r>
    </w:p>
    <w:p w:rsidR="00B921B3" w:rsidRDefault="00B921B3" w:rsidP="00B921B3">
      <w:pPr>
        <w:pStyle w:val="j-nomlszveg"/>
        <w:numPr>
          <w:ilvl w:val="0"/>
          <w:numId w:val="72"/>
        </w:numPr>
      </w:pPr>
      <w:r>
        <w:rPr>
          <w:lang w:bidi="bn-IN"/>
        </w:rPr>
        <w:t>2012. december 17-én „Roma Nők a Fenntartható (Vidék) Fejlesztéséért” címmel konferencia megrendezése. Az Iroda a rendezvénnyel kívánta felhívni a figyelmet a roma nők közösségépítő tevékenységére és munkájuk megbecsülésére. A műhelybeszélgetésen a meghívott résztvevők közül tizenhatan mutatták be az általuk kezdeményezett települési és/vagy közösségi „jó gyakorlataikat” a helyi gazdaságfejlesztés, foglalkoztatás, esélyteremtés és közösségfejlesztés területén. A bemutatott programok mentén betekintést engedtek a közösségi összefogás-gazdálkodás lehetséges formáinak megismerésébe.</w:t>
      </w:r>
    </w:p>
    <w:p w:rsidR="00B921B3" w:rsidRPr="00F35797" w:rsidRDefault="00B921B3" w:rsidP="00B921B3">
      <w:pPr>
        <w:pStyle w:val="j-nomlszveg"/>
      </w:pPr>
      <w:r>
        <w:t>Az Iroda ellátta az Intézet képviseletét a célcsoportot érintő különböző rendezvényeken, konferenciákon, ahol az Iroda munkatársai közvetlenül is tájékozódtak az elért eredményekről tapasztalatcsere, konzultáció keretében. Folyamatos volt a kapcsolattartás, együttműködés a Minisztérium esélyegyenlőségi referensi feladatait ellátó munkatárssal, illetve egyéb hasonló feladatkört ellátó társszervezetekkel. Az Iroda tevékenységéről folyamatosan készített beszámolókat, összefoglaló jelentéseket a Minisztérium, társminisztériumok és például az Európai Bizottság részére. A NAKVI Vidékfejlesztési Igazgatósága kezdeményezte egy hátrányos helyzetűek foglalkoztatásával, valamint szociális gazdasággal és közösségfejlesztéssel foglalkozó szakmai találkozónak a létrejöttét. A műhelymunka során a hazai vidékfejlesztés területén tevékenykedő szervezetek képviselőinek, szakmai munkatársainak kerekasztal beszélgetése, kölcsönös tapasztalatcseréje, ismeretátadása, jó gyakorlatok bemutatása zajlott.</w:t>
      </w:r>
    </w:p>
    <w:p w:rsidR="00B921B3" w:rsidRDefault="00B921B3" w:rsidP="00B921B3">
      <w:pPr>
        <w:pStyle w:val="Szvegtrzs"/>
      </w:pPr>
    </w:p>
    <w:p w:rsidR="00B921B3" w:rsidRPr="00E402C5" w:rsidRDefault="00B921B3" w:rsidP="00B921B3">
      <w:pPr>
        <w:rPr>
          <w:rFonts w:ascii="Garamond" w:hAnsi="Garamond"/>
        </w:rPr>
      </w:pPr>
    </w:p>
    <w:p w:rsidR="00B921B3" w:rsidRDefault="00B921B3" w:rsidP="00B921B3">
      <w:pPr>
        <w:pStyle w:val="Szvegtrzs"/>
      </w:pPr>
    </w:p>
    <w:p w:rsidR="00B921B3" w:rsidRDefault="00B921B3" w:rsidP="00B921B3">
      <w:pPr>
        <w:pStyle w:val="Szvegtrzs"/>
        <w:sectPr w:rsidR="00B921B3" w:rsidSect="00D3437A">
          <w:pgSz w:w="11906" w:h="16838"/>
          <w:pgMar w:top="1418" w:right="1418" w:bottom="1418" w:left="1418" w:header="709" w:footer="709" w:gutter="0"/>
          <w:cols w:space="708"/>
          <w:docGrid w:linePitch="360"/>
        </w:sectPr>
      </w:pPr>
    </w:p>
    <w:p w:rsidR="00B921B3" w:rsidRDefault="00B921B3" w:rsidP="00B921B3">
      <w:pPr>
        <w:pStyle w:val="j-tblzat-fcm"/>
        <w:spacing w:after="0"/>
        <w:rPr>
          <w:rStyle w:val="Stlus12pt"/>
        </w:rPr>
      </w:pPr>
      <w:r>
        <w:rPr>
          <w:rStyle w:val="Stlus12pt"/>
        </w:rPr>
        <w:lastRenderedPageBreak/>
        <w:t>Hátrányos helyzetűek érintettsége az EMVA jogcímek esetében</w:t>
      </w:r>
    </w:p>
    <w:p w:rsidR="00B921B3" w:rsidRDefault="00B921B3" w:rsidP="00B921B3">
      <w:pPr>
        <w:pStyle w:val="j-tblzat-fcm"/>
        <w:rPr>
          <w:rStyle w:val="Stlus12pt"/>
        </w:rPr>
      </w:pPr>
    </w:p>
    <w:p w:rsidR="00B921B3" w:rsidRPr="00F35797" w:rsidRDefault="00B921B3" w:rsidP="00B921B3">
      <w:pPr>
        <w:pStyle w:val="j-nomlszveg"/>
      </w:pPr>
      <w:r w:rsidRPr="00355C6D">
        <w:rPr>
          <w:noProof/>
        </w:rPr>
        <w:drawing>
          <wp:inline distT="0" distB="0" distL="0" distR="0" wp14:anchorId="5BDFE386" wp14:editId="37288092">
            <wp:extent cx="8534400" cy="4790850"/>
            <wp:effectExtent l="0" t="0" r="0" b="0"/>
            <wp:docPr id="11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srcRect/>
                    <a:stretch>
                      <a:fillRect/>
                    </a:stretch>
                  </pic:blipFill>
                  <pic:spPr bwMode="auto">
                    <a:xfrm>
                      <a:off x="0" y="0"/>
                      <a:ext cx="8545332" cy="4796987"/>
                    </a:xfrm>
                    <a:prstGeom prst="rect">
                      <a:avLst/>
                    </a:prstGeom>
                    <a:noFill/>
                    <a:ln w="9525">
                      <a:noFill/>
                      <a:miter lim="800000"/>
                      <a:headEnd/>
                      <a:tailEnd/>
                    </a:ln>
                  </pic:spPr>
                </pic:pic>
              </a:graphicData>
            </a:graphic>
          </wp:inline>
        </w:drawing>
      </w:r>
      <w:r>
        <w:t>Forrás: MVH</w:t>
      </w:r>
    </w:p>
    <w:p w:rsidR="00B921B3" w:rsidRPr="00F35797" w:rsidRDefault="00B921B3" w:rsidP="00B921B3">
      <w:pPr>
        <w:pStyle w:val="Szvegtrzs"/>
        <w:sectPr w:rsidR="00B921B3" w:rsidRPr="00F35797" w:rsidSect="00B921B3">
          <w:pgSz w:w="16838" w:h="11906" w:orient="landscape"/>
          <w:pgMar w:top="1418" w:right="1418" w:bottom="1418" w:left="1418" w:header="709" w:footer="709" w:gutter="0"/>
          <w:cols w:space="708"/>
          <w:docGrid w:linePitch="360"/>
        </w:sectPr>
      </w:pPr>
    </w:p>
    <w:p w:rsidR="00E47AA8" w:rsidRDefault="00E17A46" w:rsidP="00B921B3">
      <w:pPr>
        <w:pStyle w:val="Cmsor1"/>
        <w:ind w:left="431" w:hanging="431"/>
      </w:pPr>
      <w:bookmarkStart w:id="475" w:name="_Toc360176858"/>
      <w:r>
        <w:lastRenderedPageBreak/>
        <w:t>.</w:t>
      </w:r>
      <w:bookmarkStart w:id="476" w:name="_Toc232860217"/>
      <w:r w:rsidR="00C07F4B" w:rsidRPr="009D1B7B">
        <w:t>Az 1290/2005/EK rendelet 33. cikke szerint vissza</w:t>
      </w:r>
      <w:r w:rsidR="00E47AA8" w:rsidRPr="009D1B7B">
        <w:softHyphen/>
      </w:r>
      <w:r w:rsidR="00C07F4B" w:rsidRPr="009D1B7B">
        <w:t>térített támogatás ismételt felhasználás</w:t>
      </w:r>
      <w:bookmarkEnd w:id="476"/>
      <w:r w:rsidR="00495C8B">
        <w:t>a</w:t>
      </w:r>
      <w:bookmarkEnd w:id="475"/>
    </w:p>
    <w:p w:rsidR="00495C8B" w:rsidRDefault="00495C8B" w:rsidP="00495C8B">
      <w:pPr>
        <w:pStyle w:val="Szvegtrzs"/>
      </w:pPr>
      <w:r>
        <w:t>201</w:t>
      </w:r>
      <w:r w:rsidR="00A97222">
        <w:t>2</w:t>
      </w:r>
      <w:r>
        <w:t>-ben az 1290/2005/EK Tanácsi Rendelet 33. cikke szerint visszatérített (behajtott) támogatások a rendeletnek megfelelően az adott intézkedésre lettek felhasználva. Az alábbi táblázat a Program keretében behajtott/behajtás alatt lévő összegeket mutatja.</w:t>
      </w:r>
    </w:p>
    <w:p w:rsidR="00495C8B" w:rsidRDefault="007E5FDF" w:rsidP="002B6CB3">
      <w:pPr>
        <w:pStyle w:val="bra-cmetbla"/>
      </w:pPr>
      <w:fldSimple w:instr=" SEQ táblázat \* ARABIC ">
        <w:r w:rsidR="00E5031F">
          <w:rPr>
            <w:noProof/>
          </w:rPr>
          <w:t>115</w:t>
        </w:r>
      </w:fldSimple>
      <w:r w:rsidR="002B6CB3">
        <w:t>. táblázat</w:t>
      </w:r>
    </w:p>
    <w:tbl>
      <w:tblPr>
        <w:tblW w:w="14271" w:type="dxa"/>
        <w:jc w:val="center"/>
        <w:tblCellMar>
          <w:left w:w="70" w:type="dxa"/>
          <w:right w:w="70" w:type="dxa"/>
        </w:tblCellMar>
        <w:tblLook w:val="04A0" w:firstRow="1" w:lastRow="0" w:firstColumn="1" w:lastColumn="0" w:noHBand="0" w:noVBand="1"/>
      </w:tblPr>
      <w:tblGrid>
        <w:gridCol w:w="891"/>
        <w:gridCol w:w="1051"/>
        <w:gridCol w:w="1590"/>
        <w:gridCol w:w="1761"/>
        <w:gridCol w:w="1753"/>
        <w:gridCol w:w="1736"/>
        <w:gridCol w:w="1741"/>
        <w:gridCol w:w="2022"/>
        <w:gridCol w:w="1726"/>
      </w:tblGrid>
      <w:tr w:rsidR="00495C8B" w:rsidTr="005E6125">
        <w:trPr>
          <w:trHeight w:val="780"/>
          <w:jc w:val="center"/>
        </w:trPr>
        <w:tc>
          <w:tcPr>
            <w:tcW w:w="891"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Alap</w:t>
            </w:r>
          </w:p>
        </w:tc>
        <w:tc>
          <w:tcPr>
            <w:tcW w:w="1051" w:type="dxa"/>
            <w:tcBorders>
              <w:top w:val="single" w:sz="8" w:space="0" w:color="auto"/>
              <w:left w:val="nil"/>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Pénznem</w:t>
            </w:r>
          </w:p>
        </w:tc>
        <w:tc>
          <w:tcPr>
            <w:tcW w:w="1590" w:type="dxa"/>
            <w:tcBorders>
              <w:top w:val="single" w:sz="8" w:space="0" w:color="auto"/>
              <w:left w:val="nil"/>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2011/10/15-i egyenleg</w:t>
            </w:r>
          </w:p>
        </w:tc>
        <w:tc>
          <w:tcPr>
            <w:tcW w:w="1761" w:type="dxa"/>
            <w:tcBorders>
              <w:top w:val="single" w:sz="8" w:space="0" w:color="auto"/>
              <w:left w:val="nil"/>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2012. pénzügyi év új esetei</w:t>
            </w:r>
          </w:p>
        </w:tc>
        <w:tc>
          <w:tcPr>
            <w:tcW w:w="1753" w:type="dxa"/>
            <w:tcBorders>
              <w:top w:val="single" w:sz="8" w:space="0" w:color="auto"/>
              <w:left w:val="nil"/>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2012. pénzügyi évben helyesbített összeg</w:t>
            </w:r>
          </w:p>
        </w:tc>
        <w:tc>
          <w:tcPr>
            <w:tcW w:w="1736" w:type="dxa"/>
            <w:tcBorders>
              <w:top w:val="single" w:sz="8" w:space="0" w:color="auto"/>
              <w:left w:val="nil"/>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2012. pénzügyi évben behajtott összeg</w:t>
            </w:r>
          </w:p>
        </w:tc>
        <w:tc>
          <w:tcPr>
            <w:tcW w:w="1741" w:type="dxa"/>
            <w:tcBorders>
              <w:top w:val="single" w:sz="8" w:space="0" w:color="auto"/>
              <w:left w:val="nil"/>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Behajthatatlannak nyilvánított összeg</w:t>
            </w:r>
          </w:p>
        </w:tc>
        <w:tc>
          <w:tcPr>
            <w:tcW w:w="2022" w:type="dxa"/>
            <w:tcBorders>
              <w:top w:val="single" w:sz="8" w:space="0" w:color="auto"/>
              <w:left w:val="nil"/>
              <w:bottom w:val="single" w:sz="8" w:space="0" w:color="auto"/>
              <w:right w:val="single" w:sz="8" w:space="0" w:color="auto"/>
            </w:tcBorders>
            <w:shd w:val="clear" w:color="auto" w:fill="C0C0C0"/>
            <w:vAlign w:val="center"/>
            <w:hideMark/>
          </w:tcPr>
          <w:p w:rsidR="00495C8B" w:rsidRDefault="00495C8B" w:rsidP="005E6125">
            <w:pPr>
              <w:pStyle w:val="Tbla-cm"/>
              <w:rPr>
                <w:lang w:eastAsia="en-US" w:bidi="bn-IN"/>
              </w:rPr>
            </w:pPr>
            <w:r>
              <w:rPr>
                <w:lang w:eastAsia="en-US" w:bidi="bn-IN"/>
              </w:rPr>
              <w:t>Behajtás alatt lévő összegek</w:t>
            </w:r>
            <w:r>
              <w:rPr>
                <w:lang w:eastAsia="en-US" w:bidi="bn-IN"/>
              </w:rPr>
              <w:br/>
              <w:t>(2012.10.15-i egyenleg)</w:t>
            </w:r>
          </w:p>
        </w:tc>
        <w:tc>
          <w:tcPr>
            <w:tcW w:w="1726" w:type="dxa"/>
            <w:tcBorders>
              <w:top w:val="single" w:sz="8" w:space="0" w:color="auto"/>
              <w:left w:val="nil"/>
              <w:bottom w:val="single" w:sz="8" w:space="0" w:color="auto"/>
              <w:right w:val="single" w:sz="8" w:space="0" w:color="auto"/>
            </w:tcBorders>
            <w:shd w:val="clear" w:color="auto" w:fill="C0C0C0"/>
            <w:hideMark/>
          </w:tcPr>
          <w:p w:rsidR="00495C8B" w:rsidRDefault="00495C8B" w:rsidP="00A23642">
            <w:pPr>
              <w:suppressAutoHyphens w:val="0"/>
              <w:spacing w:after="0" w:line="276" w:lineRule="auto"/>
              <w:jc w:val="center"/>
              <w:rPr>
                <w:rFonts w:eastAsia="Times New Roman" w:cs="Times New Roman"/>
                <w:b/>
                <w:bCs/>
                <w:color w:val="000000"/>
                <w:kern w:val="0"/>
                <w:sz w:val="20"/>
                <w:szCs w:val="20"/>
                <w:lang w:eastAsia="en-US" w:bidi="bn-IN"/>
              </w:rPr>
            </w:pPr>
            <w:r>
              <w:rPr>
                <w:rFonts w:eastAsia="Times New Roman" w:cs="Times New Roman"/>
                <w:b/>
                <w:bCs/>
                <w:color w:val="000000"/>
                <w:kern w:val="0"/>
                <w:sz w:val="20"/>
                <w:szCs w:val="20"/>
                <w:lang w:eastAsia="en-US" w:bidi="bn-IN"/>
              </w:rPr>
              <w:t>2011/10/15-i egyenlegből jogerős összeg</w:t>
            </w:r>
          </w:p>
        </w:tc>
      </w:tr>
      <w:tr w:rsidR="00495C8B" w:rsidTr="005E6125">
        <w:trPr>
          <w:trHeight w:val="315"/>
          <w:jc w:val="center"/>
        </w:trPr>
        <w:tc>
          <w:tcPr>
            <w:tcW w:w="14271" w:type="dxa"/>
            <w:gridSpan w:val="9"/>
            <w:tcBorders>
              <w:top w:val="single" w:sz="8" w:space="0" w:color="auto"/>
              <w:left w:val="single" w:sz="8" w:space="0" w:color="auto"/>
              <w:bottom w:val="nil"/>
              <w:right w:val="single" w:sz="8" w:space="0" w:color="000000"/>
            </w:tcBorders>
            <w:vAlign w:val="center"/>
            <w:hideMark/>
          </w:tcPr>
          <w:p w:rsidR="00495C8B" w:rsidRDefault="00495C8B" w:rsidP="00A23642">
            <w:pPr>
              <w:suppressAutoHyphens w:val="0"/>
              <w:spacing w:before="240" w:after="0" w:line="276" w:lineRule="auto"/>
              <w:rPr>
                <w:rFonts w:eastAsia="Times New Roman" w:cs="Times New Roman"/>
                <w:b/>
                <w:bCs/>
                <w:color w:val="000000"/>
                <w:kern w:val="0"/>
                <w:sz w:val="20"/>
                <w:szCs w:val="20"/>
                <w:lang w:eastAsia="en-US" w:bidi="bn-IN"/>
              </w:rPr>
            </w:pPr>
            <w:r>
              <w:rPr>
                <w:rFonts w:eastAsia="Times New Roman" w:cs="Times New Roman"/>
                <w:b/>
                <w:bCs/>
                <w:color w:val="000000"/>
                <w:kern w:val="0"/>
                <w:sz w:val="20"/>
                <w:szCs w:val="20"/>
                <w:lang w:eastAsia="en-US" w:bidi="bn-IN"/>
              </w:rPr>
              <w:t>III. MELLÉKLET</w:t>
            </w:r>
          </w:p>
        </w:tc>
      </w:tr>
      <w:tr w:rsidR="00495C8B" w:rsidTr="005E6125">
        <w:trPr>
          <w:trHeight w:val="315"/>
          <w:jc w:val="center"/>
        </w:trPr>
        <w:tc>
          <w:tcPr>
            <w:tcW w:w="891" w:type="dxa"/>
            <w:tcBorders>
              <w:top w:val="single" w:sz="8" w:space="0" w:color="auto"/>
              <w:left w:val="single" w:sz="8" w:space="0" w:color="auto"/>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EAFRD</w:t>
            </w:r>
          </w:p>
        </w:tc>
        <w:tc>
          <w:tcPr>
            <w:tcW w:w="105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HUF</w:t>
            </w:r>
          </w:p>
        </w:tc>
        <w:tc>
          <w:tcPr>
            <w:tcW w:w="1590"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3 158 869 547 Ft</w:t>
            </w:r>
          </w:p>
        </w:tc>
        <w:tc>
          <w:tcPr>
            <w:tcW w:w="176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1 856 287 869 Ft</w:t>
            </w:r>
          </w:p>
        </w:tc>
        <w:tc>
          <w:tcPr>
            <w:tcW w:w="1753"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282 626 203 Ft</w:t>
            </w:r>
          </w:p>
        </w:tc>
        <w:tc>
          <w:tcPr>
            <w:tcW w:w="1736"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- 730 943 630 Ft</w:t>
            </w:r>
          </w:p>
        </w:tc>
        <w:tc>
          <w:tcPr>
            <w:tcW w:w="174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Ft</w:t>
            </w:r>
          </w:p>
        </w:tc>
        <w:tc>
          <w:tcPr>
            <w:tcW w:w="2022"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4 566 839 989 Ft</w:t>
            </w:r>
          </w:p>
        </w:tc>
        <w:tc>
          <w:tcPr>
            <w:tcW w:w="1726" w:type="dxa"/>
            <w:tcBorders>
              <w:top w:val="single" w:sz="8" w:space="0" w:color="auto"/>
              <w:left w:val="nil"/>
              <w:bottom w:val="single" w:sz="8" w:space="0" w:color="auto"/>
              <w:right w:val="single" w:sz="8" w:space="0" w:color="auto"/>
            </w:tcBorders>
            <w:vAlign w:val="bottom"/>
            <w:hideMark/>
          </w:tcPr>
          <w:p w:rsidR="00495C8B" w:rsidRDefault="00495C8B" w:rsidP="00A23642">
            <w:pPr>
              <w:suppressAutoHyphens w:val="0"/>
              <w:spacing w:after="0" w:line="276" w:lineRule="auto"/>
              <w:jc w:val="right"/>
              <w:rPr>
                <w:rFonts w:eastAsia="Times New Roman" w:cs="Times New Roman"/>
                <w:color w:val="000000"/>
                <w:kern w:val="0"/>
                <w:sz w:val="20"/>
                <w:szCs w:val="20"/>
                <w:lang w:eastAsia="en-US" w:bidi="bn-IN"/>
              </w:rPr>
            </w:pPr>
            <w:r>
              <w:rPr>
                <w:rFonts w:eastAsia="Times New Roman" w:cs="Times New Roman"/>
                <w:color w:val="000000"/>
                <w:kern w:val="0"/>
                <w:sz w:val="20"/>
                <w:szCs w:val="20"/>
                <w:lang w:eastAsia="en-US" w:bidi="bn-IN"/>
              </w:rPr>
              <w:t>3 526 833 200 Ft</w:t>
            </w:r>
          </w:p>
        </w:tc>
      </w:tr>
      <w:tr w:rsidR="00495C8B" w:rsidTr="005E6125">
        <w:trPr>
          <w:trHeight w:val="315"/>
          <w:jc w:val="center"/>
        </w:trPr>
        <w:tc>
          <w:tcPr>
            <w:tcW w:w="14271" w:type="dxa"/>
            <w:gridSpan w:val="9"/>
            <w:tcBorders>
              <w:top w:val="nil"/>
              <w:left w:val="single" w:sz="8" w:space="0" w:color="auto"/>
              <w:bottom w:val="nil"/>
              <w:right w:val="single" w:sz="8" w:space="0" w:color="000000"/>
            </w:tcBorders>
            <w:vAlign w:val="center"/>
            <w:hideMark/>
          </w:tcPr>
          <w:p w:rsidR="00495C8B" w:rsidRDefault="00495C8B" w:rsidP="00A23642">
            <w:pPr>
              <w:suppressAutoHyphens w:val="0"/>
              <w:spacing w:before="240" w:after="0" w:line="276" w:lineRule="auto"/>
              <w:jc w:val="left"/>
              <w:rPr>
                <w:rFonts w:eastAsia="Times New Roman" w:cs="Times New Roman"/>
                <w:b/>
                <w:bCs/>
                <w:color w:val="000000"/>
                <w:kern w:val="0"/>
                <w:sz w:val="20"/>
                <w:szCs w:val="20"/>
                <w:lang w:eastAsia="en-US" w:bidi="bn-IN"/>
              </w:rPr>
            </w:pPr>
            <w:r>
              <w:rPr>
                <w:rFonts w:eastAsia="Times New Roman" w:cs="Times New Roman"/>
                <w:b/>
                <w:bCs/>
                <w:color w:val="000000"/>
                <w:kern w:val="0"/>
                <w:sz w:val="20"/>
                <w:szCs w:val="20"/>
                <w:lang w:eastAsia="en-US" w:bidi="bn-IN"/>
              </w:rPr>
              <w:t>III/A MELLÉKLET</w:t>
            </w:r>
          </w:p>
        </w:tc>
      </w:tr>
      <w:tr w:rsidR="00495C8B" w:rsidTr="005E6125">
        <w:trPr>
          <w:trHeight w:val="315"/>
          <w:jc w:val="center"/>
        </w:trPr>
        <w:tc>
          <w:tcPr>
            <w:tcW w:w="891" w:type="dxa"/>
            <w:tcBorders>
              <w:top w:val="single" w:sz="8" w:space="0" w:color="auto"/>
              <w:left w:val="single" w:sz="8" w:space="0" w:color="auto"/>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EAFRD</w:t>
            </w:r>
          </w:p>
        </w:tc>
        <w:tc>
          <w:tcPr>
            <w:tcW w:w="105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HUF</w:t>
            </w:r>
          </w:p>
        </w:tc>
        <w:tc>
          <w:tcPr>
            <w:tcW w:w="1590"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1 087 305 500 Ft</w:t>
            </w:r>
          </w:p>
        </w:tc>
        <w:tc>
          <w:tcPr>
            <w:tcW w:w="176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26 978 939 569 Ft</w:t>
            </w:r>
          </w:p>
        </w:tc>
        <w:tc>
          <w:tcPr>
            <w:tcW w:w="1753"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-13 562 110 632 Ft</w:t>
            </w:r>
          </w:p>
        </w:tc>
        <w:tc>
          <w:tcPr>
            <w:tcW w:w="1736"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- 12 471 448 399 Ft</w:t>
            </w:r>
          </w:p>
        </w:tc>
        <w:tc>
          <w:tcPr>
            <w:tcW w:w="174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Ft</w:t>
            </w:r>
          </w:p>
        </w:tc>
        <w:tc>
          <w:tcPr>
            <w:tcW w:w="2022"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2 032 686 038 Ft</w:t>
            </w:r>
          </w:p>
        </w:tc>
        <w:tc>
          <w:tcPr>
            <w:tcW w:w="1726" w:type="dxa"/>
            <w:tcBorders>
              <w:top w:val="single" w:sz="8" w:space="0" w:color="auto"/>
              <w:left w:val="nil"/>
              <w:bottom w:val="single" w:sz="8" w:space="0" w:color="auto"/>
              <w:right w:val="single" w:sz="8" w:space="0" w:color="auto"/>
            </w:tcBorders>
            <w:vAlign w:val="bottom"/>
            <w:hideMark/>
          </w:tcPr>
          <w:p w:rsidR="00495C8B" w:rsidRDefault="00495C8B" w:rsidP="00A23642">
            <w:pPr>
              <w:suppressAutoHyphens w:val="0"/>
              <w:spacing w:after="0" w:line="276" w:lineRule="auto"/>
              <w:jc w:val="right"/>
              <w:rPr>
                <w:rFonts w:eastAsia="Times New Roman" w:cs="Times New Roman"/>
                <w:color w:val="000000"/>
                <w:kern w:val="0"/>
                <w:sz w:val="20"/>
                <w:szCs w:val="20"/>
                <w:lang w:eastAsia="en-US" w:bidi="bn-IN"/>
              </w:rPr>
            </w:pPr>
            <w:r>
              <w:rPr>
                <w:rFonts w:eastAsia="Times New Roman" w:cs="Times New Roman"/>
                <w:color w:val="000000"/>
                <w:kern w:val="0"/>
                <w:sz w:val="20"/>
                <w:szCs w:val="20"/>
                <w:lang w:eastAsia="en-US" w:bidi="bn-IN"/>
              </w:rPr>
              <w:t>1 635 554 324 Ft</w:t>
            </w:r>
          </w:p>
        </w:tc>
      </w:tr>
      <w:tr w:rsidR="00495C8B" w:rsidTr="005E6125">
        <w:trPr>
          <w:trHeight w:val="315"/>
          <w:jc w:val="center"/>
        </w:trPr>
        <w:tc>
          <w:tcPr>
            <w:tcW w:w="14271" w:type="dxa"/>
            <w:gridSpan w:val="9"/>
            <w:tcBorders>
              <w:top w:val="nil"/>
              <w:left w:val="single" w:sz="8" w:space="0" w:color="auto"/>
              <w:bottom w:val="nil"/>
              <w:right w:val="single" w:sz="8" w:space="0" w:color="000000"/>
            </w:tcBorders>
            <w:vAlign w:val="center"/>
            <w:hideMark/>
          </w:tcPr>
          <w:p w:rsidR="00495C8B" w:rsidRDefault="00495C8B" w:rsidP="00A23642">
            <w:pPr>
              <w:suppressAutoHyphens w:val="0"/>
              <w:spacing w:before="240" w:after="0" w:line="276" w:lineRule="auto"/>
              <w:jc w:val="left"/>
              <w:rPr>
                <w:rFonts w:eastAsia="Times New Roman" w:cs="Times New Roman"/>
                <w:b/>
                <w:bCs/>
                <w:color w:val="000000"/>
                <w:kern w:val="0"/>
                <w:sz w:val="20"/>
                <w:szCs w:val="20"/>
                <w:lang w:eastAsia="en-US" w:bidi="bn-IN"/>
              </w:rPr>
            </w:pPr>
            <w:r>
              <w:rPr>
                <w:rFonts w:eastAsia="Times New Roman" w:cs="Times New Roman"/>
                <w:b/>
                <w:bCs/>
                <w:color w:val="000000"/>
                <w:kern w:val="0"/>
                <w:sz w:val="20"/>
                <w:szCs w:val="20"/>
                <w:lang w:eastAsia="en-US" w:bidi="bn-IN"/>
              </w:rPr>
              <w:t>ADMINISZTRATÍV HIBÁK</w:t>
            </w:r>
          </w:p>
        </w:tc>
      </w:tr>
      <w:tr w:rsidR="00495C8B" w:rsidTr="005E6125">
        <w:trPr>
          <w:trHeight w:val="315"/>
          <w:jc w:val="center"/>
        </w:trPr>
        <w:tc>
          <w:tcPr>
            <w:tcW w:w="891" w:type="dxa"/>
            <w:tcBorders>
              <w:top w:val="single" w:sz="8" w:space="0" w:color="auto"/>
              <w:left w:val="single" w:sz="8" w:space="0" w:color="auto"/>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EAFRD</w:t>
            </w:r>
          </w:p>
        </w:tc>
        <w:tc>
          <w:tcPr>
            <w:tcW w:w="105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HUF</w:t>
            </w:r>
          </w:p>
        </w:tc>
        <w:tc>
          <w:tcPr>
            <w:tcW w:w="1590"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19 718 161 Ft</w:t>
            </w:r>
          </w:p>
        </w:tc>
        <w:tc>
          <w:tcPr>
            <w:tcW w:w="176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38 319 859 Ft</w:t>
            </w:r>
          </w:p>
        </w:tc>
        <w:tc>
          <w:tcPr>
            <w:tcW w:w="1753"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2 742 373 Ft</w:t>
            </w:r>
          </w:p>
        </w:tc>
        <w:tc>
          <w:tcPr>
            <w:tcW w:w="1736"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- 21 940 210 Ft</w:t>
            </w:r>
          </w:p>
        </w:tc>
        <w:tc>
          <w:tcPr>
            <w:tcW w:w="174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Ft</w:t>
            </w:r>
          </w:p>
        </w:tc>
        <w:tc>
          <w:tcPr>
            <w:tcW w:w="2022"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38 840 183 Ft</w:t>
            </w:r>
          </w:p>
        </w:tc>
        <w:tc>
          <w:tcPr>
            <w:tcW w:w="1726" w:type="dxa"/>
            <w:tcBorders>
              <w:top w:val="single" w:sz="8" w:space="0" w:color="auto"/>
              <w:left w:val="nil"/>
              <w:bottom w:val="single" w:sz="8" w:space="0" w:color="auto"/>
              <w:right w:val="single" w:sz="8" w:space="0" w:color="auto"/>
            </w:tcBorders>
            <w:vAlign w:val="bottom"/>
            <w:hideMark/>
          </w:tcPr>
          <w:p w:rsidR="00495C8B" w:rsidRDefault="00495C8B" w:rsidP="00A23642">
            <w:pPr>
              <w:suppressAutoHyphens w:val="0"/>
              <w:spacing w:after="0" w:line="276" w:lineRule="auto"/>
              <w:jc w:val="right"/>
              <w:rPr>
                <w:rFonts w:eastAsia="Times New Roman" w:cs="Times New Roman"/>
                <w:color w:val="000000"/>
                <w:kern w:val="0"/>
                <w:sz w:val="20"/>
                <w:szCs w:val="20"/>
                <w:lang w:eastAsia="en-US" w:bidi="bn-IN"/>
              </w:rPr>
            </w:pPr>
            <w:r>
              <w:rPr>
                <w:rFonts w:eastAsia="Times New Roman" w:cs="Times New Roman"/>
                <w:color w:val="000000"/>
                <w:kern w:val="0"/>
                <w:sz w:val="20"/>
                <w:szCs w:val="20"/>
                <w:lang w:eastAsia="en-US" w:bidi="bn-IN"/>
              </w:rPr>
              <w:t>21 743 089 Ft</w:t>
            </w:r>
          </w:p>
        </w:tc>
      </w:tr>
      <w:tr w:rsidR="00495C8B" w:rsidTr="005E6125">
        <w:trPr>
          <w:trHeight w:val="315"/>
          <w:jc w:val="center"/>
        </w:trPr>
        <w:tc>
          <w:tcPr>
            <w:tcW w:w="14271" w:type="dxa"/>
            <w:gridSpan w:val="9"/>
            <w:tcBorders>
              <w:top w:val="nil"/>
              <w:left w:val="single" w:sz="8" w:space="0" w:color="auto"/>
              <w:bottom w:val="nil"/>
              <w:right w:val="single" w:sz="8" w:space="0" w:color="000000"/>
            </w:tcBorders>
            <w:vAlign w:val="center"/>
            <w:hideMark/>
          </w:tcPr>
          <w:p w:rsidR="00495C8B" w:rsidRDefault="00495C8B" w:rsidP="00A23642">
            <w:pPr>
              <w:suppressAutoHyphens w:val="0"/>
              <w:spacing w:before="240" w:after="0" w:line="276" w:lineRule="auto"/>
              <w:jc w:val="left"/>
              <w:rPr>
                <w:rFonts w:eastAsia="Times New Roman" w:cs="Times New Roman"/>
                <w:b/>
                <w:bCs/>
                <w:color w:val="000000"/>
                <w:kern w:val="0"/>
                <w:sz w:val="20"/>
                <w:szCs w:val="20"/>
                <w:lang w:eastAsia="en-US" w:bidi="bn-IN"/>
              </w:rPr>
            </w:pPr>
            <w:r>
              <w:rPr>
                <w:rFonts w:eastAsia="Times New Roman" w:cs="Times New Roman"/>
                <w:b/>
                <w:bCs/>
                <w:color w:val="000000"/>
                <w:kern w:val="0"/>
                <w:sz w:val="20"/>
                <w:szCs w:val="20"/>
                <w:lang w:eastAsia="en-US" w:bidi="bn-IN"/>
              </w:rPr>
              <w:t>ÖSSZESEN</w:t>
            </w:r>
          </w:p>
        </w:tc>
      </w:tr>
      <w:tr w:rsidR="00495C8B" w:rsidTr="005E6125">
        <w:trPr>
          <w:trHeight w:val="315"/>
          <w:jc w:val="center"/>
        </w:trPr>
        <w:tc>
          <w:tcPr>
            <w:tcW w:w="891" w:type="dxa"/>
            <w:tcBorders>
              <w:top w:val="single" w:sz="8" w:space="0" w:color="auto"/>
              <w:left w:val="single" w:sz="8" w:space="0" w:color="auto"/>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EAFRD</w:t>
            </w:r>
          </w:p>
        </w:tc>
        <w:tc>
          <w:tcPr>
            <w:tcW w:w="105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bal"/>
              <w:rPr>
                <w:lang w:eastAsia="en-US" w:bidi="bn-IN"/>
              </w:rPr>
            </w:pPr>
            <w:r>
              <w:rPr>
                <w:lang w:eastAsia="en-US" w:bidi="bn-IN"/>
              </w:rPr>
              <w:t>HUF</w:t>
            </w:r>
          </w:p>
        </w:tc>
        <w:tc>
          <w:tcPr>
            <w:tcW w:w="1590"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4 265 893 208 Ft</w:t>
            </w:r>
          </w:p>
        </w:tc>
        <w:tc>
          <w:tcPr>
            <w:tcW w:w="176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28 873 547 297 Ft</w:t>
            </w:r>
          </w:p>
        </w:tc>
        <w:tc>
          <w:tcPr>
            <w:tcW w:w="1753"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- 13 276 742 056 Ft</w:t>
            </w:r>
          </w:p>
        </w:tc>
        <w:tc>
          <w:tcPr>
            <w:tcW w:w="1736"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- 13 224 332 239 Ft</w:t>
            </w:r>
          </w:p>
        </w:tc>
        <w:tc>
          <w:tcPr>
            <w:tcW w:w="1741"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   Ft</w:t>
            </w:r>
          </w:p>
        </w:tc>
        <w:tc>
          <w:tcPr>
            <w:tcW w:w="2022" w:type="dxa"/>
            <w:tcBorders>
              <w:top w:val="single" w:sz="8" w:space="0" w:color="auto"/>
              <w:left w:val="nil"/>
              <w:bottom w:val="single" w:sz="8" w:space="0" w:color="auto"/>
              <w:right w:val="single" w:sz="8" w:space="0" w:color="auto"/>
            </w:tcBorders>
            <w:vAlign w:val="center"/>
            <w:hideMark/>
          </w:tcPr>
          <w:p w:rsidR="00495C8B" w:rsidRDefault="00495C8B" w:rsidP="005E6125">
            <w:pPr>
              <w:pStyle w:val="Tbla-jobb"/>
              <w:rPr>
                <w:lang w:eastAsia="en-US" w:bidi="bn-IN"/>
              </w:rPr>
            </w:pPr>
            <w:r>
              <w:rPr>
                <w:lang w:eastAsia="en-US" w:bidi="bn-IN"/>
              </w:rPr>
              <w:t>6 638 366 210 Ft</w:t>
            </w:r>
          </w:p>
        </w:tc>
        <w:tc>
          <w:tcPr>
            <w:tcW w:w="1726" w:type="dxa"/>
            <w:tcBorders>
              <w:top w:val="single" w:sz="8" w:space="0" w:color="auto"/>
              <w:left w:val="nil"/>
              <w:bottom w:val="single" w:sz="8" w:space="0" w:color="auto"/>
              <w:right w:val="single" w:sz="8" w:space="0" w:color="auto"/>
            </w:tcBorders>
            <w:vAlign w:val="bottom"/>
            <w:hideMark/>
          </w:tcPr>
          <w:p w:rsidR="00495C8B" w:rsidRDefault="00495C8B" w:rsidP="00A23642">
            <w:pPr>
              <w:suppressAutoHyphens w:val="0"/>
              <w:spacing w:after="0" w:line="276" w:lineRule="auto"/>
              <w:jc w:val="right"/>
              <w:rPr>
                <w:rFonts w:eastAsia="Times New Roman" w:cs="Times New Roman"/>
                <w:color w:val="000000"/>
                <w:kern w:val="0"/>
                <w:sz w:val="20"/>
                <w:szCs w:val="20"/>
                <w:lang w:eastAsia="en-US" w:bidi="bn-IN"/>
              </w:rPr>
            </w:pPr>
            <w:r>
              <w:rPr>
                <w:rFonts w:eastAsia="Times New Roman" w:cs="Times New Roman"/>
                <w:color w:val="000000"/>
                <w:kern w:val="0"/>
                <w:sz w:val="20"/>
                <w:szCs w:val="20"/>
                <w:lang w:eastAsia="en-US" w:bidi="bn-IN"/>
              </w:rPr>
              <w:t>5 184 130 613 Ft</w:t>
            </w:r>
          </w:p>
        </w:tc>
      </w:tr>
    </w:tbl>
    <w:p w:rsidR="00495C8B" w:rsidRDefault="00495C8B" w:rsidP="00047DAC">
      <w:pPr>
        <w:pStyle w:val="Normlforrs"/>
      </w:pPr>
      <w:r>
        <w:t>Forrás: MVH</w:t>
      </w:r>
    </w:p>
    <w:p w:rsidR="00495C8B" w:rsidRDefault="00495C8B" w:rsidP="00495C8B">
      <w:pPr>
        <w:pStyle w:val="Szvegtrzs"/>
        <w:rPr>
          <w:highlight w:val="yellow"/>
        </w:rPr>
        <w:sectPr w:rsidR="00495C8B" w:rsidSect="00495C8B">
          <w:pgSz w:w="16838" w:h="11906" w:orient="landscape"/>
          <w:pgMar w:top="1418" w:right="1418" w:bottom="1418" w:left="1418" w:header="709" w:footer="709" w:gutter="0"/>
          <w:cols w:space="708"/>
          <w:docGrid w:linePitch="360"/>
        </w:sectPr>
      </w:pPr>
    </w:p>
    <w:p w:rsidR="00E17BC4" w:rsidRPr="00495C8B" w:rsidRDefault="00E17BC4" w:rsidP="00F17E25">
      <w:pPr>
        <w:pStyle w:val="Cmsor1"/>
      </w:pPr>
      <w:bookmarkStart w:id="477" w:name="_Toc232860218"/>
      <w:bookmarkStart w:id="478" w:name="_Toc360176859"/>
      <w:r w:rsidRPr="00495C8B">
        <w:lastRenderedPageBreak/>
        <w:t>Mellékletek</w:t>
      </w:r>
      <w:bookmarkEnd w:id="477"/>
      <w:bookmarkEnd w:id="478"/>
    </w:p>
    <w:sectPr w:rsidR="00E17BC4" w:rsidRPr="00495C8B" w:rsidSect="00AB4ACA">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70D553" w15:done="0"/>
  <w15:commentEx w15:paraId="6CB4C0DE" w15:done="0"/>
  <w15:commentEx w15:paraId="6D57FE41" w15:done="0"/>
  <w15:commentEx w15:paraId="63C1FC52" w15:done="0"/>
  <w15:commentEx w15:paraId="23F9C79B" w15:done="0"/>
  <w15:commentEx w15:paraId="406B5BC7" w15:done="0"/>
  <w15:commentEx w15:paraId="71ACAC4B" w15:done="0"/>
  <w15:commentEx w15:paraId="1A83AE38" w15:done="0"/>
  <w15:commentEx w15:paraId="48BF6B1E" w15:done="0"/>
  <w15:commentEx w15:paraId="727D3064" w15:done="0"/>
  <w15:commentEx w15:paraId="47B66C01" w15:done="0"/>
  <w15:commentEx w15:paraId="3C5A4FFC" w15:done="0"/>
  <w15:commentEx w15:paraId="6FBB466B" w15:done="0"/>
  <w15:commentEx w15:paraId="7E8968D5" w15:done="0"/>
  <w15:commentEx w15:paraId="7887BE38" w15:done="0"/>
  <w15:commentEx w15:paraId="0A995A84" w15:done="0"/>
  <w15:commentEx w15:paraId="38322A48" w15:done="0"/>
  <w15:commentEx w15:paraId="778CEC10" w15:done="0"/>
  <w15:commentEx w15:paraId="74490ED5" w15:done="0"/>
  <w15:commentEx w15:paraId="31CAE64F" w15:done="0"/>
  <w15:commentEx w15:paraId="735E71AA" w15:done="0"/>
  <w15:commentEx w15:paraId="208D44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980" w:rsidRDefault="00C91980" w:rsidP="00C07F4B">
      <w:r>
        <w:separator/>
      </w:r>
    </w:p>
  </w:endnote>
  <w:endnote w:type="continuationSeparator" w:id="0">
    <w:p w:rsidR="00C91980" w:rsidRDefault="00C91980" w:rsidP="00C07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KKNNH+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Italic">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TimesNewRomanPS-BoldMT">
    <w:altName w:val="Times New Roman"/>
    <w:charset w:val="00"/>
    <w:family w:val="roman"/>
    <w:pitch w:val="default"/>
  </w:font>
  <w:font w:name="Mangal">
    <w:panose1 w:val="02040503050203030202"/>
    <w:charset w:val="00"/>
    <w:family w:val="roman"/>
    <w:pitch w:val="variable"/>
    <w:sig w:usb0="00008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Pr="0086678B" w:rsidRDefault="00C91980" w:rsidP="00DB48A3">
    <w:pPr>
      <w:jc w:val="center"/>
      <w:rPr>
        <w:rStyle w:val="Oldalszm"/>
      </w:rPr>
    </w:pPr>
    <w:r w:rsidRPr="0086678B">
      <w:rPr>
        <w:rStyle w:val="Oldalszm"/>
      </w:rPr>
      <w:fldChar w:fldCharType="begin"/>
    </w:r>
    <w:r w:rsidRPr="0086678B">
      <w:rPr>
        <w:rStyle w:val="Oldalszm"/>
      </w:rPr>
      <w:instrText xml:space="preserve"> PAGE </w:instrText>
    </w:r>
    <w:r w:rsidRPr="0086678B">
      <w:rPr>
        <w:rStyle w:val="Oldalszm"/>
      </w:rPr>
      <w:fldChar w:fldCharType="separate"/>
    </w:r>
    <w:r w:rsidR="005962A0">
      <w:rPr>
        <w:rStyle w:val="Oldalszm"/>
        <w:noProof/>
      </w:rPr>
      <w:t>1</w:t>
    </w:r>
    <w:r w:rsidRPr="0086678B">
      <w:rPr>
        <w:rStyle w:val="Oldalszm"/>
      </w:rPr>
      <w:fldChar w:fldCharType="end"/>
    </w:r>
    <w:r w:rsidRPr="0086678B">
      <w:rPr>
        <w:rStyle w:val="Oldalszm"/>
      </w:rPr>
      <w:t>.</w:t>
    </w:r>
    <w:r>
      <w:rPr>
        <w:rStyle w:val="Oldalszm"/>
      </w:rPr>
      <w:t>/</w:t>
    </w:r>
    <w:r>
      <w:rPr>
        <w:rStyle w:val="Oldalszm"/>
      </w:rPr>
      <w:fldChar w:fldCharType="begin"/>
    </w:r>
    <w:r>
      <w:rPr>
        <w:rStyle w:val="Oldalszm"/>
      </w:rPr>
      <w:instrText xml:space="preserve"> NUMPAGES   \* MERGEFORMAT </w:instrText>
    </w:r>
    <w:r>
      <w:rPr>
        <w:rStyle w:val="Oldalszm"/>
      </w:rPr>
      <w:fldChar w:fldCharType="separate"/>
    </w:r>
    <w:r w:rsidR="005962A0">
      <w:rPr>
        <w:rStyle w:val="Oldalszm"/>
        <w:noProof/>
      </w:rPr>
      <w:t>215</w:t>
    </w:r>
    <w:r>
      <w:rPr>
        <w:rStyle w:val="Oldalszm"/>
      </w:rPr>
      <w:fldChar w:fldCharType="end"/>
    </w:r>
  </w:p>
  <w:p w:rsidR="00C91980" w:rsidRPr="00D6652E" w:rsidRDefault="00C91980" w:rsidP="00527629">
    <w:pPr>
      <w:spacing w:after="0"/>
      <w:jc w:val="center"/>
      <w:rPr>
        <w:sz w:val="16"/>
        <w:szCs w:val="16"/>
      </w:rPr>
    </w:pPr>
    <w:r w:rsidRPr="00D6652E">
      <w:rPr>
        <w:sz w:val="16"/>
        <w:szCs w:val="16"/>
      </w:rPr>
      <w:t>A Monitoring Bizottság 201</w:t>
    </w:r>
    <w:r>
      <w:rPr>
        <w:sz w:val="16"/>
        <w:szCs w:val="16"/>
      </w:rPr>
      <w:t>3</w:t>
    </w:r>
    <w:r w:rsidRPr="00D6652E">
      <w:rPr>
        <w:sz w:val="16"/>
        <w:szCs w:val="16"/>
      </w:rPr>
      <w:t>. június 2</w:t>
    </w:r>
    <w:r>
      <w:rPr>
        <w:sz w:val="16"/>
        <w:szCs w:val="16"/>
      </w:rPr>
      <w:t>7</w:t>
    </w:r>
    <w:r w:rsidRPr="00D6652E">
      <w:rPr>
        <w:sz w:val="16"/>
        <w:szCs w:val="16"/>
      </w:rPr>
      <w:t xml:space="preserve">-i ülésén </w:t>
    </w:r>
    <w:r w:rsidRPr="00361E51">
      <w:rPr>
        <w:sz w:val="16"/>
        <w:szCs w:val="16"/>
      </w:rPr>
      <w:t>elfogadott</w:t>
    </w:r>
    <w:r w:rsidRPr="00D6652E">
      <w:rPr>
        <w:sz w:val="16"/>
        <w:szCs w:val="16"/>
      </w:rPr>
      <w:t xml:space="preserve"> változat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FC2FAC">
    <w:pPr>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C91980" w:rsidRDefault="00C91980" w:rsidP="00FC2FAC">
    <w:pPr>
      <w:ind w:right="360"/>
      <w:rPr>
        <w:rStyle w:val="Oldalszm"/>
      </w:rPr>
    </w:pPr>
  </w:p>
  <w:p w:rsidR="00C91980" w:rsidRDefault="00C91980" w:rsidP="003F2572"/>
  <w:p w:rsidR="00C91980" w:rsidRDefault="00C919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3F2572">
    <w:r>
      <w:rPr>
        <w:noProof/>
      </w:rPr>
      <w:drawing>
        <wp:anchor distT="0" distB="0" distL="114300" distR="114300" simplePos="0" relativeHeight="251658752" behindDoc="0" locked="0" layoutInCell="1" allowOverlap="1" wp14:anchorId="636E2CDB" wp14:editId="14BBA9CC">
          <wp:simplePos x="0" y="0"/>
          <wp:positionH relativeFrom="margin">
            <wp:posOffset>2266950</wp:posOffset>
          </wp:positionH>
          <wp:positionV relativeFrom="paragraph">
            <wp:posOffset>10052050</wp:posOffset>
          </wp:positionV>
          <wp:extent cx="2365375" cy="288290"/>
          <wp:effectExtent l="0" t="0" r="0" b="0"/>
          <wp:wrapNone/>
          <wp:docPr id="95" name="Kép 7"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375" cy="2882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CF7C1C">
    <w:pPr>
      <w:rPr>
        <w:rStyle w:val="Oldalszm"/>
      </w:rPr>
    </w:pPr>
    <w:r>
      <w:rPr>
        <w:rStyle w:val="Oldalszm"/>
      </w:rPr>
      <w:fldChar w:fldCharType="begin"/>
    </w:r>
    <w:r>
      <w:rPr>
        <w:rStyle w:val="Oldalszm"/>
      </w:rPr>
      <w:instrText xml:space="preserve">PAGE  </w:instrText>
    </w:r>
    <w:r>
      <w:rPr>
        <w:rStyle w:val="Oldalszm"/>
      </w:rPr>
      <w:fldChar w:fldCharType="end"/>
    </w:r>
  </w:p>
  <w:p w:rsidR="00C91980" w:rsidRDefault="00C91980" w:rsidP="00CF7C1C">
    <w:pPr>
      <w:rPr>
        <w:rStyle w:val="Oldalszm"/>
      </w:rPr>
    </w:pPr>
  </w:p>
  <w:p w:rsidR="00C91980" w:rsidRDefault="00C91980" w:rsidP="00CF7C1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CF7C1C">
    <w:r>
      <w:rPr>
        <w:noProof/>
      </w:rPr>
      <w:drawing>
        <wp:anchor distT="0" distB="0" distL="114300" distR="114300" simplePos="0" relativeHeight="251655680" behindDoc="0" locked="0" layoutInCell="1" allowOverlap="1" wp14:anchorId="12CE6526" wp14:editId="130B1CA7">
          <wp:simplePos x="0" y="0"/>
          <wp:positionH relativeFrom="margin">
            <wp:posOffset>2266950</wp:posOffset>
          </wp:positionH>
          <wp:positionV relativeFrom="paragraph">
            <wp:posOffset>10052050</wp:posOffset>
          </wp:positionV>
          <wp:extent cx="2365375" cy="288290"/>
          <wp:effectExtent l="0" t="0" r="0" b="0"/>
          <wp:wrapNone/>
          <wp:docPr id="105" name="Kép 22" descr="Leírá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descr="Leírás: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375" cy="2882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CF7C1C">
    <w:pPr>
      <w:rPr>
        <w:rStyle w:val="Oldalszm"/>
      </w:rPr>
    </w:pPr>
    <w:r>
      <w:rPr>
        <w:rStyle w:val="Oldalszm"/>
      </w:rPr>
      <w:fldChar w:fldCharType="begin"/>
    </w:r>
    <w:r>
      <w:rPr>
        <w:rStyle w:val="Oldalszm"/>
      </w:rPr>
      <w:instrText xml:space="preserve">PAGE  </w:instrText>
    </w:r>
    <w:r>
      <w:rPr>
        <w:rStyle w:val="Oldalszm"/>
      </w:rPr>
      <w:fldChar w:fldCharType="end"/>
    </w:r>
  </w:p>
  <w:p w:rsidR="00C91980" w:rsidRDefault="00C91980" w:rsidP="00CF7C1C">
    <w:pPr>
      <w:rPr>
        <w:rStyle w:val="Oldalszm"/>
      </w:rPr>
    </w:pPr>
  </w:p>
  <w:p w:rsidR="00C91980" w:rsidRDefault="00C91980" w:rsidP="00CF7C1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CF7C1C">
    <w:r>
      <w:rPr>
        <w:noProof/>
      </w:rPr>
      <w:drawing>
        <wp:anchor distT="0" distB="0" distL="114300" distR="114300" simplePos="0" relativeHeight="251661824" behindDoc="0" locked="0" layoutInCell="1" allowOverlap="1" wp14:anchorId="6946D6C0" wp14:editId="5DA96202">
          <wp:simplePos x="0" y="0"/>
          <wp:positionH relativeFrom="margin">
            <wp:posOffset>2266950</wp:posOffset>
          </wp:positionH>
          <wp:positionV relativeFrom="paragraph">
            <wp:posOffset>10052050</wp:posOffset>
          </wp:positionV>
          <wp:extent cx="2365375" cy="288290"/>
          <wp:effectExtent l="0" t="0" r="0" b="0"/>
          <wp:wrapNone/>
          <wp:docPr id="110" name="Kép 19" descr="Leírá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Leírás: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375" cy="2882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980" w:rsidRDefault="00C91980" w:rsidP="00C07F4B">
      <w:r>
        <w:separator/>
      </w:r>
    </w:p>
  </w:footnote>
  <w:footnote w:type="continuationSeparator" w:id="0">
    <w:p w:rsidR="00C91980" w:rsidRDefault="00C91980" w:rsidP="00C07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Pr="007035BD" w:rsidRDefault="00C91980" w:rsidP="00527629">
    <w:pPr>
      <w:pStyle w:val="lfej"/>
      <w:jc w:val="center"/>
      <w:rPr>
        <w:rStyle w:val="Oldalszm"/>
      </w:rPr>
    </w:pPr>
    <w:r w:rsidRPr="00150C16">
      <w:rPr>
        <w:rStyle w:val="Oldalszm"/>
        <w:sz w:val="20"/>
        <w:szCs w:val="20"/>
      </w:rPr>
      <w:t xml:space="preserve">Jelentés </w:t>
    </w:r>
    <w:r>
      <w:rPr>
        <w:rStyle w:val="Oldalszm"/>
        <w:sz w:val="20"/>
        <w:szCs w:val="20"/>
      </w:rPr>
      <w:t>az EMVA társfinanszírozásában megvalósuló vidékfejlesztési program</w:t>
    </w:r>
    <w:r w:rsidRPr="00150C16">
      <w:rPr>
        <w:rStyle w:val="Oldalszm"/>
        <w:sz w:val="20"/>
        <w:szCs w:val="20"/>
      </w:rPr>
      <w:t xml:space="preserve"> végrehajtásának 201</w:t>
    </w:r>
    <w:r>
      <w:rPr>
        <w:rStyle w:val="Oldalszm"/>
        <w:sz w:val="20"/>
        <w:szCs w:val="20"/>
      </w:rPr>
      <w:t>2</w:t>
    </w:r>
    <w:r w:rsidRPr="00150C16">
      <w:rPr>
        <w:rStyle w:val="Oldalszm"/>
        <w:sz w:val="20"/>
        <w:szCs w:val="20"/>
      </w:rPr>
      <w:t>. évi előrehaladásáról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252" w:type="dxa"/>
      <w:tblLayout w:type="fixed"/>
      <w:tblLook w:val="01E0" w:firstRow="1" w:lastRow="1" w:firstColumn="1" w:lastColumn="1" w:noHBand="0" w:noVBand="0"/>
    </w:tblPr>
    <w:tblGrid>
      <w:gridCol w:w="6850"/>
      <w:gridCol w:w="2690"/>
    </w:tblGrid>
    <w:tr w:rsidR="00C91980">
      <w:trPr>
        <w:trHeight w:val="854"/>
      </w:trPr>
      <w:tc>
        <w:tcPr>
          <w:tcW w:w="6850" w:type="dxa"/>
          <w:vAlign w:val="bottom"/>
        </w:tcPr>
        <w:tbl>
          <w:tblPr>
            <w:tblW w:w="9180" w:type="dxa"/>
            <w:tblInd w:w="108" w:type="dxa"/>
            <w:tblLayout w:type="fixed"/>
            <w:tblLook w:val="01E0" w:firstRow="1" w:lastRow="1" w:firstColumn="1" w:lastColumn="1" w:noHBand="0" w:noVBand="0"/>
          </w:tblPr>
          <w:tblGrid>
            <w:gridCol w:w="6660"/>
            <w:gridCol w:w="2520"/>
          </w:tblGrid>
          <w:tr w:rsidR="00C91980">
            <w:trPr>
              <w:cantSplit/>
              <w:trHeight w:val="854"/>
            </w:trPr>
            <w:tc>
              <w:tcPr>
                <w:tcW w:w="6660" w:type="dxa"/>
                <w:tcBorders>
                  <w:top w:val="nil"/>
                  <w:left w:val="nil"/>
                  <w:bottom w:val="single" w:sz="24" w:space="0" w:color="CC5106"/>
                </w:tcBorders>
                <w:vAlign w:val="bottom"/>
              </w:tcPr>
              <w:p w:rsidR="00C91980" w:rsidRDefault="00C91980" w:rsidP="000C1627">
                <w:pPr>
                  <w:pStyle w:val="PropHeader2"/>
                  <w:snapToGrid w:val="0"/>
                  <w:rPr>
                    <w:rFonts w:eastAsia="Times New Roman" w:cs="Tahoma"/>
                    <w:lang w:eastAsia="ar-SA"/>
                  </w:rPr>
                </w:pPr>
                <w:r>
                  <w:rPr>
                    <w:rFonts w:eastAsia="Times New Roman" w:cs="Tahoma"/>
                    <w:lang w:eastAsia="ar-SA"/>
                  </w:rPr>
                  <w:t>Az Új Magyarország Vidékfejlesztési Program ex ante értékelése</w:t>
                </w:r>
              </w:p>
              <w:p w:rsidR="00C91980" w:rsidRDefault="00C91980" w:rsidP="000C1627">
                <w:pPr>
                  <w:pStyle w:val="PropHeader2"/>
                  <w:rPr>
                    <w:rFonts w:cs="Tahoma"/>
                    <w:lang w:val="en-GB"/>
                  </w:rPr>
                </w:pPr>
              </w:p>
              <w:p w:rsidR="00C91980" w:rsidRDefault="00C91980" w:rsidP="000C1627">
                <w:pPr>
                  <w:pStyle w:val="PropHeader"/>
                  <w:jc w:val="center"/>
                </w:pPr>
                <w:r>
                  <w:rPr>
                    <w:rFonts w:eastAsia="Times New Roman"/>
                    <w:b w:val="0"/>
                    <w:smallCaps w:val="0"/>
                    <w:noProof/>
                  </w:rPr>
                  <w:drawing>
                    <wp:anchor distT="0" distB="0" distL="114300" distR="114300" simplePos="0" relativeHeight="251656704" behindDoc="0" locked="0" layoutInCell="1" allowOverlap="1" wp14:anchorId="5C36AE1C" wp14:editId="38C244EF">
                      <wp:simplePos x="0" y="0"/>
                      <wp:positionH relativeFrom="column">
                        <wp:posOffset>635</wp:posOffset>
                      </wp:positionH>
                      <wp:positionV relativeFrom="paragraph">
                        <wp:posOffset>8255</wp:posOffset>
                      </wp:positionV>
                      <wp:extent cx="543560" cy="342265"/>
                      <wp:effectExtent l="0" t="0" r="8890" b="635"/>
                      <wp:wrapNone/>
                      <wp:docPr id="8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34226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val="0"/>
                    <w:smallCaps w:val="0"/>
                    <w:noProof/>
                  </w:rPr>
                  <w:drawing>
                    <wp:anchor distT="0" distB="0" distL="114300" distR="114300" simplePos="0" relativeHeight="251657728" behindDoc="0" locked="0" layoutInCell="1" allowOverlap="1" wp14:anchorId="0FDB59B9" wp14:editId="6D0DB9F6">
                      <wp:simplePos x="0" y="0"/>
                      <wp:positionH relativeFrom="column">
                        <wp:posOffset>3849370</wp:posOffset>
                      </wp:positionH>
                      <wp:positionV relativeFrom="paragraph">
                        <wp:posOffset>8255</wp:posOffset>
                      </wp:positionV>
                      <wp:extent cx="351790" cy="337185"/>
                      <wp:effectExtent l="0" t="0" r="0" b="5715"/>
                      <wp:wrapNone/>
                      <wp:docPr id="8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1790" cy="33718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rPr>
                  <w:drawing>
                    <wp:inline distT="0" distB="0" distL="0" distR="0" wp14:anchorId="42A41591" wp14:editId="2BDC379D">
                      <wp:extent cx="1779270" cy="352425"/>
                      <wp:effectExtent l="76200" t="76200" r="68580" b="85725"/>
                      <wp:docPr id="83" name="Kép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prstClr val="black"/>
                                  <a:schemeClr val="accent4">
                                    <a:lumMod val="20000"/>
                                    <a:lumOff val="80000"/>
                                    <a:tint val="45000"/>
                                    <a:satMod val="400000"/>
                                  </a:schemeClr>
                                </a:duotone>
                              </a:blip>
                              <a:srcRect/>
                              <a:stretch>
                                <a:fillRect/>
                              </a:stretch>
                            </pic:blipFill>
                            <pic:spPr bwMode="auto">
                              <a:xfrm>
                                <a:off x="0" y="0"/>
                                <a:ext cx="1779270" cy="352425"/>
                              </a:xfrm>
                              <a:prstGeom prst="roundRect">
                                <a:avLst/>
                              </a:prstGeom>
                              <a:noFill/>
                              <a:ln w="9525">
                                <a:noFill/>
                                <a:miter lim="800000"/>
                                <a:headEnd/>
                                <a:tailEnd/>
                              </a:ln>
                              <a:effectLst>
                                <a:glow rad="63500">
                                  <a:schemeClr val="accent4">
                                    <a:satMod val="175000"/>
                                    <a:alpha val="40000"/>
                                  </a:schemeClr>
                                </a:glow>
                                <a:innerShdw blurRad="63500" dist="50800" dir="18900000">
                                  <a:prstClr val="black">
                                    <a:alpha val="50000"/>
                                  </a:prstClr>
                                </a:innerShdw>
                                <a:softEdge rad="12700"/>
                              </a:effectLst>
                            </pic:spPr>
                          </pic:pic>
                        </a:graphicData>
                      </a:graphic>
                    </wp:inline>
                  </w:drawing>
                </w:r>
              </w:p>
            </w:tc>
            <w:tc>
              <w:tcPr>
                <w:tcW w:w="2520" w:type="dxa"/>
                <w:vMerge w:val="restart"/>
                <w:tcBorders>
                  <w:top w:val="nil"/>
                  <w:left w:val="nil"/>
                </w:tcBorders>
                <w:tcMar>
                  <w:left w:w="0" w:type="dxa"/>
                </w:tcMar>
                <w:vAlign w:val="bottom"/>
              </w:tcPr>
              <w:p w:rsidR="00C91980" w:rsidRDefault="00C91980" w:rsidP="000C1627">
                <w:pPr>
                  <w:spacing w:after="60"/>
                  <w:jc w:val="right"/>
                </w:pPr>
              </w:p>
            </w:tc>
          </w:tr>
          <w:tr w:rsidR="00C91980">
            <w:trPr>
              <w:cantSplit/>
              <w:trHeight w:val="270"/>
            </w:trPr>
            <w:tc>
              <w:tcPr>
                <w:tcW w:w="6660" w:type="dxa"/>
                <w:tcBorders>
                  <w:top w:val="single" w:sz="24" w:space="0" w:color="CC5106"/>
                  <w:left w:val="nil"/>
                </w:tcBorders>
              </w:tcPr>
              <w:p w:rsidR="00C91980" w:rsidRDefault="00C91980" w:rsidP="000C1627"/>
            </w:tc>
            <w:tc>
              <w:tcPr>
                <w:tcW w:w="2520" w:type="dxa"/>
                <w:vMerge/>
                <w:tcBorders>
                  <w:left w:val="nil"/>
                </w:tcBorders>
              </w:tcPr>
              <w:p w:rsidR="00C91980" w:rsidRDefault="00C91980" w:rsidP="000C1627"/>
            </w:tc>
          </w:tr>
        </w:tbl>
        <w:p w:rsidR="00C91980" w:rsidRDefault="00C91980" w:rsidP="000C1627">
          <w:pPr>
            <w:pStyle w:val="PropHeader"/>
          </w:pPr>
        </w:p>
      </w:tc>
      <w:tc>
        <w:tcPr>
          <w:tcW w:w="2690" w:type="dxa"/>
          <w:tcMar>
            <w:left w:w="0" w:type="dxa"/>
          </w:tcMar>
          <w:vAlign w:val="bottom"/>
        </w:tcPr>
        <w:p w:rsidR="00C91980" w:rsidRDefault="00C91980" w:rsidP="000C1627">
          <w:pPr>
            <w:spacing w:after="60"/>
            <w:jc w:val="right"/>
          </w:pPr>
          <w:r>
            <w:rPr>
              <w:noProof/>
            </w:rPr>
            <w:drawing>
              <wp:inline distT="0" distB="0" distL="0" distR="0" wp14:anchorId="3A4E5701" wp14:editId="6A6C9A73">
                <wp:extent cx="1286510" cy="1010285"/>
                <wp:effectExtent l="0" t="0" r="8890" b="0"/>
                <wp:docPr id="84" name="Kép 84" descr="umvp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vp_140"/>
                        <pic:cNvPicPr>
                          <a:picLocks noChangeAspect="1" noChangeArrowheads="1"/>
                        </pic:cNvPicPr>
                      </pic:nvPicPr>
                      <pic:blipFill>
                        <a:blip r:embed="rId4">
                          <a:lum contrast="10000"/>
                          <a:extLst>
                            <a:ext uri="{28A0092B-C50C-407E-A947-70E740481C1C}">
                              <a14:useLocalDpi xmlns:a14="http://schemas.microsoft.com/office/drawing/2010/main" val="0"/>
                            </a:ext>
                          </a:extLst>
                        </a:blip>
                        <a:srcRect/>
                        <a:stretch>
                          <a:fillRect/>
                        </a:stretch>
                      </pic:blipFill>
                      <pic:spPr bwMode="auto">
                        <a:xfrm>
                          <a:off x="0" y="0"/>
                          <a:ext cx="1286510" cy="1010285"/>
                        </a:xfrm>
                        <a:prstGeom prst="rect">
                          <a:avLst/>
                        </a:prstGeom>
                        <a:noFill/>
                        <a:ln>
                          <a:noFill/>
                        </a:ln>
                      </pic:spPr>
                    </pic:pic>
                  </a:graphicData>
                </a:graphic>
              </wp:inline>
            </w:drawing>
          </w:r>
        </w:p>
      </w:tc>
    </w:tr>
  </w:tbl>
  <w:p w:rsidR="00C91980" w:rsidRDefault="00C91980">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CF7C1C">
    <w:pPr>
      <w:pStyle w:val="lfej"/>
      <w:jc w:val="center"/>
    </w:pPr>
    <w:r w:rsidRPr="00150C16">
      <w:rPr>
        <w:rStyle w:val="Oldalszm"/>
        <w:sz w:val="20"/>
        <w:szCs w:val="20"/>
      </w:rPr>
      <w:t xml:space="preserve">Jelentés </w:t>
    </w:r>
    <w:r>
      <w:rPr>
        <w:rStyle w:val="Oldalszm"/>
        <w:sz w:val="20"/>
        <w:szCs w:val="20"/>
      </w:rPr>
      <w:t>a vidékfejlesztési Program</w:t>
    </w:r>
    <w:r w:rsidRPr="00150C16">
      <w:rPr>
        <w:rStyle w:val="Oldalszm"/>
        <w:sz w:val="20"/>
        <w:szCs w:val="20"/>
      </w:rPr>
      <w:t xml:space="preserve"> végrehajtásának 201</w:t>
    </w:r>
    <w:r>
      <w:rPr>
        <w:rStyle w:val="Oldalszm"/>
        <w:sz w:val="20"/>
        <w:szCs w:val="20"/>
      </w:rPr>
      <w:t>2</w:t>
    </w:r>
    <w:r w:rsidRPr="00150C16">
      <w:rPr>
        <w:rStyle w:val="Oldalszm"/>
        <w:sz w:val="20"/>
        <w:szCs w:val="20"/>
      </w:rPr>
      <w:t>. évi előrehaladásáról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252" w:type="dxa"/>
      <w:tblLayout w:type="fixed"/>
      <w:tblLook w:val="01E0" w:firstRow="1" w:lastRow="1" w:firstColumn="1" w:lastColumn="1" w:noHBand="0" w:noVBand="0"/>
    </w:tblPr>
    <w:tblGrid>
      <w:gridCol w:w="6850"/>
      <w:gridCol w:w="2690"/>
    </w:tblGrid>
    <w:tr w:rsidR="00C91980">
      <w:trPr>
        <w:trHeight w:val="854"/>
      </w:trPr>
      <w:tc>
        <w:tcPr>
          <w:tcW w:w="6850" w:type="dxa"/>
          <w:vAlign w:val="bottom"/>
        </w:tcPr>
        <w:tbl>
          <w:tblPr>
            <w:tblW w:w="9180" w:type="dxa"/>
            <w:tblInd w:w="108" w:type="dxa"/>
            <w:tblLayout w:type="fixed"/>
            <w:tblLook w:val="01E0" w:firstRow="1" w:lastRow="1" w:firstColumn="1" w:lastColumn="1" w:noHBand="0" w:noVBand="0"/>
          </w:tblPr>
          <w:tblGrid>
            <w:gridCol w:w="6660"/>
            <w:gridCol w:w="2520"/>
          </w:tblGrid>
          <w:tr w:rsidR="00C91980">
            <w:trPr>
              <w:cantSplit/>
              <w:trHeight w:val="854"/>
            </w:trPr>
            <w:tc>
              <w:tcPr>
                <w:tcW w:w="6660" w:type="dxa"/>
                <w:tcBorders>
                  <w:top w:val="nil"/>
                  <w:left w:val="nil"/>
                  <w:bottom w:val="single" w:sz="24" w:space="0" w:color="CC5106"/>
                </w:tcBorders>
                <w:vAlign w:val="bottom"/>
              </w:tcPr>
              <w:p w:rsidR="00C91980" w:rsidRDefault="00C91980" w:rsidP="00CF7C1C">
                <w:pPr>
                  <w:pStyle w:val="PropHeader2"/>
                  <w:rPr>
                    <w:lang w:eastAsia="ar-SA"/>
                  </w:rPr>
                </w:pPr>
                <w:r>
                  <w:rPr>
                    <w:lang w:eastAsia="ar-SA"/>
                  </w:rPr>
                  <w:t>Az Új Magyarország Vidékfejlesztési Program ex ante értékelése</w:t>
                </w:r>
              </w:p>
              <w:p w:rsidR="00C91980" w:rsidRDefault="00C91980" w:rsidP="00CF7C1C">
                <w:pPr>
                  <w:pStyle w:val="PropHeader2"/>
                  <w:rPr>
                    <w:lang w:val="en-GB"/>
                  </w:rPr>
                </w:pPr>
              </w:p>
              <w:p w:rsidR="00C91980" w:rsidRDefault="00C91980" w:rsidP="00CF7C1C">
                <w:pPr>
                  <w:pStyle w:val="PropHeader"/>
                </w:pPr>
                <w:r>
                  <w:rPr>
                    <w:noProof/>
                  </w:rPr>
                  <w:drawing>
                    <wp:anchor distT="0" distB="0" distL="114300" distR="114300" simplePos="0" relativeHeight="251653632" behindDoc="0" locked="0" layoutInCell="1" allowOverlap="1" wp14:anchorId="0DC65F10" wp14:editId="0E39AF66">
                      <wp:simplePos x="0" y="0"/>
                      <wp:positionH relativeFrom="column">
                        <wp:posOffset>635</wp:posOffset>
                      </wp:positionH>
                      <wp:positionV relativeFrom="paragraph">
                        <wp:posOffset>8255</wp:posOffset>
                      </wp:positionV>
                      <wp:extent cx="543560" cy="342265"/>
                      <wp:effectExtent l="0" t="0" r="8890" b="635"/>
                      <wp:wrapNone/>
                      <wp:docPr id="96"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342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60A9393" wp14:editId="6ECC5F18">
                      <wp:simplePos x="0" y="0"/>
                      <wp:positionH relativeFrom="column">
                        <wp:posOffset>3849370</wp:posOffset>
                      </wp:positionH>
                      <wp:positionV relativeFrom="paragraph">
                        <wp:posOffset>8255</wp:posOffset>
                      </wp:positionV>
                      <wp:extent cx="351790" cy="337185"/>
                      <wp:effectExtent l="0" t="0" r="0" b="5715"/>
                      <wp:wrapNone/>
                      <wp:docPr id="97"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1790" cy="33718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rPr>
                  <w:drawing>
                    <wp:inline distT="0" distB="0" distL="0" distR="0" wp14:anchorId="3168FCC1" wp14:editId="23B53448">
                      <wp:extent cx="1780330" cy="353342"/>
                      <wp:effectExtent l="76200" t="76200" r="67945" b="85090"/>
                      <wp:docPr id="98" name="Kép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Kép 18"/>
                              <pic:cNvPicPr>
                                <a:picLocks noChangeAspect="1" noChangeArrowheads="1"/>
                              </pic:cNvPicPr>
                            </pic:nvPicPr>
                            <pic:blipFill>
                              <a:blip r:embed="rId3">
                                <a:duotone>
                                  <a:prstClr val="black"/>
                                  <a:schemeClr val="accent4">
                                    <a:lumMod val="20000"/>
                                    <a:lumOff val="80000"/>
                                    <a:tint val="45000"/>
                                    <a:satMod val="400000"/>
                                  </a:schemeClr>
                                </a:duotone>
                              </a:blip>
                              <a:srcRect/>
                              <a:stretch>
                                <a:fillRect/>
                              </a:stretch>
                            </pic:blipFill>
                            <pic:spPr bwMode="auto">
                              <a:xfrm>
                                <a:off x="0" y="0"/>
                                <a:ext cx="1779905" cy="353060"/>
                              </a:xfrm>
                              <a:prstGeom prst="roundRect">
                                <a:avLst/>
                              </a:prstGeom>
                              <a:noFill/>
                              <a:ln w="9525">
                                <a:noFill/>
                                <a:miter lim="800000"/>
                                <a:headEnd/>
                                <a:tailEnd/>
                              </a:ln>
                              <a:effectLst>
                                <a:glow rad="63500">
                                  <a:schemeClr val="accent4">
                                    <a:satMod val="175000"/>
                                    <a:alpha val="40000"/>
                                  </a:schemeClr>
                                </a:glow>
                                <a:innerShdw blurRad="63500" dist="50800" dir="18900000">
                                  <a:prstClr val="black">
                                    <a:alpha val="50000"/>
                                  </a:prstClr>
                                </a:innerShdw>
                                <a:softEdge rad="12700"/>
                              </a:effectLst>
                            </pic:spPr>
                          </pic:pic>
                        </a:graphicData>
                      </a:graphic>
                    </wp:inline>
                  </w:drawing>
                </w:r>
              </w:p>
            </w:tc>
            <w:tc>
              <w:tcPr>
                <w:tcW w:w="2520" w:type="dxa"/>
                <w:vMerge w:val="restart"/>
                <w:tcBorders>
                  <w:top w:val="nil"/>
                  <w:left w:val="nil"/>
                </w:tcBorders>
                <w:tcMar>
                  <w:left w:w="0" w:type="dxa"/>
                </w:tcMar>
                <w:vAlign w:val="bottom"/>
              </w:tcPr>
              <w:p w:rsidR="00C91980" w:rsidRDefault="00C91980" w:rsidP="00CF7C1C"/>
            </w:tc>
          </w:tr>
          <w:tr w:rsidR="00C91980">
            <w:trPr>
              <w:cantSplit/>
              <w:trHeight w:val="270"/>
            </w:trPr>
            <w:tc>
              <w:tcPr>
                <w:tcW w:w="6660" w:type="dxa"/>
                <w:tcBorders>
                  <w:top w:val="single" w:sz="24" w:space="0" w:color="CC5106"/>
                  <w:left w:val="nil"/>
                </w:tcBorders>
              </w:tcPr>
              <w:p w:rsidR="00C91980" w:rsidRDefault="00C91980" w:rsidP="00CF7C1C"/>
            </w:tc>
            <w:tc>
              <w:tcPr>
                <w:tcW w:w="2520" w:type="dxa"/>
                <w:vMerge/>
                <w:tcBorders>
                  <w:left w:val="nil"/>
                </w:tcBorders>
              </w:tcPr>
              <w:p w:rsidR="00C91980" w:rsidRDefault="00C91980" w:rsidP="00CF7C1C"/>
            </w:tc>
          </w:tr>
        </w:tbl>
        <w:p w:rsidR="00C91980" w:rsidRDefault="00C91980" w:rsidP="00CF7C1C">
          <w:pPr>
            <w:pStyle w:val="PropHeader"/>
          </w:pPr>
        </w:p>
      </w:tc>
      <w:tc>
        <w:tcPr>
          <w:tcW w:w="2690" w:type="dxa"/>
          <w:tcMar>
            <w:left w:w="0" w:type="dxa"/>
          </w:tcMar>
          <w:vAlign w:val="bottom"/>
        </w:tcPr>
        <w:p w:rsidR="00C91980" w:rsidRDefault="00C91980" w:rsidP="00CF7C1C">
          <w:r>
            <w:rPr>
              <w:noProof/>
            </w:rPr>
            <w:drawing>
              <wp:inline distT="0" distB="0" distL="0" distR="0" wp14:anchorId="79A38286" wp14:editId="10D33CC1">
                <wp:extent cx="1286510" cy="1010285"/>
                <wp:effectExtent l="0" t="0" r="8890" b="0"/>
                <wp:docPr id="99" name="Kép 99" descr="Leírás: umvp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eírás: umvp_140"/>
                        <pic:cNvPicPr>
                          <a:picLocks noChangeAspect="1" noChangeArrowheads="1"/>
                        </pic:cNvPicPr>
                      </pic:nvPicPr>
                      <pic:blipFill>
                        <a:blip r:embed="rId4">
                          <a:lum contrast="10000"/>
                          <a:extLst>
                            <a:ext uri="{28A0092B-C50C-407E-A947-70E740481C1C}">
                              <a14:useLocalDpi xmlns:a14="http://schemas.microsoft.com/office/drawing/2010/main" val="0"/>
                            </a:ext>
                          </a:extLst>
                        </a:blip>
                        <a:srcRect/>
                        <a:stretch>
                          <a:fillRect/>
                        </a:stretch>
                      </pic:blipFill>
                      <pic:spPr bwMode="auto">
                        <a:xfrm>
                          <a:off x="0" y="0"/>
                          <a:ext cx="1286510" cy="1010285"/>
                        </a:xfrm>
                        <a:prstGeom prst="rect">
                          <a:avLst/>
                        </a:prstGeom>
                        <a:noFill/>
                        <a:ln>
                          <a:noFill/>
                        </a:ln>
                      </pic:spPr>
                    </pic:pic>
                  </a:graphicData>
                </a:graphic>
              </wp:inline>
            </w:drawing>
          </w:r>
        </w:p>
      </w:tc>
    </w:tr>
  </w:tbl>
  <w:p w:rsidR="00C91980" w:rsidRDefault="00C91980" w:rsidP="00CF7C1C">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80" w:rsidRDefault="00C91980" w:rsidP="00CF7C1C">
    <w:pPr>
      <w:pStyle w:val="lfej"/>
      <w:jc w:val="center"/>
    </w:pPr>
    <w:r w:rsidRPr="00150C16">
      <w:rPr>
        <w:rStyle w:val="Oldalszm"/>
        <w:sz w:val="20"/>
        <w:szCs w:val="20"/>
      </w:rPr>
      <w:t xml:space="preserve">Jelentés </w:t>
    </w:r>
    <w:r>
      <w:rPr>
        <w:rStyle w:val="Oldalszm"/>
        <w:sz w:val="20"/>
        <w:szCs w:val="20"/>
      </w:rPr>
      <w:t>az EMVA társfinanszírozásában megvalósuló vidékfejlesztési program</w:t>
    </w:r>
    <w:r w:rsidRPr="00150C16">
      <w:rPr>
        <w:rStyle w:val="Oldalszm"/>
        <w:sz w:val="20"/>
        <w:szCs w:val="20"/>
      </w:rPr>
      <w:t xml:space="preserve"> végrehajtásának 201</w:t>
    </w:r>
    <w:r>
      <w:rPr>
        <w:rStyle w:val="Oldalszm"/>
        <w:sz w:val="20"/>
        <w:szCs w:val="20"/>
      </w:rPr>
      <w:t>2</w:t>
    </w:r>
    <w:r w:rsidRPr="00150C16">
      <w:rPr>
        <w:rStyle w:val="Oldalszm"/>
        <w:sz w:val="20"/>
        <w:szCs w:val="20"/>
      </w:rPr>
      <w:t>. évi előrehaladásáról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252" w:type="dxa"/>
      <w:tblLayout w:type="fixed"/>
      <w:tblLook w:val="01E0" w:firstRow="1" w:lastRow="1" w:firstColumn="1" w:lastColumn="1" w:noHBand="0" w:noVBand="0"/>
    </w:tblPr>
    <w:tblGrid>
      <w:gridCol w:w="6850"/>
      <w:gridCol w:w="2690"/>
    </w:tblGrid>
    <w:tr w:rsidR="00C91980">
      <w:trPr>
        <w:trHeight w:val="854"/>
      </w:trPr>
      <w:tc>
        <w:tcPr>
          <w:tcW w:w="6850" w:type="dxa"/>
          <w:vAlign w:val="bottom"/>
        </w:tcPr>
        <w:tbl>
          <w:tblPr>
            <w:tblW w:w="9180" w:type="dxa"/>
            <w:tblInd w:w="108" w:type="dxa"/>
            <w:tblLayout w:type="fixed"/>
            <w:tblLook w:val="01E0" w:firstRow="1" w:lastRow="1" w:firstColumn="1" w:lastColumn="1" w:noHBand="0" w:noVBand="0"/>
          </w:tblPr>
          <w:tblGrid>
            <w:gridCol w:w="6660"/>
            <w:gridCol w:w="2520"/>
          </w:tblGrid>
          <w:tr w:rsidR="00C91980">
            <w:trPr>
              <w:cantSplit/>
              <w:trHeight w:val="854"/>
            </w:trPr>
            <w:tc>
              <w:tcPr>
                <w:tcW w:w="6660" w:type="dxa"/>
                <w:tcBorders>
                  <w:top w:val="nil"/>
                  <w:left w:val="nil"/>
                  <w:bottom w:val="single" w:sz="24" w:space="0" w:color="CC5106"/>
                </w:tcBorders>
                <w:vAlign w:val="bottom"/>
              </w:tcPr>
              <w:p w:rsidR="00C91980" w:rsidRDefault="00C91980" w:rsidP="00CF7C1C">
                <w:pPr>
                  <w:pStyle w:val="PropHeader2"/>
                  <w:rPr>
                    <w:lang w:eastAsia="ar-SA"/>
                  </w:rPr>
                </w:pPr>
                <w:r>
                  <w:rPr>
                    <w:lang w:eastAsia="ar-SA"/>
                  </w:rPr>
                  <w:t>Az Új Magyarország Vidékfejlesztési Program ex ante értékelése</w:t>
                </w:r>
              </w:p>
              <w:p w:rsidR="00C91980" w:rsidRDefault="00C91980" w:rsidP="00CF7C1C">
                <w:pPr>
                  <w:pStyle w:val="PropHeader2"/>
                  <w:rPr>
                    <w:lang w:val="en-GB"/>
                  </w:rPr>
                </w:pPr>
              </w:p>
              <w:p w:rsidR="00C91980" w:rsidRDefault="00C91980" w:rsidP="00CF7C1C">
                <w:pPr>
                  <w:pStyle w:val="PropHeader"/>
                </w:pPr>
                <w:r>
                  <w:rPr>
                    <w:noProof/>
                  </w:rPr>
                  <w:drawing>
                    <wp:anchor distT="0" distB="0" distL="114300" distR="114300" simplePos="0" relativeHeight="251659776" behindDoc="0" locked="0" layoutInCell="1" allowOverlap="1" wp14:anchorId="2C56EED6" wp14:editId="1E155C1D">
                      <wp:simplePos x="0" y="0"/>
                      <wp:positionH relativeFrom="column">
                        <wp:posOffset>635</wp:posOffset>
                      </wp:positionH>
                      <wp:positionV relativeFrom="paragraph">
                        <wp:posOffset>8255</wp:posOffset>
                      </wp:positionV>
                      <wp:extent cx="543560" cy="342265"/>
                      <wp:effectExtent l="0" t="0" r="8890" b="635"/>
                      <wp:wrapNone/>
                      <wp:docPr id="106"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342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347B8C3E" wp14:editId="02BFF9D9">
                      <wp:simplePos x="0" y="0"/>
                      <wp:positionH relativeFrom="column">
                        <wp:posOffset>3849370</wp:posOffset>
                      </wp:positionH>
                      <wp:positionV relativeFrom="paragraph">
                        <wp:posOffset>8255</wp:posOffset>
                      </wp:positionV>
                      <wp:extent cx="351790" cy="337185"/>
                      <wp:effectExtent l="0" t="0" r="0" b="5715"/>
                      <wp:wrapNone/>
                      <wp:docPr id="107"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1790" cy="33718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rPr>
                  <w:drawing>
                    <wp:inline distT="0" distB="0" distL="0" distR="0" wp14:anchorId="19E0ACB6" wp14:editId="5B4E8268">
                      <wp:extent cx="1780330" cy="353342"/>
                      <wp:effectExtent l="76200" t="76200" r="67945" b="85090"/>
                      <wp:docPr id="108" name="Kép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Kép 16"/>
                              <pic:cNvPicPr>
                                <a:picLocks noChangeAspect="1" noChangeArrowheads="1"/>
                              </pic:cNvPicPr>
                            </pic:nvPicPr>
                            <pic:blipFill>
                              <a:blip r:embed="rId3">
                                <a:duotone>
                                  <a:prstClr val="black"/>
                                  <a:schemeClr val="accent4">
                                    <a:lumMod val="20000"/>
                                    <a:lumOff val="80000"/>
                                    <a:tint val="45000"/>
                                    <a:satMod val="400000"/>
                                  </a:schemeClr>
                                </a:duotone>
                              </a:blip>
                              <a:srcRect/>
                              <a:stretch>
                                <a:fillRect/>
                              </a:stretch>
                            </pic:blipFill>
                            <pic:spPr bwMode="auto">
                              <a:xfrm>
                                <a:off x="0" y="0"/>
                                <a:ext cx="1779905" cy="353060"/>
                              </a:xfrm>
                              <a:prstGeom prst="roundRect">
                                <a:avLst/>
                              </a:prstGeom>
                              <a:noFill/>
                              <a:ln w="9525">
                                <a:noFill/>
                                <a:miter lim="800000"/>
                                <a:headEnd/>
                                <a:tailEnd/>
                              </a:ln>
                              <a:effectLst>
                                <a:glow rad="63500">
                                  <a:schemeClr val="accent4">
                                    <a:satMod val="175000"/>
                                    <a:alpha val="40000"/>
                                  </a:schemeClr>
                                </a:glow>
                                <a:innerShdw blurRad="63500" dist="50800" dir="18900000">
                                  <a:prstClr val="black">
                                    <a:alpha val="50000"/>
                                  </a:prstClr>
                                </a:innerShdw>
                                <a:softEdge rad="12700"/>
                              </a:effectLst>
                            </pic:spPr>
                          </pic:pic>
                        </a:graphicData>
                      </a:graphic>
                    </wp:inline>
                  </w:drawing>
                </w:r>
              </w:p>
            </w:tc>
            <w:tc>
              <w:tcPr>
                <w:tcW w:w="2520" w:type="dxa"/>
                <w:vMerge w:val="restart"/>
                <w:tcBorders>
                  <w:top w:val="nil"/>
                  <w:left w:val="nil"/>
                </w:tcBorders>
                <w:tcMar>
                  <w:left w:w="0" w:type="dxa"/>
                </w:tcMar>
                <w:vAlign w:val="bottom"/>
              </w:tcPr>
              <w:p w:rsidR="00C91980" w:rsidRDefault="00C91980" w:rsidP="00CF7C1C"/>
            </w:tc>
          </w:tr>
          <w:tr w:rsidR="00C91980">
            <w:trPr>
              <w:cantSplit/>
              <w:trHeight w:val="270"/>
            </w:trPr>
            <w:tc>
              <w:tcPr>
                <w:tcW w:w="6660" w:type="dxa"/>
                <w:tcBorders>
                  <w:top w:val="single" w:sz="24" w:space="0" w:color="CC5106"/>
                  <w:left w:val="nil"/>
                </w:tcBorders>
              </w:tcPr>
              <w:p w:rsidR="00C91980" w:rsidRDefault="00C91980" w:rsidP="00CF7C1C"/>
            </w:tc>
            <w:tc>
              <w:tcPr>
                <w:tcW w:w="2520" w:type="dxa"/>
                <w:vMerge/>
                <w:tcBorders>
                  <w:left w:val="nil"/>
                </w:tcBorders>
              </w:tcPr>
              <w:p w:rsidR="00C91980" w:rsidRDefault="00C91980" w:rsidP="00CF7C1C"/>
            </w:tc>
          </w:tr>
        </w:tbl>
        <w:p w:rsidR="00C91980" w:rsidRDefault="00C91980" w:rsidP="00CF7C1C">
          <w:pPr>
            <w:pStyle w:val="PropHeader"/>
          </w:pPr>
        </w:p>
      </w:tc>
      <w:tc>
        <w:tcPr>
          <w:tcW w:w="2690" w:type="dxa"/>
          <w:tcMar>
            <w:left w:w="0" w:type="dxa"/>
          </w:tcMar>
          <w:vAlign w:val="bottom"/>
        </w:tcPr>
        <w:p w:rsidR="00C91980" w:rsidRDefault="00C91980" w:rsidP="00CF7C1C">
          <w:r>
            <w:rPr>
              <w:noProof/>
            </w:rPr>
            <w:drawing>
              <wp:inline distT="0" distB="0" distL="0" distR="0" wp14:anchorId="6DEDBAC7" wp14:editId="54234CD1">
                <wp:extent cx="1286510" cy="1010285"/>
                <wp:effectExtent l="0" t="0" r="8890" b="0"/>
                <wp:docPr id="109" name="Kép 109" descr="Leírás: umvp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írás: umvp_140"/>
                        <pic:cNvPicPr>
                          <a:picLocks noChangeAspect="1" noChangeArrowheads="1"/>
                        </pic:cNvPicPr>
                      </pic:nvPicPr>
                      <pic:blipFill>
                        <a:blip r:embed="rId4">
                          <a:lum contrast="10000"/>
                          <a:extLst>
                            <a:ext uri="{28A0092B-C50C-407E-A947-70E740481C1C}">
                              <a14:useLocalDpi xmlns:a14="http://schemas.microsoft.com/office/drawing/2010/main" val="0"/>
                            </a:ext>
                          </a:extLst>
                        </a:blip>
                        <a:srcRect/>
                        <a:stretch>
                          <a:fillRect/>
                        </a:stretch>
                      </pic:blipFill>
                      <pic:spPr bwMode="auto">
                        <a:xfrm>
                          <a:off x="0" y="0"/>
                          <a:ext cx="1286510" cy="1010285"/>
                        </a:xfrm>
                        <a:prstGeom prst="rect">
                          <a:avLst/>
                        </a:prstGeom>
                        <a:noFill/>
                        <a:ln>
                          <a:noFill/>
                        </a:ln>
                      </pic:spPr>
                    </pic:pic>
                  </a:graphicData>
                </a:graphic>
              </wp:inline>
            </w:drawing>
          </w:r>
        </w:p>
      </w:tc>
    </w:tr>
  </w:tbl>
  <w:p w:rsidR="00C91980" w:rsidRDefault="00C91980" w:rsidP="00CF7C1C">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5A8BC4"/>
    <w:lvl w:ilvl="0">
      <w:start w:val="1"/>
      <w:numFmt w:val="decimal"/>
      <w:lvlText w:val="%1."/>
      <w:lvlJc w:val="left"/>
      <w:pPr>
        <w:tabs>
          <w:tab w:val="num" w:pos="1492"/>
        </w:tabs>
        <w:ind w:left="1492" w:hanging="360"/>
      </w:pPr>
    </w:lvl>
  </w:abstractNum>
  <w:abstractNum w:abstractNumId="1">
    <w:nsid w:val="FFFFFF7D"/>
    <w:multiLevelType w:val="singleLevel"/>
    <w:tmpl w:val="7918310A"/>
    <w:lvl w:ilvl="0">
      <w:start w:val="1"/>
      <w:numFmt w:val="decimal"/>
      <w:lvlText w:val="%1."/>
      <w:lvlJc w:val="left"/>
      <w:pPr>
        <w:tabs>
          <w:tab w:val="num" w:pos="1209"/>
        </w:tabs>
        <w:ind w:left="1209" w:hanging="360"/>
      </w:pPr>
    </w:lvl>
  </w:abstractNum>
  <w:abstractNum w:abstractNumId="2">
    <w:nsid w:val="FFFFFF7E"/>
    <w:multiLevelType w:val="singleLevel"/>
    <w:tmpl w:val="9E8040F2"/>
    <w:lvl w:ilvl="0">
      <w:start w:val="1"/>
      <w:numFmt w:val="decimal"/>
      <w:pStyle w:val="Szmozottlista3"/>
      <w:lvlText w:val="%1."/>
      <w:lvlJc w:val="left"/>
      <w:pPr>
        <w:tabs>
          <w:tab w:val="num" w:pos="926"/>
        </w:tabs>
        <w:ind w:left="926" w:hanging="360"/>
      </w:pPr>
    </w:lvl>
  </w:abstractNum>
  <w:abstractNum w:abstractNumId="3">
    <w:nsid w:val="FFFFFF7F"/>
    <w:multiLevelType w:val="singleLevel"/>
    <w:tmpl w:val="A992C018"/>
    <w:lvl w:ilvl="0">
      <w:start w:val="1"/>
      <w:numFmt w:val="decimal"/>
      <w:pStyle w:val="Szmozottlista2"/>
      <w:lvlText w:val="%1."/>
      <w:lvlJc w:val="left"/>
      <w:pPr>
        <w:tabs>
          <w:tab w:val="num" w:pos="643"/>
        </w:tabs>
        <w:ind w:left="643" w:hanging="360"/>
      </w:pPr>
    </w:lvl>
  </w:abstractNum>
  <w:abstractNum w:abstractNumId="4">
    <w:nsid w:val="FFFFFF80"/>
    <w:multiLevelType w:val="singleLevel"/>
    <w:tmpl w:val="3DAEBDB8"/>
    <w:lvl w:ilvl="0">
      <w:start w:val="1"/>
      <w:numFmt w:val="bullet"/>
      <w:pStyle w:val="Felsorols5"/>
      <w:lvlText w:val=""/>
      <w:lvlJc w:val="left"/>
      <w:pPr>
        <w:tabs>
          <w:tab w:val="num" w:pos="1492"/>
        </w:tabs>
        <w:ind w:left="1492" w:hanging="360"/>
      </w:pPr>
      <w:rPr>
        <w:rFonts w:ascii="Symbol" w:hAnsi="Symbol" w:hint="default"/>
      </w:rPr>
    </w:lvl>
  </w:abstractNum>
  <w:abstractNum w:abstractNumId="5">
    <w:nsid w:val="FFFFFF82"/>
    <w:multiLevelType w:val="singleLevel"/>
    <w:tmpl w:val="0CC66348"/>
    <w:lvl w:ilvl="0">
      <w:start w:val="1"/>
      <w:numFmt w:val="bullet"/>
      <w:pStyle w:val="Felsorols3"/>
      <w:lvlText w:val=""/>
      <w:lvlJc w:val="left"/>
      <w:pPr>
        <w:tabs>
          <w:tab w:val="num" w:pos="926"/>
        </w:tabs>
        <w:ind w:left="926" w:hanging="360"/>
      </w:pPr>
      <w:rPr>
        <w:rFonts w:ascii="Symbol" w:hAnsi="Symbol" w:hint="default"/>
      </w:rPr>
    </w:lvl>
  </w:abstractNum>
  <w:abstractNum w:abstractNumId="6">
    <w:nsid w:val="FFFFFF83"/>
    <w:multiLevelType w:val="singleLevel"/>
    <w:tmpl w:val="8E36258C"/>
    <w:lvl w:ilvl="0">
      <w:start w:val="1"/>
      <w:numFmt w:val="bullet"/>
      <w:pStyle w:val="Felsorols2"/>
      <w:lvlText w:val=""/>
      <w:lvlJc w:val="left"/>
      <w:pPr>
        <w:tabs>
          <w:tab w:val="num" w:pos="643"/>
        </w:tabs>
        <w:ind w:left="643" w:hanging="360"/>
      </w:pPr>
      <w:rPr>
        <w:rFonts w:ascii="Symbol" w:hAnsi="Symbol" w:hint="default"/>
      </w:rPr>
    </w:lvl>
  </w:abstractNum>
  <w:abstractNum w:abstractNumId="7">
    <w:nsid w:val="FFFFFF88"/>
    <w:multiLevelType w:val="singleLevel"/>
    <w:tmpl w:val="5B02C206"/>
    <w:lvl w:ilvl="0">
      <w:start w:val="1"/>
      <w:numFmt w:val="decimal"/>
      <w:pStyle w:val="Felsorols20"/>
      <w:lvlText w:val="%1."/>
      <w:lvlJc w:val="left"/>
      <w:pPr>
        <w:tabs>
          <w:tab w:val="num" w:pos="360"/>
        </w:tabs>
        <w:ind w:left="360" w:hanging="360"/>
      </w:pPr>
    </w:lvl>
  </w:abstractNum>
  <w:abstractNum w:abstractNumId="8">
    <w:nsid w:val="FFFFFF89"/>
    <w:multiLevelType w:val="singleLevel"/>
    <w:tmpl w:val="A602365A"/>
    <w:lvl w:ilvl="0">
      <w:start w:val="1"/>
      <w:numFmt w:val="bullet"/>
      <w:pStyle w:val="Felsorols"/>
      <w:lvlText w:val=""/>
      <w:lvlJc w:val="left"/>
      <w:pPr>
        <w:tabs>
          <w:tab w:val="num" w:pos="360"/>
        </w:tabs>
        <w:ind w:left="360" w:hanging="360"/>
      </w:pPr>
      <w:rPr>
        <w:rFonts w:ascii="Symbol" w:hAnsi="Symbol" w:hint="default"/>
      </w:rPr>
    </w:lvl>
  </w:abstractNum>
  <w:abstractNum w:abstractNumId="9">
    <w:nsid w:val="016A75FC"/>
    <w:multiLevelType w:val="hybridMultilevel"/>
    <w:tmpl w:val="34E80BE2"/>
    <w:name w:val="WW8Num11"/>
    <w:lvl w:ilvl="0" w:tplc="BEECED14">
      <w:start w:val="1"/>
      <w:numFmt w:val="bullet"/>
      <w:lvlText w:val=""/>
      <w:lvlJc w:val="left"/>
      <w:pPr>
        <w:tabs>
          <w:tab w:val="num" w:pos="1304"/>
        </w:tabs>
        <w:ind w:left="1361" w:hanging="227"/>
      </w:pPr>
      <w:rPr>
        <w:rFonts w:ascii="Symbol" w:hAnsi="Symbol" w:hint="default"/>
        <w:sz w:val="18"/>
        <w:szCs w:val="18"/>
      </w:rPr>
    </w:lvl>
    <w:lvl w:ilvl="1" w:tplc="D46608D8" w:tentative="1">
      <w:start w:val="1"/>
      <w:numFmt w:val="bullet"/>
      <w:lvlText w:val="o"/>
      <w:lvlJc w:val="left"/>
      <w:pPr>
        <w:tabs>
          <w:tab w:val="num" w:pos="1440"/>
        </w:tabs>
        <w:ind w:left="1440" w:hanging="360"/>
      </w:pPr>
      <w:rPr>
        <w:rFonts w:ascii="Courier New" w:hAnsi="Courier New" w:cs="Courier New" w:hint="default"/>
      </w:rPr>
    </w:lvl>
    <w:lvl w:ilvl="2" w:tplc="8A626CFC" w:tentative="1">
      <w:start w:val="1"/>
      <w:numFmt w:val="bullet"/>
      <w:lvlText w:val=""/>
      <w:lvlJc w:val="left"/>
      <w:pPr>
        <w:tabs>
          <w:tab w:val="num" w:pos="2160"/>
        </w:tabs>
        <w:ind w:left="2160" w:hanging="360"/>
      </w:pPr>
      <w:rPr>
        <w:rFonts w:ascii="Wingdings" w:hAnsi="Wingdings" w:hint="default"/>
      </w:rPr>
    </w:lvl>
    <w:lvl w:ilvl="3" w:tplc="677EB7AC" w:tentative="1">
      <w:start w:val="1"/>
      <w:numFmt w:val="bullet"/>
      <w:lvlText w:val=""/>
      <w:lvlJc w:val="left"/>
      <w:pPr>
        <w:tabs>
          <w:tab w:val="num" w:pos="2880"/>
        </w:tabs>
        <w:ind w:left="2880" w:hanging="360"/>
      </w:pPr>
      <w:rPr>
        <w:rFonts w:ascii="Symbol" w:hAnsi="Symbol" w:hint="default"/>
      </w:rPr>
    </w:lvl>
    <w:lvl w:ilvl="4" w:tplc="D3A4BE98" w:tentative="1">
      <w:start w:val="1"/>
      <w:numFmt w:val="bullet"/>
      <w:lvlText w:val="o"/>
      <w:lvlJc w:val="left"/>
      <w:pPr>
        <w:tabs>
          <w:tab w:val="num" w:pos="3600"/>
        </w:tabs>
        <w:ind w:left="3600" w:hanging="360"/>
      </w:pPr>
      <w:rPr>
        <w:rFonts w:ascii="Courier New" w:hAnsi="Courier New" w:cs="Courier New" w:hint="default"/>
      </w:rPr>
    </w:lvl>
    <w:lvl w:ilvl="5" w:tplc="432C3E08" w:tentative="1">
      <w:start w:val="1"/>
      <w:numFmt w:val="bullet"/>
      <w:lvlText w:val=""/>
      <w:lvlJc w:val="left"/>
      <w:pPr>
        <w:tabs>
          <w:tab w:val="num" w:pos="4320"/>
        </w:tabs>
        <w:ind w:left="4320" w:hanging="360"/>
      </w:pPr>
      <w:rPr>
        <w:rFonts w:ascii="Wingdings" w:hAnsi="Wingdings" w:hint="default"/>
      </w:rPr>
    </w:lvl>
    <w:lvl w:ilvl="6" w:tplc="1E5634AC" w:tentative="1">
      <w:start w:val="1"/>
      <w:numFmt w:val="bullet"/>
      <w:lvlText w:val=""/>
      <w:lvlJc w:val="left"/>
      <w:pPr>
        <w:tabs>
          <w:tab w:val="num" w:pos="5040"/>
        </w:tabs>
        <w:ind w:left="5040" w:hanging="360"/>
      </w:pPr>
      <w:rPr>
        <w:rFonts w:ascii="Symbol" w:hAnsi="Symbol" w:hint="default"/>
      </w:rPr>
    </w:lvl>
    <w:lvl w:ilvl="7" w:tplc="F0940F4E" w:tentative="1">
      <w:start w:val="1"/>
      <w:numFmt w:val="bullet"/>
      <w:lvlText w:val="o"/>
      <w:lvlJc w:val="left"/>
      <w:pPr>
        <w:tabs>
          <w:tab w:val="num" w:pos="5760"/>
        </w:tabs>
        <w:ind w:left="5760" w:hanging="360"/>
      </w:pPr>
      <w:rPr>
        <w:rFonts w:ascii="Courier New" w:hAnsi="Courier New" w:cs="Courier New" w:hint="default"/>
      </w:rPr>
    </w:lvl>
    <w:lvl w:ilvl="8" w:tplc="742E8E40" w:tentative="1">
      <w:start w:val="1"/>
      <w:numFmt w:val="bullet"/>
      <w:lvlText w:val=""/>
      <w:lvlJc w:val="left"/>
      <w:pPr>
        <w:tabs>
          <w:tab w:val="num" w:pos="6480"/>
        </w:tabs>
        <w:ind w:left="6480" w:hanging="360"/>
      </w:pPr>
      <w:rPr>
        <w:rFonts w:ascii="Wingdings" w:hAnsi="Wingdings" w:hint="default"/>
      </w:rPr>
    </w:lvl>
  </w:abstractNum>
  <w:abstractNum w:abstractNumId="10">
    <w:nsid w:val="017753AB"/>
    <w:multiLevelType w:val="hybridMultilevel"/>
    <w:tmpl w:val="0EC84FF2"/>
    <w:lvl w:ilvl="0" w:tplc="040E0001">
      <w:start w:val="1"/>
      <w:numFmt w:val="bullet"/>
      <w:lvlText w:val=""/>
      <w:lvlJc w:val="left"/>
      <w:pPr>
        <w:tabs>
          <w:tab w:val="num" w:pos="720"/>
        </w:tabs>
        <w:ind w:left="720" w:hanging="360"/>
      </w:pPr>
      <w:rPr>
        <w:rFonts w:ascii="Symbol" w:hAnsi="Symbol" w:hint="default"/>
      </w:rPr>
    </w:lvl>
    <w:lvl w:ilvl="1" w:tplc="16A29A82" w:tentative="1">
      <w:start w:val="1"/>
      <w:numFmt w:val="bullet"/>
      <w:lvlText w:val="o"/>
      <w:lvlJc w:val="left"/>
      <w:pPr>
        <w:ind w:left="1440" w:hanging="360"/>
      </w:pPr>
      <w:rPr>
        <w:rFonts w:ascii="Courier New" w:hAnsi="Courier New" w:cs="Courier New" w:hint="default"/>
      </w:rPr>
    </w:lvl>
    <w:lvl w:ilvl="2" w:tplc="1AFEF1F8" w:tentative="1">
      <w:start w:val="1"/>
      <w:numFmt w:val="bullet"/>
      <w:lvlText w:val=""/>
      <w:lvlJc w:val="left"/>
      <w:pPr>
        <w:ind w:left="2160" w:hanging="360"/>
      </w:pPr>
      <w:rPr>
        <w:rFonts w:ascii="Wingdings" w:hAnsi="Wingdings" w:hint="default"/>
      </w:rPr>
    </w:lvl>
    <w:lvl w:ilvl="3" w:tplc="60088B86" w:tentative="1">
      <w:start w:val="1"/>
      <w:numFmt w:val="bullet"/>
      <w:lvlText w:val=""/>
      <w:lvlJc w:val="left"/>
      <w:pPr>
        <w:ind w:left="2880" w:hanging="360"/>
      </w:pPr>
      <w:rPr>
        <w:rFonts w:ascii="Symbol" w:hAnsi="Symbol" w:hint="default"/>
      </w:rPr>
    </w:lvl>
    <w:lvl w:ilvl="4" w:tplc="0060D352" w:tentative="1">
      <w:start w:val="1"/>
      <w:numFmt w:val="bullet"/>
      <w:lvlText w:val="o"/>
      <w:lvlJc w:val="left"/>
      <w:pPr>
        <w:ind w:left="3600" w:hanging="360"/>
      </w:pPr>
      <w:rPr>
        <w:rFonts w:ascii="Courier New" w:hAnsi="Courier New" w:cs="Courier New" w:hint="default"/>
      </w:rPr>
    </w:lvl>
    <w:lvl w:ilvl="5" w:tplc="80A6EB9A" w:tentative="1">
      <w:start w:val="1"/>
      <w:numFmt w:val="bullet"/>
      <w:lvlText w:val=""/>
      <w:lvlJc w:val="left"/>
      <w:pPr>
        <w:ind w:left="4320" w:hanging="360"/>
      </w:pPr>
      <w:rPr>
        <w:rFonts w:ascii="Wingdings" w:hAnsi="Wingdings" w:hint="default"/>
      </w:rPr>
    </w:lvl>
    <w:lvl w:ilvl="6" w:tplc="28F488C8" w:tentative="1">
      <w:start w:val="1"/>
      <w:numFmt w:val="bullet"/>
      <w:lvlText w:val=""/>
      <w:lvlJc w:val="left"/>
      <w:pPr>
        <w:ind w:left="5040" w:hanging="360"/>
      </w:pPr>
      <w:rPr>
        <w:rFonts w:ascii="Symbol" w:hAnsi="Symbol" w:hint="default"/>
      </w:rPr>
    </w:lvl>
    <w:lvl w:ilvl="7" w:tplc="DEACF51E" w:tentative="1">
      <w:start w:val="1"/>
      <w:numFmt w:val="bullet"/>
      <w:lvlText w:val="o"/>
      <w:lvlJc w:val="left"/>
      <w:pPr>
        <w:ind w:left="5760" w:hanging="360"/>
      </w:pPr>
      <w:rPr>
        <w:rFonts w:ascii="Courier New" w:hAnsi="Courier New" w:cs="Courier New" w:hint="default"/>
      </w:rPr>
    </w:lvl>
    <w:lvl w:ilvl="8" w:tplc="09F436B4" w:tentative="1">
      <w:start w:val="1"/>
      <w:numFmt w:val="bullet"/>
      <w:lvlText w:val=""/>
      <w:lvlJc w:val="left"/>
      <w:pPr>
        <w:ind w:left="6480" w:hanging="360"/>
      </w:pPr>
      <w:rPr>
        <w:rFonts w:ascii="Wingdings" w:hAnsi="Wingdings" w:hint="default"/>
      </w:rPr>
    </w:lvl>
  </w:abstractNum>
  <w:abstractNum w:abstractNumId="11">
    <w:nsid w:val="01861358"/>
    <w:multiLevelType w:val="hybridMultilevel"/>
    <w:tmpl w:val="8F44B26E"/>
    <w:name w:val="WW8Num18"/>
    <w:lvl w:ilvl="0" w:tplc="A060F9C4">
      <w:start w:val="1"/>
      <w:numFmt w:val="decimal"/>
      <w:lvlText w:val="%1."/>
      <w:lvlJc w:val="left"/>
      <w:pPr>
        <w:tabs>
          <w:tab w:val="num" w:pos="720"/>
        </w:tabs>
        <w:ind w:left="720" w:hanging="360"/>
      </w:pPr>
    </w:lvl>
    <w:lvl w:ilvl="1" w:tplc="9A3EE186" w:tentative="1">
      <w:start w:val="1"/>
      <w:numFmt w:val="lowerLetter"/>
      <w:lvlText w:val="%2."/>
      <w:lvlJc w:val="left"/>
      <w:pPr>
        <w:tabs>
          <w:tab w:val="num" w:pos="1440"/>
        </w:tabs>
        <w:ind w:left="1440" w:hanging="360"/>
      </w:pPr>
    </w:lvl>
    <w:lvl w:ilvl="2" w:tplc="8E720E02" w:tentative="1">
      <w:start w:val="1"/>
      <w:numFmt w:val="lowerRoman"/>
      <w:lvlText w:val="%3."/>
      <w:lvlJc w:val="right"/>
      <w:pPr>
        <w:tabs>
          <w:tab w:val="num" w:pos="2160"/>
        </w:tabs>
        <w:ind w:left="2160" w:hanging="180"/>
      </w:pPr>
    </w:lvl>
    <w:lvl w:ilvl="3" w:tplc="D2D61936" w:tentative="1">
      <w:start w:val="1"/>
      <w:numFmt w:val="decimal"/>
      <w:lvlText w:val="%4."/>
      <w:lvlJc w:val="left"/>
      <w:pPr>
        <w:tabs>
          <w:tab w:val="num" w:pos="2880"/>
        </w:tabs>
        <w:ind w:left="2880" w:hanging="360"/>
      </w:pPr>
    </w:lvl>
    <w:lvl w:ilvl="4" w:tplc="96B05700" w:tentative="1">
      <w:start w:val="1"/>
      <w:numFmt w:val="lowerLetter"/>
      <w:lvlText w:val="%5."/>
      <w:lvlJc w:val="left"/>
      <w:pPr>
        <w:tabs>
          <w:tab w:val="num" w:pos="3600"/>
        </w:tabs>
        <w:ind w:left="3600" w:hanging="360"/>
      </w:pPr>
    </w:lvl>
    <w:lvl w:ilvl="5" w:tplc="2A240B84">
      <w:start w:val="1"/>
      <w:numFmt w:val="lowerRoman"/>
      <w:lvlText w:val="%6."/>
      <w:lvlJc w:val="right"/>
      <w:pPr>
        <w:tabs>
          <w:tab w:val="num" w:pos="4320"/>
        </w:tabs>
        <w:ind w:left="4320" w:hanging="180"/>
      </w:pPr>
    </w:lvl>
    <w:lvl w:ilvl="6" w:tplc="2578F532" w:tentative="1">
      <w:start w:val="1"/>
      <w:numFmt w:val="decimal"/>
      <w:lvlText w:val="%7."/>
      <w:lvlJc w:val="left"/>
      <w:pPr>
        <w:tabs>
          <w:tab w:val="num" w:pos="5040"/>
        </w:tabs>
        <w:ind w:left="5040" w:hanging="360"/>
      </w:pPr>
    </w:lvl>
    <w:lvl w:ilvl="7" w:tplc="06728EB2" w:tentative="1">
      <w:start w:val="1"/>
      <w:numFmt w:val="lowerLetter"/>
      <w:lvlText w:val="%8."/>
      <w:lvlJc w:val="left"/>
      <w:pPr>
        <w:tabs>
          <w:tab w:val="num" w:pos="5760"/>
        </w:tabs>
        <w:ind w:left="5760" w:hanging="360"/>
      </w:pPr>
    </w:lvl>
    <w:lvl w:ilvl="8" w:tplc="C13A68A0" w:tentative="1">
      <w:start w:val="1"/>
      <w:numFmt w:val="lowerRoman"/>
      <w:lvlText w:val="%9."/>
      <w:lvlJc w:val="right"/>
      <w:pPr>
        <w:tabs>
          <w:tab w:val="num" w:pos="6480"/>
        </w:tabs>
        <w:ind w:left="6480" w:hanging="180"/>
      </w:pPr>
    </w:lvl>
  </w:abstractNum>
  <w:abstractNum w:abstractNumId="12">
    <w:nsid w:val="01FE2416"/>
    <w:multiLevelType w:val="hybridMultilevel"/>
    <w:tmpl w:val="7F10F580"/>
    <w:lvl w:ilvl="0" w:tplc="FFFFFFFF">
      <w:start w:val="1"/>
      <w:numFmt w:val="bullet"/>
      <w:lvlText w:val=""/>
      <w:lvlJc w:val="left"/>
      <w:pPr>
        <w:tabs>
          <w:tab w:val="num" w:pos="360"/>
        </w:tabs>
        <w:ind w:left="360" w:hanging="360"/>
      </w:pPr>
      <w:rPr>
        <w:rFonts w:ascii="Wingdings" w:hAnsi="Wingdings" w:hint="default"/>
      </w:rPr>
    </w:lvl>
    <w:lvl w:ilvl="1" w:tplc="FFFFFFFF">
      <w:numFmt w:val="bullet"/>
      <w:lvlText w:val="-"/>
      <w:lvlJc w:val="left"/>
      <w:pPr>
        <w:tabs>
          <w:tab w:val="num" w:pos="2160"/>
        </w:tabs>
        <w:ind w:left="2160" w:hanging="360"/>
      </w:pPr>
      <w:rPr>
        <w:rFonts w:ascii="Times New Roman" w:eastAsia="Times New Roman" w:hAnsi="Times New Roman" w:cs="Times New Roman" w:hint="default"/>
      </w:rPr>
    </w:lvl>
    <w:lvl w:ilvl="2" w:tplc="FFFFFFFF">
      <w:numFmt w:val="bullet"/>
      <w:lvlText w:val="-"/>
      <w:lvlJc w:val="left"/>
      <w:pPr>
        <w:tabs>
          <w:tab w:val="num" w:pos="1817"/>
        </w:tabs>
        <w:ind w:left="1817" w:hanging="377"/>
      </w:pPr>
      <w:rPr>
        <w:rFonts w:ascii="Times New Roman" w:eastAsia="Times New Roman" w:hAnsi="Times New Roman" w:cs="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044E4CC1"/>
    <w:multiLevelType w:val="hybridMultilevel"/>
    <w:tmpl w:val="E8C8F17A"/>
    <w:lvl w:ilvl="0" w:tplc="74B4789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04C51E50"/>
    <w:multiLevelType w:val="hybridMultilevel"/>
    <w:tmpl w:val="72940B8A"/>
    <w:lvl w:ilvl="0" w:tplc="EF94963E">
      <w:start w:val="1"/>
      <w:numFmt w:val="decimal"/>
      <w:lvlText w:val="%1.)"/>
      <w:lvlJc w:val="left"/>
      <w:pPr>
        <w:ind w:left="720" w:hanging="360"/>
      </w:pPr>
      <w:rPr>
        <w:rFonts w:ascii="Times New Roman" w:hAnsi="Times New Roman" w:hint="default"/>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08263A86"/>
    <w:multiLevelType w:val="hybridMultilevel"/>
    <w:tmpl w:val="528E6984"/>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09CD3EF4"/>
    <w:multiLevelType w:val="hybridMultilevel"/>
    <w:tmpl w:val="CA14FDD4"/>
    <w:lvl w:ilvl="0" w:tplc="A49A309A">
      <w:numFmt w:val="bullet"/>
      <w:lvlText w:val="-"/>
      <w:lvlJc w:val="left"/>
      <w:pPr>
        <w:tabs>
          <w:tab w:val="num" w:pos="360"/>
        </w:tabs>
        <w:ind w:left="360" w:hanging="360"/>
      </w:pPr>
      <w:rPr>
        <w:rFonts w:ascii="EKKNNH+TimesNewRoman" w:eastAsia="SimSun" w:hAnsi="EKKNNH+TimesNewRoman" w:cs="EKKNNH+TimesNewRoman" w:hint="default"/>
      </w:rPr>
    </w:lvl>
    <w:lvl w:ilvl="1" w:tplc="040E0019">
      <w:numFmt w:val="bullet"/>
      <w:lvlText w:val="-"/>
      <w:lvlJc w:val="left"/>
      <w:pPr>
        <w:tabs>
          <w:tab w:val="num" w:pos="1080"/>
        </w:tabs>
        <w:ind w:left="1080" w:hanging="360"/>
      </w:pPr>
      <w:rPr>
        <w:rFonts w:ascii="Times New Roman" w:eastAsia="Times New Roman" w:hAnsi="Times New Roman" w:cs="Times New Roman" w:hint="default"/>
      </w:rPr>
    </w:lvl>
    <w:lvl w:ilvl="2" w:tplc="040E001B" w:tentative="1">
      <w:start w:val="1"/>
      <w:numFmt w:val="bullet"/>
      <w:lvlText w:val=""/>
      <w:lvlJc w:val="left"/>
      <w:pPr>
        <w:tabs>
          <w:tab w:val="num" w:pos="1800"/>
        </w:tabs>
        <w:ind w:left="1800" w:hanging="360"/>
      </w:pPr>
      <w:rPr>
        <w:rFonts w:ascii="Wingdings" w:hAnsi="Wingdings" w:hint="default"/>
      </w:rPr>
    </w:lvl>
    <w:lvl w:ilvl="3" w:tplc="040E000F" w:tentative="1">
      <w:start w:val="1"/>
      <w:numFmt w:val="bullet"/>
      <w:lvlText w:val=""/>
      <w:lvlJc w:val="left"/>
      <w:pPr>
        <w:tabs>
          <w:tab w:val="num" w:pos="2520"/>
        </w:tabs>
        <w:ind w:left="2520" w:hanging="360"/>
      </w:pPr>
      <w:rPr>
        <w:rFonts w:ascii="Symbol" w:hAnsi="Symbol" w:hint="default"/>
      </w:rPr>
    </w:lvl>
    <w:lvl w:ilvl="4" w:tplc="040E0019" w:tentative="1">
      <w:start w:val="1"/>
      <w:numFmt w:val="bullet"/>
      <w:lvlText w:val="o"/>
      <w:lvlJc w:val="left"/>
      <w:pPr>
        <w:tabs>
          <w:tab w:val="num" w:pos="3240"/>
        </w:tabs>
        <w:ind w:left="3240" w:hanging="360"/>
      </w:pPr>
      <w:rPr>
        <w:rFonts w:ascii="Courier New" w:hAnsi="Courier New" w:cs="Courier New" w:hint="default"/>
      </w:rPr>
    </w:lvl>
    <w:lvl w:ilvl="5" w:tplc="040E001B" w:tentative="1">
      <w:start w:val="1"/>
      <w:numFmt w:val="bullet"/>
      <w:lvlText w:val=""/>
      <w:lvlJc w:val="left"/>
      <w:pPr>
        <w:tabs>
          <w:tab w:val="num" w:pos="3960"/>
        </w:tabs>
        <w:ind w:left="3960" w:hanging="360"/>
      </w:pPr>
      <w:rPr>
        <w:rFonts w:ascii="Wingdings" w:hAnsi="Wingdings" w:hint="default"/>
      </w:rPr>
    </w:lvl>
    <w:lvl w:ilvl="6" w:tplc="040E000F" w:tentative="1">
      <w:start w:val="1"/>
      <w:numFmt w:val="bullet"/>
      <w:lvlText w:val=""/>
      <w:lvlJc w:val="left"/>
      <w:pPr>
        <w:tabs>
          <w:tab w:val="num" w:pos="4680"/>
        </w:tabs>
        <w:ind w:left="4680" w:hanging="360"/>
      </w:pPr>
      <w:rPr>
        <w:rFonts w:ascii="Symbol" w:hAnsi="Symbol" w:hint="default"/>
      </w:rPr>
    </w:lvl>
    <w:lvl w:ilvl="7" w:tplc="040E0019" w:tentative="1">
      <w:start w:val="1"/>
      <w:numFmt w:val="bullet"/>
      <w:lvlText w:val="o"/>
      <w:lvlJc w:val="left"/>
      <w:pPr>
        <w:tabs>
          <w:tab w:val="num" w:pos="5400"/>
        </w:tabs>
        <w:ind w:left="5400" w:hanging="360"/>
      </w:pPr>
      <w:rPr>
        <w:rFonts w:ascii="Courier New" w:hAnsi="Courier New" w:cs="Courier New" w:hint="default"/>
      </w:rPr>
    </w:lvl>
    <w:lvl w:ilvl="8" w:tplc="040E001B" w:tentative="1">
      <w:start w:val="1"/>
      <w:numFmt w:val="bullet"/>
      <w:lvlText w:val=""/>
      <w:lvlJc w:val="left"/>
      <w:pPr>
        <w:tabs>
          <w:tab w:val="num" w:pos="6120"/>
        </w:tabs>
        <w:ind w:left="6120" w:hanging="360"/>
      </w:pPr>
      <w:rPr>
        <w:rFonts w:ascii="Wingdings" w:hAnsi="Wingdings" w:hint="default"/>
      </w:rPr>
    </w:lvl>
  </w:abstractNum>
  <w:abstractNum w:abstractNumId="17">
    <w:nsid w:val="0A2C6687"/>
    <w:multiLevelType w:val="hybridMultilevel"/>
    <w:tmpl w:val="4F027DA4"/>
    <w:lvl w:ilvl="0" w:tplc="A49A309A">
      <w:numFmt w:val="bullet"/>
      <w:pStyle w:val="Normltblabal3pckkel"/>
      <w:lvlText w:val="-"/>
      <w:lvlJc w:val="left"/>
      <w:pPr>
        <w:tabs>
          <w:tab w:val="num" w:pos="1080"/>
        </w:tabs>
        <w:ind w:left="1080" w:hanging="360"/>
      </w:pPr>
      <w:rPr>
        <w:rFonts w:ascii="EKKNNH+TimesNewRoman" w:eastAsia="SimSun" w:hAnsi="EKKNNH+TimesNewRoman" w:cs="EKKNNH+TimesNewRoman" w:hint="default"/>
      </w:rPr>
    </w:lvl>
    <w:lvl w:ilvl="1" w:tplc="040E0003" w:tentative="1">
      <w:start w:val="1"/>
      <w:numFmt w:val="bullet"/>
      <w:lvlText w:val="o"/>
      <w:lvlJc w:val="left"/>
      <w:pPr>
        <w:tabs>
          <w:tab w:val="num" w:pos="2010"/>
        </w:tabs>
        <w:ind w:left="2010" w:hanging="360"/>
      </w:pPr>
      <w:rPr>
        <w:rFonts w:ascii="Courier New" w:hAnsi="Courier New" w:hint="default"/>
      </w:rPr>
    </w:lvl>
    <w:lvl w:ilvl="2" w:tplc="040E0005" w:tentative="1">
      <w:start w:val="1"/>
      <w:numFmt w:val="bullet"/>
      <w:lvlText w:val=""/>
      <w:lvlJc w:val="left"/>
      <w:pPr>
        <w:tabs>
          <w:tab w:val="num" w:pos="2730"/>
        </w:tabs>
        <w:ind w:left="2730" w:hanging="360"/>
      </w:pPr>
      <w:rPr>
        <w:rFonts w:ascii="Wingdings" w:hAnsi="Wingdings" w:hint="default"/>
      </w:rPr>
    </w:lvl>
    <w:lvl w:ilvl="3" w:tplc="040E0001" w:tentative="1">
      <w:start w:val="1"/>
      <w:numFmt w:val="bullet"/>
      <w:lvlText w:val=""/>
      <w:lvlJc w:val="left"/>
      <w:pPr>
        <w:tabs>
          <w:tab w:val="num" w:pos="3450"/>
        </w:tabs>
        <w:ind w:left="3450" w:hanging="360"/>
      </w:pPr>
      <w:rPr>
        <w:rFonts w:ascii="Symbol" w:hAnsi="Symbol" w:hint="default"/>
      </w:rPr>
    </w:lvl>
    <w:lvl w:ilvl="4" w:tplc="040E0003" w:tentative="1">
      <w:start w:val="1"/>
      <w:numFmt w:val="bullet"/>
      <w:lvlText w:val="o"/>
      <w:lvlJc w:val="left"/>
      <w:pPr>
        <w:tabs>
          <w:tab w:val="num" w:pos="4170"/>
        </w:tabs>
        <w:ind w:left="4170" w:hanging="360"/>
      </w:pPr>
      <w:rPr>
        <w:rFonts w:ascii="Courier New" w:hAnsi="Courier New" w:hint="default"/>
      </w:rPr>
    </w:lvl>
    <w:lvl w:ilvl="5" w:tplc="040E0005" w:tentative="1">
      <w:start w:val="1"/>
      <w:numFmt w:val="bullet"/>
      <w:lvlText w:val=""/>
      <w:lvlJc w:val="left"/>
      <w:pPr>
        <w:tabs>
          <w:tab w:val="num" w:pos="4890"/>
        </w:tabs>
        <w:ind w:left="4890" w:hanging="360"/>
      </w:pPr>
      <w:rPr>
        <w:rFonts w:ascii="Wingdings" w:hAnsi="Wingdings" w:hint="default"/>
      </w:rPr>
    </w:lvl>
    <w:lvl w:ilvl="6" w:tplc="040E0001" w:tentative="1">
      <w:start w:val="1"/>
      <w:numFmt w:val="bullet"/>
      <w:lvlText w:val=""/>
      <w:lvlJc w:val="left"/>
      <w:pPr>
        <w:tabs>
          <w:tab w:val="num" w:pos="5610"/>
        </w:tabs>
        <w:ind w:left="5610" w:hanging="360"/>
      </w:pPr>
      <w:rPr>
        <w:rFonts w:ascii="Symbol" w:hAnsi="Symbol" w:hint="default"/>
      </w:rPr>
    </w:lvl>
    <w:lvl w:ilvl="7" w:tplc="040E0003" w:tentative="1">
      <w:start w:val="1"/>
      <w:numFmt w:val="bullet"/>
      <w:lvlText w:val="o"/>
      <w:lvlJc w:val="left"/>
      <w:pPr>
        <w:tabs>
          <w:tab w:val="num" w:pos="6330"/>
        </w:tabs>
        <w:ind w:left="6330" w:hanging="360"/>
      </w:pPr>
      <w:rPr>
        <w:rFonts w:ascii="Courier New" w:hAnsi="Courier New" w:hint="default"/>
      </w:rPr>
    </w:lvl>
    <w:lvl w:ilvl="8" w:tplc="040E0005" w:tentative="1">
      <w:start w:val="1"/>
      <w:numFmt w:val="bullet"/>
      <w:lvlText w:val=""/>
      <w:lvlJc w:val="left"/>
      <w:pPr>
        <w:tabs>
          <w:tab w:val="num" w:pos="7050"/>
        </w:tabs>
        <w:ind w:left="7050" w:hanging="360"/>
      </w:pPr>
      <w:rPr>
        <w:rFonts w:ascii="Wingdings" w:hAnsi="Wingdings" w:hint="default"/>
      </w:rPr>
    </w:lvl>
  </w:abstractNum>
  <w:abstractNum w:abstractNumId="18">
    <w:nsid w:val="0B613C62"/>
    <w:multiLevelType w:val="hybridMultilevel"/>
    <w:tmpl w:val="01A21F9C"/>
    <w:lvl w:ilvl="0" w:tplc="2E4C7888">
      <w:start w:val="1"/>
      <w:numFmt w:val="bullet"/>
      <w:pStyle w:val="Normlbogy"/>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9">
    <w:nsid w:val="0B64302C"/>
    <w:multiLevelType w:val="hybridMultilevel"/>
    <w:tmpl w:val="ECCCD470"/>
    <w:lvl w:ilvl="0" w:tplc="783AB6D0">
      <w:start w:val="1"/>
      <w:numFmt w:val="decimal"/>
      <w:lvlText w:val="%1."/>
      <w:lvlJc w:val="left"/>
      <w:pPr>
        <w:tabs>
          <w:tab w:val="num" w:pos="720"/>
        </w:tabs>
        <w:ind w:left="720" w:hanging="360"/>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20">
    <w:nsid w:val="0DDB4D55"/>
    <w:multiLevelType w:val="multilevel"/>
    <w:tmpl w:val="AED0D966"/>
    <w:lvl w:ilvl="0">
      <w:start w:val="1"/>
      <w:numFmt w:val="decimal"/>
      <w:pStyle w:val="Cmsor1"/>
      <w:lvlText w:val="%1"/>
      <w:lvlJc w:val="left"/>
      <w:pPr>
        <w:ind w:left="999" w:hanging="432"/>
      </w:pPr>
    </w:lvl>
    <w:lvl w:ilvl="1">
      <w:start w:val="1"/>
      <w:numFmt w:val="decimal"/>
      <w:pStyle w:val="Cmsor2"/>
      <w:lvlText w:val="%1.%2"/>
      <w:lvlJc w:val="left"/>
      <w:pPr>
        <w:ind w:left="576" w:hanging="576"/>
      </w:pPr>
    </w:lvl>
    <w:lvl w:ilvl="2">
      <w:start w:val="1"/>
      <w:numFmt w:val="decimal"/>
      <w:pStyle w:val="Cmsor3"/>
      <w:lvlText w:val="%1.%2.%3"/>
      <w:lvlJc w:val="left"/>
      <w:pPr>
        <w:ind w:left="1855" w:hanging="720"/>
      </w:pPr>
    </w:lvl>
    <w:lvl w:ilvl="3">
      <w:start w:val="1"/>
      <w:numFmt w:val="decimal"/>
      <w:pStyle w:val="Cmsor4"/>
      <w:lvlText w:val="%1.%2.%3.%4"/>
      <w:lvlJc w:val="left"/>
      <w:pPr>
        <w:ind w:left="1857" w:hanging="864"/>
      </w:pPr>
      <w:rPr>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Cmsor5"/>
      <w:lvlText w:val="%1.%2.%3.%4.%5"/>
      <w:lvlJc w:val="left"/>
      <w:pPr>
        <w:ind w:left="1008" w:hanging="1008"/>
      </w:pPr>
    </w:lvl>
    <w:lvl w:ilvl="5">
      <w:start w:val="1"/>
      <w:numFmt w:val="decimal"/>
      <w:lvlText w:val="%1.%2.%3.%4.%5.%6"/>
      <w:lvlJc w:val="left"/>
      <w:pPr>
        <w:ind w:left="1152" w:hanging="1152"/>
      </w:pPr>
      <w:rPr>
        <w:lang w:val="en-GB"/>
      </w:rPr>
    </w:lvl>
    <w:lvl w:ilvl="6">
      <w:start w:val="1"/>
      <w:numFmt w:val="decimal"/>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21">
    <w:nsid w:val="0F62458C"/>
    <w:multiLevelType w:val="hybridMultilevel"/>
    <w:tmpl w:val="DAFA56A0"/>
    <w:lvl w:ilvl="0" w:tplc="61EE71C4">
      <w:start w:val="1"/>
      <w:numFmt w:val="decimal"/>
      <w:lvlText w:val="%1.)"/>
      <w:lvlJc w:val="left"/>
      <w:pPr>
        <w:ind w:left="720" w:hanging="360"/>
      </w:pPr>
      <w:rPr>
        <w:rFonts w:ascii="Times New Roman" w:hAnsi="Times New Roman" w:hint="default"/>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103B6986"/>
    <w:multiLevelType w:val="hybridMultilevel"/>
    <w:tmpl w:val="C9D44A00"/>
    <w:lvl w:ilvl="0" w:tplc="6E38CC94">
      <w:numFmt w:val="bullet"/>
      <w:lvlText w:val="-"/>
      <w:lvlJc w:val="left"/>
      <w:pPr>
        <w:ind w:left="565" w:hanging="360"/>
      </w:pPr>
      <w:rPr>
        <w:rFonts w:ascii="Times New Roman" w:eastAsia="Times New Roman" w:hAnsi="Times New Roman" w:cs="Times New Roman" w:hint="default"/>
      </w:rPr>
    </w:lvl>
    <w:lvl w:ilvl="1" w:tplc="040E0003" w:tentative="1">
      <w:start w:val="1"/>
      <w:numFmt w:val="bullet"/>
      <w:lvlText w:val="o"/>
      <w:lvlJc w:val="left"/>
      <w:pPr>
        <w:ind w:left="1285" w:hanging="360"/>
      </w:pPr>
      <w:rPr>
        <w:rFonts w:ascii="Courier New" w:hAnsi="Courier New" w:cs="Courier New" w:hint="default"/>
      </w:rPr>
    </w:lvl>
    <w:lvl w:ilvl="2" w:tplc="040E0005" w:tentative="1">
      <w:start w:val="1"/>
      <w:numFmt w:val="bullet"/>
      <w:lvlText w:val=""/>
      <w:lvlJc w:val="left"/>
      <w:pPr>
        <w:ind w:left="2005" w:hanging="360"/>
      </w:pPr>
      <w:rPr>
        <w:rFonts w:ascii="Wingdings" w:hAnsi="Wingdings" w:hint="default"/>
      </w:rPr>
    </w:lvl>
    <w:lvl w:ilvl="3" w:tplc="040E0001" w:tentative="1">
      <w:start w:val="1"/>
      <w:numFmt w:val="bullet"/>
      <w:lvlText w:val=""/>
      <w:lvlJc w:val="left"/>
      <w:pPr>
        <w:ind w:left="2725" w:hanging="360"/>
      </w:pPr>
      <w:rPr>
        <w:rFonts w:ascii="Symbol" w:hAnsi="Symbol" w:hint="default"/>
      </w:rPr>
    </w:lvl>
    <w:lvl w:ilvl="4" w:tplc="040E0003" w:tentative="1">
      <w:start w:val="1"/>
      <w:numFmt w:val="bullet"/>
      <w:lvlText w:val="o"/>
      <w:lvlJc w:val="left"/>
      <w:pPr>
        <w:ind w:left="3445" w:hanging="360"/>
      </w:pPr>
      <w:rPr>
        <w:rFonts w:ascii="Courier New" w:hAnsi="Courier New" w:cs="Courier New" w:hint="default"/>
      </w:rPr>
    </w:lvl>
    <w:lvl w:ilvl="5" w:tplc="040E0005" w:tentative="1">
      <w:start w:val="1"/>
      <w:numFmt w:val="bullet"/>
      <w:lvlText w:val=""/>
      <w:lvlJc w:val="left"/>
      <w:pPr>
        <w:ind w:left="4165" w:hanging="360"/>
      </w:pPr>
      <w:rPr>
        <w:rFonts w:ascii="Wingdings" w:hAnsi="Wingdings" w:hint="default"/>
      </w:rPr>
    </w:lvl>
    <w:lvl w:ilvl="6" w:tplc="040E0001" w:tentative="1">
      <w:start w:val="1"/>
      <w:numFmt w:val="bullet"/>
      <w:lvlText w:val=""/>
      <w:lvlJc w:val="left"/>
      <w:pPr>
        <w:ind w:left="4885" w:hanging="360"/>
      </w:pPr>
      <w:rPr>
        <w:rFonts w:ascii="Symbol" w:hAnsi="Symbol" w:hint="default"/>
      </w:rPr>
    </w:lvl>
    <w:lvl w:ilvl="7" w:tplc="040E0003" w:tentative="1">
      <w:start w:val="1"/>
      <w:numFmt w:val="bullet"/>
      <w:lvlText w:val="o"/>
      <w:lvlJc w:val="left"/>
      <w:pPr>
        <w:ind w:left="5605" w:hanging="360"/>
      </w:pPr>
      <w:rPr>
        <w:rFonts w:ascii="Courier New" w:hAnsi="Courier New" w:cs="Courier New" w:hint="default"/>
      </w:rPr>
    </w:lvl>
    <w:lvl w:ilvl="8" w:tplc="040E0005" w:tentative="1">
      <w:start w:val="1"/>
      <w:numFmt w:val="bullet"/>
      <w:lvlText w:val=""/>
      <w:lvlJc w:val="left"/>
      <w:pPr>
        <w:ind w:left="6325" w:hanging="360"/>
      </w:pPr>
      <w:rPr>
        <w:rFonts w:ascii="Wingdings" w:hAnsi="Wingdings" w:hint="default"/>
      </w:rPr>
    </w:lvl>
  </w:abstractNum>
  <w:abstractNum w:abstractNumId="23">
    <w:nsid w:val="11077371"/>
    <w:multiLevelType w:val="hybridMultilevel"/>
    <w:tmpl w:val="C9BA6C8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11B574AE"/>
    <w:multiLevelType w:val="hybridMultilevel"/>
    <w:tmpl w:val="6A5477D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15440F2D"/>
    <w:multiLevelType w:val="multilevel"/>
    <w:tmpl w:val="5394EE84"/>
    <w:lvl w:ilvl="0">
      <w:start w:val="1"/>
      <w:numFmt w:val="lowerLetter"/>
      <w:lvlText w:val="%1)"/>
      <w:lvlJc w:val="left"/>
      <w:pPr>
        <w:tabs>
          <w:tab w:val="num" w:pos="432"/>
        </w:tabs>
        <w:ind w:left="432" w:hanging="432"/>
      </w:pPr>
      <w:rPr>
        <w:rFonts w:hint="default"/>
      </w:rPr>
    </w:lvl>
    <w:lvl w:ilvl="1">
      <w:start w:val="1"/>
      <w:numFmt w:val="lowerLetter"/>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16323052"/>
    <w:multiLevelType w:val="hybridMultilevel"/>
    <w:tmpl w:val="0FE875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1A2069E6"/>
    <w:multiLevelType w:val="hybridMultilevel"/>
    <w:tmpl w:val="E7AC76A0"/>
    <w:name w:val="WW8Num7222"/>
    <w:lvl w:ilvl="0" w:tplc="4C28314E">
      <w:start w:val="1"/>
      <w:numFmt w:val="bullet"/>
      <w:lvlText w:val="–"/>
      <w:lvlJc w:val="left"/>
      <w:pPr>
        <w:tabs>
          <w:tab w:val="num" w:pos="1200"/>
        </w:tabs>
        <w:ind w:left="1200" w:hanging="360"/>
      </w:pPr>
      <w:rPr>
        <w:rFonts w:ascii="Times New Roman" w:hAnsi="Times New Roman" w:hint="default"/>
      </w:rPr>
    </w:lvl>
    <w:lvl w:ilvl="1" w:tplc="040E0003" w:tentative="1">
      <w:start w:val="1"/>
      <w:numFmt w:val="bullet"/>
      <w:lvlText w:val="o"/>
      <w:lvlJc w:val="left"/>
      <w:pPr>
        <w:tabs>
          <w:tab w:val="num" w:pos="1920"/>
        </w:tabs>
        <w:ind w:left="1920" w:hanging="360"/>
      </w:pPr>
      <w:rPr>
        <w:rFonts w:ascii="Courier New" w:hAnsi="Courier New" w:hint="default"/>
      </w:rPr>
    </w:lvl>
    <w:lvl w:ilvl="2" w:tplc="040E0005" w:tentative="1">
      <w:start w:val="1"/>
      <w:numFmt w:val="bullet"/>
      <w:lvlText w:val=""/>
      <w:lvlJc w:val="left"/>
      <w:pPr>
        <w:tabs>
          <w:tab w:val="num" w:pos="2640"/>
        </w:tabs>
        <w:ind w:left="2640" w:hanging="360"/>
      </w:pPr>
      <w:rPr>
        <w:rFonts w:ascii="Wingdings" w:hAnsi="Wingdings" w:hint="default"/>
      </w:rPr>
    </w:lvl>
    <w:lvl w:ilvl="3" w:tplc="040E0001" w:tentative="1">
      <w:start w:val="1"/>
      <w:numFmt w:val="bullet"/>
      <w:lvlText w:val=""/>
      <w:lvlJc w:val="left"/>
      <w:pPr>
        <w:tabs>
          <w:tab w:val="num" w:pos="3360"/>
        </w:tabs>
        <w:ind w:left="3360" w:hanging="360"/>
      </w:pPr>
      <w:rPr>
        <w:rFonts w:ascii="Symbol" w:hAnsi="Symbol" w:hint="default"/>
      </w:rPr>
    </w:lvl>
    <w:lvl w:ilvl="4" w:tplc="040E0003" w:tentative="1">
      <w:start w:val="1"/>
      <w:numFmt w:val="bullet"/>
      <w:lvlText w:val="o"/>
      <w:lvlJc w:val="left"/>
      <w:pPr>
        <w:tabs>
          <w:tab w:val="num" w:pos="4080"/>
        </w:tabs>
        <w:ind w:left="4080" w:hanging="360"/>
      </w:pPr>
      <w:rPr>
        <w:rFonts w:ascii="Courier New" w:hAnsi="Courier New" w:hint="default"/>
      </w:rPr>
    </w:lvl>
    <w:lvl w:ilvl="5" w:tplc="040E0005" w:tentative="1">
      <w:start w:val="1"/>
      <w:numFmt w:val="bullet"/>
      <w:lvlText w:val=""/>
      <w:lvlJc w:val="left"/>
      <w:pPr>
        <w:tabs>
          <w:tab w:val="num" w:pos="4800"/>
        </w:tabs>
        <w:ind w:left="4800" w:hanging="360"/>
      </w:pPr>
      <w:rPr>
        <w:rFonts w:ascii="Wingdings" w:hAnsi="Wingdings" w:hint="default"/>
      </w:rPr>
    </w:lvl>
    <w:lvl w:ilvl="6" w:tplc="040E0001" w:tentative="1">
      <w:start w:val="1"/>
      <w:numFmt w:val="bullet"/>
      <w:lvlText w:val=""/>
      <w:lvlJc w:val="left"/>
      <w:pPr>
        <w:tabs>
          <w:tab w:val="num" w:pos="5520"/>
        </w:tabs>
        <w:ind w:left="5520" w:hanging="360"/>
      </w:pPr>
      <w:rPr>
        <w:rFonts w:ascii="Symbol" w:hAnsi="Symbol" w:hint="default"/>
      </w:rPr>
    </w:lvl>
    <w:lvl w:ilvl="7" w:tplc="040E0003" w:tentative="1">
      <w:start w:val="1"/>
      <w:numFmt w:val="bullet"/>
      <w:lvlText w:val="o"/>
      <w:lvlJc w:val="left"/>
      <w:pPr>
        <w:tabs>
          <w:tab w:val="num" w:pos="6240"/>
        </w:tabs>
        <w:ind w:left="6240" w:hanging="360"/>
      </w:pPr>
      <w:rPr>
        <w:rFonts w:ascii="Courier New" w:hAnsi="Courier New" w:hint="default"/>
      </w:rPr>
    </w:lvl>
    <w:lvl w:ilvl="8" w:tplc="040E0005" w:tentative="1">
      <w:start w:val="1"/>
      <w:numFmt w:val="bullet"/>
      <w:lvlText w:val=""/>
      <w:lvlJc w:val="left"/>
      <w:pPr>
        <w:tabs>
          <w:tab w:val="num" w:pos="6960"/>
        </w:tabs>
        <w:ind w:left="6960" w:hanging="360"/>
      </w:pPr>
      <w:rPr>
        <w:rFonts w:ascii="Wingdings" w:hAnsi="Wingdings" w:hint="default"/>
      </w:rPr>
    </w:lvl>
  </w:abstractNum>
  <w:abstractNum w:abstractNumId="28">
    <w:nsid w:val="1A7816E3"/>
    <w:multiLevelType w:val="hybridMultilevel"/>
    <w:tmpl w:val="6B0898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1BF53C4B"/>
    <w:multiLevelType w:val="hybridMultilevel"/>
    <w:tmpl w:val="1F881F1E"/>
    <w:lvl w:ilvl="0" w:tplc="FFFFFFFF">
      <w:start w:val="1"/>
      <w:numFmt w:val="bullet"/>
      <w:pStyle w:val="felsorols00"/>
      <w:lvlText w:val=""/>
      <w:lvlJc w:val="left"/>
      <w:pPr>
        <w:tabs>
          <w:tab w:val="num" w:pos="1353"/>
        </w:tabs>
        <w:ind w:left="1353" w:hanging="360"/>
      </w:pPr>
      <w:rPr>
        <w:rFonts w:ascii="Symbol" w:hAnsi="Symbol" w:hint="default"/>
        <w:sz w:val="24"/>
        <w:szCs w:val="24"/>
      </w:rPr>
    </w:lvl>
    <w:lvl w:ilvl="1" w:tplc="FFFFFFFF">
      <w:start w:val="30"/>
      <w:numFmt w:val="bullet"/>
      <w:lvlText w:val="-"/>
      <w:lvlJc w:val="left"/>
      <w:pPr>
        <w:tabs>
          <w:tab w:val="num" w:pos="1788"/>
        </w:tabs>
        <w:ind w:left="1788" w:hanging="360"/>
      </w:pPr>
      <w:rPr>
        <w:rFonts w:ascii="Times New Roman" w:eastAsia="Times New Roman" w:hAnsi="Times New Roman" w:cs="Times New Roman" w:hint="default"/>
        <w:sz w:val="24"/>
        <w:szCs w:val="24"/>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0">
    <w:nsid w:val="1C176102"/>
    <w:multiLevelType w:val="hybridMultilevel"/>
    <w:tmpl w:val="CFDA572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1C4132EE"/>
    <w:multiLevelType w:val="hybridMultilevel"/>
    <w:tmpl w:val="2A240BF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2">
    <w:nsid w:val="1C4C429D"/>
    <w:multiLevelType w:val="hybridMultilevel"/>
    <w:tmpl w:val="7108CEA4"/>
    <w:lvl w:ilvl="0" w:tplc="E1FC00DC">
      <w:start w:val="1"/>
      <w:numFmt w:val="bullet"/>
      <w:lvlText w:val=""/>
      <w:lvlJc w:val="left"/>
      <w:pPr>
        <w:tabs>
          <w:tab w:val="num" w:pos="1520"/>
        </w:tabs>
        <w:ind w:left="1520" w:hanging="360"/>
      </w:pPr>
      <w:rPr>
        <w:rFonts w:ascii="Symbol" w:hAnsi="Symbol" w:hint="default"/>
      </w:rPr>
    </w:lvl>
    <w:lvl w:ilvl="1" w:tplc="040E0019">
      <w:start w:val="1"/>
      <w:numFmt w:val="bullet"/>
      <w:lvlText w:val=""/>
      <w:lvlJc w:val="left"/>
      <w:pPr>
        <w:tabs>
          <w:tab w:val="num" w:pos="1880"/>
        </w:tabs>
        <w:ind w:left="1880" w:hanging="360"/>
      </w:pPr>
      <w:rPr>
        <w:rFonts w:ascii="Symbol" w:hAnsi="Symbol" w:hint="default"/>
      </w:rPr>
    </w:lvl>
    <w:lvl w:ilvl="2" w:tplc="040E001B" w:tentative="1">
      <w:start w:val="1"/>
      <w:numFmt w:val="bullet"/>
      <w:lvlText w:val=""/>
      <w:lvlJc w:val="left"/>
      <w:pPr>
        <w:tabs>
          <w:tab w:val="num" w:pos="2600"/>
        </w:tabs>
        <w:ind w:left="2600" w:hanging="360"/>
      </w:pPr>
      <w:rPr>
        <w:rFonts w:ascii="Wingdings" w:hAnsi="Wingdings" w:hint="default"/>
      </w:rPr>
    </w:lvl>
    <w:lvl w:ilvl="3" w:tplc="040E000F" w:tentative="1">
      <w:start w:val="1"/>
      <w:numFmt w:val="bullet"/>
      <w:lvlText w:val=""/>
      <w:lvlJc w:val="left"/>
      <w:pPr>
        <w:tabs>
          <w:tab w:val="num" w:pos="3320"/>
        </w:tabs>
        <w:ind w:left="3320" w:hanging="360"/>
      </w:pPr>
      <w:rPr>
        <w:rFonts w:ascii="Symbol" w:hAnsi="Symbol" w:hint="default"/>
      </w:rPr>
    </w:lvl>
    <w:lvl w:ilvl="4" w:tplc="040E0019" w:tentative="1">
      <w:start w:val="1"/>
      <w:numFmt w:val="bullet"/>
      <w:lvlText w:val="o"/>
      <w:lvlJc w:val="left"/>
      <w:pPr>
        <w:tabs>
          <w:tab w:val="num" w:pos="4040"/>
        </w:tabs>
        <w:ind w:left="4040" w:hanging="360"/>
      </w:pPr>
      <w:rPr>
        <w:rFonts w:ascii="Courier New" w:hAnsi="Courier New" w:cs="Courier New" w:hint="default"/>
      </w:rPr>
    </w:lvl>
    <w:lvl w:ilvl="5" w:tplc="040E001B" w:tentative="1">
      <w:start w:val="1"/>
      <w:numFmt w:val="bullet"/>
      <w:lvlText w:val=""/>
      <w:lvlJc w:val="left"/>
      <w:pPr>
        <w:tabs>
          <w:tab w:val="num" w:pos="4760"/>
        </w:tabs>
        <w:ind w:left="4760" w:hanging="360"/>
      </w:pPr>
      <w:rPr>
        <w:rFonts w:ascii="Wingdings" w:hAnsi="Wingdings" w:hint="default"/>
      </w:rPr>
    </w:lvl>
    <w:lvl w:ilvl="6" w:tplc="040E000F" w:tentative="1">
      <w:start w:val="1"/>
      <w:numFmt w:val="bullet"/>
      <w:lvlText w:val=""/>
      <w:lvlJc w:val="left"/>
      <w:pPr>
        <w:tabs>
          <w:tab w:val="num" w:pos="5480"/>
        </w:tabs>
        <w:ind w:left="5480" w:hanging="360"/>
      </w:pPr>
      <w:rPr>
        <w:rFonts w:ascii="Symbol" w:hAnsi="Symbol" w:hint="default"/>
      </w:rPr>
    </w:lvl>
    <w:lvl w:ilvl="7" w:tplc="040E0019" w:tentative="1">
      <w:start w:val="1"/>
      <w:numFmt w:val="bullet"/>
      <w:lvlText w:val="o"/>
      <w:lvlJc w:val="left"/>
      <w:pPr>
        <w:tabs>
          <w:tab w:val="num" w:pos="6200"/>
        </w:tabs>
        <w:ind w:left="6200" w:hanging="360"/>
      </w:pPr>
      <w:rPr>
        <w:rFonts w:ascii="Courier New" w:hAnsi="Courier New" w:cs="Courier New" w:hint="default"/>
      </w:rPr>
    </w:lvl>
    <w:lvl w:ilvl="8" w:tplc="040E001B" w:tentative="1">
      <w:start w:val="1"/>
      <w:numFmt w:val="bullet"/>
      <w:lvlText w:val=""/>
      <w:lvlJc w:val="left"/>
      <w:pPr>
        <w:tabs>
          <w:tab w:val="num" w:pos="6920"/>
        </w:tabs>
        <w:ind w:left="6920" w:hanging="360"/>
      </w:pPr>
      <w:rPr>
        <w:rFonts w:ascii="Wingdings" w:hAnsi="Wingdings" w:hint="default"/>
      </w:rPr>
    </w:lvl>
  </w:abstractNum>
  <w:abstractNum w:abstractNumId="33">
    <w:nsid w:val="1EE16666"/>
    <w:multiLevelType w:val="hybridMultilevel"/>
    <w:tmpl w:val="49BADE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24760DD8"/>
    <w:multiLevelType w:val="hybridMultilevel"/>
    <w:tmpl w:val="21702C22"/>
    <w:lvl w:ilvl="0" w:tplc="57B2A04C">
      <w:start w:val="1"/>
      <w:numFmt w:val="upperRoman"/>
      <w:lvlText w:val="%1."/>
      <w:lvlJc w:val="left"/>
      <w:pPr>
        <w:ind w:left="765" w:hanging="720"/>
      </w:pPr>
      <w:rPr>
        <w:rFonts w:hint="default"/>
        <w:b/>
        <w:i/>
        <w:sz w:val="24"/>
      </w:rPr>
    </w:lvl>
    <w:lvl w:ilvl="1" w:tplc="040E0019" w:tentative="1">
      <w:start w:val="1"/>
      <w:numFmt w:val="lowerLetter"/>
      <w:lvlText w:val="%2."/>
      <w:lvlJc w:val="left"/>
      <w:pPr>
        <w:ind w:left="1125" w:hanging="360"/>
      </w:pPr>
    </w:lvl>
    <w:lvl w:ilvl="2" w:tplc="040E001B" w:tentative="1">
      <w:start w:val="1"/>
      <w:numFmt w:val="lowerRoman"/>
      <w:lvlText w:val="%3."/>
      <w:lvlJc w:val="right"/>
      <w:pPr>
        <w:ind w:left="1845" w:hanging="180"/>
      </w:pPr>
    </w:lvl>
    <w:lvl w:ilvl="3" w:tplc="040E000F" w:tentative="1">
      <w:start w:val="1"/>
      <w:numFmt w:val="decimal"/>
      <w:lvlText w:val="%4."/>
      <w:lvlJc w:val="left"/>
      <w:pPr>
        <w:ind w:left="2565" w:hanging="360"/>
      </w:pPr>
    </w:lvl>
    <w:lvl w:ilvl="4" w:tplc="040E0019" w:tentative="1">
      <w:start w:val="1"/>
      <w:numFmt w:val="lowerLetter"/>
      <w:lvlText w:val="%5."/>
      <w:lvlJc w:val="left"/>
      <w:pPr>
        <w:ind w:left="3285" w:hanging="360"/>
      </w:pPr>
    </w:lvl>
    <w:lvl w:ilvl="5" w:tplc="040E001B" w:tentative="1">
      <w:start w:val="1"/>
      <w:numFmt w:val="lowerRoman"/>
      <w:lvlText w:val="%6."/>
      <w:lvlJc w:val="right"/>
      <w:pPr>
        <w:ind w:left="4005" w:hanging="180"/>
      </w:pPr>
    </w:lvl>
    <w:lvl w:ilvl="6" w:tplc="040E000F" w:tentative="1">
      <w:start w:val="1"/>
      <w:numFmt w:val="decimal"/>
      <w:lvlText w:val="%7."/>
      <w:lvlJc w:val="left"/>
      <w:pPr>
        <w:ind w:left="4725" w:hanging="360"/>
      </w:pPr>
    </w:lvl>
    <w:lvl w:ilvl="7" w:tplc="040E0019" w:tentative="1">
      <w:start w:val="1"/>
      <w:numFmt w:val="lowerLetter"/>
      <w:lvlText w:val="%8."/>
      <w:lvlJc w:val="left"/>
      <w:pPr>
        <w:ind w:left="5445" w:hanging="360"/>
      </w:pPr>
    </w:lvl>
    <w:lvl w:ilvl="8" w:tplc="040E001B" w:tentative="1">
      <w:start w:val="1"/>
      <w:numFmt w:val="lowerRoman"/>
      <w:lvlText w:val="%9."/>
      <w:lvlJc w:val="right"/>
      <w:pPr>
        <w:ind w:left="6165" w:hanging="180"/>
      </w:pPr>
    </w:lvl>
  </w:abstractNum>
  <w:abstractNum w:abstractNumId="35">
    <w:nsid w:val="26960423"/>
    <w:multiLevelType w:val="hybridMultilevel"/>
    <w:tmpl w:val="DB0A9972"/>
    <w:lvl w:ilvl="0" w:tplc="08090003">
      <w:start w:val="1"/>
      <w:numFmt w:val="decimal"/>
      <w:pStyle w:val="Tbraszmjobbra"/>
      <w:lvlText w:val="%1."/>
      <w:lvlJc w:val="left"/>
      <w:pPr>
        <w:tabs>
          <w:tab w:val="num" w:pos="1800"/>
        </w:tabs>
        <w:ind w:left="1800" w:hanging="360"/>
      </w:pPr>
    </w:lvl>
    <w:lvl w:ilvl="1" w:tplc="40161DD2" w:tentative="1">
      <w:start w:val="1"/>
      <w:numFmt w:val="lowerLetter"/>
      <w:lvlText w:val="%2."/>
      <w:lvlJc w:val="left"/>
      <w:pPr>
        <w:tabs>
          <w:tab w:val="num" w:pos="2160"/>
        </w:tabs>
        <w:ind w:left="2160" w:hanging="360"/>
      </w:pPr>
    </w:lvl>
    <w:lvl w:ilvl="2" w:tplc="2B0E3166"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6">
    <w:nsid w:val="26B930C2"/>
    <w:multiLevelType w:val="hybridMultilevel"/>
    <w:tmpl w:val="313E82A0"/>
    <w:lvl w:ilvl="0" w:tplc="040E0003">
      <w:start w:val="30"/>
      <w:numFmt w:val="bullet"/>
      <w:pStyle w:val="Sajtfelsorols"/>
      <w:lvlText w:val="-"/>
      <w:lvlJc w:val="left"/>
      <w:pPr>
        <w:tabs>
          <w:tab w:val="num" w:pos="720"/>
        </w:tabs>
        <w:ind w:left="720" w:hanging="360"/>
      </w:pPr>
      <w:rPr>
        <w:rFonts w:ascii="Times New Roman" w:eastAsia="Times New Roman" w:hAnsi="Times New Roman" w:cs="Times New Roman" w:hint="default"/>
        <w:sz w:val="24"/>
        <w:szCs w:val="24"/>
      </w:rPr>
    </w:lvl>
    <w:lvl w:ilvl="1" w:tplc="040E0003">
      <w:start w:val="30"/>
      <w:numFmt w:val="bullet"/>
      <w:lvlText w:val="-"/>
      <w:lvlJc w:val="left"/>
      <w:pPr>
        <w:tabs>
          <w:tab w:val="num" w:pos="1788"/>
        </w:tabs>
        <w:ind w:left="1788" w:hanging="360"/>
      </w:pPr>
      <w:rPr>
        <w:rFonts w:ascii="Times New Roman" w:eastAsia="Times New Roman" w:hAnsi="Times New Roman" w:cs="Times New Roman" w:hint="default"/>
        <w:sz w:val="24"/>
        <w:szCs w:val="24"/>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37">
    <w:nsid w:val="27DC5CD0"/>
    <w:multiLevelType w:val="hybridMultilevel"/>
    <w:tmpl w:val="95AEB66C"/>
    <w:lvl w:ilvl="0" w:tplc="63066C6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27F05A11"/>
    <w:multiLevelType w:val="multilevel"/>
    <w:tmpl w:val="040E0023"/>
    <w:styleLink w:val="Cikkelyrsz"/>
    <w:lvl w:ilvl="0">
      <w:start w:val="1"/>
      <w:numFmt w:val="upperRoman"/>
      <w:lvlText w:val="%1. cikkely"/>
      <w:lvlJc w:val="left"/>
      <w:pPr>
        <w:tabs>
          <w:tab w:val="num" w:pos="1440"/>
        </w:tabs>
        <w:ind w:left="0" w:firstLine="0"/>
      </w:pPr>
    </w:lvl>
    <w:lvl w:ilvl="1">
      <w:start w:val="1"/>
      <w:numFmt w:val="decimalZero"/>
      <w:isLgl/>
      <w:lvlText w:val="%1.%2. szakasz "/>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2B411689"/>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30D92485"/>
    <w:multiLevelType w:val="multilevel"/>
    <w:tmpl w:val="040E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326B0184"/>
    <w:multiLevelType w:val="singleLevel"/>
    <w:tmpl w:val="54C447A2"/>
    <w:lvl w:ilvl="0">
      <w:start w:val="1"/>
      <w:numFmt w:val="bullet"/>
      <w:pStyle w:val="Felsorols1"/>
      <w:lvlText w:val=""/>
      <w:lvlJc w:val="left"/>
      <w:pPr>
        <w:tabs>
          <w:tab w:val="num" w:pos="1097"/>
        </w:tabs>
        <w:ind w:left="964" w:hanging="227"/>
      </w:pPr>
      <w:rPr>
        <w:rFonts w:ascii="Symbol" w:hAnsi="Symbol" w:hint="default"/>
        <w:sz w:val="16"/>
      </w:rPr>
    </w:lvl>
  </w:abstractNum>
  <w:abstractNum w:abstractNumId="42">
    <w:nsid w:val="333D5D46"/>
    <w:multiLevelType w:val="hybridMultilevel"/>
    <w:tmpl w:val="34120830"/>
    <w:lvl w:ilvl="0" w:tplc="040E000F">
      <w:start w:val="1"/>
      <w:numFmt w:val="decimal"/>
      <w:pStyle w:val="brasorszma"/>
      <w:lvlText w:val="%1."/>
      <w:lvlJc w:val="left"/>
      <w:pPr>
        <w:tabs>
          <w:tab w:val="num" w:pos="1065"/>
        </w:tabs>
        <w:ind w:left="1065" w:hanging="705"/>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nsid w:val="34293F3F"/>
    <w:multiLevelType w:val="singleLevel"/>
    <w:tmpl w:val="B074E4EC"/>
    <w:lvl w:ilvl="0">
      <w:start w:val="1"/>
      <w:numFmt w:val="bullet"/>
      <w:lvlText w:val="–"/>
      <w:lvlJc w:val="left"/>
      <w:pPr>
        <w:tabs>
          <w:tab w:val="num" w:pos="283"/>
        </w:tabs>
        <w:ind w:left="283" w:hanging="283"/>
      </w:pPr>
      <w:rPr>
        <w:rFonts w:ascii="Times New Roman" w:hAnsi="Times New Roman"/>
      </w:rPr>
    </w:lvl>
  </w:abstractNum>
  <w:abstractNum w:abstractNumId="44">
    <w:nsid w:val="3700372C"/>
    <w:multiLevelType w:val="hybridMultilevel"/>
    <w:tmpl w:val="4EEE8D1E"/>
    <w:lvl w:ilvl="0" w:tplc="810C1626">
      <w:start w:val="1"/>
      <w:numFmt w:val="decimal"/>
      <w:lvlText w:val="%1."/>
      <w:lvlJc w:val="left"/>
      <w:pPr>
        <w:tabs>
          <w:tab w:val="num" w:pos="1080"/>
        </w:tabs>
        <w:ind w:left="1080" w:hanging="360"/>
      </w:pPr>
    </w:lvl>
    <w:lvl w:ilvl="1" w:tplc="040E0019">
      <w:start w:val="1"/>
      <w:numFmt w:val="bullet"/>
      <w:lvlText w:val=""/>
      <w:lvlJc w:val="left"/>
      <w:pPr>
        <w:tabs>
          <w:tab w:val="num" w:pos="1800"/>
        </w:tabs>
        <w:ind w:left="1800" w:hanging="360"/>
      </w:pPr>
      <w:rPr>
        <w:rFonts w:ascii="Symbol" w:hAnsi="Symbol"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45">
    <w:nsid w:val="393D09DC"/>
    <w:multiLevelType w:val="hybridMultilevel"/>
    <w:tmpl w:val="DB389A32"/>
    <w:lvl w:ilvl="0" w:tplc="180611BC">
      <w:start w:val="1"/>
      <w:numFmt w:val="decimal"/>
      <w:pStyle w:val="Kpalrs"/>
      <w:lvlText w:val="%1."/>
      <w:lvlJc w:val="center"/>
      <w:pPr>
        <w:ind w:left="9380" w:hanging="360"/>
      </w:pPr>
      <w:rPr>
        <w:rFonts w:hint="default"/>
      </w:rPr>
    </w:lvl>
    <w:lvl w:ilvl="1" w:tplc="6DD62032"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46">
    <w:nsid w:val="39465F6F"/>
    <w:multiLevelType w:val="hybridMultilevel"/>
    <w:tmpl w:val="29981B88"/>
    <w:lvl w:ilvl="0" w:tplc="040E000F">
      <w:start w:val="1"/>
      <w:numFmt w:val="bullet"/>
      <w:lvlText w:val=""/>
      <w:lvlJc w:val="left"/>
      <w:pPr>
        <w:tabs>
          <w:tab w:val="num" w:pos="720"/>
        </w:tabs>
        <w:ind w:left="720" w:hanging="360"/>
      </w:pPr>
      <w:rPr>
        <w:rFonts w:ascii="Wingdings" w:hAnsi="Wingding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47">
    <w:nsid w:val="3F4153F8"/>
    <w:multiLevelType w:val="multilevel"/>
    <w:tmpl w:val="184C5D9C"/>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42C243C2"/>
    <w:multiLevelType w:val="multilevel"/>
    <w:tmpl w:val="00000007"/>
    <w:styleLink w:val="StlusFelsorols11pt"/>
    <w:lvl w:ilvl="0">
      <w:start w:val="167"/>
      <w:numFmt w:val="bullet"/>
      <w:lvlText w:val="–"/>
      <w:lvlJc w:val="left"/>
      <w:pPr>
        <w:tabs>
          <w:tab w:val="num" w:pos="1440"/>
        </w:tabs>
        <w:ind w:left="1440" w:hanging="360"/>
      </w:pPr>
      <w:rPr>
        <w:kern w:val="1"/>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42E21F35"/>
    <w:multiLevelType w:val="hybridMultilevel"/>
    <w:tmpl w:val="CE866E3E"/>
    <w:lvl w:ilvl="0" w:tplc="040E000F">
      <w:start w:val="1"/>
      <w:numFmt w:val="decimal"/>
      <w:pStyle w:val="TblzatcmSZMJobbrazrtUtna0pt"/>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0">
    <w:nsid w:val="45F57EE5"/>
    <w:multiLevelType w:val="hybridMultilevel"/>
    <w:tmpl w:val="EA5EC4C2"/>
    <w:lvl w:ilvl="0" w:tplc="040E0001">
      <w:start w:val="1"/>
      <w:numFmt w:val="bullet"/>
      <w:lvlText w:val=""/>
      <w:lvlJc w:val="left"/>
      <w:pPr>
        <w:ind w:left="0" w:hanging="360"/>
      </w:pPr>
      <w:rPr>
        <w:rFonts w:ascii="Symbol" w:hAnsi="Symbol" w:hint="default"/>
      </w:rPr>
    </w:lvl>
    <w:lvl w:ilvl="1" w:tplc="040E0003">
      <w:start w:val="1"/>
      <w:numFmt w:val="bullet"/>
      <w:lvlText w:val="o"/>
      <w:lvlJc w:val="left"/>
      <w:pPr>
        <w:ind w:left="720" w:hanging="360"/>
      </w:pPr>
      <w:rPr>
        <w:rFonts w:ascii="Courier New" w:hAnsi="Courier New" w:cs="Courier New" w:hint="default"/>
      </w:rPr>
    </w:lvl>
    <w:lvl w:ilvl="2" w:tplc="040E0005" w:tentative="1">
      <w:start w:val="1"/>
      <w:numFmt w:val="bullet"/>
      <w:lvlText w:val=""/>
      <w:lvlJc w:val="left"/>
      <w:pPr>
        <w:ind w:left="1440" w:hanging="360"/>
      </w:pPr>
      <w:rPr>
        <w:rFonts w:ascii="Wingdings" w:hAnsi="Wingdings" w:hint="default"/>
      </w:rPr>
    </w:lvl>
    <w:lvl w:ilvl="3" w:tplc="040E0001" w:tentative="1">
      <w:start w:val="1"/>
      <w:numFmt w:val="bullet"/>
      <w:lvlText w:val=""/>
      <w:lvlJc w:val="left"/>
      <w:pPr>
        <w:ind w:left="2160" w:hanging="360"/>
      </w:pPr>
      <w:rPr>
        <w:rFonts w:ascii="Symbol" w:hAnsi="Symbol" w:hint="default"/>
      </w:rPr>
    </w:lvl>
    <w:lvl w:ilvl="4" w:tplc="040E0003" w:tentative="1">
      <w:start w:val="1"/>
      <w:numFmt w:val="bullet"/>
      <w:lvlText w:val="o"/>
      <w:lvlJc w:val="left"/>
      <w:pPr>
        <w:ind w:left="2880" w:hanging="360"/>
      </w:pPr>
      <w:rPr>
        <w:rFonts w:ascii="Courier New" w:hAnsi="Courier New" w:cs="Courier New" w:hint="default"/>
      </w:rPr>
    </w:lvl>
    <w:lvl w:ilvl="5" w:tplc="040E0005" w:tentative="1">
      <w:start w:val="1"/>
      <w:numFmt w:val="bullet"/>
      <w:lvlText w:val=""/>
      <w:lvlJc w:val="left"/>
      <w:pPr>
        <w:ind w:left="3600" w:hanging="360"/>
      </w:pPr>
      <w:rPr>
        <w:rFonts w:ascii="Wingdings" w:hAnsi="Wingdings" w:hint="default"/>
      </w:rPr>
    </w:lvl>
    <w:lvl w:ilvl="6" w:tplc="040E0001" w:tentative="1">
      <w:start w:val="1"/>
      <w:numFmt w:val="bullet"/>
      <w:lvlText w:val=""/>
      <w:lvlJc w:val="left"/>
      <w:pPr>
        <w:ind w:left="4320" w:hanging="360"/>
      </w:pPr>
      <w:rPr>
        <w:rFonts w:ascii="Symbol" w:hAnsi="Symbol" w:hint="default"/>
      </w:rPr>
    </w:lvl>
    <w:lvl w:ilvl="7" w:tplc="040E0003" w:tentative="1">
      <w:start w:val="1"/>
      <w:numFmt w:val="bullet"/>
      <w:lvlText w:val="o"/>
      <w:lvlJc w:val="left"/>
      <w:pPr>
        <w:ind w:left="5040" w:hanging="360"/>
      </w:pPr>
      <w:rPr>
        <w:rFonts w:ascii="Courier New" w:hAnsi="Courier New" w:cs="Courier New" w:hint="default"/>
      </w:rPr>
    </w:lvl>
    <w:lvl w:ilvl="8" w:tplc="040E0005" w:tentative="1">
      <w:start w:val="1"/>
      <w:numFmt w:val="bullet"/>
      <w:lvlText w:val=""/>
      <w:lvlJc w:val="left"/>
      <w:pPr>
        <w:ind w:left="5760" w:hanging="360"/>
      </w:pPr>
      <w:rPr>
        <w:rFonts w:ascii="Wingdings" w:hAnsi="Wingdings" w:hint="default"/>
      </w:rPr>
    </w:lvl>
  </w:abstractNum>
  <w:abstractNum w:abstractNumId="51">
    <w:nsid w:val="472F29D2"/>
    <w:multiLevelType w:val="hybridMultilevel"/>
    <w:tmpl w:val="12523A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48941FC8"/>
    <w:multiLevelType w:val="hybridMultilevel"/>
    <w:tmpl w:val="CC7A15D2"/>
    <w:lvl w:ilvl="0" w:tplc="0984766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3">
    <w:nsid w:val="4B623DF3"/>
    <w:multiLevelType w:val="hybridMultilevel"/>
    <w:tmpl w:val="6C3CC00A"/>
    <w:lvl w:ilvl="0" w:tplc="040E000F">
      <w:start w:val="1"/>
      <w:numFmt w:val="decimal"/>
      <w:lvlText w:val="%1."/>
      <w:lvlJc w:val="left"/>
      <w:pPr>
        <w:tabs>
          <w:tab w:val="num" w:pos="360"/>
        </w:tabs>
        <w:ind w:left="360" w:hanging="360"/>
      </w:pPr>
      <w:rPr>
        <w:rFonts w:hint="default"/>
      </w:rPr>
    </w:lvl>
    <w:lvl w:ilvl="1" w:tplc="040E0019">
      <w:numFmt w:val="bullet"/>
      <w:lvlText w:val="-"/>
      <w:lvlJc w:val="left"/>
      <w:pPr>
        <w:tabs>
          <w:tab w:val="num" w:pos="1080"/>
        </w:tabs>
        <w:ind w:left="1080" w:hanging="360"/>
      </w:pPr>
      <w:rPr>
        <w:rFonts w:ascii="Times New Roman" w:eastAsia="Times New Roman" w:hAnsi="Times New Roman" w:cs="Times New Roman" w:hint="default"/>
      </w:rPr>
    </w:lvl>
    <w:lvl w:ilvl="2" w:tplc="040E001B" w:tentative="1">
      <w:start w:val="1"/>
      <w:numFmt w:val="bullet"/>
      <w:lvlText w:val=""/>
      <w:lvlJc w:val="left"/>
      <w:pPr>
        <w:tabs>
          <w:tab w:val="num" w:pos="1800"/>
        </w:tabs>
        <w:ind w:left="1800" w:hanging="360"/>
      </w:pPr>
      <w:rPr>
        <w:rFonts w:ascii="Wingdings" w:hAnsi="Wingdings" w:hint="default"/>
      </w:rPr>
    </w:lvl>
    <w:lvl w:ilvl="3" w:tplc="040E000F" w:tentative="1">
      <w:start w:val="1"/>
      <w:numFmt w:val="bullet"/>
      <w:lvlText w:val=""/>
      <w:lvlJc w:val="left"/>
      <w:pPr>
        <w:tabs>
          <w:tab w:val="num" w:pos="2520"/>
        </w:tabs>
        <w:ind w:left="2520" w:hanging="360"/>
      </w:pPr>
      <w:rPr>
        <w:rFonts w:ascii="Symbol" w:hAnsi="Symbol" w:hint="default"/>
      </w:rPr>
    </w:lvl>
    <w:lvl w:ilvl="4" w:tplc="040E0019" w:tentative="1">
      <w:start w:val="1"/>
      <w:numFmt w:val="bullet"/>
      <w:lvlText w:val="o"/>
      <w:lvlJc w:val="left"/>
      <w:pPr>
        <w:tabs>
          <w:tab w:val="num" w:pos="3240"/>
        </w:tabs>
        <w:ind w:left="3240" w:hanging="360"/>
      </w:pPr>
      <w:rPr>
        <w:rFonts w:ascii="Courier New" w:hAnsi="Courier New" w:cs="Courier New" w:hint="default"/>
      </w:rPr>
    </w:lvl>
    <w:lvl w:ilvl="5" w:tplc="040E001B" w:tentative="1">
      <w:start w:val="1"/>
      <w:numFmt w:val="bullet"/>
      <w:lvlText w:val=""/>
      <w:lvlJc w:val="left"/>
      <w:pPr>
        <w:tabs>
          <w:tab w:val="num" w:pos="3960"/>
        </w:tabs>
        <w:ind w:left="3960" w:hanging="360"/>
      </w:pPr>
      <w:rPr>
        <w:rFonts w:ascii="Wingdings" w:hAnsi="Wingdings" w:hint="default"/>
      </w:rPr>
    </w:lvl>
    <w:lvl w:ilvl="6" w:tplc="040E000F" w:tentative="1">
      <w:start w:val="1"/>
      <w:numFmt w:val="bullet"/>
      <w:lvlText w:val=""/>
      <w:lvlJc w:val="left"/>
      <w:pPr>
        <w:tabs>
          <w:tab w:val="num" w:pos="4680"/>
        </w:tabs>
        <w:ind w:left="4680" w:hanging="360"/>
      </w:pPr>
      <w:rPr>
        <w:rFonts w:ascii="Symbol" w:hAnsi="Symbol" w:hint="default"/>
      </w:rPr>
    </w:lvl>
    <w:lvl w:ilvl="7" w:tplc="040E0019" w:tentative="1">
      <w:start w:val="1"/>
      <w:numFmt w:val="bullet"/>
      <w:lvlText w:val="o"/>
      <w:lvlJc w:val="left"/>
      <w:pPr>
        <w:tabs>
          <w:tab w:val="num" w:pos="5400"/>
        </w:tabs>
        <w:ind w:left="5400" w:hanging="360"/>
      </w:pPr>
      <w:rPr>
        <w:rFonts w:ascii="Courier New" w:hAnsi="Courier New" w:cs="Courier New" w:hint="default"/>
      </w:rPr>
    </w:lvl>
    <w:lvl w:ilvl="8" w:tplc="040E001B" w:tentative="1">
      <w:start w:val="1"/>
      <w:numFmt w:val="bullet"/>
      <w:lvlText w:val=""/>
      <w:lvlJc w:val="left"/>
      <w:pPr>
        <w:tabs>
          <w:tab w:val="num" w:pos="6120"/>
        </w:tabs>
        <w:ind w:left="6120" w:hanging="360"/>
      </w:pPr>
      <w:rPr>
        <w:rFonts w:ascii="Wingdings" w:hAnsi="Wingdings" w:hint="default"/>
      </w:rPr>
    </w:lvl>
  </w:abstractNum>
  <w:abstractNum w:abstractNumId="54">
    <w:nsid w:val="50254EA5"/>
    <w:multiLevelType w:val="hybridMultilevel"/>
    <w:tmpl w:val="B6B4AC2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nsid w:val="522E67A0"/>
    <w:multiLevelType w:val="hybridMultilevel"/>
    <w:tmpl w:val="63B214C0"/>
    <w:lvl w:ilvl="0" w:tplc="6E366E7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nsid w:val="5265401F"/>
    <w:multiLevelType w:val="hybridMultilevel"/>
    <w:tmpl w:val="B4A6D078"/>
    <w:lvl w:ilvl="0" w:tplc="040E000B">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
    <w:nsid w:val="57DC66D1"/>
    <w:multiLevelType w:val="hybridMultilevel"/>
    <w:tmpl w:val="E6C2336C"/>
    <w:lvl w:ilvl="0" w:tplc="F016141C">
      <w:start w:val="2012"/>
      <w:numFmt w:val="bullet"/>
      <w:lvlText w:val="•"/>
      <w:lvlJc w:val="left"/>
      <w:pPr>
        <w:ind w:left="1069" w:hanging="360"/>
      </w:pPr>
      <w:rPr>
        <w:rFonts w:ascii="Times New Roman" w:eastAsia="Lucida Sans Unicode"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58">
    <w:nsid w:val="5B0E7669"/>
    <w:multiLevelType w:val="hybridMultilevel"/>
    <w:tmpl w:val="AF5CDA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5B3666BC"/>
    <w:multiLevelType w:val="hybridMultilevel"/>
    <w:tmpl w:val="5DCCBDA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0">
    <w:nsid w:val="5F0D4CA9"/>
    <w:multiLevelType w:val="hybridMultilevel"/>
    <w:tmpl w:val="453A480E"/>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nsid w:val="5FED401C"/>
    <w:multiLevelType w:val="hybridMultilevel"/>
    <w:tmpl w:val="FA50958C"/>
    <w:lvl w:ilvl="0" w:tplc="9E802290">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2">
    <w:nsid w:val="60557340"/>
    <w:multiLevelType w:val="hybridMultilevel"/>
    <w:tmpl w:val="78BAE7A4"/>
    <w:name w:val="WW8Num722"/>
    <w:lvl w:ilvl="0" w:tplc="4C28314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61DC7F3E"/>
    <w:multiLevelType w:val="hybridMultilevel"/>
    <w:tmpl w:val="A0148F2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64D91BD4"/>
    <w:multiLevelType w:val="hybridMultilevel"/>
    <w:tmpl w:val="5E50C0F8"/>
    <w:lvl w:ilvl="0" w:tplc="040E0005">
      <w:start w:val="1"/>
      <w:numFmt w:val="bullet"/>
      <w:pStyle w:val="j-felsorols1"/>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nsid w:val="65703B28"/>
    <w:multiLevelType w:val="hybridMultilevel"/>
    <w:tmpl w:val="5F4445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nsid w:val="66551D4B"/>
    <w:multiLevelType w:val="hybridMultilevel"/>
    <w:tmpl w:val="DBEA36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nsid w:val="68B94AFC"/>
    <w:multiLevelType w:val="hybridMultilevel"/>
    <w:tmpl w:val="0F8A654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nsid w:val="69A3554B"/>
    <w:multiLevelType w:val="hybridMultilevel"/>
    <w:tmpl w:val="5CD24FCE"/>
    <w:lvl w:ilvl="0" w:tplc="040E000F">
      <w:start w:val="1"/>
      <w:numFmt w:val="decimal"/>
      <w:lvlText w:val="%1."/>
      <w:lvlJc w:val="left"/>
      <w:pPr>
        <w:tabs>
          <w:tab w:val="num" w:pos="720"/>
        </w:tabs>
        <w:ind w:left="720" w:hanging="360"/>
      </w:pPr>
      <w:rPr>
        <w:rFonts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69">
    <w:nsid w:val="6B04458B"/>
    <w:multiLevelType w:val="hybridMultilevel"/>
    <w:tmpl w:val="6EA2DE4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0">
    <w:nsid w:val="6B347CCB"/>
    <w:multiLevelType w:val="hybridMultilevel"/>
    <w:tmpl w:val="CC7A15D2"/>
    <w:lvl w:ilvl="0" w:tplc="0984766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1">
    <w:nsid w:val="6CE141CE"/>
    <w:multiLevelType w:val="hybridMultilevel"/>
    <w:tmpl w:val="9F725F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6CF36E67"/>
    <w:multiLevelType w:val="multilevel"/>
    <w:tmpl w:val="4D0C1976"/>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6D047C82"/>
    <w:multiLevelType w:val="hybridMultilevel"/>
    <w:tmpl w:val="CB9EFC7E"/>
    <w:lvl w:ilvl="0" w:tplc="00B09C44">
      <w:start w:val="1"/>
      <w:numFmt w:val="decimal"/>
      <w:lvlText w:val="%1."/>
      <w:lvlJc w:val="left"/>
      <w:pPr>
        <w:tabs>
          <w:tab w:val="num" w:pos="720"/>
        </w:tabs>
        <w:ind w:left="720" w:hanging="360"/>
      </w:p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74">
    <w:nsid w:val="6EC007CD"/>
    <w:multiLevelType w:val="hybridMultilevel"/>
    <w:tmpl w:val="0ADAC4AE"/>
    <w:lvl w:ilvl="0" w:tplc="6C5C5EFE">
      <w:start w:val="1"/>
      <w:numFmt w:val="bullet"/>
      <w:lvlText w:val=""/>
      <w:lvlJc w:val="left"/>
      <w:pPr>
        <w:tabs>
          <w:tab w:val="num" w:pos="792"/>
        </w:tabs>
        <w:ind w:left="792"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nsid w:val="6F2B1F9C"/>
    <w:multiLevelType w:val="hybridMultilevel"/>
    <w:tmpl w:val="88F48162"/>
    <w:lvl w:ilvl="0" w:tplc="06286E16">
      <w:numFmt w:val="bullet"/>
      <w:lvlText w:val="-"/>
      <w:lvlJc w:val="left"/>
      <w:pPr>
        <w:tabs>
          <w:tab w:val="num" w:pos="510"/>
        </w:tabs>
        <w:ind w:left="510" w:hanging="360"/>
      </w:pPr>
      <w:rPr>
        <w:rFonts w:ascii="EKKNNH+TimesNewRoman" w:eastAsia="SimSun" w:hAnsi="EKKNNH+TimesNewRoman" w:cs="EKKNNH+TimesNewRoman" w:hint="default"/>
      </w:rPr>
    </w:lvl>
    <w:lvl w:ilvl="1" w:tplc="040E0019" w:tentative="1">
      <w:start w:val="1"/>
      <w:numFmt w:val="bullet"/>
      <w:lvlText w:val="o"/>
      <w:lvlJc w:val="left"/>
      <w:pPr>
        <w:tabs>
          <w:tab w:val="num" w:pos="1230"/>
        </w:tabs>
        <w:ind w:left="1230" w:hanging="360"/>
      </w:pPr>
      <w:rPr>
        <w:rFonts w:ascii="Courier New" w:hAnsi="Courier New" w:cs="Courier New" w:hint="default"/>
      </w:rPr>
    </w:lvl>
    <w:lvl w:ilvl="2" w:tplc="040E001B" w:tentative="1">
      <w:start w:val="1"/>
      <w:numFmt w:val="bullet"/>
      <w:lvlText w:val=""/>
      <w:lvlJc w:val="left"/>
      <w:pPr>
        <w:tabs>
          <w:tab w:val="num" w:pos="1950"/>
        </w:tabs>
        <w:ind w:left="1950" w:hanging="360"/>
      </w:pPr>
      <w:rPr>
        <w:rFonts w:ascii="Wingdings" w:hAnsi="Wingdings" w:hint="default"/>
      </w:rPr>
    </w:lvl>
    <w:lvl w:ilvl="3" w:tplc="040E000F" w:tentative="1">
      <w:start w:val="1"/>
      <w:numFmt w:val="bullet"/>
      <w:lvlText w:val=""/>
      <w:lvlJc w:val="left"/>
      <w:pPr>
        <w:tabs>
          <w:tab w:val="num" w:pos="2670"/>
        </w:tabs>
        <w:ind w:left="2670" w:hanging="360"/>
      </w:pPr>
      <w:rPr>
        <w:rFonts w:ascii="Symbol" w:hAnsi="Symbol" w:hint="default"/>
      </w:rPr>
    </w:lvl>
    <w:lvl w:ilvl="4" w:tplc="040E0019" w:tentative="1">
      <w:start w:val="1"/>
      <w:numFmt w:val="bullet"/>
      <w:lvlText w:val="o"/>
      <w:lvlJc w:val="left"/>
      <w:pPr>
        <w:tabs>
          <w:tab w:val="num" w:pos="3390"/>
        </w:tabs>
        <w:ind w:left="3390" w:hanging="360"/>
      </w:pPr>
      <w:rPr>
        <w:rFonts w:ascii="Courier New" w:hAnsi="Courier New" w:cs="Courier New" w:hint="default"/>
      </w:rPr>
    </w:lvl>
    <w:lvl w:ilvl="5" w:tplc="040E001B" w:tentative="1">
      <w:start w:val="1"/>
      <w:numFmt w:val="bullet"/>
      <w:lvlText w:val=""/>
      <w:lvlJc w:val="left"/>
      <w:pPr>
        <w:tabs>
          <w:tab w:val="num" w:pos="4110"/>
        </w:tabs>
        <w:ind w:left="4110" w:hanging="360"/>
      </w:pPr>
      <w:rPr>
        <w:rFonts w:ascii="Wingdings" w:hAnsi="Wingdings" w:hint="default"/>
      </w:rPr>
    </w:lvl>
    <w:lvl w:ilvl="6" w:tplc="040E000F" w:tentative="1">
      <w:start w:val="1"/>
      <w:numFmt w:val="bullet"/>
      <w:lvlText w:val=""/>
      <w:lvlJc w:val="left"/>
      <w:pPr>
        <w:tabs>
          <w:tab w:val="num" w:pos="4830"/>
        </w:tabs>
        <w:ind w:left="4830" w:hanging="360"/>
      </w:pPr>
      <w:rPr>
        <w:rFonts w:ascii="Symbol" w:hAnsi="Symbol" w:hint="default"/>
      </w:rPr>
    </w:lvl>
    <w:lvl w:ilvl="7" w:tplc="040E0019" w:tentative="1">
      <w:start w:val="1"/>
      <w:numFmt w:val="bullet"/>
      <w:lvlText w:val="o"/>
      <w:lvlJc w:val="left"/>
      <w:pPr>
        <w:tabs>
          <w:tab w:val="num" w:pos="5550"/>
        </w:tabs>
        <w:ind w:left="5550" w:hanging="360"/>
      </w:pPr>
      <w:rPr>
        <w:rFonts w:ascii="Courier New" w:hAnsi="Courier New" w:cs="Courier New" w:hint="default"/>
      </w:rPr>
    </w:lvl>
    <w:lvl w:ilvl="8" w:tplc="040E001B" w:tentative="1">
      <w:start w:val="1"/>
      <w:numFmt w:val="bullet"/>
      <w:lvlText w:val=""/>
      <w:lvlJc w:val="left"/>
      <w:pPr>
        <w:tabs>
          <w:tab w:val="num" w:pos="6270"/>
        </w:tabs>
        <w:ind w:left="6270" w:hanging="360"/>
      </w:pPr>
      <w:rPr>
        <w:rFonts w:ascii="Wingdings" w:hAnsi="Wingdings" w:hint="default"/>
      </w:rPr>
    </w:lvl>
  </w:abstractNum>
  <w:abstractNum w:abstractNumId="76">
    <w:nsid w:val="70924EA3"/>
    <w:multiLevelType w:val="multilevel"/>
    <w:tmpl w:val="4678E97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7">
    <w:nsid w:val="70F2520A"/>
    <w:multiLevelType w:val="hybridMultilevel"/>
    <w:tmpl w:val="017EB8AA"/>
    <w:lvl w:ilvl="0" w:tplc="49800638">
      <w:start w:val="1"/>
      <w:numFmt w:val="decimal"/>
      <w:lvlText w:val="%1."/>
      <w:lvlJc w:val="left"/>
      <w:pPr>
        <w:ind w:left="1604" w:hanging="360"/>
      </w:pPr>
      <w:rPr>
        <w:rFonts w:hint="default"/>
      </w:rPr>
    </w:lvl>
    <w:lvl w:ilvl="1" w:tplc="040E0019" w:tentative="1">
      <w:start w:val="1"/>
      <w:numFmt w:val="lowerLetter"/>
      <w:lvlText w:val="%2."/>
      <w:lvlJc w:val="left"/>
      <w:pPr>
        <w:ind w:left="2324" w:hanging="360"/>
      </w:pPr>
    </w:lvl>
    <w:lvl w:ilvl="2" w:tplc="040E001B" w:tentative="1">
      <w:start w:val="1"/>
      <w:numFmt w:val="lowerRoman"/>
      <w:lvlText w:val="%3."/>
      <w:lvlJc w:val="right"/>
      <w:pPr>
        <w:ind w:left="3044" w:hanging="180"/>
      </w:pPr>
    </w:lvl>
    <w:lvl w:ilvl="3" w:tplc="040E000F" w:tentative="1">
      <w:start w:val="1"/>
      <w:numFmt w:val="decimal"/>
      <w:lvlText w:val="%4."/>
      <w:lvlJc w:val="left"/>
      <w:pPr>
        <w:ind w:left="3764" w:hanging="360"/>
      </w:pPr>
    </w:lvl>
    <w:lvl w:ilvl="4" w:tplc="040E0019" w:tentative="1">
      <w:start w:val="1"/>
      <w:numFmt w:val="lowerLetter"/>
      <w:lvlText w:val="%5."/>
      <w:lvlJc w:val="left"/>
      <w:pPr>
        <w:ind w:left="4484" w:hanging="360"/>
      </w:pPr>
    </w:lvl>
    <w:lvl w:ilvl="5" w:tplc="040E001B" w:tentative="1">
      <w:start w:val="1"/>
      <w:numFmt w:val="lowerRoman"/>
      <w:lvlText w:val="%6."/>
      <w:lvlJc w:val="right"/>
      <w:pPr>
        <w:ind w:left="5204" w:hanging="180"/>
      </w:pPr>
    </w:lvl>
    <w:lvl w:ilvl="6" w:tplc="040E000F" w:tentative="1">
      <w:start w:val="1"/>
      <w:numFmt w:val="decimal"/>
      <w:lvlText w:val="%7."/>
      <w:lvlJc w:val="left"/>
      <w:pPr>
        <w:ind w:left="5924" w:hanging="360"/>
      </w:pPr>
    </w:lvl>
    <w:lvl w:ilvl="7" w:tplc="040E0019" w:tentative="1">
      <w:start w:val="1"/>
      <w:numFmt w:val="lowerLetter"/>
      <w:lvlText w:val="%8."/>
      <w:lvlJc w:val="left"/>
      <w:pPr>
        <w:ind w:left="6644" w:hanging="360"/>
      </w:pPr>
    </w:lvl>
    <w:lvl w:ilvl="8" w:tplc="040E001B" w:tentative="1">
      <w:start w:val="1"/>
      <w:numFmt w:val="lowerRoman"/>
      <w:lvlText w:val="%9."/>
      <w:lvlJc w:val="right"/>
      <w:pPr>
        <w:ind w:left="7364" w:hanging="180"/>
      </w:pPr>
    </w:lvl>
  </w:abstractNum>
  <w:abstractNum w:abstractNumId="78">
    <w:nsid w:val="74BE6650"/>
    <w:multiLevelType w:val="hybridMultilevel"/>
    <w:tmpl w:val="9B161A42"/>
    <w:lvl w:ilvl="0" w:tplc="C96E19C2">
      <w:start w:val="1"/>
      <w:numFmt w:val="decimal"/>
      <w:pStyle w:val="j-braszm"/>
      <w:lvlText w:val="%1."/>
      <w:lvlJc w:val="left"/>
      <w:pPr>
        <w:tabs>
          <w:tab w:val="num" w:pos="1068"/>
        </w:tabs>
        <w:ind w:left="1068"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756F6282"/>
    <w:multiLevelType w:val="hybridMultilevel"/>
    <w:tmpl w:val="F350D768"/>
    <w:lvl w:ilvl="0" w:tplc="F654B99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nsid w:val="767C4957"/>
    <w:multiLevelType w:val="hybridMultilevel"/>
    <w:tmpl w:val="C9069000"/>
    <w:lvl w:ilvl="0" w:tplc="040E0001">
      <w:start w:val="1"/>
      <w:numFmt w:val="bullet"/>
      <w:lvlText w:val=""/>
      <w:lvlJc w:val="left"/>
      <w:pPr>
        <w:ind w:left="720" w:hanging="360"/>
      </w:pPr>
      <w:rPr>
        <w:rFonts w:ascii="Symbol" w:hAnsi="Symbol" w:hint="default"/>
      </w:rPr>
    </w:lvl>
    <w:lvl w:ilvl="1" w:tplc="040E000F">
      <w:start w:val="1"/>
      <w:numFmt w:val="decimal"/>
      <w:lvlText w:val="%2."/>
      <w:lvlJc w:val="left"/>
      <w:pPr>
        <w:ind w:left="1440" w:hanging="360"/>
      </w:pPr>
      <w:rPr>
        <w:rFont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nsid w:val="794F1168"/>
    <w:multiLevelType w:val="hybridMultilevel"/>
    <w:tmpl w:val="FC1A147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2">
    <w:nsid w:val="79532A5D"/>
    <w:multiLevelType w:val="multilevel"/>
    <w:tmpl w:val="F99456A4"/>
    <w:name w:val="WW8Num72"/>
    <w:lvl w:ilvl="0">
      <w:start w:val="1"/>
      <w:numFmt w:val="decimal"/>
      <w:suff w:val="space"/>
      <w:lvlText w:val="%1."/>
      <w:lvlJc w:val="left"/>
      <w:pPr>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7A7063F6"/>
    <w:multiLevelType w:val="multilevel"/>
    <w:tmpl w:val="A3A433F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4">
    <w:nsid w:val="7B885A36"/>
    <w:multiLevelType w:val="hybridMultilevel"/>
    <w:tmpl w:val="06FA17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nsid w:val="7D8B1C9A"/>
    <w:multiLevelType w:val="hybridMultilevel"/>
    <w:tmpl w:val="FC029C8C"/>
    <w:lvl w:ilvl="0" w:tplc="40161DD2">
      <w:start w:val="3"/>
      <w:numFmt w:val="bullet"/>
      <w:pStyle w:val="frbekezds"/>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pStyle w:val="j-cmsor3"/>
      <w:lvlText w:val=""/>
      <w:lvlJc w:val="left"/>
      <w:pPr>
        <w:ind w:left="2160" w:hanging="360"/>
      </w:pPr>
      <w:rPr>
        <w:rFonts w:ascii="Wingdings" w:hAnsi="Wingdings" w:hint="default"/>
      </w:rPr>
    </w:lvl>
    <w:lvl w:ilvl="3" w:tplc="040E0001">
      <w:start w:val="1"/>
      <w:numFmt w:val="bullet"/>
      <w:pStyle w:val="j-cmsor4"/>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48"/>
  </w:num>
  <w:num w:numId="4">
    <w:abstractNumId w:val="41"/>
  </w:num>
  <w:num w:numId="5">
    <w:abstractNumId w:val="29"/>
  </w:num>
  <w:num w:numId="6">
    <w:abstractNumId w:val="6"/>
  </w:num>
  <w:num w:numId="7">
    <w:abstractNumId w:val="82"/>
  </w:num>
  <w:num w:numId="8">
    <w:abstractNumId w:val="49"/>
  </w:num>
  <w:num w:numId="9">
    <w:abstractNumId w:val="73"/>
  </w:num>
  <w:num w:numId="10">
    <w:abstractNumId w:val="44"/>
  </w:num>
  <w:num w:numId="11">
    <w:abstractNumId w:val="35"/>
  </w:num>
  <w:num w:numId="12">
    <w:abstractNumId w:val="36"/>
  </w:num>
  <w:num w:numId="13">
    <w:abstractNumId w:val="7"/>
  </w:num>
  <w:num w:numId="14">
    <w:abstractNumId w:val="25"/>
  </w:num>
  <w:num w:numId="15">
    <w:abstractNumId w:val="43"/>
  </w:num>
  <w:num w:numId="16">
    <w:abstractNumId w:val="46"/>
  </w:num>
  <w:num w:numId="17">
    <w:abstractNumId w:val="85"/>
  </w:num>
  <w:num w:numId="18">
    <w:abstractNumId w:val="20"/>
  </w:num>
  <w:num w:numId="19">
    <w:abstractNumId w:val="45"/>
  </w:num>
  <w:num w:numId="20">
    <w:abstractNumId w:val="66"/>
  </w:num>
  <w:num w:numId="21">
    <w:abstractNumId w:val="42"/>
  </w:num>
  <w:num w:numId="22">
    <w:abstractNumId w:val="68"/>
  </w:num>
  <w:num w:numId="23">
    <w:abstractNumId w:val="10"/>
  </w:num>
  <w:num w:numId="24">
    <w:abstractNumId w:val="55"/>
  </w:num>
  <w:num w:numId="25">
    <w:abstractNumId w:val="72"/>
  </w:num>
  <w:num w:numId="26">
    <w:abstractNumId w:val="63"/>
  </w:num>
  <w:num w:numId="27">
    <w:abstractNumId w:val="77"/>
  </w:num>
  <w:num w:numId="28">
    <w:abstractNumId w:val="67"/>
  </w:num>
  <w:num w:numId="29">
    <w:abstractNumId w:val="58"/>
  </w:num>
  <w:num w:numId="30">
    <w:abstractNumId w:val="74"/>
  </w:num>
  <w:num w:numId="31">
    <w:abstractNumId w:val="34"/>
  </w:num>
  <w:num w:numId="32">
    <w:abstractNumId w:val="56"/>
  </w:num>
  <w:num w:numId="33">
    <w:abstractNumId w:val="79"/>
  </w:num>
  <w:num w:numId="34">
    <w:abstractNumId w:val="64"/>
  </w:num>
  <w:num w:numId="35">
    <w:abstractNumId w:val="78"/>
  </w:num>
  <w:num w:numId="36">
    <w:abstractNumId w:val="17"/>
  </w:num>
  <w:num w:numId="37">
    <w:abstractNumId w:val="5"/>
  </w:num>
  <w:num w:numId="38">
    <w:abstractNumId w:val="4"/>
  </w:num>
  <w:num w:numId="39">
    <w:abstractNumId w:val="40"/>
  </w:num>
  <w:num w:numId="40">
    <w:abstractNumId w:val="39"/>
  </w:num>
  <w:num w:numId="41">
    <w:abstractNumId w:val="38"/>
  </w:num>
  <w:num w:numId="42">
    <w:abstractNumId w:val="3"/>
  </w:num>
  <w:num w:numId="43">
    <w:abstractNumId w:val="2"/>
  </w:num>
  <w:num w:numId="44">
    <w:abstractNumId w:val="1"/>
  </w:num>
  <w:num w:numId="45">
    <w:abstractNumId w:val="75"/>
  </w:num>
  <w:num w:numId="4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83"/>
  </w:num>
  <w:num w:numId="49">
    <w:abstractNumId w:val="30"/>
  </w:num>
  <w:num w:numId="50">
    <w:abstractNumId w:val="23"/>
  </w:num>
  <w:num w:numId="51">
    <w:abstractNumId w:val="71"/>
  </w:num>
  <w:num w:numId="52">
    <w:abstractNumId w:val="12"/>
  </w:num>
  <w:num w:numId="53">
    <w:abstractNumId w:val="53"/>
  </w:num>
  <w:num w:numId="54">
    <w:abstractNumId w:val="47"/>
  </w:num>
  <w:num w:numId="55">
    <w:abstractNumId w:val="76"/>
  </w:num>
  <w:num w:numId="56">
    <w:abstractNumId w:val="28"/>
  </w:num>
  <w:num w:numId="57">
    <w:abstractNumId w:val="84"/>
  </w:num>
  <w:num w:numId="58">
    <w:abstractNumId w:val="60"/>
  </w:num>
  <w:num w:numId="59">
    <w:abstractNumId w:val="26"/>
  </w:num>
  <w:num w:numId="60">
    <w:abstractNumId w:val="54"/>
  </w:num>
  <w:num w:numId="61">
    <w:abstractNumId w:val="14"/>
  </w:num>
  <w:num w:numId="62">
    <w:abstractNumId w:val="13"/>
  </w:num>
  <w:num w:numId="63">
    <w:abstractNumId w:val="22"/>
  </w:num>
  <w:num w:numId="64">
    <w:abstractNumId w:val="37"/>
  </w:num>
  <w:num w:numId="65">
    <w:abstractNumId w:val="21"/>
  </w:num>
  <w:num w:numId="66">
    <w:abstractNumId w:val="80"/>
  </w:num>
  <w:num w:numId="67">
    <w:abstractNumId w:val="15"/>
  </w:num>
  <w:num w:numId="68">
    <w:abstractNumId w:val="24"/>
  </w:num>
  <w:num w:numId="69">
    <w:abstractNumId w:val="51"/>
  </w:num>
  <w:num w:numId="70">
    <w:abstractNumId w:val="70"/>
  </w:num>
  <w:num w:numId="71">
    <w:abstractNumId w:val="52"/>
  </w:num>
  <w:num w:numId="72">
    <w:abstractNumId w:val="33"/>
  </w:num>
  <w:num w:numId="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num>
  <w:num w:numId="75">
    <w:abstractNumId w:val="57"/>
  </w:num>
  <w:num w:numId="76">
    <w:abstractNumId w:val="17"/>
  </w:num>
  <w:num w:numId="77">
    <w:abstractNumId w:val="18"/>
  </w:num>
  <w:num w:numId="78">
    <w:abstractNumId w:val="20"/>
    <w:lvlOverride w:ilvl="0">
      <w:startOverride w:val="233"/>
    </w:lvlOverride>
  </w:num>
  <w:num w:numId="79">
    <w:abstractNumId w:val="20"/>
    <w:lvlOverride w:ilvl="0">
      <w:startOverride w:val="750"/>
    </w:lvlOverride>
  </w:num>
  <w:num w:numId="80">
    <w:abstractNumId w:val="50"/>
  </w:num>
  <w:num w:numId="81">
    <w:abstractNumId w:val="20"/>
    <w:lvlOverride w:ilvl="0">
      <w:startOverride w:val="16"/>
    </w:lvlOverride>
  </w:num>
  <w:num w:numId="82">
    <w:abstractNumId w:val="20"/>
    <w:lvlOverride w:ilvl="0">
      <w:startOverride w:val="16"/>
    </w:lvlOverride>
  </w:num>
  <w:num w:numId="83">
    <w:abstractNumId w:val="20"/>
    <w:lvlOverride w:ilvl="0">
      <w:startOverride w:val="16"/>
    </w:lvlOverride>
  </w:num>
  <w:num w:numId="84">
    <w:abstractNumId w:val="20"/>
  </w:num>
  <w:num w:numId="85">
    <w:abstractNumId w:val="59"/>
  </w:num>
  <w:num w:numId="86">
    <w:abstractNumId w:val="69"/>
  </w:num>
  <w:num w:numId="87">
    <w:abstractNumId w:val="31"/>
  </w:num>
  <w:num w:numId="88">
    <w:abstractNumId w:val="81"/>
  </w:num>
  <w:num w:numId="89">
    <w:abstractNumId w:val="65"/>
  </w:num>
  <w:num w:numId="90">
    <w:abstractNumId w:val="19"/>
  </w:num>
  <w:num w:numId="91">
    <w:abstractNumId w:val="19"/>
    <w:lvlOverride w:ilvl="0">
      <w:startOverride w:val="1"/>
    </w:lvlOverride>
  </w:num>
  <w:num w:numId="92">
    <w:abstractNumId w:val="0"/>
  </w:num>
  <w:num w:numId="93">
    <w:abstractNumId w:val="16"/>
  </w:num>
  <w:num w:numId="94">
    <w:abstractNumId w:val="20"/>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zabó Maria">
    <w15:presenceInfo w15:providerId="Windows Live" w15:userId="7c9995f6f005fd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hu-HU" w:vendorID="7" w:dllVersion="513" w:checkStyle="1"/>
  <w:activeWritingStyle w:appName="MSWord" w:lang="hu-HU" w:vendorID="7" w:dllVersion="522" w:checkStyle="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oNotHyphenateCap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F4B"/>
    <w:rsid w:val="00001A83"/>
    <w:rsid w:val="000040D4"/>
    <w:rsid w:val="00005039"/>
    <w:rsid w:val="00005328"/>
    <w:rsid w:val="00005C98"/>
    <w:rsid w:val="000061A6"/>
    <w:rsid w:val="00006375"/>
    <w:rsid w:val="00010D2A"/>
    <w:rsid w:val="00010E04"/>
    <w:rsid w:val="00011C3B"/>
    <w:rsid w:val="00014990"/>
    <w:rsid w:val="0001573A"/>
    <w:rsid w:val="00015BD9"/>
    <w:rsid w:val="000174A1"/>
    <w:rsid w:val="00020937"/>
    <w:rsid w:val="00023144"/>
    <w:rsid w:val="00024BBC"/>
    <w:rsid w:val="00024C81"/>
    <w:rsid w:val="000252B9"/>
    <w:rsid w:val="00025640"/>
    <w:rsid w:val="00027E6F"/>
    <w:rsid w:val="000314E0"/>
    <w:rsid w:val="00031D37"/>
    <w:rsid w:val="00033F4B"/>
    <w:rsid w:val="00035CD4"/>
    <w:rsid w:val="00037E09"/>
    <w:rsid w:val="00040711"/>
    <w:rsid w:val="00045209"/>
    <w:rsid w:val="00045CBC"/>
    <w:rsid w:val="00047DAC"/>
    <w:rsid w:val="0005096E"/>
    <w:rsid w:val="000511C3"/>
    <w:rsid w:val="00051401"/>
    <w:rsid w:val="00052437"/>
    <w:rsid w:val="000530EE"/>
    <w:rsid w:val="00053C2D"/>
    <w:rsid w:val="000540A1"/>
    <w:rsid w:val="0005494A"/>
    <w:rsid w:val="00055386"/>
    <w:rsid w:val="00055AFA"/>
    <w:rsid w:val="0005659B"/>
    <w:rsid w:val="00056A7E"/>
    <w:rsid w:val="0005701D"/>
    <w:rsid w:val="0005758B"/>
    <w:rsid w:val="0006151C"/>
    <w:rsid w:val="000618B3"/>
    <w:rsid w:val="000626BC"/>
    <w:rsid w:val="00062779"/>
    <w:rsid w:val="000629BF"/>
    <w:rsid w:val="00062C0B"/>
    <w:rsid w:val="000635B0"/>
    <w:rsid w:val="00064891"/>
    <w:rsid w:val="0006490A"/>
    <w:rsid w:val="00065572"/>
    <w:rsid w:val="00070E79"/>
    <w:rsid w:val="000718AF"/>
    <w:rsid w:val="0007192E"/>
    <w:rsid w:val="00072DBB"/>
    <w:rsid w:val="00074267"/>
    <w:rsid w:val="00074434"/>
    <w:rsid w:val="00074757"/>
    <w:rsid w:val="00075766"/>
    <w:rsid w:val="00077D0E"/>
    <w:rsid w:val="000809E5"/>
    <w:rsid w:val="000810D0"/>
    <w:rsid w:val="0008140E"/>
    <w:rsid w:val="00081832"/>
    <w:rsid w:val="000818D2"/>
    <w:rsid w:val="000823DD"/>
    <w:rsid w:val="000835E4"/>
    <w:rsid w:val="00083602"/>
    <w:rsid w:val="00083D07"/>
    <w:rsid w:val="00083F38"/>
    <w:rsid w:val="000842CD"/>
    <w:rsid w:val="000842E9"/>
    <w:rsid w:val="00084D4B"/>
    <w:rsid w:val="0008596E"/>
    <w:rsid w:val="00087D04"/>
    <w:rsid w:val="00087F4E"/>
    <w:rsid w:val="00090B7E"/>
    <w:rsid w:val="000910C3"/>
    <w:rsid w:val="00091A2E"/>
    <w:rsid w:val="00092860"/>
    <w:rsid w:val="00093664"/>
    <w:rsid w:val="00094154"/>
    <w:rsid w:val="000945DC"/>
    <w:rsid w:val="00095B89"/>
    <w:rsid w:val="00097D2F"/>
    <w:rsid w:val="00097E78"/>
    <w:rsid w:val="000A017F"/>
    <w:rsid w:val="000A0787"/>
    <w:rsid w:val="000A29B9"/>
    <w:rsid w:val="000A64E1"/>
    <w:rsid w:val="000A64FB"/>
    <w:rsid w:val="000A7E96"/>
    <w:rsid w:val="000B0177"/>
    <w:rsid w:val="000B02AE"/>
    <w:rsid w:val="000B0B41"/>
    <w:rsid w:val="000B2FA7"/>
    <w:rsid w:val="000B2FD0"/>
    <w:rsid w:val="000B3160"/>
    <w:rsid w:val="000B3369"/>
    <w:rsid w:val="000B3C90"/>
    <w:rsid w:val="000B51B8"/>
    <w:rsid w:val="000B563C"/>
    <w:rsid w:val="000B5AF3"/>
    <w:rsid w:val="000B5DE5"/>
    <w:rsid w:val="000B652E"/>
    <w:rsid w:val="000B7E51"/>
    <w:rsid w:val="000C1627"/>
    <w:rsid w:val="000C2FDF"/>
    <w:rsid w:val="000C62EE"/>
    <w:rsid w:val="000C655C"/>
    <w:rsid w:val="000C697D"/>
    <w:rsid w:val="000D1264"/>
    <w:rsid w:val="000D1F95"/>
    <w:rsid w:val="000D2475"/>
    <w:rsid w:val="000D4A71"/>
    <w:rsid w:val="000D4C8A"/>
    <w:rsid w:val="000D53D3"/>
    <w:rsid w:val="000D6AAE"/>
    <w:rsid w:val="000E0B6A"/>
    <w:rsid w:val="000E0C57"/>
    <w:rsid w:val="000E0FF0"/>
    <w:rsid w:val="000E12E5"/>
    <w:rsid w:val="000E131C"/>
    <w:rsid w:val="000E239E"/>
    <w:rsid w:val="000E4566"/>
    <w:rsid w:val="000E4DC0"/>
    <w:rsid w:val="000E5379"/>
    <w:rsid w:val="000E57E2"/>
    <w:rsid w:val="000E63B7"/>
    <w:rsid w:val="000E7AF5"/>
    <w:rsid w:val="000E7BB0"/>
    <w:rsid w:val="000F0806"/>
    <w:rsid w:val="000F0AE1"/>
    <w:rsid w:val="000F2A91"/>
    <w:rsid w:val="000F3035"/>
    <w:rsid w:val="000F3E8B"/>
    <w:rsid w:val="000F5A8F"/>
    <w:rsid w:val="000F64CB"/>
    <w:rsid w:val="000F6B7B"/>
    <w:rsid w:val="000F7084"/>
    <w:rsid w:val="000F7B5C"/>
    <w:rsid w:val="00101006"/>
    <w:rsid w:val="0010144A"/>
    <w:rsid w:val="001016E7"/>
    <w:rsid w:val="00102589"/>
    <w:rsid w:val="0010407C"/>
    <w:rsid w:val="001040DB"/>
    <w:rsid w:val="001041DF"/>
    <w:rsid w:val="001050DC"/>
    <w:rsid w:val="00105433"/>
    <w:rsid w:val="00106B93"/>
    <w:rsid w:val="001079E3"/>
    <w:rsid w:val="00111906"/>
    <w:rsid w:val="00111CDA"/>
    <w:rsid w:val="00112E81"/>
    <w:rsid w:val="00114C22"/>
    <w:rsid w:val="00116305"/>
    <w:rsid w:val="00116BC1"/>
    <w:rsid w:val="00116CE3"/>
    <w:rsid w:val="00116EA2"/>
    <w:rsid w:val="00117D2B"/>
    <w:rsid w:val="0012121A"/>
    <w:rsid w:val="00123320"/>
    <w:rsid w:val="0012675D"/>
    <w:rsid w:val="00126F94"/>
    <w:rsid w:val="00130353"/>
    <w:rsid w:val="00130952"/>
    <w:rsid w:val="00131036"/>
    <w:rsid w:val="001335F6"/>
    <w:rsid w:val="00133BA2"/>
    <w:rsid w:val="00135726"/>
    <w:rsid w:val="001357E8"/>
    <w:rsid w:val="00135D11"/>
    <w:rsid w:val="00136189"/>
    <w:rsid w:val="001365A7"/>
    <w:rsid w:val="00136D63"/>
    <w:rsid w:val="00136EEC"/>
    <w:rsid w:val="0013734A"/>
    <w:rsid w:val="001377B1"/>
    <w:rsid w:val="00141968"/>
    <w:rsid w:val="00141B61"/>
    <w:rsid w:val="001435EE"/>
    <w:rsid w:val="00143AED"/>
    <w:rsid w:val="00144476"/>
    <w:rsid w:val="00147E41"/>
    <w:rsid w:val="0015158A"/>
    <w:rsid w:val="0015184B"/>
    <w:rsid w:val="00154E6F"/>
    <w:rsid w:val="001553F9"/>
    <w:rsid w:val="00157EB5"/>
    <w:rsid w:val="00160B44"/>
    <w:rsid w:val="001615C4"/>
    <w:rsid w:val="00161ABB"/>
    <w:rsid w:val="00162C2F"/>
    <w:rsid w:val="00162D2C"/>
    <w:rsid w:val="001635C5"/>
    <w:rsid w:val="0016620C"/>
    <w:rsid w:val="00166D92"/>
    <w:rsid w:val="00167DA2"/>
    <w:rsid w:val="001703EC"/>
    <w:rsid w:val="00170664"/>
    <w:rsid w:val="00170CB9"/>
    <w:rsid w:val="0017181E"/>
    <w:rsid w:val="00171B1A"/>
    <w:rsid w:val="00171EC4"/>
    <w:rsid w:val="0017224E"/>
    <w:rsid w:val="00172592"/>
    <w:rsid w:val="00172A85"/>
    <w:rsid w:val="00173635"/>
    <w:rsid w:val="001737DC"/>
    <w:rsid w:val="001740AD"/>
    <w:rsid w:val="00175AEB"/>
    <w:rsid w:val="00175C5A"/>
    <w:rsid w:val="0017708F"/>
    <w:rsid w:val="00181F7D"/>
    <w:rsid w:val="001834A6"/>
    <w:rsid w:val="001842E1"/>
    <w:rsid w:val="00185184"/>
    <w:rsid w:val="00185A7E"/>
    <w:rsid w:val="001866B7"/>
    <w:rsid w:val="001876C8"/>
    <w:rsid w:val="00191447"/>
    <w:rsid w:val="0019195F"/>
    <w:rsid w:val="001934AE"/>
    <w:rsid w:val="00193DCC"/>
    <w:rsid w:val="001940FF"/>
    <w:rsid w:val="001942A3"/>
    <w:rsid w:val="00194A92"/>
    <w:rsid w:val="001954E8"/>
    <w:rsid w:val="00196787"/>
    <w:rsid w:val="0019761A"/>
    <w:rsid w:val="001A0512"/>
    <w:rsid w:val="001A157D"/>
    <w:rsid w:val="001A3C03"/>
    <w:rsid w:val="001A5858"/>
    <w:rsid w:val="001A616C"/>
    <w:rsid w:val="001A775F"/>
    <w:rsid w:val="001A7E3D"/>
    <w:rsid w:val="001B06E8"/>
    <w:rsid w:val="001B1185"/>
    <w:rsid w:val="001B130B"/>
    <w:rsid w:val="001B1353"/>
    <w:rsid w:val="001B1626"/>
    <w:rsid w:val="001B3426"/>
    <w:rsid w:val="001B4BC2"/>
    <w:rsid w:val="001B5D5C"/>
    <w:rsid w:val="001B6A09"/>
    <w:rsid w:val="001B6B8C"/>
    <w:rsid w:val="001B722A"/>
    <w:rsid w:val="001B74DD"/>
    <w:rsid w:val="001B7B57"/>
    <w:rsid w:val="001C150A"/>
    <w:rsid w:val="001C3DA4"/>
    <w:rsid w:val="001C3FBA"/>
    <w:rsid w:val="001C5052"/>
    <w:rsid w:val="001C5256"/>
    <w:rsid w:val="001C6FAF"/>
    <w:rsid w:val="001C7E16"/>
    <w:rsid w:val="001D1199"/>
    <w:rsid w:val="001D5113"/>
    <w:rsid w:val="001D7C48"/>
    <w:rsid w:val="001D7D77"/>
    <w:rsid w:val="001E0264"/>
    <w:rsid w:val="001E2935"/>
    <w:rsid w:val="001E2E1F"/>
    <w:rsid w:val="001E3B66"/>
    <w:rsid w:val="001E4034"/>
    <w:rsid w:val="001E44F9"/>
    <w:rsid w:val="001E5049"/>
    <w:rsid w:val="001E58F3"/>
    <w:rsid w:val="001E6225"/>
    <w:rsid w:val="001E6A28"/>
    <w:rsid w:val="001E6E56"/>
    <w:rsid w:val="001E7A17"/>
    <w:rsid w:val="001E7A41"/>
    <w:rsid w:val="001F1FBD"/>
    <w:rsid w:val="001F4354"/>
    <w:rsid w:val="001F454D"/>
    <w:rsid w:val="001F5F04"/>
    <w:rsid w:val="001F615B"/>
    <w:rsid w:val="001F6B8C"/>
    <w:rsid w:val="001F6C8B"/>
    <w:rsid w:val="001F7A4D"/>
    <w:rsid w:val="00200BAF"/>
    <w:rsid w:val="00201260"/>
    <w:rsid w:val="00202697"/>
    <w:rsid w:val="00202FFC"/>
    <w:rsid w:val="00203F3B"/>
    <w:rsid w:val="00204735"/>
    <w:rsid w:val="002064A4"/>
    <w:rsid w:val="00206C05"/>
    <w:rsid w:val="00210337"/>
    <w:rsid w:val="00210379"/>
    <w:rsid w:val="002104E2"/>
    <w:rsid w:val="002106C6"/>
    <w:rsid w:val="00210F35"/>
    <w:rsid w:val="00211487"/>
    <w:rsid w:val="002115C0"/>
    <w:rsid w:val="00211CEE"/>
    <w:rsid w:val="00212A41"/>
    <w:rsid w:val="00214394"/>
    <w:rsid w:val="00215998"/>
    <w:rsid w:val="00215A3E"/>
    <w:rsid w:val="00217283"/>
    <w:rsid w:val="00217546"/>
    <w:rsid w:val="00217769"/>
    <w:rsid w:val="00217D2F"/>
    <w:rsid w:val="00217E50"/>
    <w:rsid w:val="00220A68"/>
    <w:rsid w:val="00221482"/>
    <w:rsid w:val="00222491"/>
    <w:rsid w:val="002229D7"/>
    <w:rsid w:val="00222F04"/>
    <w:rsid w:val="00224308"/>
    <w:rsid w:val="00225AD0"/>
    <w:rsid w:val="00226BA9"/>
    <w:rsid w:val="00227EF5"/>
    <w:rsid w:val="002300F7"/>
    <w:rsid w:val="00230F9D"/>
    <w:rsid w:val="002316BE"/>
    <w:rsid w:val="00231C49"/>
    <w:rsid w:val="002322DA"/>
    <w:rsid w:val="00233607"/>
    <w:rsid w:val="00234162"/>
    <w:rsid w:val="00234261"/>
    <w:rsid w:val="00234BC4"/>
    <w:rsid w:val="00234D35"/>
    <w:rsid w:val="0023553A"/>
    <w:rsid w:val="00235A82"/>
    <w:rsid w:val="00235B06"/>
    <w:rsid w:val="00235D38"/>
    <w:rsid w:val="00236D0E"/>
    <w:rsid w:val="002419F9"/>
    <w:rsid w:val="0024276F"/>
    <w:rsid w:val="0024359E"/>
    <w:rsid w:val="00244CC9"/>
    <w:rsid w:val="002452D1"/>
    <w:rsid w:val="00245678"/>
    <w:rsid w:val="00245CD0"/>
    <w:rsid w:val="002461E5"/>
    <w:rsid w:val="002503A0"/>
    <w:rsid w:val="00250C8A"/>
    <w:rsid w:val="00250E89"/>
    <w:rsid w:val="00250EF8"/>
    <w:rsid w:val="0025108B"/>
    <w:rsid w:val="00253CD4"/>
    <w:rsid w:val="0025521F"/>
    <w:rsid w:val="002553C4"/>
    <w:rsid w:val="0025547A"/>
    <w:rsid w:val="00255AD8"/>
    <w:rsid w:val="00256A31"/>
    <w:rsid w:val="00257600"/>
    <w:rsid w:val="00257BCE"/>
    <w:rsid w:val="002600CF"/>
    <w:rsid w:val="00261D01"/>
    <w:rsid w:val="00263152"/>
    <w:rsid w:val="00263D04"/>
    <w:rsid w:val="00264057"/>
    <w:rsid w:val="0026475B"/>
    <w:rsid w:val="00264DB1"/>
    <w:rsid w:val="00265173"/>
    <w:rsid w:val="0026571C"/>
    <w:rsid w:val="002657B7"/>
    <w:rsid w:val="00265CF2"/>
    <w:rsid w:val="002677EE"/>
    <w:rsid w:val="00267B6F"/>
    <w:rsid w:val="002717FA"/>
    <w:rsid w:val="00271E34"/>
    <w:rsid w:val="00272411"/>
    <w:rsid w:val="00272DFB"/>
    <w:rsid w:val="00273161"/>
    <w:rsid w:val="002734EC"/>
    <w:rsid w:val="002743E5"/>
    <w:rsid w:val="00274CC2"/>
    <w:rsid w:val="0027568F"/>
    <w:rsid w:val="00276FB5"/>
    <w:rsid w:val="002772BC"/>
    <w:rsid w:val="00277808"/>
    <w:rsid w:val="00277B80"/>
    <w:rsid w:val="00277F57"/>
    <w:rsid w:val="00281014"/>
    <w:rsid w:val="00282079"/>
    <w:rsid w:val="00283340"/>
    <w:rsid w:val="00284094"/>
    <w:rsid w:val="00287692"/>
    <w:rsid w:val="002904A8"/>
    <w:rsid w:val="002906CD"/>
    <w:rsid w:val="00290AC1"/>
    <w:rsid w:val="0029110A"/>
    <w:rsid w:val="00291552"/>
    <w:rsid w:val="0029212B"/>
    <w:rsid w:val="002926C9"/>
    <w:rsid w:val="0029355E"/>
    <w:rsid w:val="0029360B"/>
    <w:rsid w:val="00294342"/>
    <w:rsid w:val="002947DA"/>
    <w:rsid w:val="00296336"/>
    <w:rsid w:val="0029678D"/>
    <w:rsid w:val="0029704A"/>
    <w:rsid w:val="0029762C"/>
    <w:rsid w:val="002A073A"/>
    <w:rsid w:val="002A075F"/>
    <w:rsid w:val="002A0DEE"/>
    <w:rsid w:val="002A1CA1"/>
    <w:rsid w:val="002A2D23"/>
    <w:rsid w:val="002A3FC6"/>
    <w:rsid w:val="002A4165"/>
    <w:rsid w:val="002A4277"/>
    <w:rsid w:val="002A5BF3"/>
    <w:rsid w:val="002A714D"/>
    <w:rsid w:val="002A7382"/>
    <w:rsid w:val="002A7B93"/>
    <w:rsid w:val="002A7CF8"/>
    <w:rsid w:val="002A7F10"/>
    <w:rsid w:val="002B06D4"/>
    <w:rsid w:val="002B0D4C"/>
    <w:rsid w:val="002B30E2"/>
    <w:rsid w:val="002B6866"/>
    <w:rsid w:val="002B6CB3"/>
    <w:rsid w:val="002B6F71"/>
    <w:rsid w:val="002B7749"/>
    <w:rsid w:val="002B7BF5"/>
    <w:rsid w:val="002C0AE0"/>
    <w:rsid w:val="002C0C11"/>
    <w:rsid w:val="002C1255"/>
    <w:rsid w:val="002C1B59"/>
    <w:rsid w:val="002C28F5"/>
    <w:rsid w:val="002C4B72"/>
    <w:rsid w:val="002C5042"/>
    <w:rsid w:val="002C51CF"/>
    <w:rsid w:val="002C53DA"/>
    <w:rsid w:val="002C5E8B"/>
    <w:rsid w:val="002C699E"/>
    <w:rsid w:val="002C6EE6"/>
    <w:rsid w:val="002D0D2E"/>
    <w:rsid w:val="002D0FDE"/>
    <w:rsid w:val="002D1328"/>
    <w:rsid w:val="002D1895"/>
    <w:rsid w:val="002D1EA8"/>
    <w:rsid w:val="002D1ECF"/>
    <w:rsid w:val="002D328B"/>
    <w:rsid w:val="002D4911"/>
    <w:rsid w:val="002D6F36"/>
    <w:rsid w:val="002D7441"/>
    <w:rsid w:val="002D74F9"/>
    <w:rsid w:val="002E01E1"/>
    <w:rsid w:val="002E06A9"/>
    <w:rsid w:val="002E1A81"/>
    <w:rsid w:val="002E2215"/>
    <w:rsid w:val="002E2DEF"/>
    <w:rsid w:val="002E49E2"/>
    <w:rsid w:val="002E5D27"/>
    <w:rsid w:val="002E5F41"/>
    <w:rsid w:val="002F32AF"/>
    <w:rsid w:val="002F383C"/>
    <w:rsid w:val="002F3C5A"/>
    <w:rsid w:val="002F3CB8"/>
    <w:rsid w:val="002F3DED"/>
    <w:rsid w:val="002F7032"/>
    <w:rsid w:val="002F712A"/>
    <w:rsid w:val="002F782E"/>
    <w:rsid w:val="002F7FAA"/>
    <w:rsid w:val="003006A1"/>
    <w:rsid w:val="00301913"/>
    <w:rsid w:val="00301A4B"/>
    <w:rsid w:val="003029EA"/>
    <w:rsid w:val="00302E6E"/>
    <w:rsid w:val="003031A4"/>
    <w:rsid w:val="00304BD1"/>
    <w:rsid w:val="00304F2B"/>
    <w:rsid w:val="0030526A"/>
    <w:rsid w:val="00305CFE"/>
    <w:rsid w:val="00305DAB"/>
    <w:rsid w:val="003069BE"/>
    <w:rsid w:val="00310D69"/>
    <w:rsid w:val="0031123A"/>
    <w:rsid w:val="003117FE"/>
    <w:rsid w:val="00312526"/>
    <w:rsid w:val="00313ED5"/>
    <w:rsid w:val="00314F37"/>
    <w:rsid w:val="0031672B"/>
    <w:rsid w:val="003169BA"/>
    <w:rsid w:val="003175F4"/>
    <w:rsid w:val="00317F5F"/>
    <w:rsid w:val="003201F1"/>
    <w:rsid w:val="0032168F"/>
    <w:rsid w:val="00321898"/>
    <w:rsid w:val="00322BE0"/>
    <w:rsid w:val="00323480"/>
    <w:rsid w:val="00323863"/>
    <w:rsid w:val="00324EA7"/>
    <w:rsid w:val="00325F69"/>
    <w:rsid w:val="00326801"/>
    <w:rsid w:val="0032699A"/>
    <w:rsid w:val="0032736C"/>
    <w:rsid w:val="003276AB"/>
    <w:rsid w:val="00330C33"/>
    <w:rsid w:val="00331368"/>
    <w:rsid w:val="00331628"/>
    <w:rsid w:val="00331F46"/>
    <w:rsid w:val="00332746"/>
    <w:rsid w:val="0033390A"/>
    <w:rsid w:val="00334907"/>
    <w:rsid w:val="00334EF6"/>
    <w:rsid w:val="00335351"/>
    <w:rsid w:val="0033602E"/>
    <w:rsid w:val="003404E2"/>
    <w:rsid w:val="00340FC4"/>
    <w:rsid w:val="003414ED"/>
    <w:rsid w:val="00341D36"/>
    <w:rsid w:val="00342DFA"/>
    <w:rsid w:val="00342F32"/>
    <w:rsid w:val="003439BD"/>
    <w:rsid w:val="003469B0"/>
    <w:rsid w:val="00347711"/>
    <w:rsid w:val="00347AC7"/>
    <w:rsid w:val="0035211B"/>
    <w:rsid w:val="00352716"/>
    <w:rsid w:val="00352771"/>
    <w:rsid w:val="00353C03"/>
    <w:rsid w:val="003541CE"/>
    <w:rsid w:val="00354DE9"/>
    <w:rsid w:val="003553BD"/>
    <w:rsid w:val="00356E2B"/>
    <w:rsid w:val="003611D7"/>
    <w:rsid w:val="00361F4C"/>
    <w:rsid w:val="00363ECE"/>
    <w:rsid w:val="00364E3E"/>
    <w:rsid w:val="00364E90"/>
    <w:rsid w:val="00365B4B"/>
    <w:rsid w:val="00366AF1"/>
    <w:rsid w:val="00366FBB"/>
    <w:rsid w:val="0036754B"/>
    <w:rsid w:val="00367F0D"/>
    <w:rsid w:val="00372938"/>
    <w:rsid w:val="0037301A"/>
    <w:rsid w:val="003744D3"/>
    <w:rsid w:val="0037530D"/>
    <w:rsid w:val="003764E8"/>
    <w:rsid w:val="003771BE"/>
    <w:rsid w:val="00380857"/>
    <w:rsid w:val="003818E4"/>
    <w:rsid w:val="00381E60"/>
    <w:rsid w:val="003829A7"/>
    <w:rsid w:val="00383230"/>
    <w:rsid w:val="00383674"/>
    <w:rsid w:val="0038367D"/>
    <w:rsid w:val="0038373C"/>
    <w:rsid w:val="00384739"/>
    <w:rsid w:val="00385556"/>
    <w:rsid w:val="00386887"/>
    <w:rsid w:val="00387620"/>
    <w:rsid w:val="00387688"/>
    <w:rsid w:val="00387A75"/>
    <w:rsid w:val="00390F19"/>
    <w:rsid w:val="003914C0"/>
    <w:rsid w:val="00392551"/>
    <w:rsid w:val="00392CA2"/>
    <w:rsid w:val="003938E5"/>
    <w:rsid w:val="00395602"/>
    <w:rsid w:val="00395811"/>
    <w:rsid w:val="0039581C"/>
    <w:rsid w:val="003A1C54"/>
    <w:rsid w:val="003A2C50"/>
    <w:rsid w:val="003A351B"/>
    <w:rsid w:val="003A3759"/>
    <w:rsid w:val="003A3A43"/>
    <w:rsid w:val="003A3A78"/>
    <w:rsid w:val="003A515F"/>
    <w:rsid w:val="003A52FD"/>
    <w:rsid w:val="003A56F0"/>
    <w:rsid w:val="003A646B"/>
    <w:rsid w:val="003A646C"/>
    <w:rsid w:val="003A7218"/>
    <w:rsid w:val="003A7C0E"/>
    <w:rsid w:val="003B00F6"/>
    <w:rsid w:val="003B0670"/>
    <w:rsid w:val="003B0C87"/>
    <w:rsid w:val="003B1C9D"/>
    <w:rsid w:val="003B267C"/>
    <w:rsid w:val="003B3B66"/>
    <w:rsid w:val="003B3E04"/>
    <w:rsid w:val="003B58A1"/>
    <w:rsid w:val="003B6FD3"/>
    <w:rsid w:val="003B74ED"/>
    <w:rsid w:val="003C025D"/>
    <w:rsid w:val="003C10C6"/>
    <w:rsid w:val="003C1288"/>
    <w:rsid w:val="003C5750"/>
    <w:rsid w:val="003C6A58"/>
    <w:rsid w:val="003C7317"/>
    <w:rsid w:val="003D11EF"/>
    <w:rsid w:val="003D13C5"/>
    <w:rsid w:val="003D2088"/>
    <w:rsid w:val="003D20A9"/>
    <w:rsid w:val="003D22C8"/>
    <w:rsid w:val="003D237D"/>
    <w:rsid w:val="003D2687"/>
    <w:rsid w:val="003D46E9"/>
    <w:rsid w:val="003D6C1A"/>
    <w:rsid w:val="003E0F5A"/>
    <w:rsid w:val="003E1A8B"/>
    <w:rsid w:val="003E1EE8"/>
    <w:rsid w:val="003E223F"/>
    <w:rsid w:val="003E258B"/>
    <w:rsid w:val="003E26DD"/>
    <w:rsid w:val="003E2FFD"/>
    <w:rsid w:val="003E35A2"/>
    <w:rsid w:val="003E45AC"/>
    <w:rsid w:val="003E695F"/>
    <w:rsid w:val="003E6F76"/>
    <w:rsid w:val="003E7649"/>
    <w:rsid w:val="003E76F4"/>
    <w:rsid w:val="003E78D2"/>
    <w:rsid w:val="003E7DB7"/>
    <w:rsid w:val="003E7F87"/>
    <w:rsid w:val="003F1088"/>
    <w:rsid w:val="003F11CB"/>
    <w:rsid w:val="003F2071"/>
    <w:rsid w:val="003F2572"/>
    <w:rsid w:val="003F494F"/>
    <w:rsid w:val="003F55E6"/>
    <w:rsid w:val="003F5A62"/>
    <w:rsid w:val="003F6642"/>
    <w:rsid w:val="003F7458"/>
    <w:rsid w:val="003F74CF"/>
    <w:rsid w:val="004009FB"/>
    <w:rsid w:val="00401005"/>
    <w:rsid w:val="0040176F"/>
    <w:rsid w:val="00401855"/>
    <w:rsid w:val="00403337"/>
    <w:rsid w:val="00405820"/>
    <w:rsid w:val="00406688"/>
    <w:rsid w:val="00407174"/>
    <w:rsid w:val="00407402"/>
    <w:rsid w:val="0040766C"/>
    <w:rsid w:val="00407ADE"/>
    <w:rsid w:val="004100B3"/>
    <w:rsid w:val="00411370"/>
    <w:rsid w:val="0041230B"/>
    <w:rsid w:val="0041238D"/>
    <w:rsid w:val="00414449"/>
    <w:rsid w:val="00414A8D"/>
    <w:rsid w:val="00414ADF"/>
    <w:rsid w:val="00414D56"/>
    <w:rsid w:val="00415ECA"/>
    <w:rsid w:val="00416611"/>
    <w:rsid w:val="00421549"/>
    <w:rsid w:val="0042169E"/>
    <w:rsid w:val="00421A37"/>
    <w:rsid w:val="00421FE6"/>
    <w:rsid w:val="00422428"/>
    <w:rsid w:val="00422927"/>
    <w:rsid w:val="00422B36"/>
    <w:rsid w:val="00423847"/>
    <w:rsid w:val="00424D2A"/>
    <w:rsid w:val="004254FD"/>
    <w:rsid w:val="00427C24"/>
    <w:rsid w:val="00431595"/>
    <w:rsid w:val="00431657"/>
    <w:rsid w:val="004336C4"/>
    <w:rsid w:val="00433E42"/>
    <w:rsid w:val="00434B01"/>
    <w:rsid w:val="00435538"/>
    <w:rsid w:val="00435AB5"/>
    <w:rsid w:val="004363D5"/>
    <w:rsid w:val="00436AD8"/>
    <w:rsid w:val="00437168"/>
    <w:rsid w:val="00437A43"/>
    <w:rsid w:val="004407D2"/>
    <w:rsid w:val="00440AA3"/>
    <w:rsid w:val="0044166B"/>
    <w:rsid w:val="00443A86"/>
    <w:rsid w:val="00443EC5"/>
    <w:rsid w:val="00445630"/>
    <w:rsid w:val="00446128"/>
    <w:rsid w:val="0044655B"/>
    <w:rsid w:val="00446E21"/>
    <w:rsid w:val="00447EAA"/>
    <w:rsid w:val="00450250"/>
    <w:rsid w:val="004512A3"/>
    <w:rsid w:val="004525F4"/>
    <w:rsid w:val="00452994"/>
    <w:rsid w:val="004529B4"/>
    <w:rsid w:val="0045367A"/>
    <w:rsid w:val="00453C1E"/>
    <w:rsid w:val="00453C22"/>
    <w:rsid w:val="004560FE"/>
    <w:rsid w:val="004578C5"/>
    <w:rsid w:val="00457C28"/>
    <w:rsid w:val="00461517"/>
    <w:rsid w:val="00461856"/>
    <w:rsid w:val="00462754"/>
    <w:rsid w:val="00463A76"/>
    <w:rsid w:val="00464168"/>
    <w:rsid w:val="00464494"/>
    <w:rsid w:val="00465199"/>
    <w:rsid w:val="0046561A"/>
    <w:rsid w:val="0046603B"/>
    <w:rsid w:val="004665A1"/>
    <w:rsid w:val="004666F6"/>
    <w:rsid w:val="00466C08"/>
    <w:rsid w:val="00466F4E"/>
    <w:rsid w:val="004676EA"/>
    <w:rsid w:val="00471D06"/>
    <w:rsid w:val="00471F28"/>
    <w:rsid w:val="00471FE9"/>
    <w:rsid w:val="00472D8F"/>
    <w:rsid w:val="00473666"/>
    <w:rsid w:val="00474A04"/>
    <w:rsid w:val="00475924"/>
    <w:rsid w:val="00475FA6"/>
    <w:rsid w:val="00476A19"/>
    <w:rsid w:val="0048127C"/>
    <w:rsid w:val="00483468"/>
    <w:rsid w:val="00483D68"/>
    <w:rsid w:val="004853B9"/>
    <w:rsid w:val="00485E4F"/>
    <w:rsid w:val="004863E2"/>
    <w:rsid w:val="004869BB"/>
    <w:rsid w:val="004877D6"/>
    <w:rsid w:val="00487BBF"/>
    <w:rsid w:val="00487E0F"/>
    <w:rsid w:val="00490FB7"/>
    <w:rsid w:val="004915EC"/>
    <w:rsid w:val="004929D4"/>
    <w:rsid w:val="00493355"/>
    <w:rsid w:val="004934AF"/>
    <w:rsid w:val="00493DF1"/>
    <w:rsid w:val="00495AF5"/>
    <w:rsid w:val="00495C8B"/>
    <w:rsid w:val="0049716D"/>
    <w:rsid w:val="00497BBC"/>
    <w:rsid w:val="004A0396"/>
    <w:rsid w:val="004A21AA"/>
    <w:rsid w:val="004A23CC"/>
    <w:rsid w:val="004A2637"/>
    <w:rsid w:val="004A30AD"/>
    <w:rsid w:val="004A33B5"/>
    <w:rsid w:val="004A34F2"/>
    <w:rsid w:val="004A4087"/>
    <w:rsid w:val="004A51B1"/>
    <w:rsid w:val="004A68EF"/>
    <w:rsid w:val="004A70DD"/>
    <w:rsid w:val="004A79FC"/>
    <w:rsid w:val="004B0C66"/>
    <w:rsid w:val="004B1951"/>
    <w:rsid w:val="004B25F2"/>
    <w:rsid w:val="004B3AF6"/>
    <w:rsid w:val="004B409D"/>
    <w:rsid w:val="004B632B"/>
    <w:rsid w:val="004B713B"/>
    <w:rsid w:val="004B7148"/>
    <w:rsid w:val="004C0707"/>
    <w:rsid w:val="004C1E1E"/>
    <w:rsid w:val="004C2BE2"/>
    <w:rsid w:val="004C30BC"/>
    <w:rsid w:val="004C4039"/>
    <w:rsid w:val="004C447F"/>
    <w:rsid w:val="004C56EB"/>
    <w:rsid w:val="004C5A83"/>
    <w:rsid w:val="004C7C80"/>
    <w:rsid w:val="004D01D7"/>
    <w:rsid w:val="004D1307"/>
    <w:rsid w:val="004D1A7C"/>
    <w:rsid w:val="004D1C47"/>
    <w:rsid w:val="004D1F0D"/>
    <w:rsid w:val="004D2B78"/>
    <w:rsid w:val="004D4D93"/>
    <w:rsid w:val="004D56B4"/>
    <w:rsid w:val="004D6E50"/>
    <w:rsid w:val="004D72DE"/>
    <w:rsid w:val="004D735B"/>
    <w:rsid w:val="004D77D6"/>
    <w:rsid w:val="004D7EE0"/>
    <w:rsid w:val="004E00C6"/>
    <w:rsid w:val="004E0FDC"/>
    <w:rsid w:val="004E206F"/>
    <w:rsid w:val="004E21EC"/>
    <w:rsid w:val="004E27DF"/>
    <w:rsid w:val="004E405C"/>
    <w:rsid w:val="004E4879"/>
    <w:rsid w:val="004E53C3"/>
    <w:rsid w:val="004F0ED6"/>
    <w:rsid w:val="004F1E28"/>
    <w:rsid w:val="004F2137"/>
    <w:rsid w:val="004F24C1"/>
    <w:rsid w:val="004F3EA0"/>
    <w:rsid w:val="004F42FA"/>
    <w:rsid w:val="004F4997"/>
    <w:rsid w:val="004F51A0"/>
    <w:rsid w:val="004F5BCD"/>
    <w:rsid w:val="004F6135"/>
    <w:rsid w:val="004F6A5E"/>
    <w:rsid w:val="004F7035"/>
    <w:rsid w:val="004F7C28"/>
    <w:rsid w:val="0050004B"/>
    <w:rsid w:val="00504352"/>
    <w:rsid w:val="0050533C"/>
    <w:rsid w:val="0050623C"/>
    <w:rsid w:val="0051011E"/>
    <w:rsid w:val="00511227"/>
    <w:rsid w:val="005130A2"/>
    <w:rsid w:val="005158E9"/>
    <w:rsid w:val="00515C5D"/>
    <w:rsid w:val="00516154"/>
    <w:rsid w:val="00517ED0"/>
    <w:rsid w:val="005207F7"/>
    <w:rsid w:val="00520BE5"/>
    <w:rsid w:val="005215B3"/>
    <w:rsid w:val="005223D2"/>
    <w:rsid w:val="00523EB2"/>
    <w:rsid w:val="00526EBB"/>
    <w:rsid w:val="0052743D"/>
    <w:rsid w:val="00527629"/>
    <w:rsid w:val="00527CC9"/>
    <w:rsid w:val="005301B4"/>
    <w:rsid w:val="00530E26"/>
    <w:rsid w:val="00531175"/>
    <w:rsid w:val="005317DD"/>
    <w:rsid w:val="005323E7"/>
    <w:rsid w:val="0053342B"/>
    <w:rsid w:val="00534934"/>
    <w:rsid w:val="005364EA"/>
    <w:rsid w:val="005372B4"/>
    <w:rsid w:val="00537D10"/>
    <w:rsid w:val="00537E5B"/>
    <w:rsid w:val="0054430F"/>
    <w:rsid w:val="00544D76"/>
    <w:rsid w:val="00544E22"/>
    <w:rsid w:val="0054518E"/>
    <w:rsid w:val="00545A52"/>
    <w:rsid w:val="00545BD5"/>
    <w:rsid w:val="00545F91"/>
    <w:rsid w:val="005508E8"/>
    <w:rsid w:val="00551725"/>
    <w:rsid w:val="005520F5"/>
    <w:rsid w:val="00552511"/>
    <w:rsid w:val="00552E71"/>
    <w:rsid w:val="005535A7"/>
    <w:rsid w:val="00554603"/>
    <w:rsid w:val="00554AD6"/>
    <w:rsid w:val="00555F18"/>
    <w:rsid w:val="00556439"/>
    <w:rsid w:val="00560DDB"/>
    <w:rsid w:val="00561E82"/>
    <w:rsid w:val="00562865"/>
    <w:rsid w:val="0056491B"/>
    <w:rsid w:val="00565A6D"/>
    <w:rsid w:val="00566526"/>
    <w:rsid w:val="0057084D"/>
    <w:rsid w:val="0057097C"/>
    <w:rsid w:val="00570FD2"/>
    <w:rsid w:val="00571310"/>
    <w:rsid w:val="00571900"/>
    <w:rsid w:val="00571F68"/>
    <w:rsid w:val="00571FA0"/>
    <w:rsid w:val="00572073"/>
    <w:rsid w:val="00573AF1"/>
    <w:rsid w:val="005745A7"/>
    <w:rsid w:val="00574B95"/>
    <w:rsid w:val="00575650"/>
    <w:rsid w:val="00575B4D"/>
    <w:rsid w:val="00576D13"/>
    <w:rsid w:val="00577010"/>
    <w:rsid w:val="0058037D"/>
    <w:rsid w:val="00580544"/>
    <w:rsid w:val="00580A68"/>
    <w:rsid w:val="00581AF7"/>
    <w:rsid w:val="00581C5F"/>
    <w:rsid w:val="00583473"/>
    <w:rsid w:val="005836AD"/>
    <w:rsid w:val="005850E8"/>
    <w:rsid w:val="00586460"/>
    <w:rsid w:val="00586B69"/>
    <w:rsid w:val="005874C2"/>
    <w:rsid w:val="0058781B"/>
    <w:rsid w:val="00590F55"/>
    <w:rsid w:val="00591075"/>
    <w:rsid w:val="00591388"/>
    <w:rsid w:val="005923ED"/>
    <w:rsid w:val="00592BF2"/>
    <w:rsid w:val="00592FC8"/>
    <w:rsid w:val="00593B55"/>
    <w:rsid w:val="00593B8C"/>
    <w:rsid w:val="00594DF0"/>
    <w:rsid w:val="005962A0"/>
    <w:rsid w:val="00596555"/>
    <w:rsid w:val="00597391"/>
    <w:rsid w:val="00597778"/>
    <w:rsid w:val="00597992"/>
    <w:rsid w:val="005A07C7"/>
    <w:rsid w:val="005A1192"/>
    <w:rsid w:val="005A3BEB"/>
    <w:rsid w:val="005A4710"/>
    <w:rsid w:val="005A4786"/>
    <w:rsid w:val="005A67C5"/>
    <w:rsid w:val="005A67F8"/>
    <w:rsid w:val="005B13A4"/>
    <w:rsid w:val="005B1F44"/>
    <w:rsid w:val="005B33A0"/>
    <w:rsid w:val="005B60FD"/>
    <w:rsid w:val="005B6521"/>
    <w:rsid w:val="005B70A7"/>
    <w:rsid w:val="005B71E6"/>
    <w:rsid w:val="005C00CD"/>
    <w:rsid w:val="005C0191"/>
    <w:rsid w:val="005C0617"/>
    <w:rsid w:val="005C1133"/>
    <w:rsid w:val="005C2586"/>
    <w:rsid w:val="005C61DE"/>
    <w:rsid w:val="005C6A3F"/>
    <w:rsid w:val="005C6B0B"/>
    <w:rsid w:val="005C72AE"/>
    <w:rsid w:val="005C7F14"/>
    <w:rsid w:val="005D4110"/>
    <w:rsid w:val="005D5BB3"/>
    <w:rsid w:val="005D5CFF"/>
    <w:rsid w:val="005D6642"/>
    <w:rsid w:val="005D6A38"/>
    <w:rsid w:val="005E0788"/>
    <w:rsid w:val="005E0A03"/>
    <w:rsid w:val="005E1B1B"/>
    <w:rsid w:val="005E33E8"/>
    <w:rsid w:val="005E351B"/>
    <w:rsid w:val="005E3941"/>
    <w:rsid w:val="005E4AEA"/>
    <w:rsid w:val="005E4BD3"/>
    <w:rsid w:val="005E50BB"/>
    <w:rsid w:val="005E6125"/>
    <w:rsid w:val="005E75E5"/>
    <w:rsid w:val="005F2D21"/>
    <w:rsid w:val="005F4D5E"/>
    <w:rsid w:val="005F5EB3"/>
    <w:rsid w:val="005F7130"/>
    <w:rsid w:val="006030D1"/>
    <w:rsid w:val="00603112"/>
    <w:rsid w:val="00603386"/>
    <w:rsid w:val="00606926"/>
    <w:rsid w:val="00607279"/>
    <w:rsid w:val="00607280"/>
    <w:rsid w:val="00607931"/>
    <w:rsid w:val="00607CE0"/>
    <w:rsid w:val="006104AB"/>
    <w:rsid w:val="00611B5E"/>
    <w:rsid w:val="00611DBC"/>
    <w:rsid w:val="00611ECD"/>
    <w:rsid w:val="0061324C"/>
    <w:rsid w:val="00613438"/>
    <w:rsid w:val="0061552B"/>
    <w:rsid w:val="00615F13"/>
    <w:rsid w:val="006165EA"/>
    <w:rsid w:val="00616E93"/>
    <w:rsid w:val="00620423"/>
    <w:rsid w:val="0062085F"/>
    <w:rsid w:val="00620DC1"/>
    <w:rsid w:val="00620E2D"/>
    <w:rsid w:val="00621FF2"/>
    <w:rsid w:val="00622663"/>
    <w:rsid w:val="00623A26"/>
    <w:rsid w:val="006244F9"/>
    <w:rsid w:val="00626E4E"/>
    <w:rsid w:val="00626F2F"/>
    <w:rsid w:val="0063041A"/>
    <w:rsid w:val="00630AEA"/>
    <w:rsid w:val="00630BCC"/>
    <w:rsid w:val="006339C0"/>
    <w:rsid w:val="00634AD8"/>
    <w:rsid w:val="00634CDA"/>
    <w:rsid w:val="006368FE"/>
    <w:rsid w:val="0064224A"/>
    <w:rsid w:val="00643F24"/>
    <w:rsid w:val="006444BD"/>
    <w:rsid w:val="006446A3"/>
    <w:rsid w:val="00644729"/>
    <w:rsid w:val="00644CC8"/>
    <w:rsid w:val="00645BED"/>
    <w:rsid w:val="006461A7"/>
    <w:rsid w:val="00647D3A"/>
    <w:rsid w:val="006516C5"/>
    <w:rsid w:val="00651739"/>
    <w:rsid w:val="00652918"/>
    <w:rsid w:val="00653400"/>
    <w:rsid w:val="00653EE4"/>
    <w:rsid w:val="00653FCD"/>
    <w:rsid w:val="006557BC"/>
    <w:rsid w:val="00656F8D"/>
    <w:rsid w:val="00657780"/>
    <w:rsid w:val="00660129"/>
    <w:rsid w:val="006606D3"/>
    <w:rsid w:val="00661475"/>
    <w:rsid w:val="00661EBB"/>
    <w:rsid w:val="006620CD"/>
    <w:rsid w:val="00662AB6"/>
    <w:rsid w:val="0066516B"/>
    <w:rsid w:val="006659EA"/>
    <w:rsid w:val="00665DFE"/>
    <w:rsid w:val="006706D4"/>
    <w:rsid w:val="00670C01"/>
    <w:rsid w:val="00670C4E"/>
    <w:rsid w:val="00670DA5"/>
    <w:rsid w:val="00671D65"/>
    <w:rsid w:val="0067344C"/>
    <w:rsid w:val="00673A07"/>
    <w:rsid w:val="00673DDE"/>
    <w:rsid w:val="00675D6F"/>
    <w:rsid w:val="0067607D"/>
    <w:rsid w:val="00677C30"/>
    <w:rsid w:val="00680A6E"/>
    <w:rsid w:val="00680F2B"/>
    <w:rsid w:val="0068119C"/>
    <w:rsid w:val="006815F4"/>
    <w:rsid w:val="006822E9"/>
    <w:rsid w:val="00682970"/>
    <w:rsid w:val="00683643"/>
    <w:rsid w:val="0068365D"/>
    <w:rsid w:val="00683A12"/>
    <w:rsid w:val="00684726"/>
    <w:rsid w:val="00684B3A"/>
    <w:rsid w:val="00685FC0"/>
    <w:rsid w:val="00686BC9"/>
    <w:rsid w:val="00687F89"/>
    <w:rsid w:val="0069197E"/>
    <w:rsid w:val="00692C46"/>
    <w:rsid w:val="00693D2D"/>
    <w:rsid w:val="00694E4E"/>
    <w:rsid w:val="006954D6"/>
    <w:rsid w:val="00696D3F"/>
    <w:rsid w:val="00697728"/>
    <w:rsid w:val="006A01B6"/>
    <w:rsid w:val="006A16EA"/>
    <w:rsid w:val="006A20FA"/>
    <w:rsid w:val="006A3A42"/>
    <w:rsid w:val="006A4046"/>
    <w:rsid w:val="006A4336"/>
    <w:rsid w:val="006A5638"/>
    <w:rsid w:val="006A67DA"/>
    <w:rsid w:val="006B0217"/>
    <w:rsid w:val="006B0456"/>
    <w:rsid w:val="006B0B7F"/>
    <w:rsid w:val="006B32CA"/>
    <w:rsid w:val="006B3784"/>
    <w:rsid w:val="006B3C0B"/>
    <w:rsid w:val="006B452E"/>
    <w:rsid w:val="006B5015"/>
    <w:rsid w:val="006B5DD6"/>
    <w:rsid w:val="006B7E22"/>
    <w:rsid w:val="006B7EFD"/>
    <w:rsid w:val="006C0422"/>
    <w:rsid w:val="006C0DA5"/>
    <w:rsid w:val="006C13D0"/>
    <w:rsid w:val="006C19BA"/>
    <w:rsid w:val="006C2767"/>
    <w:rsid w:val="006C404F"/>
    <w:rsid w:val="006C50D6"/>
    <w:rsid w:val="006C5C41"/>
    <w:rsid w:val="006C5D57"/>
    <w:rsid w:val="006D0DC8"/>
    <w:rsid w:val="006D19BA"/>
    <w:rsid w:val="006D333D"/>
    <w:rsid w:val="006D4376"/>
    <w:rsid w:val="006D60CF"/>
    <w:rsid w:val="006D7133"/>
    <w:rsid w:val="006E05EE"/>
    <w:rsid w:val="006E2973"/>
    <w:rsid w:val="006E2BBD"/>
    <w:rsid w:val="006E30E6"/>
    <w:rsid w:val="006E3CA3"/>
    <w:rsid w:val="006E47F4"/>
    <w:rsid w:val="006E5618"/>
    <w:rsid w:val="006E6942"/>
    <w:rsid w:val="006E6A03"/>
    <w:rsid w:val="006E6B08"/>
    <w:rsid w:val="006E7F2D"/>
    <w:rsid w:val="006F0141"/>
    <w:rsid w:val="006F0972"/>
    <w:rsid w:val="006F27AF"/>
    <w:rsid w:val="006F3BFA"/>
    <w:rsid w:val="006F44F8"/>
    <w:rsid w:val="006F4C2F"/>
    <w:rsid w:val="006F55E9"/>
    <w:rsid w:val="006F77CF"/>
    <w:rsid w:val="007018D9"/>
    <w:rsid w:val="007024C4"/>
    <w:rsid w:val="00702763"/>
    <w:rsid w:val="00702E6C"/>
    <w:rsid w:val="00703036"/>
    <w:rsid w:val="00703C11"/>
    <w:rsid w:val="0070405B"/>
    <w:rsid w:val="007049BD"/>
    <w:rsid w:val="00704F8E"/>
    <w:rsid w:val="00704FD3"/>
    <w:rsid w:val="0070527F"/>
    <w:rsid w:val="00705830"/>
    <w:rsid w:val="00705F17"/>
    <w:rsid w:val="0070632F"/>
    <w:rsid w:val="00711B72"/>
    <w:rsid w:val="0071262D"/>
    <w:rsid w:val="00712A7C"/>
    <w:rsid w:val="00712F9A"/>
    <w:rsid w:val="00713063"/>
    <w:rsid w:val="007138CE"/>
    <w:rsid w:val="0071584D"/>
    <w:rsid w:val="00715E86"/>
    <w:rsid w:val="00716A0F"/>
    <w:rsid w:val="00720621"/>
    <w:rsid w:val="00721382"/>
    <w:rsid w:val="00721CF2"/>
    <w:rsid w:val="00721D93"/>
    <w:rsid w:val="00721FDF"/>
    <w:rsid w:val="00723380"/>
    <w:rsid w:val="007233DF"/>
    <w:rsid w:val="007236AE"/>
    <w:rsid w:val="00725B5A"/>
    <w:rsid w:val="00726256"/>
    <w:rsid w:val="00726797"/>
    <w:rsid w:val="00727249"/>
    <w:rsid w:val="0073111E"/>
    <w:rsid w:val="007337BE"/>
    <w:rsid w:val="00733DFA"/>
    <w:rsid w:val="00734897"/>
    <w:rsid w:val="00734B58"/>
    <w:rsid w:val="00734DC3"/>
    <w:rsid w:val="007360B7"/>
    <w:rsid w:val="007365DE"/>
    <w:rsid w:val="00736997"/>
    <w:rsid w:val="00737ED5"/>
    <w:rsid w:val="00737F83"/>
    <w:rsid w:val="007408C9"/>
    <w:rsid w:val="00741496"/>
    <w:rsid w:val="0074261C"/>
    <w:rsid w:val="00742AEE"/>
    <w:rsid w:val="00744603"/>
    <w:rsid w:val="007452F0"/>
    <w:rsid w:val="00745CC7"/>
    <w:rsid w:val="00746499"/>
    <w:rsid w:val="00746AC1"/>
    <w:rsid w:val="0074722C"/>
    <w:rsid w:val="00747DD0"/>
    <w:rsid w:val="0075044F"/>
    <w:rsid w:val="00750A02"/>
    <w:rsid w:val="00750E00"/>
    <w:rsid w:val="00753487"/>
    <w:rsid w:val="00753747"/>
    <w:rsid w:val="00754AF7"/>
    <w:rsid w:val="00755BB0"/>
    <w:rsid w:val="00755DCD"/>
    <w:rsid w:val="00756564"/>
    <w:rsid w:val="0075658E"/>
    <w:rsid w:val="007565BE"/>
    <w:rsid w:val="007566C8"/>
    <w:rsid w:val="00757FB9"/>
    <w:rsid w:val="00760CC1"/>
    <w:rsid w:val="0076207A"/>
    <w:rsid w:val="00762F78"/>
    <w:rsid w:val="0076338F"/>
    <w:rsid w:val="00764947"/>
    <w:rsid w:val="00766092"/>
    <w:rsid w:val="0076629D"/>
    <w:rsid w:val="007665E9"/>
    <w:rsid w:val="0076760F"/>
    <w:rsid w:val="00770423"/>
    <w:rsid w:val="00770A7B"/>
    <w:rsid w:val="007711CE"/>
    <w:rsid w:val="007717B1"/>
    <w:rsid w:val="007720F5"/>
    <w:rsid w:val="00772201"/>
    <w:rsid w:val="007724AB"/>
    <w:rsid w:val="00772C3A"/>
    <w:rsid w:val="00772FA3"/>
    <w:rsid w:val="007749D6"/>
    <w:rsid w:val="007753BE"/>
    <w:rsid w:val="0077600D"/>
    <w:rsid w:val="00776B60"/>
    <w:rsid w:val="00777172"/>
    <w:rsid w:val="0077785D"/>
    <w:rsid w:val="00780C9A"/>
    <w:rsid w:val="00781F83"/>
    <w:rsid w:val="007822BD"/>
    <w:rsid w:val="00782313"/>
    <w:rsid w:val="00783D85"/>
    <w:rsid w:val="00783F85"/>
    <w:rsid w:val="007846D5"/>
    <w:rsid w:val="00784845"/>
    <w:rsid w:val="007863A8"/>
    <w:rsid w:val="00790B2E"/>
    <w:rsid w:val="00791568"/>
    <w:rsid w:val="007928C3"/>
    <w:rsid w:val="00793335"/>
    <w:rsid w:val="00794296"/>
    <w:rsid w:val="00794326"/>
    <w:rsid w:val="007943FB"/>
    <w:rsid w:val="00796020"/>
    <w:rsid w:val="007A0664"/>
    <w:rsid w:val="007A0811"/>
    <w:rsid w:val="007A0862"/>
    <w:rsid w:val="007A0C2E"/>
    <w:rsid w:val="007A0D70"/>
    <w:rsid w:val="007A18DF"/>
    <w:rsid w:val="007A1DA5"/>
    <w:rsid w:val="007A21C6"/>
    <w:rsid w:val="007A314D"/>
    <w:rsid w:val="007A332A"/>
    <w:rsid w:val="007A3671"/>
    <w:rsid w:val="007A377A"/>
    <w:rsid w:val="007A51C5"/>
    <w:rsid w:val="007B05A2"/>
    <w:rsid w:val="007B14A3"/>
    <w:rsid w:val="007B1501"/>
    <w:rsid w:val="007B16EA"/>
    <w:rsid w:val="007B17D7"/>
    <w:rsid w:val="007B31EB"/>
    <w:rsid w:val="007B36CD"/>
    <w:rsid w:val="007B4DA3"/>
    <w:rsid w:val="007B5AEF"/>
    <w:rsid w:val="007B5BB4"/>
    <w:rsid w:val="007B65EE"/>
    <w:rsid w:val="007B66C7"/>
    <w:rsid w:val="007B6839"/>
    <w:rsid w:val="007B6CD8"/>
    <w:rsid w:val="007B75D0"/>
    <w:rsid w:val="007C232E"/>
    <w:rsid w:val="007C35CF"/>
    <w:rsid w:val="007C4555"/>
    <w:rsid w:val="007C60C4"/>
    <w:rsid w:val="007C75BA"/>
    <w:rsid w:val="007C7771"/>
    <w:rsid w:val="007D0216"/>
    <w:rsid w:val="007D0430"/>
    <w:rsid w:val="007D07A8"/>
    <w:rsid w:val="007D2ABC"/>
    <w:rsid w:val="007D2EC7"/>
    <w:rsid w:val="007D3381"/>
    <w:rsid w:val="007D39A0"/>
    <w:rsid w:val="007D3D43"/>
    <w:rsid w:val="007D4D31"/>
    <w:rsid w:val="007D5225"/>
    <w:rsid w:val="007D5261"/>
    <w:rsid w:val="007D53BC"/>
    <w:rsid w:val="007D6E55"/>
    <w:rsid w:val="007D722E"/>
    <w:rsid w:val="007D725B"/>
    <w:rsid w:val="007E0D65"/>
    <w:rsid w:val="007E1F8B"/>
    <w:rsid w:val="007E292D"/>
    <w:rsid w:val="007E36D5"/>
    <w:rsid w:val="007E43B3"/>
    <w:rsid w:val="007E475C"/>
    <w:rsid w:val="007E5FDF"/>
    <w:rsid w:val="007E6293"/>
    <w:rsid w:val="007F033C"/>
    <w:rsid w:val="007F28E7"/>
    <w:rsid w:val="007F2C99"/>
    <w:rsid w:val="007F5160"/>
    <w:rsid w:val="007F5A73"/>
    <w:rsid w:val="007F680B"/>
    <w:rsid w:val="007F7C72"/>
    <w:rsid w:val="008020E1"/>
    <w:rsid w:val="00802B2D"/>
    <w:rsid w:val="00803AC9"/>
    <w:rsid w:val="00804289"/>
    <w:rsid w:val="008054BA"/>
    <w:rsid w:val="008060FE"/>
    <w:rsid w:val="00806349"/>
    <w:rsid w:val="00807965"/>
    <w:rsid w:val="00807C85"/>
    <w:rsid w:val="00810D55"/>
    <w:rsid w:val="00812D5E"/>
    <w:rsid w:val="00812DA8"/>
    <w:rsid w:val="0081607D"/>
    <w:rsid w:val="008160BB"/>
    <w:rsid w:val="008164D4"/>
    <w:rsid w:val="0081661A"/>
    <w:rsid w:val="008170A0"/>
    <w:rsid w:val="00817274"/>
    <w:rsid w:val="00817620"/>
    <w:rsid w:val="00817D96"/>
    <w:rsid w:val="00820154"/>
    <w:rsid w:val="00821322"/>
    <w:rsid w:val="00822FF2"/>
    <w:rsid w:val="00824394"/>
    <w:rsid w:val="00825D96"/>
    <w:rsid w:val="00826120"/>
    <w:rsid w:val="00826517"/>
    <w:rsid w:val="0082665C"/>
    <w:rsid w:val="00826DCC"/>
    <w:rsid w:val="00826F7A"/>
    <w:rsid w:val="008271FB"/>
    <w:rsid w:val="0082741C"/>
    <w:rsid w:val="00827678"/>
    <w:rsid w:val="008313D8"/>
    <w:rsid w:val="00831683"/>
    <w:rsid w:val="00831A61"/>
    <w:rsid w:val="00831B16"/>
    <w:rsid w:val="0083208C"/>
    <w:rsid w:val="00832272"/>
    <w:rsid w:val="00832EBF"/>
    <w:rsid w:val="008336AC"/>
    <w:rsid w:val="00833AC7"/>
    <w:rsid w:val="00834703"/>
    <w:rsid w:val="0083498C"/>
    <w:rsid w:val="00835345"/>
    <w:rsid w:val="0083704F"/>
    <w:rsid w:val="008372C3"/>
    <w:rsid w:val="008400C0"/>
    <w:rsid w:val="008409F7"/>
    <w:rsid w:val="00841003"/>
    <w:rsid w:val="00841A6B"/>
    <w:rsid w:val="00842AB6"/>
    <w:rsid w:val="0084371F"/>
    <w:rsid w:val="00845DD7"/>
    <w:rsid w:val="00850ADF"/>
    <w:rsid w:val="00851B3C"/>
    <w:rsid w:val="008544FB"/>
    <w:rsid w:val="00854757"/>
    <w:rsid w:val="00855810"/>
    <w:rsid w:val="00855A58"/>
    <w:rsid w:val="00856065"/>
    <w:rsid w:val="00857124"/>
    <w:rsid w:val="00857F78"/>
    <w:rsid w:val="00861A79"/>
    <w:rsid w:val="008623A8"/>
    <w:rsid w:val="008630E9"/>
    <w:rsid w:val="008639F5"/>
    <w:rsid w:val="00864AC4"/>
    <w:rsid w:val="00864F9B"/>
    <w:rsid w:val="0086567E"/>
    <w:rsid w:val="00866D23"/>
    <w:rsid w:val="00866F15"/>
    <w:rsid w:val="008674F3"/>
    <w:rsid w:val="00867E63"/>
    <w:rsid w:val="008708E5"/>
    <w:rsid w:val="00872237"/>
    <w:rsid w:val="008732B5"/>
    <w:rsid w:val="0087337F"/>
    <w:rsid w:val="00873E69"/>
    <w:rsid w:val="00873E99"/>
    <w:rsid w:val="00873EA6"/>
    <w:rsid w:val="00874468"/>
    <w:rsid w:val="00875681"/>
    <w:rsid w:val="00876FC9"/>
    <w:rsid w:val="008805FC"/>
    <w:rsid w:val="00880983"/>
    <w:rsid w:val="0088263B"/>
    <w:rsid w:val="00884251"/>
    <w:rsid w:val="00884E96"/>
    <w:rsid w:val="0088641B"/>
    <w:rsid w:val="00886C6A"/>
    <w:rsid w:val="008879B2"/>
    <w:rsid w:val="00887A42"/>
    <w:rsid w:val="00887CB0"/>
    <w:rsid w:val="00890C0F"/>
    <w:rsid w:val="00891E5B"/>
    <w:rsid w:val="00892ACD"/>
    <w:rsid w:val="00893076"/>
    <w:rsid w:val="00893D47"/>
    <w:rsid w:val="008940D1"/>
    <w:rsid w:val="00894AE0"/>
    <w:rsid w:val="00894B52"/>
    <w:rsid w:val="008954A3"/>
    <w:rsid w:val="00895F80"/>
    <w:rsid w:val="008966F0"/>
    <w:rsid w:val="00896779"/>
    <w:rsid w:val="00896E03"/>
    <w:rsid w:val="00897609"/>
    <w:rsid w:val="00897F52"/>
    <w:rsid w:val="008A134F"/>
    <w:rsid w:val="008A2362"/>
    <w:rsid w:val="008A48CC"/>
    <w:rsid w:val="008A4C04"/>
    <w:rsid w:val="008A62D8"/>
    <w:rsid w:val="008A74B6"/>
    <w:rsid w:val="008A7C6C"/>
    <w:rsid w:val="008B0CF9"/>
    <w:rsid w:val="008B16FE"/>
    <w:rsid w:val="008B1EAE"/>
    <w:rsid w:val="008B286C"/>
    <w:rsid w:val="008B2B7C"/>
    <w:rsid w:val="008B30A2"/>
    <w:rsid w:val="008B3E00"/>
    <w:rsid w:val="008B4E83"/>
    <w:rsid w:val="008B50EC"/>
    <w:rsid w:val="008C04EC"/>
    <w:rsid w:val="008C0EF0"/>
    <w:rsid w:val="008C1320"/>
    <w:rsid w:val="008C183D"/>
    <w:rsid w:val="008C3D2E"/>
    <w:rsid w:val="008C3E62"/>
    <w:rsid w:val="008C5526"/>
    <w:rsid w:val="008C6338"/>
    <w:rsid w:val="008C68B9"/>
    <w:rsid w:val="008C7207"/>
    <w:rsid w:val="008C7A93"/>
    <w:rsid w:val="008D0267"/>
    <w:rsid w:val="008D0E22"/>
    <w:rsid w:val="008D1ADC"/>
    <w:rsid w:val="008D1B07"/>
    <w:rsid w:val="008D26C7"/>
    <w:rsid w:val="008D59D3"/>
    <w:rsid w:val="008D60FB"/>
    <w:rsid w:val="008D687B"/>
    <w:rsid w:val="008D6E32"/>
    <w:rsid w:val="008D7218"/>
    <w:rsid w:val="008D7256"/>
    <w:rsid w:val="008D7663"/>
    <w:rsid w:val="008D782E"/>
    <w:rsid w:val="008E098F"/>
    <w:rsid w:val="008E0AFF"/>
    <w:rsid w:val="008E0BCD"/>
    <w:rsid w:val="008E13EA"/>
    <w:rsid w:val="008E1DF0"/>
    <w:rsid w:val="008E5CBF"/>
    <w:rsid w:val="008E6D6E"/>
    <w:rsid w:val="008E6E7B"/>
    <w:rsid w:val="008E72E0"/>
    <w:rsid w:val="008F006C"/>
    <w:rsid w:val="008F010F"/>
    <w:rsid w:val="008F1CE9"/>
    <w:rsid w:val="008F296D"/>
    <w:rsid w:val="008F2A6F"/>
    <w:rsid w:val="008F2E3E"/>
    <w:rsid w:val="008F3906"/>
    <w:rsid w:val="008F4CDE"/>
    <w:rsid w:val="008F550A"/>
    <w:rsid w:val="008F6340"/>
    <w:rsid w:val="008F6B02"/>
    <w:rsid w:val="008F7C20"/>
    <w:rsid w:val="008F7F6D"/>
    <w:rsid w:val="009000D1"/>
    <w:rsid w:val="009008DB"/>
    <w:rsid w:val="00901C1F"/>
    <w:rsid w:val="00902166"/>
    <w:rsid w:val="009022AC"/>
    <w:rsid w:val="00906BBF"/>
    <w:rsid w:val="00910106"/>
    <w:rsid w:val="00911985"/>
    <w:rsid w:val="00911D4A"/>
    <w:rsid w:val="00911F31"/>
    <w:rsid w:val="0091293E"/>
    <w:rsid w:val="00912999"/>
    <w:rsid w:val="0091373B"/>
    <w:rsid w:val="00914397"/>
    <w:rsid w:val="00915FE2"/>
    <w:rsid w:val="0091710E"/>
    <w:rsid w:val="00917476"/>
    <w:rsid w:val="00920AE4"/>
    <w:rsid w:val="00921015"/>
    <w:rsid w:val="009211CE"/>
    <w:rsid w:val="00921ED4"/>
    <w:rsid w:val="00921FEF"/>
    <w:rsid w:val="00923960"/>
    <w:rsid w:val="009242E8"/>
    <w:rsid w:val="00924368"/>
    <w:rsid w:val="00924EEB"/>
    <w:rsid w:val="00924F7B"/>
    <w:rsid w:val="0092547C"/>
    <w:rsid w:val="00926241"/>
    <w:rsid w:val="00927392"/>
    <w:rsid w:val="0092791F"/>
    <w:rsid w:val="009311C2"/>
    <w:rsid w:val="009320FF"/>
    <w:rsid w:val="00935803"/>
    <w:rsid w:val="00936AE3"/>
    <w:rsid w:val="00937D2F"/>
    <w:rsid w:val="00940287"/>
    <w:rsid w:val="0094033A"/>
    <w:rsid w:val="009418D7"/>
    <w:rsid w:val="00941E06"/>
    <w:rsid w:val="0094289A"/>
    <w:rsid w:val="00942AA4"/>
    <w:rsid w:val="00943E44"/>
    <w:rsid w:val="00944B89"/>
    <w:rsid w:val="00945085"/>
    <w:rsid w:val="0094588F"/>
    <w:rsid w:val="00945D95"/>
    <w:rsid w:val="00945F95"/>
    <w:rsid w:val="00946337"/>
    <w:rsid w:val="00946E28"/>
    <w:rsid w:val="00951338"/>
    <w:rsid w:val="00953EBF"/>
    <w:rsid w:val="00954226"/>
    <w:rsid w:val="00954D1F"/>
    <w:rsid w:val="00954F1A"/>
    <w:rsid w:val="00955AB6"/>
    <w:rsid w:val="00956214"/>
    <w:rsid w:val="00956C9D"/>
    <w:rsid w:val="00957A37"/>
    <w:rsid w:val="00957CBB"/>
    <w:rsid w:val="009603F9"/>
    <w:rsid w:val="009646AC"/>
    <w:rsid w:val="009665D6"/>
    <w:rsid w:val="00966A99"/>
    <w:rsid w:val="00967B98"/>
    <w:rsid w:val="00970AF8"/>
    <w:rsid w:val="00970E44"/>
    <w:rsid w:val="0097270B"/>
    <w:rsid w:val="00972CB3"/>
    <w:rsid w:val="00973316"/>
    <w:rsid w:val="00974223"/>
    <w:rsid w:val="00980336"/>
    <w:rsid w:val="00981268"/>
    <w:rsid w:val="00981EC3"/>
    <w:rsid w:val="00982785"/>
    <w:rsid w:val="009836FE"/>
    <w:rsid w:val="009851FE"/>
    <w:rsid w:val="00985F51"/>
    <w:rsid w:val="00990FEB"/>
    <w:rsid w:val="0099161D"/>
    <w:rsid w:val="00991B9D"/>
    <w:rsid w:val="00993A34"/>
    <w:rsid w:val="00995FC8"/>
    <w:rsid w:val="00997184"/>
    <w:rsid w:val="009A0955"/>
    <w:rsid w:val="009A0F14"/>
    <w:rsid w:val="009A24CC"/>
    <w:rsid w:val="009A26B7"/>
    <w:rsid w:val="009A3378"/>
    <w:rsid w:val="009A3DC1"/>
    <w:rsid w:val="009A5C37"/>
    <w:rsid w:val="009A7F01"/>
    <w:rsid w:val="009A7F17"/>
    <w:rsid w:val="009B27CA"/>
    <w:rsid w:val="009B2B4E"/>
    <w:rsid w:val="009B43FA"/>
    <w:rsid w:val="009B489C"/>
    <w:rsid w:val="009B4A88"/>
    <w:rsid w:val="009B4EA7"/>
    <w:rsid w:val="009B63C7"/>
    <w:rsid w:val="009B6E96"/>
    <w:rsid w:val="009B76DE"/>
    <w:rsid w:val="009C0043"/>
    <w:rsid w:val="009C0055"/>
    <w:rsid w:val="009C03A9"/>
    <w:rsid w:val="009C1E86"/>
    <w:rsid w:val="009C2C56"/>
    <w:rsid w:val="009C3062"/>
    <w:rsid w:val="009C458C"/>
    <w:rsid w:val="009C4E1A"/>
    <w:rsid w:val="009C78EA"/>
    <w:rsid w:val="009D14FD"/>
    <w:rsid w:val="009D1671"/>
    <w:rsid w:val="009D1B64"/>
    <w:rsid w:val="009D1B7B"/>
    <w:rsid w:val="009D262B"/>
    <w:rsid w:val="009D2AB7"/>
    <w:rsid w:val="009D2BBD"/>
    <w:rsid w:val="009D2E63"/>
    <w:rsid w:val="009D3308"/>
    <w:rsid w:val="009D4DD4"/>
    <w:rsid w:val="009D5BA1"/>
    <w:rsid w:val="009D6498"/>
    <w:rsid w:val="009D7192"/>
    <w:rsid w:val="009D7D4D"/>
    <w:rsid w:val="009E00C3"/>
    <w:rsid w:val="009E0AB0"/>
    <w:rsid w:val="009E1438"/>
    <w:rsid w:val="009E1782"/>
    <w:rsid w:val="009E1D06"/>
    <w:rsid w:val="009E30EC"/>
    <w:rsid w:val="009E3A09"/>
    <w:rsid w:val="009E3B77"/>
    <w:rsid w:val="009E414C"/>
    <w:rsid w:val="009E4B54"/>
    <w:rsid w:val="009E5871"/>
    <w:rsid w:val="009E62E9"/>
    <w:rsid w:val="009E6D89"/>
    <w:rsid w:val="009F2821"/>
    <w:rsid w:val="009F2E0C"/>
    <w:rsid w:val="009F5DAC"/>
    <w:rsid w:val="009F6EF2"/>
    <w:rsid w:val="00A007D6"/>
    <w:rsid w:val="00A008F5"/>
    <w:rsid w:val="00A023FB"/>
    <w:rsid w:val="00A02F9F"/>
    <w:rsid w:val="00A0369A"/>
    <w:rsid w:val="00A03731"/>
    <w:rsid w:val="00A0568F"/>
    <w:rsid w:val="00A05A9A"/>
    <w:rsid w:val="00A06A22"/>
    <w:rsid w:val="00A13998"/>
    <w:rsid w:val="00A14145"/>
    <w:rsid w:val="00A14570"/>
    <w:rsid w:val="00A15761"/>
    <w:rsid w:val="00A17176"/>
    <w:rsid w:val="00A179D1"/>
    <w:rsid w:val="00A17D55"/>
    <w:rsid w:val="00A208B1"/>
    <w:rsid w:val="00A20B45"/>
    <w:rsid w:val="00A20CE9"/>
    <w:rsid w:val="00A211C7"/>
    <w:rsid w:val="00A213C2"/>
    <w:rsid w:val="00A22EED"/>
    <w:rsid w:val="00A23642"/>
    <w:rsid w:val="00A2408B"/>
    <w:rsid w:val="00A2427D"/>
    <w:rsid w:val="00A258C0"/>
    <w:rsid w:val="00A26572"/>
    <w:rsid w:val="00A26D29"/>
    <w:rsid w:val="00A276DA"/>
    <w:rsid w:val="00A27F00"/>
    <w:rsid w:val="00A27F2B"/>
    <w:rsid w:val="00A300E7"/>
    <w:rsid w:val="00A317F5"/>
    <w:rsid w:val="00A32749"/>
    <w:rsid w:val="00A332C4"/>
    <w:rsid w:val="00A334FF"/>
    <w:rsid w:val="00A34530"/>
    <w:rsid w:val="00A3481E"/>
    <w:rsid w:val="00A3531D"/>
    <w:rsid w:val="00A35D13"/>
    <w:rsid w:val="00A35F78"/>
    <w:rsid w:val="00A36B6C"/>
    <w:rsid w:val="00A36ED2"/>
    <w:rsid w:val="00A37C00"/>
    <w:rsid w:val="00A403C7"/>
    <w:rsid w:val="00A40492"/>
    <w:rsid w:val="00A4177C"/>
    <w:rsid w:val="00A41C49"/>
    <w:rsid w:val="00A426DD"/>
    <w:rsid w:val="00A42ADD"/>
    <w:rsid w:val="00A42CB0"/>
    <w:rsid w:val="00A431C3"/>
    <w:rsid w:val="00A43808"/>
    <w:rsid w:val="00A43B26"/>
    <w:rsid w:val="00A4481C"/>
    <w:rsid w:val="00A45B66"/>
    <w:rsid w:val="00A51DE5"/>
    <w:rsid w:val="00A51FE7"/>
    <w:rsid w:val="00A5209C"/>
    <w:rsid w:val="00A52991"/>
    <w:rsid w:val="00A52B0E"/>
    <w:rsid w:val="00A56931"/>
    <w:rsid w:val="00A569C7"/>
    <w:rsid w:val="00A57ED1"/>
    <w:rsid w:val="00A60972"/>
    <w:rsid w:val="00A613FB"/>
    <w:rsid w:val="00A6161E"/>
    <w:rsid w:val="00A62961"/>
    <w:rsid w:val="00A62AF3"/>
    <w:rsid w:val="00A62C67"/>
    <w:rsid w:val="00A63DC1"/>
    <w:rsid w:val="00A664D1"/>
    <w:rsid w:val="00A6705B"/>
    <w:rsid w:val="00A67539"/>
    <w:rsid w:val="00A677AA"/>
    <w:rsid w:val="00A677E0"/>
    <w:rsid w:val="00A67B59"/>
    <w:rsid w:val="00A7039F"/>
    <w:rsid w:val="00A713E0"/>
    <w:rsid w:val="00A71620"/>
    <w:rsid w:val="00A7194C"/>
    <w:rsid w:val="00A71D2E"/>
    <w:rsid w:val="00A7492A"/>
    <w:rsid w:val="00A74CD8"/>
    <w:rsid w:val="00A76113"/>
    <w:rsid w:val="00A76428"/>
    <w:rsid w:val="00A767D9"/>
    <w:rsid w:val="00A77345"/>
    <w:rsid w:val="00A80B40"/>
    <w:rsid w:val="00A80C71"/>
    <w:rsid w:val="00A8155E"/>
    <w:rsid w:val="00A8334B"/>
    <w:rsid w:val="00A833D8"/>
    <w:rsid w:val="00A8389A"/>
    <w:rsid w:val="00A83BA3"/>
    <w:rsid w:val="00A84663"/>
    <w:rsid w:val="00A84FA0"/>
    <w:rsid w:val="00A85431"/>
    <w:rsid w:val="00A85BB4"/>
    <w:rsid w:val="00A863AD"/>
    <w:rsid w:val="00A87258"/>
    <w:rsid w:val="00A87B88"/>
    <w:rsid w:val="00A90B06"/>
    <w:rsid w:val="00A90B91"/>
    <w:rsid w:val="00A917B2"/>
    <w:rsid w:val="00A91C17"/>
    <w:rsid w:val="00A91C72"/>
    <w:rsid w:val="00A924E0"/>
    <w:rsid w:val="00A93350"/>
    <w:rsid w:val="00A96031"/>
    <w:rsid w:val="00A9639A"/>
    <w:rsid w:val="00A965CF"/>
    <w:rsid w:val="00A97222"/>
    <w:rsid w:val="00AA0685"/>
    <w:rsid w:val="00AA0C90"/>
    <w:rsid w:val="00AA1388"/>
    <w:rsid w:val="00AA1C9A"/>
    <w:rsid w:val="00AA1ED3"/>
    <w:rsid w:val="00AA4132"/>
    <w:rsid w:val="00AA41F0"/>
    <w:rsid w:val="00AA6631"/>
    <w:rsid w:val="00AB14B3"/>
    <w:rsid w:val="00AB265A"/>
    <w:rsid w:val="00AB2EAD"/>
    <w:rsid w:val="00AB3312"/>
    <w:rsid w:val="00AB3376"/>
    <w:rsid w:val="00AB3499"/>
    <w:rsid w:val="00AB3721"/>
    <w:rsid w:val="00AB4959"/>
    <w:rsid w:val="00AB4ACA"/>
    <w:rsid w:val="00AB4E3D"/>
    <w:rsid w:val="00AB5DA6"/>
    <w:rsid w:val="00AB5DC5"/>
    <w:rsid w:val="00AB5E85"/>
    <w:rsid w:val="00AB7015"/>
    <w:rsid w:val="00AB7B6A"/>
    <w:rsid w:val="00AB7C16"/>
    <w:rsid w:val="00AB7FC4"/>
    <w:rsid w:val="00AC0FE1"/>
    <w:rsid w:val="00AC3F65"/>
    <w:rsid w:val="00AC6D92"/>
    <w:rsid w:val="00AC7129"/>
    <w:rsid w:val="00AD047D"/>
    <w:rsid w:val="00AD1657"/>
    <w:rsid w:val="00AD1ECE"/>
    <w:rsid w:val="00AD1F52"/>
    <w:rsid w:val="00AD2404"/>
    <w:rsid w:val="00AD344D"/>
    <w:rsid w:val="00AD350E"/>
    <w:rsid w:val="00AD5906"/>
    <w:rsid w:val="00AD5A1D"/>
    <w:rsid w:val="00AD67C6"/>
    <w:rsid w:val="00AD67F1"/>
    <w:rsid w:val="00AD6AA7"/>
    <w:rsid w:val="00AD6BA6"/>
    <w:rsid w:val="00AD7223"/>
    <w:rsid w:val="00AD7933"/>
    <w:rsid w:val="00AE08A0"/>
    <w:rsid w:val="00AE1BAB"/>
    <w:rsid w:val="00AE2AD5"/>
    <w:rsid w:val="00AE3403"/>
    <w:rsid w:val="00AE4A8E"/>
    <w:rsid w:val="00AE5ED5"/>
    <w:rsid w:val="00AE5FAD"/>
    <w:rsid w:val="00AE6F32"/>
    <w:rsid w:val="00AE6F59"/>
    <w:rsid w:val="00AF00A6"/>
    <w:rsid w:val="00AF0F90"/>
    <w:rsid w:val="00AF2BB3"/>
    <w:rsid w:val="00AF36DA"/>
    <w:rsid w:val="00AF3CC0"/>
    <w:rsid w:val="00AF3F5D"/>
    <w:rsid w:val="00AF5671"/>
    <w:rsid w:val="00AF6E97"/>
    <w:rsid w:val="00B00785"/>
    <w:rsid w:val="00B015B5"/>
    <w:rsid w:val="00B01A12"/>
    <w:rsid w:val="00B04068"/>
    <w:rsid w:val="00B049EA"/>
    <w:rsid w:val="00B04C26"/>
    <w:rsid w:val="00B053D2"/>
    <w:rsid w:val="00B05C80"/>
    <w:rsid w:val="00B10371"/>
    <w:rsid w:val="00B115DE"/>
    <w:rsid w:val="00B12340"/>
    <w:rsid w:val="00B135D9"/>
    <w:rsid w:val="00B13C56"/>
    <w:rsid w:val="00B14281"/>
    <w:rsid w:val="00B14465"/>
    <w:rsid w:val="00B147F5"/>
    <w:rsid w:val="00B14F2B"/>
    <w:rsid w:val="00B16A05"/>
    <w:rsid w:val="00B1798A"/>
    <w:rsid w:val="00B17D56"/>
    <w:rsid w:val="00B22134"/>
    <w:rsid w:val="00B225C3"/>
    <w:rsid w:val="00B22BEB"/>
    <w:rsid w:val="00B234CD"/>
    <w:rsid w:val="00B23ADA"/>
    <w:rsid w:val="00B258C7"/>
    <w:rsid w:val="00B261CC"/>
    <w:rsid w:val="00B2683C"/>
    <w:rsid w:val="00B27B03"/>
    <w:rsid w:val="00B3031E"/>
    <w:rsid w:val="00B3078F"/>
    <w:rsid w:val="00B30872"/>
    <w:rsid w:val="00B31562"/>
    <w:rsid w:val="00B3182D"/>
    <w:rsid w:val="00B32E6B"/>
    <w:rsid w:val="00B32F6B"/>
    <w:rsid w:val="00B33018"/>
    <w:rsid w:val="00B3398B"/>
    <w:rsid w:val="00B33A48"/>
    <w:rsid w:val="00B33AD1"/>
    <w:rsid w:val="00B3532F"/>
    <w:rsid w:val="00B35B48"/>
    <w:rsid w:val="00B375CE"/>
    <w:rsid w:val="00B37D1B"/>
    <w:rsid w:val="00B40026"/>
    <w:rsid w:val="00B42335"/>
    <w:rsid w:val="00B43000"/>
    <w:rsid w:val="00B4365E"/>
    <w:rsid w:val="00B44FF6"/>
    <w:rsid w:val="00B452BF"/>
    <w:rsid w:val="00B45C00"/>
    <w:rsid w:val="00B46611"/>
    <w:rsid w:val="00B469BA"/>
    <w:rsid w:val="00B477B4"/>
    <w:rsid w:val="00B508EE"/>
    <w:rsid w:val="00B510B5"/>
    <w:rsid w:val="00B51965"/>
    <w:rsid w:val="00B54091"/>
    <w:rsid w:val="00B5449F"/>
    <w:rsid w:val="00B55773"/>
    <w:rsid w:val="00B5622C"/>
    <w:rsid w:val="00B56B43"/>
    <w:rsid w:val="00B570AB"/>
    <w:rsid w:val="00B60135"/>
    <w:rsid w:val="00B60E3B"/>
    <w:rsid w:val="00B62430"/>
    <w:rsid w:val="00B649EB"/>
    <w:rsid w:val="00B6540D"/>
    <w:rsid w:val="00B661AB"/>
    <w:rsid w:val="00B6645A"/>
    <w:rsid w:val="00B66680"/>
    <w:rsid w:val="00B67D66"/>
    <w:rsid w:val="00B70956"/>
    <w:rsid w:val="00B7130C"/>
    <w:rsid w:val="00B71942"/>
    <w:rsid w:val="00B723C5"/>
    <w:rsid w:val="00B74E26"/>
    <w:rsid w:val="00B75335"/>
    <w:rsid w:val="00B754D2"/>
    <w:rsid w:val="00B75C37"/>
    <w:rsid w:val="00B76CC5"/>
    <w:rsid w:val="00B76F6D"/>
    <w:rsid w:val="00B80E4E"/>
    <w:rsid w:val="00B811C5"/>
    <w:rsid w:val="00B82CCC"/>
    <w:rsid w:val="00B83D8D"/>
    <w:rsid w:val="00B84414"/>
    <w:rsid w:val="00B84E22"/>
    <w:rsid w:val="00B85476"/>
    <w:rsid w:val="00B86B07"/>
    <w:rsid w:val="00B90014"/>
    <w:rsid w:val="00B906A6"/>
    <w:rsid w:val="00B91D07"/>
    <w:rsid w:val="00B921B3"/>
    <w:rsid w:val="00B923A2"/>
    <w:rsid w:val="00B92F9B"/>
    <w:rsid w:val="00B93CAC"/>
    <w:rsid w:val="00B93D52"/>
    <w:rsid w:val="00B940DD"/>
    <w:rsid w:val="00B9699C"/>
    <w:rsid w:val="00B971CD"/>
    <w:rsid w:val="00B975D3"/>
    <w:rsid w:val="00BA0D6F"/>
    <w:rsid w:val="00BA1500"/>
    <w:rsid w:val="00BA1A4D"/>
    <w:rsid w:val="00BA3743"/>
    <w:rsid w:val="00BA3C66"/>
    <w:rsid w:val="00BA4A89"/>
    <w:rsid w:val="00BA53BD"/>
    <w:rsid w:val="00BA55FD"/>
    <w:rsid w:val="00BA5A0B"/>
    <w:rsid w:val="00BA696C"/>
    <w:rsid w:val="00BA7BF7"/>
    <w:rsid w:val="00BB0598"/>
    <w:rsid w:val="00BB0764"/>
    <w:rsid w:val="00BB10E7"/>
    <w:rsid w:val="00BB1F25"/>
    <w:rsid w:val="00BB2456"/>
    <w:rsid w:val="00BB3615"/>
    <w:rsid w:val="00BB58EE"/>
    <w:rsid w:val="00BB5DB4"/>
    <w:rsid w:val="00BB63C5"/>
    <w:rsid w:val="00BB64F7"/>
    <w:rsid w:val="00BB71A0"/>
    <w:rsid w:val="00BC0222"/>
    <w:rsid w:val="00BC275C"/>
    <w:rsid w:val="00BC397F"/>
    <w:rsid w:val="00BC3F48"/>
    <w:rsid w:val="00BC429B"/>
    <w:rsid w:val="00BC4BAE"/>
    <w:rsid w:val="00BC537A"/>
    <w:rsid w:val="00BC5801"/>
    <w:rsid w:val="00BC5A65"/>
    <w:rsid w:val="00BD017C"/>
    <w:rsid w:val="00BD037E"/>
    <w:rsid w:val="00BD08E4"/>
    <w:rsid w:val="00BD0A1A"/>
    <w:rsid w:val="00BD0B0A"/>
    <w:rsid w:val="00BD1E92"/>
    <w:rsid w:val="00BD1F21"/>
    <w:rsid w:val="00BD215A"/>
    <w:rsid w:val="00BD3ACD"/>
    <w:rsid w:val="00BD3C98"/>
    <w:rsid w:val="00BD4658"/>
    <w:rsid w:val="00BD4667"/>
    <w:rsid w:val="00BD46D2"/>
    <w:rsid w:val="00BD5121"/>
    <w:rsid w:val="00BD5720"/>
    <w:rsid w:val="00BD5D2F"/>
    <w:rsid w:val="00BD67BD"/>
    <w:rsid w:val="00BD7117"/>
    <w:rsid w:val="00BD782D"/>
    <w:rsid w:val="00BD7885"/>
    <w:rsid w:val="00BD7B83"/>
    <w:rsid w:val="00BD7E48"/>
    <w:rsid w:val="00BE0008"/>
    <w:rsid w:val="00BE06B9"/>
    <w:rsid w:val="00BE0A40"/>
    <w:rsid w:val="00BE1C60"/>
    <w:rsid w:val="00BE2455"/>
    <w:rsid w:val="00BE3109"/>
    <w:rsid w:val="00BE3918"/>
    <w:rsid w:val="00BE4D8A"/>
    <w:rsid w:val="00BE51D8"/>
    <w:rsid w:val="00BE6073"/>
    <w:rsid w:val="00BE779B"/>
    <w:rsid w:val="00BE77C7"/>
    <w:rsid w:val="00BE7886"/>
    <w:rsid w:val="00BF0500"/>
    <w:rsid w:val="00BF09CF"/>
    <w:rsid w:val="00BF2C7D"/>
    <w:rsid w:val="00BF2D68"/>
    <w:rsid w:val="00BF2FEB"/>
    <w:rsid w:val="00BF326F"/>
    <w:rsid w:val="00BF4185"/>
    <w:rsid w:val="00BF43AB"/>
    <w:rsid w:val="00BF4C44"/>
    <w:rsid w:val="00C000BB"/>
    <w:rsid w:val="00C00D63"/>
    <w:rsid w:val="00C01615"/>
    <w:rsid w:val="00C01DD6"/>
    <w:rsid w:val="00C0346A"/>
    <w:rsid w:val="00C03D63"/>
    <w:rsid w:val="00C03D9D"/>
    <w:rsid w:val="00C03EE8"/>
    <w:rsid w:val="00C044E9"/>
    <w:rsid w:val="00C0470F"/>
    <w:rsid w:val="00C04D2F"/>
    <w:rsid w:val="00C05913"/>
    <w:rsid w:val="00C064A1"/>
    <w:rsid w:val="00C07F4B"/>
    <w:rsid w:val="00C10451"/>
    <w:rsid w:val="00C10BED"/>
    <w:rsid w:val="00C12F7B"/>
    <w:rsid w:val="00C1474E"/>
    <w:rsid w:val="00C14753"/>
    <w:rsid w:val="00C14A14"/>
    <w:rsid w:val="00C14AA0"/>
    <w:rsid w:val="00C2011A"/>
    <w:rsid w:val="00C202BE"/>
    <w:rsid w:val="00C22261"/>
    <w:rsid w:val="00C22DC6"/>
    <w:rsid w:val="00C248E7"/>
    <w:rsid w:val="00C279A4"/>
    <w:rsid w:val="00C300F2"/>
    <w:rsid w:val="00C309FC"/>
    <w:rsid w:val="00C31409"/>
    <w:rsid w:val="00C321A9"/>
    <w:rsid w:val="00C33EC6"/>
    <w:rsid w:val="00C35212"/>
    <w:rsid w:val="00C36243"/>
    <w:rsid w:val="00C370A6"/>
    <w:rsid w:val="00C377F8"/>
    <w:rsid w:val="00C3794B"/>
    <w:rsid w:val="00C404CE"/>
    <w:rsid w:val="00C40768"/>
    <w:rsid w:val="00C41340"/>
    <w:rsid w:val="00C41399"/>
    <w:rsid w:val="00C41491"/>
    <w:rsid w:val="00C416A0"/>
    <w:rsid w:val="00C431CF"/>
    <w:rsid w:val="00C443B3"/>
    <w:rsid w:val="00C44774"/>
    <w:rsid w:val="00C45437"/>
    <w:rsid w:val="00C45507"/>
    <w:rsid w:val="00C45B5B"/>
    <w:rsid w:val="00C476E0"/>
    <w:rsid w:val="00C5045D"/>
    <w:rsid w:val="00C50925"/>
    <w:rsid w:val="00C50C81"/>
    <w:rsid w:val="00C51761"/>
    <w:rsid w:val="00C53D85"/>
    <w:rsid w:val="00C53DC6"/>
    <w:rsid w:val="00C57B6F"/>
    <w:rsid w:val="00C57C8B"/>
    <w:rsid w:val="00C6067F"/>
    <w:rsid w:val="00C61866"/>
    <w:rsid w:val="00C61936"/>
    <w:rsid w:val="00C64913"/>
    <w:rsid w:val="00C65AD5"/>
    <w:rsid w:val="00C667F5"/>
    <w:rsid w:val="00C66ABC"/>
    <w:rsid w:val="00C66BA0"/>
    <w:rsid w:val="00C701B2"/>
    <w:rsid w:val="00C7265A"/>
    <w:rsid w:val="00C7299D"/>
    <w:rsid w:val="00C73165"/>
    <w:rsid w:val="00C73218"/>
    <w:rsid w:val="00C7334E"/>
    <w:rsid w:val="00C75398"/>
    <w:rsid w:val="00C76303"/>
    <w:rsid w:val="00C76F1E"/>
    <w:rsid w:val="00C80289"/>
    <w:rsid w:val="00C81372"/>
    <w:rsid w:val="00C822BF"/>
    <w:rsid w:val="00C849F0"/>
    <w:rsid w:val="00C8545B"/>
    <w:rsid w:val="00C86374"/>
    <w:rsid w:val="00C86830"/>
    <w:rsid w:val="00C877D9"/>
    <w:rsid w:val="00C90264"/>
    <w:rsid w:val="00C91980"/>
    <w:rsid w:val="00C91AF2"/>
    <w:rsid w:val="00C92EB5"/>
    <w:rsid w:val="00C941FC"/>
    <w:rsid w:val="00C95922"/>
    <w:rsid w:val="00C96387"/>
    <w:rsid w:val="00C96C94"/>
    <w:rsid w:val="00C96F79"/>
    <w:rsid w:val="00CA0ED8"/>
    <w:rsid w:val="00CA1420"/>
    <w:rsid w:val="00CA1459"/>
    <w:rsid w:val="00CA236B"/>
    <w:rsid w:val="00CA2732"/>
    <w:rsid w:val="00CA34E5"/>
    <w:rsid w:val="00CA3B70"/>
    <w:rsid w:val="00CA3D6D"/>
    <w:rsid w:val="00CA3F38"/>
    <w:rsid w:val="00CA5600"/>
    <w:rsid w:val="00CA5850"/>
    <w:rsid w:val="00CA6157"/>
    <w:rsid w:val="00CA69BF"/>
    <w:rsid w:val="00CA7E6C"/>
    <w:rsid w:val="00CB14AD"/>
    <w:rsid w:val="00CB1FD9"/>
    <w:rsid w:val="00CB2519"/>
    <w:rsid w:val="00CB2C8B"/>
    <w:rsid w:val="00CB2D90"/>
    <w:rsid w:val="00CB3C0C"/>
    <w:rsid w:val="00CB3D29"/>
    <w:rsid w:val="00CB56CC"/>
    <w:rsid w:val="00CB7550"/>
    <w:rsid w:val="00CB7703"/>
    <w:rsid w:val="00CB7F94"/>
    <w:rsid w:val="00CC0E30"/>
    <w:rsid w:val="00CC2008"/>
    <w:rsid w:val="00CC24FE"/>
    <w:rsid w:val="00CC2578"/>
    <w:rsid w:val="00CC271F"/>
    <w:rsid w:val="00CC29D7"/>
    <w:rsid w:val="00CC31B5"/>
    <w:rsid w:val="00CC408B"/>
    <w:rsid w:val="00CC44E9"/>
    <w:rsid w:val="00CC4B3E"/>
    <w:rsid w:val="00CC5AB8"/>
    <w:rsid w:val="00CC5D26"/>
    <w:rsid w:val="00CC7190"/>
    <w:rsid w:val="00CC76AD"/>
    <w:rsid w:val="00CC79FE"/>
    <w:rsid w:val="00CD0282"/>
    <w:rsid w:val="00CD1C3B"/>
    <w:rsid w:val="00CD1DE5"/>
    <w:rsid w:val="00CD4E77"/>
    <w:rsid w:val="00CD5A2A"/>
    <w:rsid w:val="00CD7C74"/>
    <w:rsid w:val="00CE02B5"/>
    <w:rsid w:val="00CE0C4F"/>
    <w:rsid w:val="00CE1C4D"/>
    <w:rsid w:val="00CE27BB"/>
    <w:rsid w:val="00CE2C95"/>
    <w:rsid w:val="00CE32A9"/>
    <w:rsid w:val="00CE3B91"/>
    <w:rsid w:val="00CE4B70"/>
    <w:rsid w:val="00CE4EC1"/>
    <w:rsid w:val="00CE6420"/>
    <w:rsid w:val="00CE65EC"/>
    <w:rsid w:val="00CE6F22"/>
    <w:rsid w:val="00CE7C4D"/>
    <w:rsid w:val="00CF09C2"/>
    <w:rsid w:val="00CF1E67"/>
    <w:rsid w:val="00CF3539"/>
    <w:rsid w:val="00CF4DAD"/>
    <w:rsid w:val="00CF5004"/>
    <w:rsid w:val="00CF584D"/>
    <w:rsid w:val="00CF59F7"/>
    <w:rsid w:val="00CF65A0"/>
    <w:rsid w:val="00CF7B15"/>
    <w:rsid w:val="00CF7C1C"/>
    <w:rsid w:val="00D00499"/>
    <w:rsid w:val="00D00BC0"/>
    <w:rsid w:val="00D013BD"/>
    <w:rsid w:val="00D01C5A"/>
    <w:rsid w:val="00D01F6A"/>
    <w:rsid w:val="00D02314"/>
    <w:rsid w:val="00D033D9"/>
    <w:rsid w:val="00D0699C"/>
    <w:rsid w:val="00D06CF7"/>
    <w:rsid w:val="00D10013"/>
    <w:rsid w:val="00D11035"/>
    <w:rsid w:val="00D11FFA"/>
    <w:rsid w:val="00D122F1"/>
    <w:rsid w:val="00D128E6"/>
    <w:rsid w:val="00D12CAC"/>
    <w:rsid w:val="00D1350B"/>
    <w:rsid w:val="00D137A9"/>
    <w:rsid w:val="00D13A65"/>
    <w:rsid w:val="00D14097"/>
    <w:rsid w:val="00D145C6"/>
    <w:rsid w:val="00D1474B"/>
    <w:rsid w:val="00D14800"/>
    <w:rsid w:val="00D167C7"/>
    <w:rsid w:val="00D16AD7"/>
    <w:rsid w:val="00D16BCC"/>
    <w:rsid w:val="00D20DEF"/>
    <w:rsid w:val="00D2250E"/>
    <w:rsid w:val="00D232E3"/>
    <w:rsid w:val="00D235EE"/>
    <w:rsid w:val="00D23707"/>
    <w:rsid w:val="00D26465"/>
    <w:rsid w:val="00D27D5A"/>
    <w:rsid w:val="00D33C17"/>
    <w:rsid w:val="00D341AE"/>
    <w:rsid w:val="00D3437A"/>
    <w:rsid w:val="00D3467F"/>
    <w:rsid w:val="00D37612"/>
    <w:rsid w:val="00D37B25"/>
    <w:rsid w:val="00D41951"/>
    <w:rsid w:val="00D4309A"/>
    <w:rsid w:val="00D430DD"/>
    <w:rsid w:val="00D43F1A"/>
    <w:rsid w:val="00D45435"/>
    <w:rsid w:val="00D45D8B"/>
    <w:rsid w:val="00D46213"/>
    <w:rsid w:val="00D462C0"/>
    <w:rsid w:val="00D473D9"/>
    <w:rsid w:val="00D47548"/>
    <w:rsid w:val="00D477D0"/>
    <w:rsid w:val="00D5248A"/>
    <w:rsid w:val="00D5363F"/>
    <w:rsid w:val="00D53DF7"/>
    <w:rsid w:val="00D546F7"/>
    <w:rsid w:val="00D54707"/>
    <w:rsid w:val="00D56566"/>
    <w:rsid w:val="00D56C80"/>
    <w:rsid w:val="00D56DFB"/>
    <w:rsid w:val="00D57502"/>
    <w:rsid w:val="00D579B3"/>
    <w:rsid w:val="00D60B37"/>
    <w:rsid w:val="00D61197"/>
    <w:rsid w:val="00D61466"/>
    <w:rsid w:val="00D62E3A"/>
    <w:rsid w:val="00D6413B"/>
    <w:rsid w:val="00D6549D"/>
    <w:rsid w:val="00D65862"/>
    <w:rsid w:val="00D66EE4"/>
    <w:rsid w:val="00D67890"/>
    <w:rsid w:val="00D67EC6"/>
    <w:rsid w:val="00D70023"/>
    <w:rsid w:val="00D70597"/>
    <w:rsid w:val="00D74608"/>
    <w:rsid w:val="00D74738"/>
    <w:rsid w:val="00D751AA"/>
    <w:rsid w:val="00D75A4F"/>
    <w:rsid w:val="00D75F9F"/>
    <w:rsid w:val="00D766A8"/>
    <w:rsid w:val="00D76C98"/>
    <w:rsid w:val="00D77625"/>
    <w:rsid w:val="00D800A3"/>
    <w:rsid w:val="00D810F6"/>
    <w:rsid w:val="00D8178E"/>
    <w:rsid w:val="00D82B09"/>
    <w:rsid w:val="00D8367B"/>
    <w:rsid w:val="00D83A04"/>
    <w:rsid w:val="00D8431A"/>
    <w:rsid w:val="00D84AFC"/>
    <w:rsid w:val="00D85910"/>
    <w:rsid w:val="00D85B55"/>
    <w:rsid w:val="00D85BC3"/>
    <w:rsid w:val="00D85C56"/>
    <w:rsid w:val="00D85D3F"/>
    <w:rsid w:val="00D86521"/>
    <w:rsid w:val="00D87006"/>
    <w:rsid w:val="00D906CE"/>
    <w:rsid w:val="00D90987"/>
    <w:rsid w:val="00D90B37"/>
    <w:rsid w:val="00D90CAA"/>
    <w:rsid w:val="00D90F4C"/>
    <w:rsid w:val="00D929A7"/>
    <w:rsid w:val="00D951D8"/>
    <w:rsid w:val="00D95525"/>
    <w:rsid w:val="00D97E2E"/>
    <w:rsid w:val="00D97F65"/>
    <w:rsid w:val="00DA0926"/>
    <w:rsid w:val="00DA09B3"/>
    <w:rsid w:val="00DA27DF"/>
    <w:rsid w:val="00DA3A7B"/>
    <w:rsid w:val="00DA5FC9"/>
    <w:rsid w:val="00DA61CB"/>
    <w:rsid w:val="00DA74FE"/>
    <w:rsid w:val="00DA77D3"/>
    <w:rsid w:val="00DA79CD"/>
    <w:rsid w:val="00DA7B77"/>
    <w:rsid w:val="00DB0503"/>
    <w:rsid w:val="00DB08BC"/>
    <w:rsid w:val="00DB1803"/>
    <w:rsid w:val="00DB2DEB"/>
    <w:rsid w:val="00DB2F12"/>
    <w:rsid w:val="00DB3541"/>
    <w:rsid w:val="00DB401F"/>
    <w:rsid w:val="00DB48A3"/>
    <w:rsid w:val="00DB4967"/>
    <w:rsid w:val="00DB588C"/>
    <w:rsid w:val="00DB5AC2"/>
    <w:rsid w:val="00DB5EA2"/>
    <w:rsid w:val="00DB7205"/>
    <w:rsid w:val="00DC14EB"/>
    <w:rsid w:val="00DC1E46"/>
    <w:rsid w:val="00DC2230"/>
    <w:rsid w:val="00DC3592"/>
    <w:rsid w:val="00DC3F10"/>
    <w:rsid w:val="00DC4304"/>
    <w:rsid w:val="00DC510D"/>
    <w:rsid w:val="00DC54DC"/>
    <w:rsid w:val="00DC610B"/>
    <w:rsid w:val="00DC6EB3"/>
    <w:rsid w:val="00DC7E8B"/>
    <w:rsid w:val="00DD0948"/>
    <w:rsid w:val="00DD1008"/>
    <w:rsid w:val="00DD282E"/>
    <w:rsid w:val="00DD2842"/>
    <w:rsid w:val="00DD3397"/>
    <w:rsid w:val="00DD4D07"/>
    <w:rsid w:val="00DD508D"/>
    <w:rsid w:val="00DD54DC"/>
    <w:rsid w:val="00DD7C34"/>
    <w:rsid w:val="00DE11A2"/>
    <w:rsid w:val="00DE1394"/>
    <w:rsid w:val="00DE184F"/>
    <w:rsid w:val="00DE2B78"/>
    <w:rsid w:val="00DE44AD"/>
    <w:rsid w:val="00DE5A3B"/>
    <w:rsid w:val="00DE6765"/>
    <w:rsid w:val="00DE6AA1"/>
    <w:rsid w:val="00DE7BF5"/>
    <w:rsid w:val="00DE7D5C"/>
    <w:rsid w:val="00DF1E50"/>
    <w:rsid w:val="00DF3326"/>
    <w:rsid w:val="00DF39B2"/>
    <w:rsid w:val="00DF4E18"/>
    <w:rsid w:val="00DF5B75"/>
    <w:rsid w:val="00DF677B"/>
    <w:rsid w:val="00DF6866"/>
    <w:rsid w:val="00E0091D"/>
    <w:rsid w:val="00E00EFA"/>
    <w:rsid w:val="00E014C4"/>
    <w:rsid w:val="00E02B30"/>
    <w:rsid w:val="00E030C4"/>
    <w:rsid w:val="00E03753"/>
    <w:rsid w:val="00E05EF9"/>
    <w:rsid w:val="00E064BC"/>
    <w:rsid w:val="00E10844"/>
    <w:rsid w:val="00E10E93"/>
    <w:rsid w:val="00E143CE"/>
    <w:rsid w:val="00E17A46"/>
    <w:rsid w:val="00E17BC4"/>
    <w:rsid w:val="00E20C32"/>
    <w:rsid w:val="00E23363"/>
    <w:rsid w:val="00E24128"/>
    <w:rsid w:val="00E2553B"/>
    <w:rsid w:val="00E25E3A"/>
    <w:rsid w:val="00E25E80"/>
    <w:rsid w:val="00E261F6"/>
    <w:rsid w:val="00E26828"/>
    <w:rsid w:val="00E275AE"/>
    <w:rsid w:val="00E30DCB"/>
    <w:rsid w:val="00E31074"/>
    <w:rsid w:val="00E31C57"/>
    <w:rsid w:val="00E3277F"/>
    <w:rsid w:val="00E32A01"/>
    <w:rsid w:val="00E3308D"/>
    <w:rsid w:val="00E369EB"/>
    <w:rsid w:val="00E3755A"/>
    <w:rsid w:val="00E40055"/>
    <w:rsid w:val="00E4077C"/>
    <w:rsid w:val="00E427D8"/>
    <w:rsid w:val="00E42E7E"/>
    <w:rsid w:val="00E43442"/>
    <w:rsid w:val="00E442DA"/>
    <w:rsid w:val="00E44B1A"/>
    <w:rsid w:val="00E44F00"/>
    <w:rsid w:val="00E45920"/>
    <w:rsid w:val="00E46358"/>
    <w:rsid w:val="00E477BB"/>
    <w:rsid w:val="00E47AA8"/>
    <w:rsid w:val="00E50075"/>
    <w:rsid w:val="00E5031F"/>
    <w:rsid w:val="00E51AE5"/>
    <w:rsid w:val="00E5414F"/>
    <w:rsid w:val="00E54170"/>
    <w:rsid w:val="00E548D5"/>
    <w:rsid w:val="00E54931"/>
    <w:rsid w:val="00E55C39"/>
    <w:rsid w:val="00E55EEC"/>
    <w:rsid w:val="00E56061"/>
    <w:rsid w:val="00E5666D"/>
    <w:rsid w:val="00E56A44"/>
    <w:rsid w:val="00E60347"/>
    <w:rsid w:val="00E62D4A"/>
    <w:rsid w:val="00E62DF8"/>
    <w:rsid w:val="00E67399"/>
    <w:rsid w:val="00E67720"/>
    <w:rsid w:val="00E70B60"/>
    <w:rsid w:val="00E71166"/>
    <w:rsid w:val="00E7117F"/>
    <w:rsid w:val="00E714DA"/>
    <w:rsid w:val="00E72D80"/>
    <w:rsid w:val="00E72EEE"/>
    <w:rsid w:val="00E734DD"/>
    <w:rsid w:val="00E73629"/>
    <w:rsid w:val="00E74716"/>
    <w:rsid w:val="00E7594E"/>
    <w:rsid w:val="00E76AAB"/>
    <w:rsid w:val="00E76CE9"/>
    <w:rsid w:val="00E775A6"/>
    <w:rsid w:val="00E804CD"/>
    <w:rsid w:val="00E81CFE"/>
    <w:rsid w:val="00E82480"/>
    <w:rsid w:val="00E829EC"/>
    <w:rsid w:val="00E83A65"/>
    <w:rsid w:val="00E8406E"/>
    <w:rsid w:val="00E8419E"/>
    <w:rsid w:val="00E84520"/>
    <w:rsid w:val="00E8699D"/>
    <w:rsid w:val="00E8728F"/>
    <w:rsid w:val="00E91B27"/>
    <w:rsid w:val="00E91D31"/>
    <w:rsid w:val="00E922B2"/>
    <w:rsid w:val="00E93478"/>
    <w:rsid w:val="00E954E4"/>
    <w:rsid w:val="00E95A45"/>
    <w:rsid w:val="00E95BCA"/>
    <w:rsid w:val="00E962EE"/>
    <w:rsid w:val="00E96DDB"/>
    <w:rsid w:val="00EA0B08"/>
    <w:rsid w:val="00EA0ED7"/>
    <w:rsid w:val="00EA1254"/>
    <w:rsid w:val="00EA1F8F"/>
    <w:rsid w:val="00EA47AC"/>
    <w:rsid w:val="00EA661B"/>
    <w:rsid w:val="00EA67AC"/>
    <w:rsid w:val="00EA688B"/>
    <w:rsid w:val="00EA6C22"/>
    <w:rsid w:val="00EA7106"/>
    <w:rsid w:val="00EA7BCF"/>
    <w:rsid w:val="00EB02B5"/>
    <w:rsid w:val="00EB1154"/>
    <w:rsid w:val="00EB1F04"/>
    <w:rsid w:val="00EB238B"/>
    <w:rsid w:val="00EB398A"/>
    <w:rsid w:val="00EB405E"/>
    <w:rsid w:val="00EB4324"/>
    <w:rsid w:val="00EB448D"/>
    <w:rsid w:val="00EB4560"/>
    <w:rsid w:val="00EB538A"/>
    <w:rsid w:val="00EB6C09"/>
    <w:rsid w:val="00EB73A9"/>
    <w:rsid w:val="00EB7897"/>
    <w:rsid w:val="00EB7D2E"/>
    <w:rsid w:val="00EB7FD4"/>
    <w:rsid w:val="00EC0596"/>
    <w:rsid w:val="00EC1365"/>
    <w:rsid w:val="00EC1D2C"/>
    <w:rsid w:val="00EC56C8"/>
    <w:rsid w:val="00EC5EB5"/>
    <w:rsid w:val="00EC6A70"/>
    <w:rsid w:val="00EC7600"/>
    <w:rsid w:val="00ED04EF"/>
    <w:rsid w:val="00ED0904"/>
    <w:rsid w:val="00ED13EB"/>
    <w:rsid w:val="00ED15CE"/>
    <w:rsid w:val="00ED1BCD"/>
    <w:rsid w:val="00ED3E46"/>
    <w:rsid w:val="00ED48DB"/>
    <w:rsid w:val="00ED4AC1"/>
    <w:rsid w:val="00ED5247"/>
    <w:rsid w:val="00ED6FDC"/>
    <w:rsid w:val="00EE059D"/>
    <w:rsid w:val="00EE1FDE"/>
    <w:rsid w:val="00EE2343"/>
    <w:rsid w:val="00EE6386"/>
    <w:rsid w:val="00EE7A01"/>
    <w:rsid w:val="00EF204D"/>
    <w:rsid w:val="00EF216D"/>
    <w:rsid w:val="00EF2D67"/>
    <w:rsid w:val="00EF30A9"/>
    <w:rsid w:val="00EF3902"/>
    <w:rsid w:val="00EF3C9E"/>
    <w:rsid w:val="00EF4359"/>
    <w:rsid w:val="00EF4AB2"/>
    <w:rsid w:val="00EF7197"/>
    <w:rsid w:val="00EF7245"/>
    <w:rsid w:val="00F010A9"/>
    <w:rsid w:val="00F010E1"/>
    <w:rsid w:val="00F0278D"/>
    <w:rsid w:val="00F03F1F"/>
    <w:rsid w:val="00F04563"/>
    <w:rsid w:val="00F05CDE"/>
    <w:rsid w:val="00F05E55"/>
    <w:rsid w:val="00F06022"/>
    <w:rsid w:val="00F06A7D"/>
    <w:rsid w:val="00F079CA"/>
    <w:rsid w:val="00F11C27"/>
    <w:rsid w:val="00F12C19"/>
    <w:rsid w:val="00F13EC2"/>
    <w:rsid w:val="00F140D3"/>
    <w:rsid w:val="00F144E6"/>
    <w:rsid w:val="00F14EDB"/>
    <w:rsid w:val="00F15635"/>
    <w:rsid w:val="00F15C8C"/>
    <w:rsid w:val="00F16B3F"/>
    <w:rsid w:val="00F16C27"/>
    <w:rsid w:val="00F16D09"/>
    <w:rsid w:val="00F16DF9"/>
    <w:rsid w:val="00F171BC"/>
    <w:rsid w:val="00F17E25"/>
    <w:rsid w:val="00F20FAC"/>
    <w:rsid w:val="00F2123E"/>
    <w:rsid w:val="00F23C8D"/>
    <w:rsid w:val="00F24821"/>
    <w:rsid w:val="00F25626"/>
    <w:rsid w:val="00F265F3"/>
    <w:rsid w:val="00F26F31"/>
    <w:rsid w:val="00F311FA"/>
    <w:rsid w:val="00F3124C"/>
    <w:rsid w:val="00F330F7"/>
    <w:rsid w:val="00F3325F"/>
    <w:rsid w:val="00F335D8"/>
    <w:rsid w:val="00F341F1"/>
    <w:rsid w:val="00F34DD5"/>
    <w:rsid w:val="00F352DC"/>
    <w:rsid w:val="00F35817"/>
    <w:rsid w:val="00F35A2D"/>
    <w:rsid w:val="00F36B1C"/>
    <w:rsid w:val="00F36D35"/>
    <w:rsid w:val="00F375C8"/>
    <w:rsid w:val="00F3792F"/>
    <w:rsid w:val="00F37DF9"/>
    <w:rsid w:val="00F40617"/>
    <w:rsid w:val="00F40A58"/>
    <w:rsid w:val="00F4101B"/>
    <w:rsid w:val="00F413AA"/>
    <w:rsid w:val="00F418EF"/>
    <w:rsid w:val="00F41E6B"/>
    <w:rsid w:val="00F426CF"/>
    <w:rsid w:val="00F45DDF"/>
    <w:rsid w:val="00F46173"/>
    <w:rsid w:val="00F47591"/>
    <w:rsid w:val="00F4770E"/>
    <w:rsid w:val="00F47EB0"/>
    <w:rsid w:val="00F528EC"/>
    <w:rsid w:val="00F52B01"/>
    <w:rsid w:val="00F541E6"/>
    <w:rsid w:val="00F54891"/>
    <w:rsid w:val="00F57D32"/>
    <w:rsid w:val="00F6037D"/>
    <w:rsid w:val="00F612D0"/>
    <w:rsid w:val="00F64BD4"/>
    <w:rsid w:val="00F64E17"/>
    <w:rsid w:val="00F652C9"/>
    <w:rsid w:val="00F65F95"/>
    <w:rsid w:val="00F6601D"/>
    <w:rsid w:val="00F66EA2"/>
    <w:rsid w:val="00F67426"/>
    <w:rsid w:val="00F67D6F"/>
    <w:rsid w:val="00F67E0C"/>
    <w:rsid w:val="00F70A17"/>
    <w:rsid w:val="00F70FD1"/>
    <w:rsid w:val="00F71240"/>
    <w:rsid w:val="00F71EE3"/>
    <w:rsid w:val="00F74F39"/>
    <w:rsid w:val="00F76A8A"/>
    <w:rsid w:val="00F808E4"/>
    <w:rsid w:val="00F810AB"/>
    <w:rsid w:val="00F8198B"/>
    <w:rsid w:val="00F81CB6"/>
    <w:rsid w:val="00F81CC5"/>
    <w:rsid w:val="00F83791"/>
    <w:rsid w:val="00F83E3D"/>
    <w:rsid w:val="00F844B7"/>
    <w:rsid w:val="00F85B3C"/>
    <w:rsid w:val="00F85C6C"/>
    <w:rsid w:val="00F90C53"/>
    <w:rsid w:val="00F90F37"/>
    <w:rsid w:val="00F918CE"/>
    <w:rsid w:val="00F91A2E"/>
    <w:rsid w:val="00F92037"/>
    <w:rsid w:val="00F93952"/>
    <w:rsid w:val="00F93FCD"/>
    <w:rsid w:val="00F95A68"/>
    <w:rsid w:val="00F95E25"/>
    <w:rsid w:val="00F966AB"/>
    <w:rsid w:val="00FA020B"/>
    <w:rsid w:val="00FA04B7"/>
    <w:rsid w:val="00FA0B1E"/>
    <w:rsid w:val="00FA314A"/>
    <w:rsid w:val="00FA321A"/>
    <w:rsid w:val="00FA3301"/>
    <w:rsid w:val="00FA3CCB"/>
    <w:rsid w:val="00FA3F65"/>
    <w:rsid w:val="00FA4E7F"/>
    <w:rsid w:val="00FA5021"/>
    <w:rsid w:val="00FA6C6A"/>
    <w:rsid w:val="00FA7F76"/>
    <w:rsid w:val="00FB005C"/>
    <w:rsid w:val="00FB03D6"/>
    <w:rsid w:val="00FB0650"/>
    <w:rsid w:val="00FB0C11"/>
    <w:rsid w:val="00FB1AD0"/>
    <w:rsid w:val="00FB2C0E"/>
    <w:rsid w:val="00FB39AC"/>
    <w:rsid w:val="00FB44EB"/>
    <w:rsid w:val="00FB4B2B"/>
    <w:rsid w:val="00FB68A6"/>
    <w:rsid w:val="00FC0E01"/>
    <w:rsid w:val="00FC1246"/>
    <w:rsid w:val="00FC1253"/>
    <w:rsid w:val="00FC2B00"/>
    <w:rsid w:val="00FC2C9F"/>
    <w:rsid w:val="00FC2FAC"/>
    <w:rsid w:val="00FC346E"/>
    <w:rsid w:val="00FC6182"/>
    <w:rsid w:val="00FC6E07"/>
    <w:rsid w:val="00FC6FB8"/>
    <w:rsid w:val="00FC7720"/>
    <w:rsid w:val="00FC7E5B"/>
    <w:rsid w:val="00FD0EDE"/>
    <w:rsid w:val="00FD2205"/>
    <w:rsid w:val="00FD228F"/>
    <w:rsid w:val="00FD2E25"/>
    <w:rsid w:val="00FD3CF6"/>
    <w:rsid w:val="00FD42A8"/>
    <w:rsid w:val="00FD4411"/>
    <w:rsid w:val="00FD5E00"/>
    <w:rsid w:val="00FD69CF"/>
    <w:rsid w:val="00FD6D2F"/>
    <w:rsid w:val="00FD722F"/>
    <w:rsid w:val="00FD792E"/>
    <w:rsid w:val="00FD7932"/>
    <w:rsid w:val="00FE0173"/>
    <w:rsid w:val="00FE0A22"/>
    <w:rsid w:val="00FE2E17"/>
    <w:rsid w:val="00FE2FB1"/>
    <w:rsid w:val="00FE3D25"/>
    <w:rsid w:val="00FE47F9"/>
    <w:rsid w:val="00FE4F9C"/>
    <w:rsid w:val="00FE52A7"/>
    <w:rsid w:val="00FE5575"/>
    <w:rsid w:val="00FE6C46"/>
    <w:rsid w:val="00FE7C13"/>
    <w:rsid w:val="00FE7F64"/>
    <w:rsid w:val="00FF0B80"/>
    <w:rsid w:val="00FF408E"/>
    <w:rsid w:val="00FF456F"/>
    <w:rsid w:val="00FF55E0"/>
    <w:rsid w:val="00FF6237"/>
    <w:rsid w:val="00FF6952"/>
    <w:rsid w:val="00FF7E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0" w:unhideWhenUsed="0" w:qFormat="1"/>
    <w:lsdException w:name="table of figures"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06375"/>
    <w:pPr>
      <w:suppressAutoHyphens/>
      <w:spacing w:after="120"/>
      <w:ind w:firstLine="284"/>
      <w:jc w:val="both"/>
    </w:pPr>
    <w:rPr>
      <w:rFonts w:cs="Arial"/>
      <w:kern w:val="1"/>
      <w:sz w:val="22"/>
      <w:szCs w:val="24"/>
    </w:rPr>
  </w:style>
  <w:style w:type="paragraph" w:styleId="Cmsor1">
    <w:name w:val="heading 1"/>
    <w:aliases w:val="Num,Numbered - 1,heading 1,FŐCÍM14arialallcaps,Cím1,1,FOCÍM14arialallcaps,FÕCÍM14arialallcaps,aCímsor 1"/>
    <w:basedOn w:val="Norml"/>
    <w:next w:val="Szvegtrzs"/>
    <w:link w:val="Cmsor1Char"/>
    <w:qFormat/>
    <w:rsid w:val="00FE0173"/>
    <w:pPr>
      <w:keepNext/>
      <w:pageBreakBefore/>
      <w:numPr>
        <w:numId w:val="18"/>
      </w:numPr>
      <w:spacing w:before="360" w:after="480"/>
      <w:outlineLvl w:val="0"/>
    </w:pPr>
    <w:rPr>
      <w:rFonts w:cs="Tahoma"/>
      <w:b/>
      <w:bCs/>
      <w:kern w:val="0"/>
      <w:sz w:val="36"/>
      <w:szCs w:val="32"/>
    </w:rPr>
  </w:style>
  <w:style w:type="paragraph" w:styleId="Cmsor2">
    <w:name w:val="heading 2"/>
    <w:aliases w:val="g,2,Cím2,a Címsor 2,adpis 2,1alcímallacps,Fejléc 2"/>
    <w:basedOn w:val="Szvegtrzs"/>
    <w:next w:val="Szvegtrzs"/>
    <w:link w:val="Cmsor2Char"/>
    <w:autoRedefine/>
    <w:qFormat/>
    <w:rsid w:val="009C4E1A"/>
    <w:pPr>
      <w:keepNext/>
      <w:numPr>
        <w:ilvl w:val="1"/>
        <w:numId w:val="18"/>
      </w:numPr>
      <w:spacing w:before="480" w:after="240"/>
      <w:ind w:left="578" w:hanging="578"/>
      <w:outlineLvl w:val="1"/>
    </w:pPr>
    <w:rPr>
      <w:b/>
      <w:bCs/>
      <w:iCs/>
      <w:sz w:val="26"/>
      <w:szCs w:val="26"/>
    </w:rPr>
  </w:style>
  <w:style w:type="paragraph" w:styleId="Cmsor3">
    <w:name w:val="heading 3"/>
    <w:aliases w:val="Cím3,3"/>
    <w:basedOn w:val="Szvegtrzs"/>
    <w:next w:val="Szvegtrzs"/>
    <w:link w:val="Cmsor3Char"/>
    <w:autoRedefine/>
    <w:qFormat/>
    <w:rsid w:val="00DB48A3"/>
    <w:pPr>
      <w:keepNext/>
      <w:numPr>
        <w:ilvl w:val="2"/>
        <w:numId w:val="1"/>
      </w:numPr>
      <w:spacing w:before="480" w:after="240"/>
      <w:ind w:left="720"/>
      <w:outlineLvl w:val="2"/>
    </w:pPr>
    <w:rPr>
      <w:b/>
      <w:bCs/>
      <w:szCs w:val="26"/>
    </w:rPr>
  </w:style>
  <w:style w:type="paragraph" w:styleId="Cmsor4">
    <w:name w:val="heading 4"/>
    <w:basedOn w:val="Norml"/>
    <w:next w:val="Norml"/>
    <w:link w:val="Cmsor4Char"/>
    <w:autoRedefine/>
    <w:qFormat/>
    <w:rsid w:val="00D85C56"/>
    <w:pPr>
      <w:keepNext/>
      <w:numPr>
        <w:ilvl w:val="3"/>
        <w:numId w:val="18"/>
      </w:numPr>
      <w:spacing w:before="600"/>
      <w:ind w:left="992" w:hanging="992"/>
      <w:outlineLvl w:val="3"/>
    </w:pPr>
    <w:rPr>
      <w:b/>
      <w:bCs/>
      <w:i/>
      <w:szCs w:val="28"/>
    </w:rPr>
  </w:style>
  <w:style w:type="paragraph" w:styleId="Cmsor5">
    <w:name w:val="heading 5"/>
    <w:basedOn w:val="Norml"/>
    <w:next w:val="Szvegtrzs"/>
    <w:link w:val="Cmsor5Char"/>
    <w:qFormat/>
    <w:rsid w:val="00415ECA"/>
    <w:pPr>
      <w:keepNext/>
      <w:numPr>
        <w:ilvl w:val="4"/>
        <w:numId w:val="18"/>
      </w:numPr>
      <w:spacing w:before="240" w:after="60"/>
      <w:ind w:right="737"/>
      <w:outlineLvl w:val="4"/>
    </w:pPr>
    <w:rPr>
      <w:b/>
      <w:kern w:val="0"/>
      <w:szCs w:val="20"/>
    </w:rPr>
  </w:style>
  <w:style w:type="paragraph" w:styleId="Cmsor6">
    <w:name w:val="heading 6"/>
    <w:basedOn w:val="Norml"/>
    <w:next w:val="Szvegtrzs"/>
    <w:link w:val="Cmsor6Char"/>
    <w:qFormat/>
    <w:rsid w:val="00AA1ED3"/>
    <w:pPr>
      <w:keepNext/>
      <w:spacing w:before="360"/>
      <w:ind w:right="737" w:firstLine="0"/>
      <w:jc w:val="left"/>
      <w:outlineLvl w:val="5"/>
    </w:pPr>
    <w:rPr>
      <w:b/>
      <w:kern w:val="0"/>
      <w:szCs w:val="20"/>
    </w:rPr>
  </w:style>
  <w:style w:type="paragraph" w:styleId="Cmsor7">
    <w:name w:val="heading 7"/>
    <w:basedOn w:val="Norml"/>
    <w:next w:val="Norml"/>
    <w:link w:val="Cmsor7Char"/>
    <w:qFormat/>
    <w:rsid w:val="00DB48A3"/>
    <w:pPr>
      <w:keepNext/>
      <w:spacing w:before="360"/>
      <w:ind w:firstLine="0"/>
      <w:jc w:val="left"/>
      <w:outlineLvl w:val="6"/>
    </w:pPr>
    <w:rPr>
      <w:i/>
      <w:kern w:val="0"/>
      <w:szCs w:val="22"/>
      <w:u w:val="single"/>
      <w:lang w:val="en-GB"/>
    </w:rPr>
  </w:style>
  <w:style w:type="paragraph" w:styleId="Cmsor8">
    <w:name w:val="heading 8"/>
    <w:basedOn w:val="Norml"/>
    <w:next w:val="Norml"/>
    <w:link w:val="Cmsor8Char"/>
    <w:qFormat/>
    <w:rsid w:val="00415ECA"/>
    <w:pPr>
      <w:numPr>
        <w:ilvl w:val="7"/>
        <w:numId w:val="18"/>
      </w:numPr>
      <w:spacing w:before="240" w:after="60"/>
      <w:ind w:right="737"/>
      <w:outlineLvl w:val="7"/>
    </w:pPr>
    <w:rPr>
      <w:i/>
      <w:kern w:val="0"/>
      <w:szCs w:val="20"/>
    </w:rPr>
  </w:style>
  <w:style w:type="paragraph" w:styleId="Cmsor9">
    <w:name w:val="heading 9"/>
    <w:basedOn w:val="Norml"/>
    <w:next w:val="Norml"/>
    <w:link w:val="Cmsor9Char"/>
    <w:qFormat/>
    <w:rsid w:val="00415ECA"/>
    <w:pPr>
      <w:numPr>
        <w:ilvl w:val="8"/>
        <w:numId w:val="18"/>
      </w:numPr>
      <w:spacing w:before="240" w:after="60"/>
      <w:ind w:right="737"/>
      <w:outlineLvl w:val="8"/>
    </w:pPr>
    <w:rPr>
      <w:b/>
      <w:i/>
      <w:kern w:val="0"/>
      <w:sz w:val="18"/>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Num Char,Numbered - 1 Char,heading 1 Char,FŐCÍM14arialallcaps Char,Cím1 Char,1 Char,FOCÍM14arialallcaps Char,FÕCÍM14arialallcaps Char,aCímsor 1 Char"/>
    <w:link w:val="Cmsor1"/>
    <w:rsid w:val="00FE0173"/>
    <w:rPr>
      <w:rFonts w:cs="Tahoma"/>
      <w:b/>
      <w:bCs/>
      <w:sz w:val="36"/>
      <w:szCs w:val="32"/>
    </w:rPr>
  </w:style>
  <w:style w:type="paragraph" w:styleId="Szvegtrzs">
    <w:name w:val="Body Text"/>
    <w:aliases w:val="Standard paragraph,Szövegtörzs Char1,Szövegtörzs Char Char, Char,Char,Szövegtörzs Char Char Char Char,Table,Heading,Text,footnote1,text,Footnote1,Imre,Char Char Char"/>
    <w:basedOn w:val="Norml"/>
    <w:link w:val="SzvegtrzsChar"/>
    <w:unhideWhenUsed/>
    <w:rsid w:val="007D0216"/>
  </w:style>
  <w:style w:type="character" w:customStyle="1" w:styleId="SzvegtrzsChar">
    <w:name w:val="Szövegtörzs Char"/>
    <w:aliases w:val="Standard paragraph Char,Szövegtörzs Char1 Char,Szövegtörzs Char Char Char, Char Char,Char Char,Szövegtörzs Char Char Char Char Char,Table Char,Heading Char,Text Char,footnote1 Char,text Char,Footnote1 Char,Imre Char,Char Char Char Char"/>
    <w:link w:val="Szvegtrzs"/>
    <w:rsid w:val="007D0216"/>
    <w:rPr>
      <w:rFonts w:eastAsia="Lucida Sans Unicode"/>
      <w:kern w:val="1"/>
      <w:sz w:val="22"/>
      <w:szCs w:val="24"/>
      <w:lang w:val="en-US"/>
    </w:rPr>
  </w:style>
  <w:style w:type="character" w:customStyle="1" w:styleId="Cmsor2Char">
    <w:name w:val="Címsor 2 Char"/>
    <w:aliases w:val="g Char,2 Char,Cím2 Char,a Címsor 2 Char,adpis 2 Char,1alcímallacps Char,Fejléc 2 Char"/>
    <w:link w:val="Cmsor2"/>
    <w:rsid w:val="009C4E1A"/>
    <w:rPr>
      <w:rFonts w:cs="Arial"/>
      <w:b/>
      <w:bCs/>
      <w:iCs/>
      <w:kern w:val="1"/>
      <w:sz w:val="26"/>
      <w:szCs w:val="26"/>
    </w:rPr>
  </w:style>
  <w:style w:type="character" w:customStyle="1" w:styleId="Cmsor3Char">
    <w:name w:val="Címsor 3 Char"/>
    <w:aliases w:val="Cím3 Char,3 Char"/>
    <w:link w:val="Cmsor3"/>
    <w:rsid w:val="00DB48A3"/>
    <w:rPr>
      <w:rFonts w:cs="Arial"/>
      <w:b/>
      <w:bCs/>
      <w:kern w:val="1"/>
      <w:sz w:val="22"/>
      <w:szCs w:val="26"/>
    </w:rPr>
  </w:style>
  <w:style w:type="character" w:customStyle="1" w:styleId="Cmsor4Char">
    <w:name w:val="Címsor 4 Char"/>
    <w:link w:val="Cmsor4"/>
    <w:rsid w:val="00D85C56"/>
    <w:rPr>
      <w:rFonts w:cs="Arial"/>
      <w:b/>
      <w:bCs/>
      <w:i/>
      <w:kern w:val="1"/>
      <w:sz w:val="22"/>
      <w:szCs w:val="28"/>
    </w:rPr>
  </w:style>
  <w:style w:type="paragraph" w:styleId="Kpalrs">
    <w:name w:val="caption"/>
    <w:aliases w:val="Char Char Char Char1"/>
    <w:basedOn w:val="Norml"/>
    <w:next w:val="Norml"/>
    <w:link w:val="KpalrsChar1"/>
    <w:qFormat/>
    <w:rsid w:val="00684726"/>
    <w:pPr>
      <w:keepNext/>
      <w:numPr>
        <w:numId w:val="19"/>
      </w:numPr>
    </w:pPr>
    <w:rPr>
      <w:b/>
      <w:bCs/>
      <w:kern w:val="28"/>
      <w:sz w:val="20"/>
      <w:szCs w:val="20"/>
      <w:lang w:eastAsia="en-US"/>
    </w:rPr>
  </w:style>
  <w:style w:type="paragraph" w:styleId="llb">
    <w:name w:val="footer"/>
    <w:aliases w:val="Footer 2"/>
    <w:basedOn w:val="Norml"/>
    <w:link w:val="llbChar"/>
    <w:uiPriority w:val="99"/>
    <w:unhideWhenUsed/>
    <w:rsid w:val="00DB48A3"/>
    <w:pPr>
      <w:tabs>
        <w:tab w:val="center" w:pos="4536"/>
        <w:tab w:val="right" w:pos="9072"/>
      </w:tabs>
      <w:spacing w:after="0"/>
    </w:pPr>
  </w:style>
  <w:style w:type="character" w:customStyle="1" w:styleId="llbChar">
    <w:name w:val="Élőláb Char"/>
    <w:aliases w:val="Footer 2 Char1"/>
    <w:basedOn w:val="Bekezdsalapbettpusa"/>
    <w:link w:val="llb"/>
    <w:uiPriority w:val="99"/>
    <w:rsid w:val="00DB48A3"/>
    <w:rPr>
      <w:rFonts w:cs="Arial"/>
      <w:kern w:val="1"/>
      <w:sz w:val="22"/>
      <w:szCs w:val="24"/>
    </w:rPr>
  </w:style>
  <w:style w:type="character" w:customStyle="1" w:styleId="Cmsor5Char">
    <w:name w:val="Címsor 5 Char"/>
    <w:link w:val="Cmsor5"/>
    <w:rsid w:val="00415ECA"/>
    <w:rPr>
      <w:rFonts w:cs="Arial"/>
      <w:b/>
      <w:sz w:val="22"/>
    </w:rPr>
  </w:style>
  <w:style w:type="character" w:customStyle="1" w:styleId="Cmsor6Char">
    <w:name w:val="Címsor 6 Char"/>
    <w:link w:val="Cmsor6"/>
    <w:rsid w:val="00AA1ED3"/>
    <w:rPr>
      <w:rFonts w:cs="Arial"/>
      <w:b/>
      <w:sz w:val="22"/>
    </w:rPr>
  </w:style>
  <w:style w:type="character" w:customStyle="1" w:styleId="Cmsor7Char">
    <w:name w:val="Címsor 7 Char"/>
    <w:link w:val="Cmsor7"/>
    <w:rsid w:val="00DB48A3"/>
    <w:rPr>
      <w:rFonts w:cs="Arial"/>
      <w:i/>
      <w:sz w:val="22"/>
      <w:szCs w:val="22"/>
      <w:u w:val="single"/>
      <w:lang w:val="en-GB"/>
    </w:rPr>
  </w:style>
  <w:style w:type="character" w:customStyle="1" w:styleId="Cmsor8Char">
    <w:name w:val="Címsor 8 Char"/>
    <w:link w:val="Cmsor8"/>
    <w:rsid w:val="00415ECA"/>
    <w:rPr>
      <w:rFonts w:cs="Arial"/>
      <w:i/>
      <w:sz w:val="22"/>
    </w:rPr>
  </w:style>
  <w:style w:type="character" w:customStyle="1" w:styleId="Cmsor9Char">
    <w:name w:val="Címsor 9 Char"/>
    <w:link w:val="Cmsor9"/>
    <w:rsid w:val="00415ECA"/>
    <w:rPr>
      <w:rFonts w:cs="Arial"/>
      <w:b/>
      <w:i/>
      <w:sz w:val="18"/>
    </w:rPr>
  </w:style>
  <w:style w:type="paragraph" w:styleId="Alcm">
    <w:name w:val="Subtitle"/>
    <w:basedOn w:val="Norml"/>
    <w:next w:val="Norml"/>
    <w:link w:val="AlcmChar"/>
    <w:qFormat/>
    <w:rsid w:val="00415ECA"/>
    <w:pPr>
      <w:numPr>
        <w:ilvl w:val="1"/>
      </w:numPr>
      <w:ind w:firstLine="284"/>
    </w:pPr>
    <w:rPr>
      <w:rFonts w:ascii="Cambria" w:eastAsia="Times New Roman" w:hAnsi="Cambria" w:cs="Times New Roman"/>
      <w:i/>
      <w:iCs/>
      <w:color w:val="4F81BD"/>
      <w:spacing w:val="15"/>
      <w:sz w:val="24"/>
      <w:lang w:val="en-US"/>
    </w:rPr>
  </w:style>
  <w:style w:type="character" w:customStyle="1" w:styleId="AlcmChar">
    <w:name w:val="Alcím Char"/>
    <w:link w:val="Alcm"/>
    <w:rsid w:val="00415ECA"/>
    <w:rPr>
      <w:rFonts w:ascii="Cambria" w:eastAsia="Times New Roman" w:hAnsi="Cambria" w:cs="Times New Roman"/>
      <w:i/>
      <w:iCs/>
      <w:color w:val="4F81BD"/>
      <w:spacing w:val="15"/>
      <w:kern w:val="1"/>
      <w:sz w:val="24"/>
      <w:szCs w:val="24"/>
      <w:lang w:val="en-US"/>
    </w:rPr>
  </w:style>
  <w:style w:type="character" w:styleId="Kiemels">
    <w:name w:val="Emphasis"/>
    <w:qFormat/>
    <w:rsid w:val="00415ECA"/>
    <w:rPr>
      <w:i/>
      <w:iCs/>
    </w:rPr>
  </w:style>
  <w:style w:type="character" w:customStyle="1" w:styleId="Lbjegyzet-karakterek">
    <w:name w:val="Lábjegyzet-karakterek"/>
    <w:semiHidden/>
    <w:rsid w:val="00C07F4B"/>
    <w:rPr>
      <w:vertAlign w:val="superscript"/>
    </w:rPr>
  </w:style>
  <w:style w:type="paragraph" w:customStyle="1" w:styleId="bra-cmebra">
    <w:name w:val="ábra-címe(ábra)"/>
    <w:basedOn w:val="j-braszm"/>
    <w:autoRedefine/>
    <w:rsid w:val="00673DDE"/>
    <w:pPr>
      <w:jc w:val="center"/>
    </w:pPr>
    <w:rPr>
      <w:b/>
    </w:rPr>
  </w:style>
  <w:style w:type="paragraph" w:styleId="Lbjegyzetszveg">
    <w:name w:val="footnote text"/>
    <w:aliases w:val="Footnote Text Imre,FußnotentextE,Footnote,Char1,Char1 Char,Fußnotentext Char"/>
    <w:basedOn w:val="Norml"/>
    <w:link w:val="LbjegyzetszvegChar"/>
    <w:semiHidden/>
    <w:rsid w:val="00C377F8"/>
    <w:pPr>
      <w:suppressLineNumbers/>
      <w:ind w:left="283" w:hanging="283"/>
    </w:pPr>
    <w:rPr>
      <w:szCs w:val="20"/>
    </w:rPr>
  </w:style>
  <w:style w:type="character" w:customStyle="1" w:styleId="LbjegyzetszvegChar">
    <w:name w:val="Lábjegyzetszöveg Char"/>
    <w:aliases w:val="Footnote Text Imre Char,FußnotentextE Char,Footnote Char,Char1 Char1,Char1 Char Char,Fußnotentext Char Char"/>
    <w:link w:val="Lbjegyzetszveg"/>
    <w:rsid w:val="00C377F8"/>
    <w:rPr>
      <w:rFonts w:eastAsia="Lucida Sans Unicode" w:cs="Arial"/>
      <w:kern w:val="1"/>
      <w:sz w:val="22"/>
      <w:lang w:val="hu-HU" w:eastAsia="hu-HU" w:bidi="ar-SA"/>
    </w:rPr>
  </w:style>
  <w:style w:type="character" w:customStyle="1" w:styleId="Kpalrs1">
    <w:name w:val="Képaláírás1"/>
    <w:semiHidden/>
    <w:rsid w:val="00C07F4B"/>
    <w:rPr>
      <w:b/>
      <w:bCs/>
      <w:sz w:val="20"/>
    </w:rPr>
  </w:style>
  <w:style w:type="numbering" w:customStyle="1" w:styleId="StlusFelsorols11pt">
    <w:name w:val="Stílus Felsorolás 11 pt"/>
    <w:basedOn w:val="Nemlista"/>
    <w:semiHidden/>
    <w:rsid w:val="00C07F4B"/>
    <w:pPr>
      <w:numPr>
        <w:numId w:val="3"/>
      </w:numPr>
    </w:pPr>
  </w:style>
  <w:style w:type="paragraph" w:customStyle="1" w:styleId="TableHeading">
    <w:name w:val="Table Heading"/>
    <w:basedOn w:val="Norml"/>
    <w:semiHidden/>
    <w:rsid w:val="00C07F4B"/>
    <w:pPr>
      <w:spacing w:before="60" w:after="60"/>
    </w:pPr>
    <w:rPr>
      <w:b/>
      <w:sz w:val="18"/>
      <w:szCs w:val="18"/>
    </w:rPr>
  </w:style>
  <w:style w:type="paragraph" w:customStyle="1" w:styleId="TableText">
    <w:name w:val="Table Text"/>
    <w:basedOn w:val="Szvegtrzs"/>
    <w:semiHidden/>
    <w:rsid w:val="00C07F4B"/>
    <w:pPr>
      <w:widowControl w:val="0"/>
      <w:spacing w:before="60" w:after="60"/>
      <w:jc w:val="left"/>
    </w:pPr>
    <w:rPr>
      <w:sz w:val="18"/>
      <w:szCs w:val="18"/>
    </w:rPr>
  </w:style>
  <w:style w:type="character" w:customStyle="1" w:styleId="WW8Num3z0">
    <w:name w:val="WW8Num3z0"/>
    <w:semiHidden/>
    <w:rsid w:val="00C07F4B"/>
    <w:rPr>
      <w:rFonts w:ascii="Times New Roman" w:hAnsi="Times New Roman" w:cs="Times New Roman"/>
    </w:rPr>
  </w:style>
  <w:style w:type="character" w:customStyle="1" w:styleId="StlusCaption">
    <w:name w:val="Stílus Caption +"/>
    <w:basedOn w:val="Kpalrs1"/>
    <w:semiHidden/>
    <w:rsid w:val="00C07F4B"/>
    <w:rPr>
      <w:b/>
      <w:bCs/>
      <w:sz w:val="20"/>
    </w:rPr>
  </w:style>
  <w:style w:type="paragraph" w:styleId="lfej">
    <w:name w:val="header"/>
    <w:basedOn w:val="Norml"/>
    <w:link w:val="lfejChar"/>
    <w:uiPriority w:val="99"/>
    <w:rsid w:val="00C07F4B"/>
    <w:pPr>
      <w:suppressLineNumbers/>
      <w:tabs>
        <w:tab w:val="center" w:pos="4818"/>
        <w:tab w:val="right" w:pos="9637"/>
      </w:tabs>
    </w:pPr>
    <w:rPr>
      <w:sz w:val="24"/>
    </w:rPr>
  </w:style>
  <w:style w:type="character" w:customStyle="1" w:styleId="lfejChar">
    <w:name w:val="Élőfej Char"/>
    <w:link w:val="lfej"/>
    <w:uiPriority w:val="99"/>
    <w:rsid w:val="00C07F4B"/>
    <w:rPr>
      <w:kern w:val="1"/>
      <w:sz w:val="24"/>
      <w:szCs w:val="24"/>
    </w:rPr>
  </w:style>
  <w:style w:type="paragraph" w:customStyle="1" w:styleId="PropHeader">
    <w:name w:val="Prop Header"/>
    <w:basedOn w:val="lfej"/>
    <w:semiHidden/>
    <w:rsid w:val="00C07F4B"/>
    <w:pPr>
      <w:tabs>
        <w:tab w:val="center" w:pos="4536"/>
        <w:tab w:val="center" w:pos="4703"/>
        <w:tab w:val="right" w:pos="9072"/>
        <w:tab w:val="right" w:pos="9406"/>
      </w:tabs>
      <w:spacing w:after="60"/>
    </w:pPr>
    <w:rPr>
      <w:rFonts w:ascii="Tahoma" w:hAnsi="Tahoma"/>
      <w:b/>
      <w:smallCaps/>
      <w:spacing w:val="30"/>
      <w:sz w:val="22"/>
      <w:szCs w:val="22"/>
    </w:rPr>
  </w:style>
  <w:style w:type="character" w:customStyle="1" w:styleId="Lbjegyzet-hivatkozs1">
    <w:name w:val="Lábjegyzet-hivatkozás1"/>
    <w:semiHidden/>
    <w:rsid w:val="00C07F4B"/>
    <w:rPr>
      <w:vertAlign w:val="superscript"/>
    </w:rPr>
  </w:style>
  <w:style w:type="character" w:customStyle="1" w:styleId="WW8Num2z0">
    <w:name w:val="WW8Num2z0"/>
    <w:semiHidden/>
    <w:rsid w:val="00C07F4B"/>
    <w:rPr>
      <w:rFonts w:ascii="Times New Roman" w:hAnsi="Times New Roman"/>
    </w:rPr>
  </w:style>
  <w:style w:type="character" w:customStyle="1" w:styleId="WW8Num4z0">
    <w:name w:val="WW8Num4z0"/>
    <w:semiHidden/>
    <w:rsid w:val="00C07F4B"/>
    <w:rPr>
      <w:rFonts w:ascii="Times New Roman" w:hAnsi="Times New Roman" w:cs="Times New Roman"/>
    </w:rPr>
  </w:style>
  <w:style w:type="character" w:customStyle="1" w:styleId="WW8Num5z0">
    <w:name w:val="WW8Num5z0"/>
    <w:semiHidden/>
    <w:rsid w:val="00C07F4B"/>
    <w:rPr>
      <w:rFonts w:ascii="Times New Roman" w:hAnsi="Times New Roman"/>
    </w:rPr>
  </w:style>
  <w:style w:type="character" w:customStyle="1" w:styleId="WW8Num6z0">
    <w:name w:val="WW8Num6z0"/>
    <w:semiHidden/>
    <w:rsid w:val="00C07F4B"/>
    <w:rPr>
      <w:rFonts w:ascii="Times New Roman" w:hAnsi="Times New Roman"/>
    </w:rPr>
  </w:style>
  <w:style w:type="character" w:customStyle="1" w:styleId="WW8Num7z0">
    <w:name w:val="WW8Num7z0"/>
    <w:semiHidden/>
    <w:rsid w:val="00C07F4B"/>
    <w:rPr>
      <w:rFonts w:ascii="Times New Roman" w:hAnsi="Times New Roman"/>
    </w:rPr>
  </w:style>
  <w:style w:type="character" w:customStyle="1" w:styleId="WW8Num8z0">
    <w:name w:val="WW8Num8z0"/>
    <w:semiHidden/>
    <w:rsid w:val="00C07F4B"/>
    <w:rPr>
      <w:rFonts w:ascii="Times New Roman" w:hAnsi="Times New Roman" w:cs="Times New Roman"/>
    </w:rPr>
  </w:style>
  <w:style w:type="character" w:customStyle="1" w:styleId="WW8Num10z0">
    <w:name w:val="WW8Num10z0"/>
    <w:semiHidden/>
    <w:rsid w:val="00C07F4B"/>
    <w:rPr>
      <w:rFonts w:ascii="Times New Roman" w:hAnsi="Times New Roman" w:cs="Times New Roman"/>
    </w:rPr>
  </w:style>
  <w:style w:type="character" w:customStyle="1" w:styleId="WW-Absatz-Standardschriftart">
    <w:name w:val="WW-Absatz-Standardschriftart"/>
    <w:semiHidden/>
    <w:rsid w:val="00C07F4B"/>
  </w:style>
  <w:style w:type="character" w:customStyle="1" w:styleId="WW-Absatz-Standardschriftart1">
    <w:name w:val="WW-Absatz-Standardschriftart1"/>
    <w:semiHidden/>
    <w:rsid w:val="00C07F4B"/>
  </w:style>
  <w:style w:type="character" w:customStyle="1" w:styleId="WW-Absatz-Standardschriftart11">
    <w:name w:val="WW-Absatz-Standardschriftart11"/>
    <w:semiHidden/>
    <w:rsid w:val="00C07F4B"/>
  </w:style>
  <w:style w:type="character" w:customStyle="1" w:styleId="WW8Num15z0">
    <w:name w:val="WW8Num15z0"/>
    <w:semiHidden/>
    <w:rsid w:val="00C07F4B"/>
    <w:rPr>
      <w:rFonts w:ascii="Times New Roman" w:hAnsi="Times New Roman"/>
    </w:rPr>
  </w:style>
  <w:style w:type="character" w:customStyle="1" w:styleId="WW8Num18z0">
    <w:name w:val="WW8Num18z0"/>
    <w:semiHidden/>
    <w:rsid w:val="00C07F4B"/>
    <w:rPr>
      <w:rFonts w:ascii="Times New Roman" w:hAnsi="Times New Roman" w:cs="Times New Roman"/>
    </w:rPr>
  </w:style>
  <w:style w:type="character" w:customStyle="1" w:styleId="Felsorolsjel">
    <w:name w:val="Felsorolásjel"/>
    <w:semiHidden/>
    <w:rsid w:val="00C07F4B"/>
    <w:rPr>
      <w:rFonts w:ascii="StarSymbol" w:eastAsia="StarSymbol" w:hAnsi="StarSymbol" w:cs="StarSymbol"/>
      <w:sz w:val="18"/>
      <w:szCs w:val="18"/>
    </w:rPr>
  </w:style>
  <w:style w:type="character" w:customStyle="1" w:styleId="WW8Num21z0">
    <w:name w:val="WW8Num21z0"/>
    <w:semiHidden/>
    <w:rsid w:val="00C07F4B"/>
    <w:rPr>
      <w:rFonts w:ascii="Times New Roman" w:hAnsi="Times New Roman"/>
    </w:rPr>
  </w:style>
  <w:style w:type="character" w:styleId="Lbjegyzet-hivatkozs">
    <w:name w:val="footnote reference"/>
    <w:aliases w:val="Footnote symbol,number"/>
    <w:semiHidden/>
    <w:rsid w:val="00C07F4B"/>
    <w:rPr>
      <w:vertAlign w:val="superscript"/>
    </w:rPr>
  </w:style>
  <w:style w:type="character" w:customStyle="1" w:styleId="WW8Num14z0">
    <w:name w:val="WW8Num14z0"/>
    <w:semiHidden/>
    <w:rsid w:val="00C07F4B"/>
    <w:rPr>
      <w:rFonts w:ascii="Wingdings" w:hAnsi="Wingdings"/>
    </w:rPr>
  </w:style>
  <w:style w:type="character" w:customStyle="1" w:styleId="WW8Num19z0">
    <w:name w:val="WW8Num19z0"/>
    <w:semiHidden/>
    <w:rsid w:val="00C07F4B"/>
    <w:rPr>
      <w:b/>
      <w:i w:val="0"/>
    </w:rPr>
  </w:style>
  <w:style w:type="character" w:customStyle="1" w:styleId="Vgjegyzet-karakterek">
    <w:name w:val="Végjegyzet-karakterek"/>
    <w:semiHidden/>
    <w:rsid w:val="00C07F4B"/>
    <w:rPr>
      <w:vertAlign w:val="superscript"/>
    </w:rPr>
  </w:style>
  <w:style w:type="character" w:customStyle="1" w:styleId="WW-Vgjegyzet-karakterek">
    <w:name w:val="WW-Végjegyzet-karakterek"/>
    <w:semiHidden/>
    <w:rsid w:val="00C07F4B"/>
  </w:style>
  <w:style w:type="character" w:customStyle="1" w:styleId="WW8Num16z0">
    <w:name w:val="WW8Num16z0"/>
    <w:semiHidden/>
    <w:rsid w:val="00C07F4B"/>
    <w:rPr>
      <w:rFonts w:ascii="Times New Roman" w:hAnsi="Times New Roman" w:cs="Times New Roman"/>
    </w:rPr>
  </w:style>
  <w:style w:type="character" w:customStyle="1" w:styleId="WW8Num17z0">
    <w:name w:val="WW8Num17z0"/>
    <w:semiHidden/>
    <w:rsid w:val="00C07F4B"/>
    <w:rPr>
      <w:rFonts w:ascii="Times New Roman" w:hAnsi="Times New Roman" w:cs="Times New Roman"/>
    </w:rPr>
  </w:style>
  <w:style w:type="character" w:customStyle="1" w:styleId="WW8Num12z0">
    <w:name w:val="WW8Num12z0"/>
    <w:semiHidden/>
    <w:rsid w:val="00C07F4B"/>
    <w:rPr>
      <w:rFonts w:ascii="Times New Roman" w:hAnsi="Times New Roman" w:cs="Times New Roman"/>
    </w:rPr>
  </w:style>
  <w:style w:type="character" w:customStyle="1" w:styleId="WW8Num9z0">
    <w:name w:val="WW8Num9z0"/>
    <w:semiHidden/>
    <w:rsid w:val="00C07F4B"/>
    <w:rPr>
      <w:rFonts w:ascii="Times New Roman" w:hAnsi="Times New Roman" w:cs="Times New Roman"/>
    </w:rPr>
  </w:style>
  <w:style w:type="character" w:customStyle="1" w:styleId="WW8Num13z0">
    <w:name w:val="WW8Num13z0"/>
    <w:semiHidden/>
    <w:rsid w:val="00C07F4B"/>
    <w:rPr>
      <w:rFonts w:ascii="Times New Roman" w:hAnsi="Times New Roman"/>
    </w:rPr>
  </w:style>
  <w:style w:type="character" w:customStyle="1" w:styleId="WW8Num20z0">
    <w:name w:val="WW8Num20z0"/>
    <w:semiHidden/>
    <w:rsid w:val="00C07F4B"/>
    <w:rPr>
      <w:rFonts w:ascii="Times New Roman" w:hAnsi="Times New Roman"/>
    </w:rPr>
  </w:style>
  <w:style w:type="character" w:customStyle="1" w:styleId="WW8Num22z0">
    <w:name w:val="WW8Num22z0"/>
    <w:semiHidden/>
    <w:rsid w:val="00C07F4B"/>
    <w:rPr>
      <w:rFonts w:ascii="Times New Roman" w:hAnsi="Times New Roman" w:cs="Times New Roman"/>
    </w:rPr>
  </w:style>
  <w:style w:type="character" w:customStyle="1" w:styleId="WW8Num23z0">
    <w:name w:val="WW8Num23z0"/>
    <w:semiHidden/>
    <w:rsid w:val="00C07F4B"/>
    <w:rPr>
      <w:rFonts w:ascii="Times New Roman" w:hAnsi="Times New Roman" w:cs="Times New Roman"/>
    </w:rPr>
  </w:style>
  <w:style w:type="character" w:styleId="Vgjegyzet-hivatkozs">
    <w:name w:val="endnote reference"/>
    <w:semiHidden/>
    <w:rsid w:val="00C07F4B"/>
    <w:rPr>
      <w:vertAlign w:val="superscript"/>
    </w:rPr>
  </w:style>
  <w:style w:type="character" w:customStyle="1" w:styleId="Szmozsjelek">
    <w:name w:val="Számozásjelek"/>
    <w:semiHidden/>
    <w:rsid w:val="00C07F4B"/>
  </w:style>
  <w:style w:type="character" w:customStyle="1" w:styleId="WW8Num11z0">
    <w:name w:val="WW8Num11z0"/>
    <w:semiHidden/>
    <w:rsid w:val="00C07F4B"/>
    <w:rPr>
      <w:rFonts w:cs="Times New Roman"/>
    </w:rPr>
  </w:style>
  <w:style w:type="paragraph" w:customStyle="1" w:styleId="Normltblabal">
    <w:name w:val="Normál.tábla.bal"/>
    <w:basedOn w:val="Norml"/>
    <w:autoRedefine/>
    <w:rsid w:val="004869BB"/>
    <w:pPr>
      <w:spacing w:after="0"/>
      <w:ind w:left="244" w:hanging="244"/>
      <w:jc w:val="left"/>
    </w:pPr>
    <w:rPr>
      <w:sz w:val="20"/>
    </w:rPr>
  </w:style>
  <w:style w:type="paragraph" w:customStyle="1" w:styleId="Felirat">
    <w:name w:val="Felirat"/>
    <w:basedOn w:val="Norml"/>
    <w:semiHidden/>
    <w:rsid w:val="00C07F4B"/>
    <w:pPr>
      <w:suppressLineNumbers/>
      <w:spacing w:before="120"/>
    </w:pPr>
    <w:rPr>
      <w:rFonts w:cs="Tahoma"/>
      <w:i/>
      <w:iCs/>
      <w:sz w:val="24"/>
    </w:rPr>
  </w:style>
  <w:style w:type="paragraph" w:customStyle="1" w:styleId="Trgymutat">
    <w:name w:val="Tárgymutató"/>
    <w:basedOn w:val="Norml"/>
    <w:semiHidden/>
    <w:rsid w:val="00C07F4B"/>
    <w:pPr>
      <w:suppressLineNumbers/>
    </w:pPr>
    <w:rPr>
      <w:rFonts w:cs="Tahoma"/>
      <w:sz w:val="24"/>
    </w:rPr>
  </w:style>
  <w:style w:type="paragraph" w:customStyle="1" w:styleId="Tblzattartalom">
    <w:name w:val="Táblázattartalom"/>
    <w:basedOn w:val="Norml"/>
    <w:semiHidden/>
    <w:rsid w:val="00C07F4B"/>
    <w:pPr>
      <w:suppressLineNumbers/>
    </w:pPr>
    <w:rPr>
      <w:sz w:val="24"/>
    </w:rPr>
  </w:style>
  <w:style w:type="paragraph" w:customStyle="1" w:styleId="PropHeader2">
    <w:name w:val="Prop Header 2"/>
    <w:basedOn w:val="PropHeader"/>
    <w:semiHidden/>
    <w:rsid w:val="00C07F4B"/>
    <w:pPr>
      <w:spacing w:after="0"/>
    </w:pPr>
    <w:rPr>
      <w:b w:val="0"/>
      <w:smallCaps w:val="0"/>
      <w:spacing w:val="0"/>
      <w:sz w:val="20"/>
      <w:szCs w:val="20"/>
    </w:rPr>
  </w:style>
  <w:style w:type="paragraph" w:customStyle="1" w:styleId="Tartalomjegyzk-fejlc">
    <w:name w:val="Tartalomjegyzék-fejléc"/>
    <w:basedOn w:val="Norml"/>
    <w:semiHidden/>
    <w:rsid w:val="0054518E"/>
    <w:pPr>
      <w:keepNext/>
      <w:suppressLineNumbers/>
      <w:spacing w:before="240"/>
    </w:pPr>
    <w:rPr>
      <w:rFonts w:ascii="Arial" w:hAnsi="Arial" w:cs="Tahoma"/>
      <w:b/>
      <w:bCs/>
      <w:sz w:val="32"/>
      <w:szCs w:val="32"/>
    </w:rPr>
  </w:style>
  <w:style w:type="paragraph" w:styleId="TJ1">
    <w:name w:val="toc 1"/>
    <w:basedOn w:val="Trgymutat"/>
    <w:autoRedefine/>
    <w:uiPriority w:val="39"/>
    <w:rsid w:val="001D7D77"/>
    <w:pPr>
      <w:tabs>
        <w:tab w:val="right" w:leader="dot" w:pos="9130"/>
      </w:tabs>
      <w:spacing w:before="120"/>
      <w:ind w:left="550" w:right="488" w:hanging="550"/>
    </w:pPr>
    <w:rPr>
      <w:b/>
      <w:sz w:val="28"/>
    </w:rPr>
  </w:style>
  <w:style w:type="paragraph" w:styleId="TJ2">
    <w:name w:val="toc 2"/>
    <w:basedOn w:val="Trgymutat"/>
    <w:autoRedefine/>
    <w:uiPriority w:val="39"/>
    <w:rsid w:val="001D7D77"/>
    <w:pPr>
      <w:tabs>
        <w:tab w:val="right" w:leader="dot" w:pos="9130"/>
      </w:tabs>
      <w:spacing w:before="120"/>
      <w:ind w:left="879" w:right="488" w:hanging="550"/>
      <w:jc w:val="left"/>
    </w:pPr>
    <w:rPr>
      <w:b/>
    </w:rPr>
  </w:style>
  <w:style w:type="paragraph" w:styleId="TJ3">
    <w:name w:val="toc 3"/>
    <w:basedOn w:val="Trgymutat"/>
    <w:autoRedefine/>
    <w:uiPriority w:val="39"/>
    <w:rsid w:val="006516C5"/>
    <w:pPr>
      <w:tabs>
        <w:tab w:val="left" w:pos="2310"/>
        <w:tab w:val="right" w:leader="dot" w:pos="9130"/>
      </w:tabs>
      <w:spacing w:after="60"/>
      <w:ind w:left="1537" w:right="601" w:hanging="879"/>
      <w:jc w:val="left"/>
    </w:pPr>
    <w:rPr>
      <w:noProof/>
      <w:sz w:val="22"/>
    </w:rPr>
  </w:style>
  <w:style w:type="paragraph" w:customStyle="1" w:styleId="BodyText31">
    <w:name w:val="Body Text 31"/>
    <w:basedOn w:val="Norml"/>
    <w:semiHidden/>
    <w:rsid w:val="00C07F4B"/>
    <w:rPr>
      <w:sz w:val="24"/>
    </w:rPr>
  </w:style>
  <w:style w:type="paragraph" w:customStyle="1" w:styleId="Bekezds">
    <w:name w:val="Bekezdés"/>
    <w:basedOn w:val="Norml"/>
    <w:link w:val="BekezdsChar1"/>
    <w:rsid w:val="00C07F4B"/>
    <w:pPr>
      <w:spacing w:before="240"/>
      <w:ind w:firstLine="709"/>
    </w:pPr>
    <w:rPr>
      <w:sz w:val="26"/>
      <w:szCs w:val="20"/>
    </w:rPr>
  </w:style>
  <w:style w:type="paragraph" w:customStyle="1" w:styleId="LbjegyzetszvegFootnoteTextImreFunotentextEFootnoteChar1Char1Char">
    <w:name w:val="Lábjegyzetszöveg.Footnote Text Imre.FußnotentextE.Footnote.Char1.Char1 Char"/>
    <w:basedOn w:val="Norml"/>
    <w:semiHidden/>
    <w:rsid w:val="00C07F4B"/>
    <w:rPr>
      <w:sz w:val="20"/>
      <w:szCs w:val="20"/>
      <w:lang w:val="en-GB"/>
    </w:rPr>
  </w:style>
  <w:style w:type="paragraph" w:styleId="TJ4">
    <w:name w:val="toc 4"/>
    <w:basedOn w:val="Trgymutat"/>
    <w:uiPriority w:val="39"/>
    <w:semiHidden/>
    <w:rsid w:val="00C07F4B"/>
    <w:pPr>
      <w:tabs>
        <w:tab w:val="right" w:leader="dot" w:pos="9637"/>
      </w:tabs>
      <w:ind w:left="849"/>
    </w:pPr>
  </w:style>
  <w:style w:type="paragraph" w:styleId="TJ5">
    <w:name w:val="toc 5"/>
    <w:basedOn w:val="Trgymutat"/>
    <w:uiPriority w:val="39"/>
    <w:semiHidden/>
    <w:rsid w:val="00C07F4B"/>
    <w:pPr>
      <w:tabs>
        <w:tab w:val="right" w:leader="dot" w:pos="9637"/>
      </w:tabs>
      <w:ind w:left="1132"/>
    </w:pPr>
  </w:style>
  <w:style w:type="paragraph" w:styleId="TJ6">
    <w:name w:val="toc 6"/>
    <w:basedOn w:val="Trgymutat"/>
    <w:uiPriority w:val="39"/>
    <w:semiHidden/>
    <w:rsid w:val="00C07F4B"/>
    <w:pPr>
      <w:tabs>
        <w:tab w:val="right" w:leader="dot" w:pos="9637"/>
      </w:tabs>
      <w:ind w:left="1415"/>
    </w:pPr>
  </w:style>
  <w:style w:type="paragraph" w:styleId="TJ7">
    <w:name w:val="toc 7"/>
    <w:basedOn w:val="Trgymutat"/>
    <w:uiPriority w:val="39"/>
    <w:semiHidden/>
    <w:rsid w:val="00C07F4B"/>
    <w:pPr>
      <w:tabs>
        <w:tab w:val="right" w:leader="dot" w:pos="9637"/>
      </w:tabs>
      <w:ind w:left="1698"/>
    </w:pPr>
  </w:style>
  <w:style w:type="paragraph" w:styleId="TJ8">
    <w:name w:val="toc 8"/>
    <w:basedOn w:val="Trgymutat"/>
    <w:uiPriority w:val="39"/>
    <w:semiHidden/>
    <w:rsid w:val="00C07F4B"/>
    <w:pPr>
      <w:tabs>
        <w:tab w:val="right" w:leader="dot" w:pos="9637"/>
      </w:tabs>
      <w:ind w:left="1981"/>
    </w:pPr>
  </w:style>
  <w:style w:type="paragraph" w:styleId="TJ9">
    <w:name w:val="toc 9"/>
    <w:basedOn w:val="Trgymutat"/>
    <w:uiPriority w:val="39"/>
    <w:semiHidden/>
    <w:rsid w:val="00C07F4B"/>
    <w:pPr>
      <w:tabs>
        <w:tab w:val="right" w:leader="dot" w:pos="9637"/>
      </w:tabs>
      <w:ind w:left="2264"/>
    </w:pPr>
  </w:style>
  <w:style w:type="paragraph" w:customStyle="1" w:styleId="Tartalomjegyzk10">
    <w:name w:val="Tartalomjegyzék 10"/>
    <w:basedOn w:val="Trgymutat"/>
    <w:semiHidden/>
    <w:rsid w:val="00C07F4B"/>
    <w:pPr>
      <w:tabs>
        <w:tab w:val="right" w:leader="dot" w:pos="9637"/>
      </w:tabs>
      <w:ind w:left="2547"/>
    </w:pPr>
  </w:style>
  <w:style w:type="paragraph" w:customStyle="1" w:styleId="Kerettartalom">
    <w:name w:val="Kerettartalom"/>
    <w:basedOn w:val="Szvegtrzs"/>
    <w:semiHidden/>
    <w:rsid w:val="00C07F4B"/>
    <w:pPr>
      <w:widowControl w:val="0"/>
    </w:pPr>
    <w:rPr>
      <w:rFonts w:cs="Times New Roman"/>
    </w:rPr>
  </w:style>
  <w:style w:type="paragraph" w:styleId="Jegyzetszveg">
    <w:name w:val="annotation text"/>
    <w:basedOn w:val="Norml"/>
    <w:link w:val="JegyzetszvegChar"/>
    <w:semiHidden/>
    <w:rsid w:val="00C07F4B"/>
    <w:rPr>
      <w:sz w:val="20"/>
      <w:szCs w:val="20"/>
    </w:rPr>
  </w:style>
  <w:style w:type="character" w:customStyle="1" w:styleId="JegyzetszvegChar">
    <w:name w:val="Jegyzetszöveg Char"/>
    <w:link w:val="Jegyzetszveg"/>
    <w:rsid w:val="00C07F4B"/>
    <w:rPr>
      <w:kern w:val="1"/>
    </w:rPr>
  </w:style>
  <w:style w:type="paragraph" w:customStyle="1" w:styleId="TableTextBullet">
    <w:name w:val="Table Text Bullet"/>
    <w:basedOn w:val="TableText"/>
    <w:semiHidden/>
    <w:rsid w:val="00C07F4B"/>
    <w:pPr>
      <w:tabs>
        <w:tab w:val="num" w:pos="926"/>
      </w:tabs>
      <w:ind w:left="-2124"/>
    </w:pPr>
  </w:style>
  <w:style w:type="paragraph" w:styleId="Buborkszveg">
    <w:name w:val="Balloon Text"/>
    <w:basedOn w:val="Norml"/>
    <w:link w:val="BuborkszvegChar"/>
    <w:uiPriority w:val="99"/>
    <w:semiHidden/>
    <w:rsid w:val="00C07F4B"/>
    <w:rPr>
      <w:rFonts w:ascii="Tahoma" w:hAnsi="Tahoma" w:cs="Tahoma"/>
      <w:sz w:val="16"/>
      <w:szCs w:val="16"/>
    </w:rPr>
  </w:style>
  <w:style w:type="character" w:customStyle="1" w:styleId="BuborkszvegChar">
    <w:name w:val="Buborékszöveg Char"/>
    <w:link w:val="Buborkszveg"/>
    <w:uiPriority w:val="99"/>
    <w:rsid w:val="00C07F4B"/>
    <w:rPr>
      <w:rFonts w:ascii="Tahoma" w:hAnsi="Tahoma" w:cs="Tahoma"/>
      <w:kern w:val="1"/>
      <w:sz w:val="16"/>
      <w:szCs w:val="16"/>
    </w:rPr>
  </w:style>
  <w:style w:type="paragraph" w:customStyle="1" w:styleId="Felsorols1">
    <w:name w:val="Felsorolás 1"/>
    <w:basedOn w:val="Felsorols"/>
    <w:semiHidden/>
    <w:rsid w:val="00C07F4B"/>
    <w:pPr>
      <w:numPr>
        <w:numId w:val="4"/>
      </w:numPr>
      <w:suppressAutoHyphens w:val="0"/>
      <w:spacing w:before="60" w:after="60" w:line="280" w:lineRule="atLeast"/>
    </w:pPr>
    <w:rPr>
      <w:rFonts w:ascii="Arial" w:eastAsia="Times New Roman" w:hAnsi="Arial"/>
      <w:snapToGrid w:val="0"/>
      <w:color w:val="000000"/>
      <w:kern w:val="0"/>
      <w:szCs w:val="20"/>
    </w:rPr>
  </w:style>
  <w:style w:type="paragraph" w:styleId="Felsorols">
    <w:name w:val="List Bullet"/>
    <w:aliases w:val="Bullet indent spaced Char Char,Bullet indent spaced Char Char Char Char Char Char Char Char Char Char Char Char Char Char Char Char Char Char Char Char Char Char Char Char Char Char Char,Bullet indent spaced"/>
    <w:basedOn w:val="Norml"/>
    <w:semiHidden/>
    <w:rsid w:val="00C07F4B"/>
    <w:pPr>
      <w:numPr>
        <w:numId w:val="2"/>
      </w:numPr>
    </w:pPr>
  </w:style>
  <w:style w:type="paragraph" w:customStyle="1" w:styleId="xl32">
    <w:name w:val="xl32"/>
    <w:basedOn w:val="Norml"/>
    <w:semiHidden/>
    <w:rsid w:val="00C07F4B"/>
    <w:pPr>
      <w:pBdr>
        <w:left w:val="single" w:sz="4" w:space="0" w:color="auto"/>
        <w:bottom w:val="single" w:sz="4" w:space="0" w:color="auto"/>
        <w:right w:val="single" w:sz="4" w:space="0" w:color="auto"/>
      </w:pBdr>
      <w:suppressAutoHyphens w:val="0"/>
      <w:spacing w:before="100" w:beforeAutospacing="1" w:after="100" w:afterAutospacing="1"/>
      <w:jc w:val="right"/>
    </w:pPr>
    <w:rPr>
      <w:rFonts w:eastAsia="Arial Unicode MS"/>
      <w:kern w:val="0"/>
      <w:sz w:val="24"/>
    </w:rPr>
  </w:style>
  <w:style w:type="character" w:styleId="Oldalszm">
    <w:name w:val="page number"/>
    <w:basedOn w:val="Bekezdsalapbettpusa"/>
    <w:semiHidden/>
    <w:rsid w:val="00C07F4B"/>
  </w:style>
  <w:style w:type="paragraph" w:customStyle="1" w:styleId="felsorols00">
    <w:name w:val="felsorolás (00)"/>
    <w:basedOn w:val="Norml"/>
    <w:link w:val="felsorols00Char1"/>
    <w:semiHidden/>
    <w:rsid w:val="00C07F4B"/>
    <w:pPr>
      <w:numPr>
        <w:numId w:val="5"/>
      </w:numPr>
    </w:pPr>
    <w:rPr>
      <w:rFonts w:eastAsia="Times New Roman"/>
      <w:kern w:val="0"/>
      <w:sz w:val="26"/>
      <w:lang w:eastAsia="ar-SA"/>
    </w:rPr>
  </w:style>
  <w:style w:type="character" w:styleId="Kiemels2">
    <w:name w:val="Strong"/>
    <w:qFormat/>
    <w:rsid w:val="00415ECA"/>
    <w:rPr>
      <w:b/>
      <w:bCs/>
    </w:rPr>
  </w:style>
  <w:style w:type="paragraph" w:customStyle="1" w:styleId="Normltblateljes">
    <w:name w:val="Normál (tábla teljes)"/>
    <w:basedOn w:val="Norml"/>
    <w:semiHidden/>
    <w:rsid w:val="00C07F4B"/>
    <w:rPr>
      <w:rFonts w:eastAsia="Times New Roman"/>
      <w:kern w:val="0"/>
      <w:szCs w:val="22"/>
      <w:lang w:eastAsia="ar-SA"/>
    </w:rPr>
  </w:style>
  <w:style w:type="paragraph" w:customStyle="1" w:styleId="felsorolsbeljebb01">
    <w:name w:val="felsorolás (beljebb01)"/>
    <w:basedOn w:val="Norml"/>
    <w:autoRedefine/>
    <w:semiHidden/>
    <w:rsid w:val="00C07F4B"/>
    <w:pPr>
      <w:tabs>
        <w:tab w:val="num" w:pos="1440"/>
      </w:tabs>
      <w:suppressAutoHyphens w:val="0"/>
      <w:spacing w:after="40"/>
      <w:ind w:left="1440" w:hanging="357"/>
    </w:pPr>
    <w:rPr>
      <w:rFonts w:eastAsia="Times New Roman"/>
      <w:snapToGrid w:val="0"/>
      <w:kern w:val="0"/>
      <w:sz w:val="26"/>
      <w:szCs w:val="26"/>
    </w:rPr>
  </w:style>
  <w:style w:type="character" w:customStyle="1" w:styleId="felsorols00CharChar">
    <w:name w:val="felsorolás (00) Char Char"/>
    <w:semiHidden/>
    <w:rsid w:val="00C07F4B"/>
    <w:rPr>
      <w:sz w:val="26"/>
      <w:szCs w:val="24"/>
      <w:lang w:val="hu-HU" w:eastAsia="ar-SA" w:bidi="ar-SA"/>
    </w:rPr>
  </w:style>
  <w:style w:type="table" w:styleId="Rcsostblzat">
    <w:name w:val="Table Grid"/>
    <w:basedOn w:val="Normltblzat"/>
    <w:rsid w:val="00C07F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palrsChar1">
    <w:name w:val="Képaláírás Char1"/>
    <w:aliases w:val="Char Char Char Char1 Char"/>
    <w:link w:val="Kpalrs"/>
    <w:rsid w:val="00684726"/>
    <w:rPr>
      <w:rFonts w:cs="Arial"/>
      <w:b/>
      <w:bCs/>
      <w:kern w:val="28"/>
      <w:lang w:eastAsia="en-US"/>
    </w:rPr>
  </w:style>
  <w:style w:type="paragraph" w:customStyle="1" w:styleId="StlusKpalrsNemFlkvrBalrazrtBal127cmEltte">
    <w:name w:val="Stílus Képaláírás + Nem Félkövér Balra zárt Bal:  127 cm Előtte:..."/>
    <w:basedOn w:val="Kpalrs"/>
    <w:next w:val="Norml"/>
    <w:link w:val="StlusKpalrsNemFlkvrBalrazrtBal127cmEltteChar"/>
    <w:rsid w:val="00C07F4B"/>
    <w:pPr>
      <w:ind w:left="720"/>
    </w:pPr>
    <w:rPr>
      <w:rFonts w:ascii="Verdana" w:eastAsia="Times New Roman" w:hAnsi="Verdana" w:cs="Times New Roman"/>
      <w:b w:val="0"/>
      <w:bCs w:val="0"/>
      <w:kern w:val="0"/>
      <w:sz w:val="16"/>
      <w:lang w:eastAsia="hu-HU"/>
    </w:rPr>
  </w:style>
  <w:style w:type="character" w:customStyle="1" w:styleId="BekezdsChar1">
    <w:name w:val="Bekezdés Char1"/>
    <w:link w:val="Bekezds"/>
    <w:rsid w:val="0087337F"/>
    <w:rPr>
      <w:kern w:val="1"/>
      <w:sz w:val="26"/>
    </w:rPr>
  </w:style>
  <w:style w:type="paragraph" w:customStyle="1" w:styleId="Felsorols123">
    <w:name w:val="Felsorolás 1.2.3."/>
    <w:basedOn w:val="Norml"/>
    <w:semiHidden/>
    <w:rsid w:val="0023553A"/>
    <w:pPr>
      <w:suppressAutoHyphens w:val="0"/>
      <w:spacing w:before="60" w:after="60"/>
    </w:pPr>
    <w:rPr>
      <w:rFonts w:ascii="Verdana" w:eastAsia="Times New Roman" w:hAnsi="Verdana"/>
      <w:kern w:val="0"/>
      <w:sz w:val="20"/>
    </w:rPr>
  </w:style>
  <w:style w:type="paragraph" w:styleId="Felsorols2">
    <w:name w:val="List Bullet 2"/>
    <w:basedOn w:val="Norml"/>
    <w:semiHidden/>
    <w:unhideWhenUsed/>
    <w:rsid w:val="0023553A"/>
    <w:pPr>
      <w:numPr>
        <w:numId w:val="6"/>
      </w:numPr>
      <w:contextualSpacing/>
    </w:pPr>
  </w:style>
  <w:style w:type="paragraph" w:customStyle="1" w:styleId="StlusCmsor5TimesNewRoman10ptEltte12ptUtna3">
    <w:name w:val="Stílus Címsor 5 + Times New Roman 10 pt Előtte:  12 pt Utána:  3 ..."/>
    <w:basedOn w:val="Cmsor5"/>
    <w:autoRedefine/>
    <w:semiHidden/>
    <w:rsid w:val="006B7E22"/>
    <w:pPr>
      <w:tabs>
        <w:tab w:val="num" w:pos="1008"/>
      </w:tabs>
      <w:suppressAutoHyphens w:val="0"/>
      <w:spacing w:before="360" w:after="120"/>
      <w:ind w:left="1009" w:right="0" w:hanging="1009"/>
    </w:pPr>
    <w:rPr>
      <w:rFonts w:eastAsia="Times New Roman"/>
      <w:iCs/>
      <w:sz w:val="20"/>
    </w:rPr>
  </w:style>
  <w:style w:type="paragraph" w:customStyle="1" w:styleId="Bekezd">
    <w:name w:val="Bekezd"/>
    <w:basedOn w:val="Norml"/>
    <w:semiHidden/>
    <w:rsid w:val="000809E5"/>
    <w:pPr>
      <w:suppressAutoHyphens w:val="0"/>
      <w:spacing w:after="240" w:line="360" w:lineRule="auto"/>
    </w:pPr>
    <w:rPr>
      <w:rFonts w:ascii="Courier New" w:eastAsia="Times New Roman" w:hAnsi="Courier New"/>
      <w:kern w:val="0"/>
      <w:sz w:val="24"/>
      <w:szCs w:val="20"/>
      <w:lang w:val="en-GB"/>
    </w:rPr>
  </w:style>
  <w:style w:type="paragraph" w:customStyle="1" w:styleId="Norml1">
    <w:name w:val="Normál1"/>
    <w:basedOn w:val="Norml"/>
    <w:rsid w:val="00B22BEB"/>
    <w:pPr>
      <w:suppressAutoHyphens w:val="0"/>
      <w:spacing w:after="60"/>
    </w:pPr>
    <w:rPr>
      <w:rFonts w:eastAsia="Times New Roman"/>
      <w:kern w:val="0"/>
      <w:szCs w:val="22"/>
      <w:lang w:val="en-GB"/>
    </w:rPr>
  </w:style>
  <w:style w:type="paragraph" w:customStyle="1" w:styleId="TblzatcmSZMJobbrazrtUtna0pt">
    <w:name w:val="Táblázat cím + SZÁM +Jobbra zárt Utána:  0 pt"/>
    <w:basedOn w:val="Norml"/>
    <w:autoRedefine/>
    <w:semiHidden/>
    <w:rsid w:val="00CF65A0"/>
    <w:pPr>
      <w:numPr>
        <w:numId w:val="8"/>
      </w:numPr>
      <w:suppressAutoHyphens w:val="0"/>
      <w:jc w:val="right"/>
    </w:pPr>
    <w:rPr>
      <w:rFonts w:eastAsia="Times New Roman"/>
      <w:b/>
      <w:bCs/>
      <w:i/>
      <w:iCs/>
      <w:kern w:val="0"/>
      <w:sz w:val="24"/>
      <w:szCs w:val="20"/>
    </w:rPr>
  </w:style>
  <w:style w:type="paragraph" w:customStyle="1" w:styleId="Tbraszmjobbra">
    <w:name w:val="T. ábraszám + jobbra"/>
    <w:basedOn w:val="Norml"/>
    <w:autoRedefine/>
    <w:semiHidden/>
    <w:rsid w:val="00CF65A0"/>
    <w:pPr>
      <w:keepNext/>
      <w:numPr>
        <w:numId w:val="11"/>
      </w:numPr>
      <w:suppressAutoHyphens w:val="0"/>
      <w:spacing w:before="120"/>
      <w:jc w:val="right"/>
    </w:pPr>
    <w:rPr>
      <w:rFonts w:eastAsia="Times New Roman"/>
      <w:b/>
      <w:i/>
      <w:kern w:val="0"/>
      <w:sz w:val="24"/>
    </w:rPr>
  </w:style>
  <w:style w:type="paragraph" w:customStyle="1" w:styleId="TableNumbers">
    <w:name w:val="Table Numbers"/>
    <w:basedOn w:val="TableText"/>
    <w:semiHidden/>
    <w:rsid w:val="003D46E9"/>
    <w:pPr>
      <w:widowControl/>
      <w:suppressAutoHyphens w:val="0"/>
      <w:spacing w:before="20" w:after="20" w:line="240" w:lineRule="atLeast"/>
      <w:ind w:right="82"/>
      <w:jc w:val="right"/>
    </w:pPr>
    <w:rPr>
      <w:rFonts w:eastAsia="MS Mincho"/>
      <w:snapToGrid w:val="0"/>
      <w:kern w:val="0"/>
      <w:sz w:val="20"/>
      <w:szCs w:val="20"/>
      <w:lang w:val="en-GB"/>
    </w:rPr>
  </w:style>
  <w:style w:type="paragraph" w:customStyle="1" w:styleId="Source">
    <w:name w:val="Source"/>
    <w:basedOn w:val="Norml"/>
    <w:semiHidden/>
    <w:rsid w:val="003D46E9"/>
    <w:pPr>
      <w:suppressAutoHyphens w:val="0"/>
      <w:spacing w:before="60" w:after="60"/>
    </w:pPr>
    <w:rPr>
      <w:rFonts w:eastAsia="Times New Roman"/>
      <w:i/>
      <w:iCs/>
      <w:snapToGrid w:val="0"/>
      <w:kern w:val="0"/>
      <w:sz w:val="20"/>
      <w:szCs w:val="20"/>
      <w:lang w:val="en-GB"/>
    </w:rPr>
  </w:style>
  <w:style w:type="paragraph" w:customStyle="1" w:styleId="Normltblzatban-kzp">
    <w:name w:val="Normál (táblázatban-közép)"/>
    <w:basedOn w:val="Norml"/>
    <w:semiHidden/>
    <w:rsid w:val="003D46E9"/>
    <w:pPr>
      <w:spacing w:after="60"/>
      <w:jc w:val="center"/>
    </w:pPr>
    <w:rPr>
      <w:rFonts w:eastAsia="Times New Roman"/>
      <w:kern w:val="0"/>
      <w:szCs w:val="22"/>
      <w:lang w:eastAsia="ar-SA"/>
    </w:rPr>
  </w:style>
  <w:style w:type="paragraph" w:customStyle="1" w:styleId="NormlCm">
    <w:name w:val="NormálCím"/>
    <w:basedOn w:val="Norml1"/>
    <w:semiHidden/>
    <w:rsid w:val="003D46E9"/>
    <w:pPr>
      <w:keepNext/>
      <w:keepLines/>
      <w:spacing w:after="240"/>
    </w:pPr>
    <w:rPr>
      <w:b/>
      <w:lang w:val="hu-HU" w:eastAsia="ar-SA"/>
    </w:rPr>
  </w:style>
  <w:style w:type="paragraph" w:customStyle="1" w:styleId="Normltblzatban">
    <w:name w:val="Normál (táblázatban)"/>
    <w:basedOn w:val="Norml"/>
    <w:semiHidden/>
    <w:rsid w:val="00A6161E"/>
    <w:pPr>
      <w:ind w:left="284" w:hanging="284"/>
    </w:pPr>
    <w:rPr>
      <w:rFonts w:eastAsia="Times New Roman"/>
      <w:kern w:val="0"/>
      <w:szCs w:val="22"/>
      <w:lang w:eastAsia="ar-SA"/>
    </w:rPr>
  </w:style>
  <w:style w:type="paragraph" w:customStyle="1" w:styleId="Exhibit">
    <w:name w:val="Exhibit"/>
    <w:basedOn w:val="Norml"/>
    <w:semiHidden/>
    <w:rsid w:val="00A6161E"/>
    <w:pPr>
      <w:keepNext/>
      <w:suppressAutoHyphens w:val="0"/>
      <w:spacing w:before="120"/>
    </w:pPr>
    <w:rPr>
      <w:rFonts w:eastAsia="Times New Roman"/>
      <w:b/>
      <w:bCs/>
      <w:snapToGrid w:val="0"/>
      <w:kern w:val="0"/>
      <w:sz w:val="20"/>
      <w:szCs w:val="20"/>
    </w:rPr>
  </w:style>
  <w:style w:type="character" w:customStyle="1" w:styleId="Norml1Char">
    <w:name w:val="Normál1 Char"/>
    <w:semiHidden/>
    <w:rsid w:val="00A6161E"/>
    <w:rPr>
      <w:sz w:val="22"/>
      <w:szCs w:val="22"/>
      <w:lang w:val="en-GB" w:eastAsia="hu-HU" w:bidi="ar-SA"/>
    </w:rPr>
  </w:style>
  <w:style w:type="paragraph" w:customStyle="1" w:styleId="Felsorols20">
    <w:name w:val="Felsorolás2"/>
    <w:basedOn w:val="Norml"/>
    <w:semiHidden/>
    <w:rsid w:val="00A6161E"/>
    <w:pPr>
      <w:numPr>
        <w:numId w:val="13"/>
      </w:numPr>
      <w:suppressAutoHyphens w:val="0"/>
    </w:pPr>
    <w:rPr>
      <w:rFonts w:eastAsia="Times New Roman"/>
      <w:kern w:val="0"/>
      <w:sz w:val="26"/>
      <w:szCs w:val="20"/>
      <w:lang w:eastAsia="ar-SA"/>
    </w:rPr>
  </w:style>
  <w:style w:type="paragraph" w:customStyle="1" w:styleId="BekezdsChar">
    <w:name w:val="Bekezdés Char"/>
    <w:basedOn w:val="Norml"/>
    <w:semiHidden/>
    <w:rsid w:val="00A6161E"/>
    <w:pPr>
      <w:suppressAutoHyphens w:val="0"/>
      <w:spacing w:before="240"/>
      <w:ind w:firstLine="709"/>
    </w:pPr>
    <w:rPr>
      <w:rFonts w:eastAsia="Times New Roman"/>
      <w:kern w:val="0"/>
      <w:sz w:val="26"/>
      <w:szCs w:val="26"/>
      <w:lang w:val="en-US"/>
    </w:rPr>
  </w:style>
  <w:style w:type="paragraph" w:customStyle="1" w:styleId="gyiratszm">
    <w:name w:val="ügyiratszám"/>
    <w:basedOn w:val="Norml"/>
    <w:next w:val="Norml"/>
    <w:semiHidden/>
    <w:rsid w:val="00A6161E"/>
    <w:pPr>
      <w:tabs>
        <w:tab w:val="left" w:pos="5103"/>
      </w:tabs>
      <w:suppressAutoHyphens w:val="0"/>
      <w:spacing w:after="720"/>
    </w:pPr>
    <w:rPr>
      <w:rFonts w:eastAsia="Times New Roman"/>
      <w:snapToGrid w:val="0"/>
      <w:kern w:val="0"/>
      <w:sz w:val="26"/>
      <w:szCs w:val="26"/>
    </w:rPr>
  </w:style>
  <w:style w:type="paragraph" w:styleId="Szvegtrzs2">
    <w:name w:val="Body Text 2"/>
    <w:basedOn w:val="Norml"/>
    <w:link w:val="Szvegtrzs2Char"/>
    <w:semiHidden/>
    <w:rsid w:val="00A6161E"/>
    <w:pPr>
      <w:suppressAutoHyphens w:val="0"/>
      <w:spacing w:line="480" w:lineRule="auto"/>
    </w:pPr>
    <w:rPr>
      <w:rFonts w:eastAsia="Times New Roman"/>
      <w:kern w:val="0"/>
      <w:szCs w:val="22"/>
    </w:rPr>
  </w:style>
  <w:style w:type="character" w:customStyle="1" w:styleId="Szvegtrzs2Char">
    <w:name w:val="Szövegtörzs 2 Char"/>
    <w:link w:val="Szvegtrzs2"/>
    <w:rsid w:val="00A6161E"/>
    <w:rPr>
      <w:rFonts w:eastAsia="Times New Roman"/>
      <w:sz w:val="22"/>
      <w:szCs w:val="22"/>
    </w:rPr>
  </w:style>
  <w:style w:type="paragraph" w:customStyle="1" w:styleId="Felsorolsszmozott">
    <w:name w:val="Felsorolás számozott"/>
    <w:basedOn w:val="Norml"/>
    <w:semiHidden/>
    <w:rsid w:val="00A6161E"/>
    <w:pPr>
      <w:tabs>
        <w:tab w:val="num" w:pos="1440"/>
      </w:tabs>
      <w:suppressAutoHyphens w:val="0"/>
      <w:ind w:left="1440" w:hanging="360"/>
    </w:pPr>
    <w:rPr>
      <w:rFonts w:eastAsia="Times New Roman"/>
      <w:kern w:val="0"/>
      <w:lang w:val="en-GB" w:eastAsia="ar-SA"/>
    </w:rPr>
  </w:style>
  <w:style w:type="character" w:styleId="Jegyzethivatkozs">
    <w:name w:val="annotation reference"/>
    <w:semiHidden/>
    <w:rsid w:val="00A6161E"/>
    <w:rPr>
      <w:sz w:val="16"/>
      <w:szCs w:val="16"/>
    </w:rPr>
  </w:style>
  <w:style w:type="paragraph" w:customStyle="1" w:styleId="Text1">
    <w:name w:val="Text 1"/>
    <w:basedOn w:val="Norml"/>
    <w:semiHidden/>
    <w:rsid w:val="00A6161E"/>
    <w:pPr>
      <w:suppressAutoHyphens w:val="0"/>
      <w:spacing w:before="120"/>
      <w:ind w:left="850"/>
    </w:pPr>
    <w:rPr>
      <w:rFonts w:eastAsia="Times New Roman"/>
      <w:kern w:val="0"/>
      <w:szCs w:val="20"/>
      <w:lang w:eastAsia="zh-CN"/>
    </w:rPr>
  </w:style>
  <w:style w:type="character" w:customStyle="1" w:styleId="BekezdsCharChar">
    <w:name w:val="Bekezdés Char Char"/>
    <w:semiHidden/>
    <w:rsid w:val="00A6161E"/>
    <w:rPr>
      <w:sz w:val="26"/>
      <w:lang w:val="hu-HU" w:eastAsia="hu-HU" w:bidi="ar-SA"/>
    </w:rPr>
  </w:style>
  <w:style w:type="paragraph" w:customStyle="1" w:styleId="felsorols00bogynlkl">
    <w:name w:val="felsorolás (00bogyónélkül)"/>
    <w:basedOn w:val="felsorols00"/>
    <w:autoRedefine/>
    <w:semiHidden/>
    <w:rsid w:val="00A6161E"/>
    <w:pPr>
      <w:numPr>
        <w:numId w:val="0"/>
      </w:numPr>
      <w:ind w:left="720" w:hanging="12"/>
    </w:pPr>
  </w:style>
  <w:style w:type="character" w:customStyle="1" w:styleId="BodyTextCharChar">
    <w:name w:val="Body Text Char Char"/>
    <w:semiHidden/>
    <w:rsid w:val="00A6161E"/>
    <w:rPr>
      <w:sz w:val="24"/>
      <w:szCs w:val="24"/>
      <w:lang w:val="hu-HU"/>
    </w:rPr>
  </w:style>
  <w:style w:type="character" w:styleId="Mrltotthiperhivatkozs">
    <w:name w:val="FollowedHyperlink"/>
    <w:uiPriority w:val="99"/>
    <w:semiHidden/>
    <w:rsid w:val="00A6161E"/>
    <w:rPr>
      <w:color w:val="800080"/>
      <w:u w:val="single"/>
    </w:rPr>
  </w:style>
  <w:style w:type="paragraph" w:customStyle="1" w:styleId="Tblaszm">
    <w:name w:val="Táblaszám"/>
    <w:basedOn w:val="Norml"/>
    <w:next w:val="Norml"/>
    <w:semiHidden/>
    <w:rsid w:val="00A6161E"/>
    <w:pPr>
      <w:keepNext/>
      <w:suppressAutoHyphens w:val="0"/>
      <w:spacing w:before="240"/>
      <w:ind w:left="432" w:hanging="432"/>
      <w:jc w:val="right"/>
    </w:pPr>
    <w:rPr>
      <w:rFonts w:eastAsia="Times New Roman"/>
      <w:snapToGrid w:val="0"/>
      <w:kern w:val="0"/>
      <w:sz w:val="26"/>
      <w:szCs w:val="26"/>
    </w:rPr>
  </w:style>
  <w:style w:type="character" w:customStyle="1" w:styleId="CharChar1">
    <w:name w:val="Char Char1"/>
    <w:semiHidden/>
    <w:rsid w:val="00A6161E"/>
    <w:rPr>
      <w:b/>
      <w:i/>
      <w:sz w:val="26"/>
      <w:szCs w:val="26"/>
      <w:lang w:val="en-GB" w:eastAsia="hu-HU" w:bidi="ar-SA"/>
    </w:rPr>
  </w:style>
  <w:style w:type="paragraph" w:customStyle="1" w:styleId="2bullets1">
    <w:name w:val="2_bullets_1"/>
    <w:basedOn w:val="Norml"/>
    <w:semiHidden/>
    <w:rsid w:val="00A6161E"/>
    <w:pPr>
      <w:tabs>
        <w:tab w:val="num" w:pos="360"/>
      </w:tabs>
      <w:suppressAutoHyphens w:val="0"/>
      <w:overflowPunct w:val="0"/>
      <w:autoSpaceDE w:val="0"/>
      <w:autoSpaceDN w:val="0"/>
      <w:adjustRightInd w:val="0"/>
      <w:spacing w:before="60" w:line="320" w:lineRule="atLeast"/>
      <w:ind w:left="360" w:hanging="360"/>
      <w:textAlignment w:val="baseline"/>
    </w:pPr>
    <w:rPr>
      <w:rFonts w:ascii="Arial" w:eastAsia="MS Mincho" w:hAnsi="Arial"/>
      <w:kern w:val="28"/>
      <w:szCs w:val="20"/>
    </w:rPr>
  </w:style>
  <w:style w:type="paragraph" w:customStyle="1" w:styleId="Normlbogy">
    <w:name w:val="Normál.bogyó"/>
    <w:basedOn w:val="Listaszerbekezds"/>
    <w:rsid w:val="00D90F4C"/>
    <w:pPr>
      <w:numPr>
        <w:numId w:val="77"/>
      </w:numPr>
      <w:ind w:left="284" w:hanging="284"/>
    </w:pPr>
  </w:style>
  <w:style w:type="paragraph" w:customStyle="1" w:styleId="4tablbels">
    <w:name w:val="4_tabl_belső"/>
    <w:basedOn w:val="Norml"/>
    <w:semiHidden/>
    <w:rsid w:val="00D90F4C"/>
    <w:pPr>
      <w:suppressAutoHyphens w:val="0"/>
      <w:overflowPunct w:val="0"/>
      <w:autoSpaceDE w:val="0"/>
      <w:autoSpaceDN w:val="0"/>
      <w:adjustRightInd w:val="0"/>
      <w:spacing w:after="0"/>
      <w:ind w:firstLine="0"/>
      <w:jc w:val="left"/>
      <w:textAlignment w:val="baseline"/>
    </w:pPr>
    <w:rPr>
      <w:rFonts w:ascii="Arial Narrow" w:eastAsia="MS Mincho" w:hAnsi="Arial Narrow"/>
      <w:kern w:val="0"/>
      <w:sz w:val="20"/>
      <w:szCs w:val="20"/>
    </w:rPr>
  </w:style>
  <w:style w:type="paragraph" w:customStyle="1" w:styleId="Normllista2">
    <w:name w:val="Normál lista2"/>
    <w:basedOn w:val="Normllista1"/>
    <w:rsid w:val="00896E03"/>
    <w:pPr>
      <w:spacing w:after="0"/>
      <w:ind w:left="568"/>
    </w:pPr>
  </w:style>
  <w:style w:type="character" w:customStyle="1" w:styleId="tw4winMark">
    <w:name w:val="tw4winMark"/>
    <w:semiHidden/>
    <w:rsid w:val="00A6161E"/>
    <w:rPr>
      <w:rFonts w:ascii="Courier New" w:hAnsi="Courier New" w:cs="Courier New"/>
      <w:vanish/>
      <w:color w:val="800080"/>
      <w:sz w:val="24"/>
      <w:szCs w:val="24"/>
      <w:vertAlign w:val="subscript"/>
    </w:rPr>
  </w:style>
  <w:style w:type="paragraph" w:styleId="Szmozottlista">
    <w:name w:val="List Number"/>
    <w:basedOn w:val="Norml"/>
    <w:semiHidden/>
    <w:rsid w:val="00A6161E"/>
    <w:pPr>
      <w:tabs>
        <w:tab w:val="num" w:pos="720"/>
      </w:tabs>
      <w:suppressAutoHyphens w:val="0"/>
      <w:spacing w:before="120"/>
      <w:ind w:left="720" w:hanging="360"/>
    </w:pPr>
    <w:rPr>
      <w:rFonts w:eastAsia="Times New Roman"/>
      <w:kern w:val="0"/>
      <w:sz w:val="24"/>
      <w:szCs w:val="20"/>
      <w:lang w:val="en-GB" w:eastAsia="zh-CN"/>
    </w:rPr>
  </w:style>
  <w:style w:type="character" w:customStyle="1" w:styleId="BodyTextStandardparagraphSzvegtrzsChar1SzvegtrzsCharCharCharCharChar">
    <w:name w:val="Body Text;Standard paragraph;Szövegtörzs Char1;Szövegtörzs Char Char;Char Char Char"/>
    <w:semiHidden/>
    <w:rsid w:val="00A6161E"/>
    <w:rPr>
      <w:sz w:val="22"/>
      <w:szCs w:val="24"/>
      <w:lang w:val="en-GB" w:eastAsia="hu-HU" w:bidi="ar-SA"/>
    </w:rPr>
  </w:style>
  <w:style w:type="character" w:customStyle="1" w:styleId="CharChar3">
    <w:name w:val="Char Char3"/>
    <w:semiHidden/>
    <w:rsid w:val="00A6161E"/>
    <w:rPr>
      <w:rFonts w:cs="Arial"/>
      <w:b/>
      <w:bCs/>
      <w:i/>
      <w:smallCaps/>
      <w:kern w:val="32"/>
      <w:sz w:val="36"/>
      <w:szCs w:val="36"/>
      <w:lang w:val="en-GB" w:eastAsia="hu-HU" w:bidi="ar-SA"/>
    </w:rPr>
  </w:style>
  <w:style w:type="character" w:customStyle="1" w:styleId="CharChar2">
    <w:name w:val="Char Char2"/>
    <w:semiHidden/>
    <w:rsid w:val="00A6161E"/>
    <w:rPr>
      <w:rFonts w:cs="Arial"/>
      <w:bCs/>
      <w:i/>
      <w:sz w:val="22"/>
      <w:szCs w:val="26"/>
      <w:lang w:val="en-GB" w:eastAsia="hu-HU" w:bidi="ar-SA"/>
    </w:rPr>
  </w:style>
  <w:style w:type="character" w:customStyle="1" w:styleId="BodyTextIndentChar">
    <w:name w:val="Body Text Indent Char"/>
    <w:semiHidden/>
    <w:rsid w:val="00A6161E"/>
    <w:rPr>
      <w:sz w:val="24"/>
      <w:szCs w:val="24"/>
      <w:lang w:val="hu-HU" w:eastAsia="hu-HU" w:bidi="ar-SA"/>
    </w:rPr>
  </w:style>
  <w:style w:type="paragraph" w:customStyle="1" w:styleId="Title1">
    <w:name w:val="Title1"/>
    <w:basedOn w:val="Cmsor1"/>
    <w:semiHidden/>
    <w:rsid w:val="00A6161E"/>
    <w:pPr>
      <w:numPr>
        <w:numId w:val="0"/>
      </w:numPr>
    </w:pPr>
    <w:rPr>
      <w:rFonts w:eastAsia="Times New Roman" w:cs="Times New Roman"/>
      <w:bCs w:val="0"/>
      <w:smallCaps/>
      <w:noProof/>
      <w:snapToGrid w:val="0"/>
      <w:szCs w:val="20"/>
    </w:rPr>
  </w:style>
  <w:style w:type="character" w:customStyle="1" w:styleId="TableTextChar">
    <w:name w:val="Table Text Char"/>
    <w:semiHidden/>
    <w:rsid w:val="00A6161E"/>
    <w:rPr>
      <w:rFonts w:eastAsia="MS Mincho"/>
      <w:lang w:val="hu-HU" w:eastAsia="hu-HU" w:bidi="ar-SA"/>
    </w:rPr>
  </w:style>
  <w:style w:type="paragraph" w:customStyle="1" w:styleId="3tablfelett">
    <w:name w:val="3_tabl_felett"/>
    <w:basedOn w:val="Norml"/>
    <w:next w:val="Norml"/>
    <w:semiHidden/>
    <w:rsid w:val="00D90F4C"/>
    <w:pPr>
      <w:suppressAutoHyphens w:val="0"/>
      <w:overflowPunct w:val="0"/>
      <w:autoSpaceDE w:val="0"/>
      <w:autoSpaceDN w:val="0"/>
      <w:adjustRightInd w:val="0"/>
      <w:spacing w:before="240" w:line="280" w:lineRule="exact"/>
      <w:ind w:firstLine="363"/>
      <w:jc w:val="center"/>
      <w:textAlignment w:val="baseline"/>
    </w:pPr>
    <w:rPr>
      <w:rFonts w:ascii="Arial" w:eastAsia="MS Mincho" w:hAnsi="Arial" w:cs="Times New Roman"/>
      <w:b/>
      <w:bCs/>
      <w:kern w:val="0"/>
      <w:szCs w:val="20"/>
    </w:rPr>
  </w:style>
  <w:style w:type="paragraph" w:customStyle="1" w:styleId="5tablalatt">
    <w:name w:val="5_tabl_alatt"/>
    <w:basedOn w:val="Norml"/>
    <w:semiHidden/>
    <w:rsid w:val="00D90F4C"/>
    <w:pPr>
      <w:suppressAutoHyphens w:val="0"/>
      <w:overflowPunct w:val="0"/>
      <w:autoSpaceDE w:val="0"/>
      <w:autoSpaceDN w:val="0"/>
      <w:adjustRightInd w:val="0"/>
      <w:spacing w:before="120" w:after="360" w:line="260" w:lineRule="atLeast"/>
      <w:ind w:firstLine="363"/>
      <w:jc w:val="center"/>
      <w:textAlignment w:val="baseline"/>
    </w:pPr>
    <w:rPr>
      <w:rFonts w:ascii="Arial" w:eastAsia="MS Mincho" w:hAnsi="Arial" w:cs="Times New Roman"/>
      <w:kern w:val="0"/>
      <w:sz w:val="20"/>
      <w:szCs w:val="20"/>
    </w:rPr>
  </w:style>
  <w:style w:type="paragraph" w:customStyle="1" w:styleId="6postit">
    <w:name w:val="6_post_it"/>
    <w:semiHidden/>
    <w:rsid w:val="00A6161E"/>
    <w:pPr>
      <w:widowControl w:val="0"/>
      <w:pBdr>
        <w:top w:val="single" w:sz="6" w:space="2" w:color="000000" w:shadow="1"/>
        <w:left w:val="single" w:sz="6" w:space="1" w:color="000000" w:shadow="1"/>
        <w:bottom w:val="single" w:sz="6" w:space="2" w:color="000000" w:shadow="1"/>
        <w:right w:val="single" w:sz="6" w:space="4" w:color="000000" w:shadow="1"/>
      </w:pBdr>
      <w:shd w:val="clear" w:color="auto" w:fill="FFFF00"/>
      <w:spacing w:before="240" w:after="240"/>
      <w:ind w:right="2835"/>
    </w:pPr>
    <w:rPr>
      <w:rFonts w:eastAsia="Times New Roman"/>
      <w:sz w:val="22"/>
    </w:rPr>
  </w:style>
  <w:style w:type="paragraph" w:customStyle="1" w:styleId="7puffer">
    <w:name w:val="7_puffer"/>
    <w:semiHidden/>
    <w:rsid w:val="00A6161E"/>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rPr>
      <w:rFonts w:ascii="Century Schoolbook" w:eastAsia="Times New Roman" w:hAnsi="Century Schoolbook"/>
      <w:color w:val="808000"/>
    </w:rPr>
  </w:style>
  <w:style w:type="paragraph" w:customStyle="1" w:styleId="8box">
    <w:name w:val="8_box"/>
    <w:basedOn w:val="Norml"/>
    <w:semiHidden/>
    <w:rsid w:val="00D90F4C"/>
    <w:pPr>
      <w:pBdr>
        <w:top w:val="single" w:sz="6" w:space="10" w:color="auto" w:shadow="1"/>
        <w:left w:val="single" w:sz="6" w:space="10" w:color="auto" w:shadow="1"/>
        <w:bottom w:val="single" w:sz="6" w:space="10" w:color="auto" w:shadow="1"/>
        <w:right w:val="single" w:sz="6" w:space="10" w:color="auto" w:shadow="1"/>
      </w:pBdr>
      <w:shd w:val="clear" w:color="auto" w:fill="C0C0C0"/>
      <w:tabs>
        <w:tab w:val="left" w:pos="720"/>
      </w:tabs>
      <w:suppressAutoHyphens w:val="0"/>
      <w:overflowPunct w:val="0"/>
      <w:autoSpaceDE w:val="0"/>
      <w:autoSpaceDN w:val="0"/>
      <w:adjustRightInd w:val="0"/>
      <w:spacing w:after="0" w:line="320" w:lineRule="atLeast"/>
      <w:ind w:left="720" w:right="720" w:firstLine="0"/>
      <w:textAlignment w:val="baseline"/>
    </w:pPr>
    <w:rPr>
      <w:rFonts w:ascii="Arial" w:eastAsia="MS Mincho" w:hAnsi="Arial"/>
      <w:b/>
      <w:bCs/>
      <w:kern w:val="0"/>
      <w:sz w:val="20"/>
      <w:szCs w:val="20"/>
    </w:rPr>
  </w:style>
  <w:style w:type="paragraph" w:customStyle="1" w:styleId="fedlapcm">
    <w:name w:val="fedlapcím"/>
    <w:autoRedefine/>
    <w:semiHidden/>
    <w:rsid w:val="00A6161E"/>
    <w:pPr>
      <w:spacing w:line="240" w:lineRule="atLeast"/>
      <w:jc w:val="center"/>
    </w:pPr>
    <w:rPr>
      <w:rFonts w:ascii="Arial" w:eastAsia="Times New Roman" w:hAnsi="Arial"/>
      <w:b/>
      <w:sz w:val="32"/>
    </w:rPr>
  </w:style>
  <w:style w:type="character" w:customStyle="1" w:styleId="Hyperlink1">
    <w:name w:val="Hyperlink1"/>
    <w:semiHidden/>
    <w:rsid w:val="00A6161E"/>
    <w:rPr>
      <w:color w:val="0000FF"/>
      <w:u w:val="single"/>
    </w:rPr>
  </w:style>
  <w:style w:type="paragraph" w:customStyle="1" w:styleId="7-puffer-forrs">
    <w:name w:val="7-puffer-forrás"/>
    <w:semiHidden/>
    <w:rsid w:val="00A6161E"/>
    <w:pPr>
      <w:shd w:val="clear" w:color="auto" w:fill="00FF00"/>
      <w:spacing w:after="80"/>
      <w:ind w:right="7698" w:hanging="113"/>
      <w:jc w:val="both"/>
    </w:pPr>
    <w:rPr>
      <w:rFonts w:eastAsia="Times New Roman"/>
      <w:b/>
      <w:bCs/>
      <w:snapToGrid w:val="0"/>
      <w:color w:val="000000"/>
      <w:sz w:val="24"/>
    </w:rPr>
  </w:style>
  <w:style w:type="paragraph" w:customStyle="1" w:styleId="kpfelirat">
    <w:name w:val="képfelirat"/>
    <w:semiHidden/>
    <w:rsid w:val="00A6161E"/>
    <w:pPr>
      <w:spacing w:line="240" w:lineRule="exact"/>
    </w:pPr>
    <w:rPr>
      <w:rFonts w:ascii="Arial Narrow" w:eastAsia="Times New Roman" w:hAnsi="Arial Narrow"/>
    </w:rPr>
  </w:style>
  <w:style w:type="paragraph" w:customStyle="1" w:styleId="puffer">
    <w:name w:val="puffer"/>
    <w:basedOn w:val="Norml"/>
    <w:semiHidden/>
    <w:rsid w:val="00A6161E"/>
    <w:pPr>
      <w:pBdr>
        <w:top w:val="single" w:sz="4" w:space="1" w:color="auto"/>
        <w:left w:val="single" w:sz="4" w:space="4" w:color="auto"/>
        <w:bottom w:val="single" w:sz="4" w:space="1" w:color="auto"/>
        <w:right w:val="single" w:sz="4" w:space="4" w:color="auto"/>
      </w:pBdr>
      <w:suppressAutoHyphens w:val="0"/>
      <w:overflowPunct w:val="0"/>
      <w:autoSpaceDE w:val="0"/>
      <w:autoSpaceDN w:val="0"/>
      <w:adjustRightInd w:val="0"/>
      <w:textAlignment w:val="baseline"/>
    </w:pPr>
    <w:rPr>
      <w:rFonts w:ascii="Century Schoolbook" w:eastAsia="Times New Roman" w:hAnsi="Century Schoolbook"/>
      <w:color w:val="808000"/>
      <w:kern w:val="0"/>
      <w:sz w:val="20"/>
      <w:szCs w:val="20"/>
    </w:rPr>
  </w:style>
  <w:style w:type="paragraph" w:customStyle="1" w:styleId="9-javaslat">
    <w:name w:val="9-javaslat"/>
    <w:semiHidden/>
    <w:rsid w:val="00A6161E"/>
    <w:pPr>
      <w:jc w:val="both"/>
    </w:pPr>
    <w:rPr>
      <w:rFonts w:ascii="Arial" w:eastAsia="Times New Roman" w:hAnsi="Arial"/>
    </w:rPr>
  </w:style>
  <w:style w:type="paragraph" w:customStyle="1" w:styleId="xl24">
    <w:name w:val="xl24"/>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5">
    <w:name w:val="xl25"/>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6">
    <w:name w:val="xl26"/>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7">
    <w:name w:val="xl27"/>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top"/>
    </w:pPr>
    <w:rPr>
      <w:rFonts w:ascii="Arial Unicode MS" w:eastAsia="Arial Unicode MS" w:hAnsi="Arial Unicode MS" w:cs="Arial Unicode MS"/>
      <w:kern w:val="0"/>
      <w:sz w:val="24"/>
    </w:rPr>
  </w:style>
  <w:style w:type="paragraph" w:customStyle="1" w:styleId="xl28">
    <w:name w:val="xl28"/>
    <w:basedOn w:val="Norml"/>
    <w:semiHidden/>
    <w:rsid w:val="00A6161E"/>
    <w:pP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0">
    <w:name w:val="xl30"/>
    <w:basedOn w:val="Norml"/>
    <w:semiHidden/>
    <w:rsid w:val="00A6161E"/>
    <w:pPr>
      <w:pBdr>
        <w:left w:val="single" w:sz="8"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1">
    <w:name w:val="xl31"/>
    <w:basedOn w:val="Norml"/>
    <w:semiHidden/>
    <w:rsid w:val="00A6161E"/>
    <w:pPr>
      <w:suppressAutoHyphens w:val="0"/>
      <w:spacing w:before="100" w:beforeAutospacing="1" w:after="100" w:afterAutospacing="1"/>
      <w:jc w:val="center"/>
      <w:textAlignment w:val="center"/>
    </w:pPr>
    <w:rPr>
      <w:rFonts w:ascii="Arial Narrow" w:eastAsia="Arial Unicode MS" w:hAnsi="Arial Narrow" w:cs="Arial Unicode MS"/>
      <w:kern w:val="0"/>
      <w:sz w:val="24"/>
    </w:rPr>
  </w:style>
  <w:style w:type="paragraph" w:customStyle="1" w:styleId="xl33">
    <w:name w:val="xl33"/>
    <w:basedOn w:val="Norml"/>
    <w:semiHidden/>
    <w:rsid w:val="00A6161E"/>
    <w:pPr>
      <w:pBdr>
        <w:top w:val="single" w:sz="12" w:space="0" w:color="800000"/>
        <w:left w:val="single" w:sz="8" w:space="0" w:color="auto"/>
        <w:bottom w:val="double" w:sz="6" w:space="0" w:color="auto"/>
      </w:pBdr>
      <w:shd w:val="clear" w:color="auto" w:fill="FFFF99"/>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4">
    <w:name w:val="xl34"/>
    <w:basedOn w:val="Norml"/>
    <w:semiHidden/>
    <w:rsid w:val="00A6161E"/>
    <w:pPr>
      <w:pBdr>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5">
    <w:name w:val="xl35"/>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6">
    <w:name w:val="xl36"/>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16"/>
      <w:szCs w:val="16"/>
    </w:rPr>
  </w:style>
  <w:style w:type="paragraph" w:customStyle="1" w:styleId="xl37">
    <w:name w:val="xl37"/>
    <w:basedOn w:val="Norml"/>
    <w:semiHidden/>
    <w:rsid w:val="00A6161E"/>
    <w:pPr>
      <w:pBdr>
        <w:top w:val="single" w:sz="4" w:space="0" w:color="auto"/>
        <w:left w:val="single" w:sz="8" w:space="0" w:color="auto"/>
        <w:bottom w:val="single" w:sz="12" w:space="0" w:color="800000"/>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8">
    <w:name w:val="xl38"/>
    <w:basedOn w:val="Norml"/>
    <w:semiHidden/>
    <w:rsid w:val="00A6161E"/>
    <w:pPr>
      <w:pBdr>
        <w:left w:val="single" w:sz="8"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9">
    <w:name w:val="xl39"/>
    <w:basedOn w:val="Norml"/>
    <w:semiHidden/>
    <w:rsid w:val="00A6161E"/>
    <w:pPr>
      <w:pBdr>
        <w:top w:val="single" w:sz="12" w:space="0" w:color="800000"/>
        <w:left w:val="single" w:sz="8"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40">
    <w:name w:val="xl40"/>
    <w:basedOn w:val="Norml"/>
    <w:semiHidden/>
    <w:rsid w:val="00A6161E"/>
    <w:pPr>
      <w:pBdr>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1">
    <w:name w:val="xl41"/>
    <w:basedOn w:val="Norml"/>
    <w:semiHidden/>
    <w:rsid w:val="00A6161E"/>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2">
    <w:name w:val="xl42"/>
    <w:basedOn w:val="Norml"/>
    <w:semiHidden/>
    <w:rsid w:val="00A6161E"/>
    <w:pPr>
      <w:pBdr>
        <w:left w:val="single" w:sz="4" w:space="0" w:color="auto"/>
        <w:bottom w:val="single" w:sz="4" w:space="0" w:color="auto"/>
      </w:pBdr>
      <w:shd w:val="clear" w:color="auto" w:fill="FFCC00"/>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43">
    <w:name w:val="xl43"/>
    <w:basedOn w:val="Norml"/>
    <w:semiHidden/>
    <w:rsid w:val="00A6161E"/>
    <w:pPr>
      <w:pBdr>
        <w:left w:val="single" w:sz="4" w:space="0" w:color="auto"/>
        <w:bottom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4">
    <w:name w:val="xl44"/>
    <w:basedOn w:val="Norml"/>
    <w:semiHidden/>
    <w:rsid w:val="00A6161E"/>
    <w:pPr>
      <w:pBdr>
        <w:left w:val="double" w:sz="6" w:space="0" w:color="auto"/>
        <w:bottom w:val="single" w:sz="4" w:space="0" w:color="auto"/>
        <w:right w:val="double" w:sz="6" w:space="0" w:color="auto"/>
      </w:pBdr>
      <w:shd w:val="clear" w:color="auto" w:fill="FF9900"/>
      <w:suppressAutoHyphens w:val="0"/>
      <w:spacing w:before="100" w:beforeAutospacing="1" w:after="100" w:afterAutospacing="1"/>
      <w:jc w:val="right"/>
      <w:textAlignment w:val="center"/>
    </w:pPr>
    <w:rPr>
      <w:rFonts w:ascii="Arial" w:eastAsia="Arial Unicode MS" w:hAnsi="Arial" w:cs="Arial Unicode MS"/>
      <w:b/>
      <w:bCs/>
      <w:kern w:val="0"/>
      <w:szCs w:val="22"/>
    </w:rPr>
  </w:style>
  <w:style w:type="paragraph" w:customStyle="1" w:styleId="xl45">
    <w:name w:val="xl45"/>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6">
    <w:name w:val="xl46"/>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7">
    <w:name w:val="xl47"/>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8">
    <w:name w:val="xl48"/>
    <w:basedOn w:val="Norml"/>
    <w:semiHidden/>
    <w:rsid w:val="00A6161E"/>
    <w:pPr>
      <w:pBdr>
        <w:top w:val="single" w:sz="4" w:space="0" w:color="auto"/>
        <w:left w:val="single" w:sz="8" w:space="0" w:color="auto"/>
        <w:bottom w:val="single" w:sz="12" w:space="0" w:color="800000"/>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9">
    <w:name w:val="xl49"/>
    <w:basedOn w:val="Norml"/>
    <w:semiHidden/>
    <w:rsid w:val="00A6161E"/>
    <w:pPr>
      <w:pBdr>
        <w:top w:val="single" w:sz="4" w:space="0" w:color="auto"/>
        <w:left w:val="single" w:sz="4" w:space="0" w:color="auto"/>
        <w:bottom w:val="single" w:sz="12" w:space="0" w:color="800000"/>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0">
    <w:name w:val="xl50"/>
    <w:basedOn w:val="Norml"/>
    <w:semiHidden/>
    <w:rsid w:val="00A6161E"/>
    <w:pPr>
      <w:pBdr>
        <w:top w:val="single" w:sz="4" w:space="0" w:color="auto"/>
        <w:left w:val="single" w:sz="4" w:space="0" w:color="auto"/>
        <w:bottom w:val="single" w:sz="12" w:space="0" w:color="800000"/>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1">
    <w:name w:val="xl51"/>
    <w:basedOn w:val="Norml"/>
    <w:semiHidden/>
    <w:rsid w:val="00A6161E"/>
    <w:pPr>
      <w:pBdr>
        <w:top w:val="single" w:sz="12" w:space="0" w:color="800000"/>
        <w:left w:val="single" w:sz="8"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2">
    <w:name w:val="xl52"/>
    <w:basedOn w:val="Norml"/>
    <w:semiHidden/>
    <w:rsid w:val="00A6161E"/>
    <w:pPr>
      <w:pBdr>
        <w:top w:val="single" w:sz="12" w:space="0" w:color="800000"/>
        <w:left w:val="single" w:sz="4"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3">
    <w:name w:val="xl53"/>
    <w:basedOn w:val="Norml"/>
    <w:semiHidden/>
    <w:rsid w:val="00A6161E"/>
    <w:pPr>
      <w:pBdr>
        <w:top w:val="single" w:sz="12" w:space="0" w:color="800000"/>
        <w:left w:val="single" w:sz="4" w:space="0" w:color="auto"/>
        <w:bottom w:val="double" w:sz="6"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4">
    <w:name w:val="xl54"/>
    <w:basedOn w:val="Norml"/>
    <w:semiHidden/>
    <w:rsid w:val="00A6161E"/>
    <w:pP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5">
    <w:name w:val="xl55"/>
    <w:basedOn w:val="Norml"/>
    <w:semiHidden/>
    <w:rsid w:val="00A6161E"/>
    <w:pPr>
      <w:pBdr>
        <w:top w:val="single" w:sz="12" w:space="0" w:color="800000"/>
        <w:left w:val="single" w:sz="4"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6">
    <w:name w:val="xl56"/>
    <w:basedOn w:val="Norml"/>
    <w:semiHidden/>
    <w:rsid w:val="00A6161E"/>
    <w:pPr>
      <w:pBdr>
        <w:top w:val="single" w:sz="12" w:space="0" w:color="800000"/>
        <w:left w:val="single" w:sz="4" w:space="0" w:color="auto"/>
        <w:bottom w:val="double" w:sz="6"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7">
    <w:name w:val="xl57"/>
    <w:basedOn w:val="Norml"/>
    <w:semiHidden/>
    <w:rsid w:val="00A6161E"/>
    <w:pPr>
      <w:pBdr>
        <w:top w:val="single" w:sz="12" w:space="0" w:color="800000"/>
        <w:left w:val="double" w:sz="6" w:space="0" w:color="auto"/>
        <w:bottom w:val="double" w:sz="6" w:space="0" w:color="auto"/>
        <w:right w:val="double" w:sz="6" w:space="0" w:color="auto"/>
      </w:pBdr>
      <w:shd w:val="clear" w:color="auto" w:fill="FF9900"/>
      <w:suppressAutoHyphens w:val="0"/>
      <w:spacing w:before="100" w:beforeAutospacing="1" w:after="100" w:afterAutospacing="1"/>
      <w:jc w:val="right"/>
      <w:textAlignment w:val="center"/>
    </w:pPr>
    <w:rPr>
      <w:rFonts w:ascii="Arial" w:eastAsia="Arial Unicode MS" w:hAnsi="Arial" w:cs="Arial Unicode MS"/>
      <w:b/>
      <w:bCs/>
      <w:kern w:val="0"/>
      <w:szCs w:val="22"/>
    </w:rPr>
  </w:style>
  <w:style w:type="paragraph" w:customStyle="1" w:styleId="xl58">
    <w:name w:val="xl58"/>
    <w:basedOn w:val="Norml"/>
    <w:semiHidden/>
    <w:rsid w:val="00A6161E"/>
    <w:pPr>
      <w:pBdr>
        <w:top w:val="single" w:sz="12" w:space="0" w:color="800000"/>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9">
    <w:name w:val="xl59"/>
    <w:basedOn w:val="Norml"/>
    <w:semiHidden/>
    <w:rsid w:val="00A6161E"/>
    <w:pPr>
      <w:pBdr>
        <w:left w:val="double" w:sz="6" w:space="0" w:color="auto"/>
        <w:bottom w:val="single" w:sz="4" w:space="0" w:color="auto"/>
        <w:right w:val="double" w:sz="6"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Cs w:val="22"/>
      <w:u w:val="single"/>
    </w:rPr>
  </w:style>
  <w:style w:type="paragraph" w:customStyle="1" w:styleId="xl60">
    <w:name w:val="xl60"/>
    <w:basedOn w:val="Norml"/>
    <w:semiHidden/>
    <w:rsid w:val="00A6161E"/>
    <w:pPr>
      <w:pBdr>
        <w:top w:val="single" w:sz="8" w:space="0" w:color="auto"/>
        <w:left w:val="single" w:sz="8" w:space="0" w:color="auto"/>
        <w:bottom w:val="single" w:sz="4" w:space="0" w:color="auto"/>
        <w:right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1">
    <w:name w:val="xl61"/>
    <w:basedOn w:val="Norml"/>
    <w:semiHidden/>
    <w:rsid w:val="00A6161E"/>
    <w:pPr>
      <w:pBdr>
        <w:top w:val="single" w:sz="8"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2">
    <w:name w:val="xl62"/>
    <w:basedOn w:val="Norml"/>
    <w:semiHidden/>
    <w:rsid w:val="00A6161E"/>
    <w:pPr>
      <w:pBdr>
        <w:top w:val="single" w:sz="8" w:space="0" w:color="auto"/>
        <w:left w:val="single" w:sz="4" w:space="0" w:color="auto"/>
        <w:bottom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3">
    <w:name w:val="xl63"/>
    <w:basedOn w:val="Norml"/>
    <w:semiHidden/>
    <w:rsid w:val="00A6161E"/>
    <w:pPr>
      <w:pBdr>
        <w:top w:val="single" w:sz="8" w:space="0" w:color="auto"/>
        <w:left w:val="single" w:sz="4" w:space="0" w:color="auto"/>
        <w:bottom w:val="single" w:sz="4" w:space="0" w:color="auto"/>
        <w:right w:val="single" w:sz="8"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4">
    <w:name w:val="xl64"/>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5">
    <w:name w:val="xl65"/>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6">
    <w:name w:val="xl66"/>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7">
    <w:name w:val="xl67"/>
    <w:basedOn w:val="Norml"/>
    <w:semiHidden/>
    <w:rsid w:val="00A6161E"/>
    <w:pPr>
      <w:pBdr>
        <w:top w:val="single" w:sz="4" w:space="0" w:color="auto"/>
        <w:left w:val="single" w:sz="8" w:space="0" w:color="auto"/>
        <w:bottom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68">
    <w:name w:val="xl68"/>
    <w:basedOn w:val="Norml"/>
    <w:semiHidden/>
    <w:rsid w:val="00A6161E"/>
    <w:pPr>
      <w:pBdr>
        <w:top w:val="single" w:sz="4" w:space="0" w:color="auto"/>
        <w:bottom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69">
    <w:name w:val="xl69"/>
    <w:basedOn w:val="Norml"/>
    <w:semiHidden/>
    <w:rsid w:val="00A6161E"/>
    <w:pPr>
      <w:pBdr>
        <w:top w:val="single" w:sz="4" w:space="0" w:color="auto"/>
        <w:bottom w:val="single" w:sz="8" w:space="0" w:color="auto"/>
        <w:right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70">
    <w:name w:val="xl70"/>
    <w:basedOn w:val="Norml"/>
    <w:semiHidden/>
    <w:rsid w:val="00A6161E"/>
    <w:pPr>
      <w:pBdr>
        <w:top w:val="single" w:sz="4" w:space="0" w:color="auto"/>
        <w:left w:val="single" w:sz="4" w:space="0" w:color="auto"/>
        <w:right w:val="double" w:sz="6"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1">
    <w:name w:val="xl71"/>
    <w:basedOn w:val="Norml"/>
    <w:semiHidden/>
    <w:rsid w:val="00A6161E"/>
    <w:pPr>
      <w:pBdr>
        <w:left w:val="single" w:sz="4" w:space="0" w:color="auto"/>
        <w:bottom w:val="single" w:sz="4" w:space="0" w:color="auto"/>
        <w:right w:val="double" w:sz="6"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2">
    <w:name w:val="xl72"/>
    <w:basedOn w:val="Norml"/>
    <w:semiHidden/>
    <w:rsid w:val="00A6161E"/>
    <w:pPr>
      <w:pBdr>
        <w:top w:val="single" w:sz="4" w:space="0" w:color="auto"/>
        <w:left w:val="single" w:sz="4" w:space="0" w:color="auto"/>
        <w:right w:val="single" w:sz="8"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3">
    <w:name w:val="xl73"/>
    <w:basedOn w:val="Norml"/>
    <w:semiHidden/>
    <w:rsid w:val="00A6161E"/>
    <w:pPr>
      <w:pBdr>
        <w:left w:val="single" w:sz="4" w:space="0" w:color="auto"/>
        <w:bottom w:val="single" w:sz="4" w:space="0" w:color="auto"/>
        <w:right w:val="single" w:sz="8"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4">
    <w:name w:val="xl74"/>
    <w:basedOn w:val="Norml"/>
    <w:rsid w:val="00A6161E"/>
    <w:pPr>
      <w:pBdr>
        <w:top w:val="single" w:sz="4" w:space="0" w:color="auto"/>
        <w:left w:val="single" w:sz="8"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75">
    <w:name w:val="xl75"/>
    <w:basedOn w:val="Norml"/>
    <w:rsid w:val="00A6161E"/>
    <w:pPr>
      <w:pBdr>
        <w:top w:val="single" w:sz="4"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76">
    <w:name w:val="xl76"/>
    <w:basedOn w:val="Norml"/>
    <w:rsid w:val="00A6161E"/>
    <w:pPr>
      <w:pBdr>
        <w:top w:val="single" w:sz="4" w:space="0" w:color="auto"/>
        <w:left w:val="double" w:sz="6"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7">
    <w:name w:val="xl77"/>
    <w:basedOn w:val="Norml"/>
    <w:rsid w:val="00A6161E"/>
    <w:pPr>
      <w:pBdr>
        <w:left w:val="double" w:sz="6"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8">
    <w:name w:val="xl78"/>
    <w:basedOn w:val="Norml"/>
    <w:rsid w:val="00A6161E"/>
    <w:pPr>
      <w:pBdr>
        <w:left w:val="double" w:sz="6" w:space="0" w:color="auto"/>
        <w:bottom w:val="single" w:sz="4"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9">
    <w:name w:val="xl79"/>
    <w:basedOn w:val="Norml"/>
    <w:rsid w:val="00A6161E"/>
    <w:pPr>
      <w:pBdr>
        <w:top w:val="single" w:sz="4" w:space="0" w:color="auto"/>
        <w:left w:val="single" w:sz="8" w:space="0" w:color="auto"/>
        <w:bottom w:val="single" w:sz="8" w:space="0" w:color="auto"/>
        <w:right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80">
    <w:name w:val="xl80"/>
    <w:basedOn w:val="Norml"/>
    <w:rsid w:val="00A6161E"/>
    <w:pPr>
      <w:pBdr>
        <w:top w:val="single" w:sz="8" w:space="0" w:color="auto"/>
        <w:left w:val="single" w:sz="8" w:space="0" w:color="auto"/>
      </w:pBdr>
      <w:shd w:val="clear" w:color="auto" w:fill="CCFFFF"/>
      <w:suppressAutoHyphens w:val="0"/>
      <w:spacing w:before="100" w:beforeAutospacing="1" w:after="100" w:afterAutospacing="1"/>
      <w:textAlignment w:val="center"/>
    </w:pPr>
    <w:rPr>
      <w:rFonts w:ascii="Arial" w:eastAsia="Arial Unicode MS" w:hAnsi="Arial" w:cs="Arial Unicode MS"/>
      <w:b/>
      <w:bCs/>
      <w:kern w:val="0"/>
      <w:sz w:val="24"/>
    </w:rPr>
  </w:style>
  <w:style w:type="paragraph" w:customStyle="1" w:styleId="xl81">
    <w:name w:val="xl81"/>
    <w:basedOn w:val="Norml"/>
    <w:rsid w:val="00A6161E"/>
    <w:pPr>
      <w:pBdr>
        <w:left w:val="single" w:sz="8" w:space="0" w:color="auto"/>
        <w:bottom w:val="single" w:sz="8" w:space="0" w:color="auto"/>
      </w:pBdr>
      <w:shd w:val="clear" w:color="auto" w:fill="CCFFFF"/>
      <w:suppressAutoHyphens w:val="0"/>
      <w:spacing w:before="100" w:beforeAutospacing="1" w:after="100" w:afterAutospacing="1"/>
      <w:textAlignment w:val="center"/>
    </w:pPr>
    <w:rPr>
      <w:rFonts w:ascii="Arial" w:eastAsia="Arial Unicode MS" w:hAnsi="Arial" w:cs="Arial Unicode MS"/>
      <w:b/>
      <w:bCs/>
      <w:kern w:val="0"/>
      <w:sz w:val="24"/>
    </w:rPr>
  </w:style>
  <w:style w:type="paragraph" w:customStyle="1" w:styleId="xl82">
    <w:name w:val="xl82"/>
    <w:basedOn w:val="Norml"/>
    <w:rsid w:val="00A6161E"/>
    <w:pPr>
      <w:pBdr>
        <w:top w:val="single" w:sz="4" w:space="0" w:color="auto"/>
        <w:left w:val="single" w:sz="8" w:space="0" w:color="auto"/>
        <w:bottom w:val="single" w:sz="4" w:space="0" w:color="auto"/>
        <w:right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83">
    <w:name w:val="xl83"/>
    <w:basedOn w:val="Norml"/>
    <w:rsid w:val="00A6161E"/>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84">
    <w:name w:val="xl84"/>
    <w:basedOn w:val="Norml"/>
    <w:rsid w:val="00A6161E"/>
    <w:pPr>
      <w:pBdr>
        <w:top w:val="single" w:sz="4" w:space="0" w:color="auto"/>
        <w:left w:val="single" w:sz="4"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StlusCmsor1TimesNewRoman13ptNemFlkvrAlhzs">
    <w:name w:val="Stílus Címsor 1 + Times New Roman 13 pt Nem Félkövér Aláhúzás"/>
    <w:basedOn w:val="Cmsor1"/>
    <w:semiHidden/>
    <w:rsid w:val="00A6161E"/>
    <w:pPr>
      <w:numPr>
        <w:numId w:val="0"/>
      </w:numPr>
      <w:spacing w:before="0" w:after="0"/>
    </w:pPr>
    <w:rPr>
      <w:rFonts w:eastAsia="Times New Roman" w:cs="Times New Roman"/>
      <w:caps/>
      <w:noProof/>
      <w:snapToGrid w:val="0"/>
      <w:sz w:val="26"/>
      <w:szCs w:val="26"/>
    </w:rPr>
  </w:style>
  <w:style w:type="paragraph" w:customStyle="1" w:styleId="Point0">
    <w:name w:val="Point 0"/>
    <w:basedOn w:val="Norml"/>
    <w:semiHidden/>
    <w:rsid w:val="00A6161E"/>
    <w:pPr>
      <w:suppressAutoHyphens w:val="0"/>
      <w:spacing w:before="120"/>
      <w:ind w:left="850" w:hanging="850"/>
    </w:pPr>
    <w:rPr>
      <w:rFonts w:eastAsia="Times New Roman"/>
      <w:kern w:val="0"/>
      <w:sz w:val="24"/>
      <w:szCs w:val="20"/>
      <w:lang w:val="en-GB" w:eastAsia="en-GB"/>
    </w:rPr>
  </w:style>
  <w:style w:type="paragraph" w:customStyle="1" w:styleId="felsorolsszmozott0">
    <w:name w:val="felsorolás (számozott)"/>
    <w:basedOn w:val="felsorols00"/>
    <w:semiHidden/>
    <w:rsid w:val="00A6161E"/>
    <w:pPr>
      <w:ind w:hanging="432"/>
    </w:pPr>
  </w:style>
  <w:style w:type="character" w:customStyle="1" w:styleId="BulletindentspacedCharChar1Char">
    <w:name w:val="Bullet indent spaced Char Char1 Char"/>
    <w:semiHidden/>
    <w:rsid w:val="00A6161E"/>
    <w:rPr>
      <w:sz w:val="26"/>
      <w:lang w:val="hu-HU" w:eastAsia="ar-SA" w:bidi="ar-SA"/>
    </w:rPr>
  </w:style>
  <w:style w:type="paragraph" w:customStyle="1" w:styleId="2bullets2">
    <w:name w:val="2_bullets_2"/>
    <w:basedOn w:val="Norml"/>
    <w:semiHidden/>
    <w:rsid w:val="00D90F4C"/>
    <w:pPr>
      <w:suppressAutoHyphens w:val="0"/>
      <w:overflowPunct w:val="0"/>
      <w:autoSpaceDE w:val="0"/>
      <w:autoSpaceDN w:val="0"/>
      <w:adjustRightInd w:val="0"/>
      <w:spacing w:before="60" w:after="60" w:line="320" w:lineRule="atLeast"/>
      <w:ind w:left="504" w:hanging="504"/>
      <w:textAlignment w:val="baseline"/>
    </w:pPr>
    <w:rPr>
      <w:rFonts w:eastAsia="MS Mincho"/>
      <w:kern w:val="0"/>
      <w:sz w:val="26"/>
      <w:szCs w:val="20"/>
    </w:rPr>
  </w:style>
  <w:style w:type="paragraph" w:customStyle="1" w:styleId="xl29">
    <w:name w:val="xl29"/>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styleId="Felsorols4">
    <w:name w:val="List Bullet 4"/>
    <w:basedOn w:val="Norml"/>
    <w:autoRedefine/>
    <w:semiHidden/>
    <w:rsid w:val="00A6161E"/>
    <w:pPr>
      <w:tabs>
        <w:tab w:val="num" w:pos="1077"/>
      </w:tabs>
      <w:suppressAutoHyphens w:val="0"/>
      <w:spacing w:before="40" w:after="40" w:line="280" w:lineRule="exact"/>
      <w:ind w:left="1077" w:hanging="360"/>
    </w:pPr>
    <w:rPr>
      <w:rFonts w:ascii="Arial" w:eastAsia="Times New Roman" w:hAnsi="Arial"/>
      <w:kern w:val="0"/>
      <w:sz w:val="20"/>
    </w:rPr>
  </w:style>
  <w:style w:type="paragraph" w:customStyle="1" w:styleId="bra-cmetbla">
    <w:name w:val="ábra-címe(tábla)"/>
    <w:basedOn w:val="Norml"/>
    <w:rsid w:val="00FE0173"/>
    <w:pPr>
      <w:keepNext/>
      <w:spacing w:before="240"/>
      <w:jc w:val="center"/>
    </w:pPr>
    <w:rPr>
      <w:b/>
    </w:rPr>
  </w:style>
  <w:style w:type="paragraph" w:customStyle="1" w:styleId="felsorolsbeljebb02">
    <w:name w:val="felsorolás (beljebb02)"/>
    <w:basedOn w:val="felsorolsbeljebb01"/>
    <w:autoRedefine/>
    <w:semiHidden/>
    <w:rsid w:val="00A6161E"/>
    <w:pPr>
      <w:tabs>
        <w:tab w:val="clear" w:pos="1440"/>
        <w:tab w:val="num" w:pos="1077"/>
        <w:tab w:val="num" w:pos="1800"/>
      </w:tabs>
      <w:ind w:left="1800"/>
    </w:pPr>
    <w:rPr>
      <w:lang w:val="en-US"/>
    </w:rPr>
  </w:style>
  <w:style w:type="character" w:customStyle="1" w:styleId="normtext">
    <w:name w:val="normtext"/>
    <w:basedOn w:val="Bekezdsalapbettpusa"/>
    <w:semiHidden/>
    <w:rsid w:val="00A6161E"/>
  </w:style>
  <w:style w:type="character" w:customStyle="1" w:styleId="felsorols00Char">
    <w:name w:val="felsorolás (00) Char"/>
    <w:semiHidden/>
    <w:rsid w:val="00A6161E"/>
    <w:rPr>
      <w:sz w:val="26"/>
      <w:szCs w:val="24"/>
      <w:lang w:val="hu-HU" w:eastAsia="ar-SA" w:bidi="ar-SA"/>
    </w:rPr>
  </w:style>
  <w:style w:type="paragraph" w:customStyle="1" w:styleId="StlusTJ1Sorkizrt">
    <w:name w:val="Stílus TJ 1 + Sorkizárt"/>
    <w:basedOn w:val="TJ1"/>
    <w:autoRedefine/>
    <w:semiHidden/>
    <w:rsid w:val="00A6161E"/>
    <w:pPr>
      <w:suppressLineNumbers w:val="0"/>
      <w:tabs>
        <w:tab w:val="right" w:pos="7920"/>
        <w:tab w:val="right" w:leader="dot" w:pos="9062"/>
      </w:tabs>
      <w:spacing w:before="360"/>
      <w:ind w:left="360" w:hanging="360"/>
    </w:pPr>
    <w:rPr>
      <w:rFonts w:eastAsia="Times New Roman" w:cs="Times New Roman"/>
      <w:bCs/>
      <w:caps/>
      <w:noProof/>
      <w:kern w:val="0"/>
      <w:sz w:val="26"/>
      <w:lang w:eastAsia="ar-SA"/>
    </w:rPr>
  </w:style>
  <w:style w:type="paragraph" w:customStyle="1" w:styleId="1CpCont">
    <w:name w:val="1C p_Cont"/>
    <w:basedOn w:val="Norml"/>
    <w:semiHidden/>
    <w:rsid w:val="00A6161E"/>
    <w:pPr>
      <w:suppressAutoHyphens w:val="0"/>
      <w:overflowPunct w:val="0"/>
      <w:autoSpaceDE w:val="0"/>
      <w:autoSpaceDN w:val="0"/>
      <w:adjustRightInd w:val="0"/>
      <w:spacing w:before="240"/>
      <w:textAlignment w:val="baseline"/>
    </w:pPr>
    <w:rPr>
      <w:rFonts w:eastAsia="Times New Roman"/>
      <w:kern w:val="0"/>
      <w:sz w:val="24"/>
      <w:szCs w:val="20"/>
    </w:rPr>
  </w:style>
  <w:style w:type="paragraph" w:customStyle="1" w:styleId="Heading1blind">
    <w:name w:val="Heading 1 (blind)"/>
    <w:basedOn w:val="Norml"/>
    <w:next w:val="Szvegtrzs"/>
    <w:semiHidden/>
    <w:rsid w:val="00A6161E"/>
    <w:pPr>
      <w:suppressAutoHyphens w:val="0"/>
    </w:pPr>
    <w:rPr>
      <w:rFonts w:eastAsia="Times New Roman"/>
      <w:b/>
      <w:kern w:val="0"/>
      <w:sz w:val="32"/>
      <w:szCs w:val="22"/>
      <w:lang w:val="en-GB"/>
    </w:rPr>
  </w:style>
  <w:style w:type="paragraph" w:styleId="Szvegtrzs3">
    <w:name w:val="Body Text 3"/>
    <w:basedOn w:val="Norml"/>
    <w:link w:val="Szvegtrzs3Char"/>
    <w:semiHidden/>
    <w:rsid w:val="00A6161E"/>
    <w:pPr>
      <w:suppressAutoHyphens w:val="0"/>
    </w:pPr>
    <w:rPr>
      <w:rFonts w:eastAsia="Times New Roman"/>
      <w:kern w:val="0"/>
      <w:sz w:val="16"/>
      <w:szCs w:val="16"/>
      <w:lang w:val="en-GB"/>
    </w:rPr>
  </w:style>
  <w:style w:type="character" w:customStyle="1" w:styleId="Szvegtrzs3Char">
    <w:name w:val="Szövegtörzs 3 Char"/>
    <w:link w:val="Szvegtrzs3"/>
    <w:rsid w:val="00A6161E"/>
    <w:rPr>
      <w:rFonts w:eastAsia="Times New Roman"/>
      <w:sz w:val="16"/>
      <w:szCs w:val="16"/>
      <w:lang w:val="en-GB"/>
    </w:rPr>
  </w:style>
  <w:style w:type="paragraph" w:styleId="Szvegtrzsbehzssal3">
    <w:name w:val="Body Text Indent 3"/>
    <w:basedOn w:val="Norml"/>
    <w:link w:val="Szvegtrzsbehzssal3Char"/>
    <w:semiHidden/>
    <w:rsid w:val="00A6161E"/>
    <w:pPr>
      <w:suppressAutoHyphens w:val="0"/>
      <w:ind w:left="720" w:hanging="360"/>
    </w:pPr>
    <w:rPr>
      <w:rFonts w:eastAsia="Times New Roman"/>
      <w:kern w:val="0"/>
      <w:szCs w:val="22"/>
      <w:lang w:val="en-GB"/>
    </w:rPr>
  </w:style>
  <w:style w:type="character" w:customStyle="1" w:styleId="Szvegtrzsbehzssal3Char">
    <w:name w:val="Szövegtörzs behúzással 3 Char"/>
    <w:link w:val="Szvegtrzsbehzssal3"/>
    <w:rsid w:val="00A6161E"/>
    <w:rPr>
      <w:rFonts w:eastAsia="Times New Roman"/>
      <w:sz w:val="22"/>
      <w:szCs w:val="22"/>
      <w:lang w:val="en-GB"/>
    </w:rPr>
  </w:style>
  <w:style w:type="paragraph" w:customStyle="1" w:styleId="ListNumberLevel3">
    <w:name w:val="List Number (Level 3)"/>
    <w:basedOn w:val="Norml"/>
    <w:semiHidden/>
    <w:rsid w:val="00A6161E"/>
    <w:pPr>
      <w:tabs>
        <w:tab w:val="num" w:pos="2126"/>
      </w:tabs>
      <w:suppressAutoHyphens w:val="0"/>
      <w:spacing w:before="120"/>
      <w:ind w:left="2126" w:hanging="709"/>
    </w:pPr>
    <w:rPr>
      <w:rFonts w:eastAsia="Times New Roman"/>
      <w:kern w:val="0"/>
      <w:sz w:val="24"/>
      <w:szCs w:val="20"/>
      <w:lang w:val="en-GB" w:eastAsia="zh-CN"/>
    </w:rPr>
  </w:style>
  <w:style w:type="paragraph" w:customStyle="1" w:styleId="ListNumberLevel4">
    <w:name w:val="List Number (Level 4)"/>
    <w:basedOn w:val="Norml"/>
    <w:semiHidden/>
    <w:rsid w:val="00A6161E"/>
    <w:pPr>
      <w:tabs>
        <w:tab w:val="num" w:pos="2835"/>
      </w:tabs>
      <w:suppressAutoHyphens w:val="0"/>
      <w:spacing w:before="120"/>
      <w:ind w:left="2835" w:hanging="709"/>
    </w:pPr>
    <w:rPr>
      <w:rFonts w:eastAsia="Times New Roman"/>
      <w:kern w:val="0"/>
      <w:sz w:val="24"/>
      <w:szCs w:val="20"/>
      <w:lang w:val="en-GB" w:eastAsia="zh-CN"/>
    </w:rPr>
  </w:style>
  <w:style w:type="paragraph" w:customStyle="1" w:styleId="felsorolas">
    <w:name w:val="felsorolas"/>
    <w:basedOn w:val="Norml"/>
    <w:semiHidden/>
    <w:rsid w:val="00A6161E"/>
    <w:pPr>
      <w:tabs>
        <w:tab w:val="num" w:pos="397"/>
      </w:tabs>
      <w:adjustRightInd w:val="0"/>
      <w:spacing w:line="360" w:lineRule="atLeast"/>
      <w:ind w:left="397" w:hanging="397"/>
      <w:textAlignment w:val="baseline"/>
    </w:pPr>
    <w:rPr>
      <w:rFonts w:eastAsia="Times New Roman"/>
      <w:snapToGrid w:val="0"/>
      <w:kern w:val="0"/>
      <w:sz w:val="26"/>
      <w:lang w:val="en-GB"/>
    </w:rPr>
  </w:style>
  <w:style w:type="paragraph" w:customStyle="1" w:styleId="felsorols0">
    <w:name w:val="felsorolás"/>
    <w:basedOn w:val="Norml"/>
    <w:semiHidden/>
    <w:rsid w:val="00A6161E"/>
    <w:pPr>
      <w:suppressAutoHyphens w:val="0"/>
      <w:spacing w:before="120"/>
    </w:pPr>
    <w:rPr>
      <w:rFonts w:eastAsia="Times New Roman"/>
      <w:snapToGrid w:val="0"/>
      <w:kern w:val="0"/>
      <w:szCs w:val="20"/>
      <w:lang w:val="en-US"/>
    </w:rPr>
  </w:style>
  <w:style w:type="paragraph" w:customStyle="1" w:styleId="Szvegtrzs31">
    <w:name w:val="Szövegtörzs 31"/>
    <w:basedOn w:val="Norml"/>
    <w:semiHidden/>
    <w:rsid w:val="00A6161E"/>
    <w:pPr>
      <w:suppressAutoHyphens w:val="0"/>
    </w:pPr>
    <w:rPr>
      <w:rFonts w:eastAsia="Times New Roman"/>
      <w:b/>
      <w:i/>
      <w:iCs/>
      <w:kern w:val="0"/>
      <w:sz w:val="24"/>
      <w:szCs w:val="26"/>
      <w:lang w:val="en-GB" w:eastAsia="ar-SA"/>
    </w:rPr>
  </w:style>
  <w:style w:type="paragraph" w:customStyle="1" w:styleId="Felsorols000">
    <w:name w:val="Felsorolás 00"/>
    <w:basedOn w:val="Norml"/>
    <w:semiHidden/>
    <w:rsid w:val="00A35D13"/>
    <w:pPr>
      <w:tabs>
        <w:tab w:val="left" w:pos="0"/>
      </w:tabs>
      <w:suppressAutoHyphens w:val="0"/>
      <w:spacing w:after="0"/>
      <w:ind w:left="1077" w:hanging="360"/>
    </w:pPr>
    <w:rPr>
      <w:rFonts w:eastAsia="MS Mincho" w:cs="Times New Roman"/>
      <w:snapToGrid w:val="0"/>
      <w:kern w:val="0"/>
      <w:sz w:val="24"/>
      <w:lang w:val="en-GB"/>
    </w:rPr>
  </w:style>
  <w:style w:type="character" w:styleId="Finomkiemels">
    <w:name w:val="Subtle Emphasis"/>
    <w:qFormat/>
    <w:rsid w:val="009646AC"/>
    <w:rPr>
      <w:rFonts w:ascii="Times New Roman" w:hAnsi="Times New Roman"/>
      <w:i/>
      <w:iCs/>
      <w:color w:val="auto"/>
      <w:sz w:val="22"/>
    </w:rPr>
  </w:style>
  <w:style w:type="paragraph" w:customStyle="1" w:styleId="Sajtbekezds">
    <w:name w:val="Sajátbekezdés"/>
    <w:basedOn w:val="felsorols00"/>
    <w:link w:val="SajtbekezdsChar"/>
    <w:semiHidden/>
    <w:qFormat/>
    <w:rsid w:val="00415ECA"/>
    <w:pPr>
      <w:numPr>
        <w:numId w:val="0"/>
      </w:numPr>
    </w:pPr>
    <w:rPr>
      <w:sz w:val="24"/>
      <w:lang w:bidi="sa-IN"/>
    </w:rPr>
  </w:style>
  <w:style w:type="paragraph" w:customStyle="1" w:styleId="Sajtfelsorols">
    <w:name w:val="Sajátfelsorolás"/>
    <w:basedOn w:val="felsorols00"/>
    <w:link w:val="SajtfelsorolsChar"/>
    <w:semiHidden/>
    <w:qFormat/>
    <w:rsid w:val="00DC1E46"/>
    <w:pPr>
      <w:numPr>
        <w:numId w:val="12"/>
      </w:numPr>
    </w:pPr>
    <w:rPr>
      <w:sz w:val="22"/>
      <w:szCs w:val="22"/>
      <w:lang w:bidi="sa-IN"/>
    </w:rPr>
  </w:style>
  <w:style w:type="character" w:customStyle="1" w:styleId="felsorols00Char1">
    <w:name w:val="felsorolás (00) Char1"/>
    <w:link w:val="felsorols00"/>
    <w:semiHidden/>
    <w:rsid w:val="00415ECA"/>
    <w:rPr>
      <w:rFonts w:eastAsia="Times New Roman" w:cs="Arial"/>
      <w:sz w:val="26"/>
      <w:szCs w:val="24"/>
      <w:lang w:eastAsia="ar-SA"/>
    </w:rPr>
  </w:style>
  <w:style w:type="character" w:customStyle="1" w:styleId="SajtbekezdsChar">
    <w:name w:val="Sajátbekezdés Char"/>
    <w:link w:val="Sajtbekezds"/>
    <w:rsid w:val="00415ECA"/>
    <w:rPr>
      <w:rFonts w:cs="Arial"/>
      <w:sz w:val="24"/>
      <w:szCs w:val="24"/>
      <w:lang w:val="hu-HU" w:eastAsia="ar-SA" w:bidi="sa-IN"/>
    </w:rPr>
  </w:style>
  <w:style w:type="paragraph" w:customStyle="1" w:styleId="NormalFVM">
    <w:name w:val="Normal_FVM"/>
    <w:basedOn w:val="Norml"/>
    <w:semiHidden/>
    <w:rsid w:val="00924368"/>
    <w:pPr>
      <w:suppressAutoHyphens w:val="0"/>
      <w:ind w:firstLine="357"/>
    </w:pPr>
    <w:rPr>
      <w:rFonts w:eastAsia="Times New Roman" w:cs="Times New Roman"/>
      <w:color w:val="000000"/>
      <w:kern w:val="0"/>
      <w:sz w:val="26"/>
      <w:szCs w:val="20"/>
    </w:rPr>
  </w:style>
  <w:style w:type="character" w:customStyle="1" w:styleId="SajtfelsorolsChar">
    <w:name w:val="Sajátfelsorolás Char"/>
    <w:link w:val="Sajtfelsorols"/>
    <w:semiHidden/>
    <w:rsid w:val="00DC1E46"/>
    <w:rPr>
      <w:rFonts w:eastAsia="Times New Roman" w:cs="Arial"/>
      <w:sz w:val="22"/>
      <w:szCs w:val="22"/>
      <w:lang w:eastAsia="ar-SA" w:bidi="sa-IN"/>
    </w:rPr>
  </w:style>
  <w:style w:type="character" w:customStyle="1" w:styleId="CharChar16">
    <w:name w:val="Char Char16"/>
    <w:semiHidden/>
    <w:rsid w:val="00545BD5"/>
    <w:rPr>
      <w:rFonts w:eastAsia="Times New Roman" w:cs="Times New Roman"/>
      <w:b/>
      <w:bCs/>
      <w:sz w:val="36"/>
      <w:szCs w:val="36"/>
    </w:rPr>
  </w:style>
  <w:style w:type="character" w:customStyle="1" w:styleId="CharChar21">
    <w:name w:val="Char Char21"/>
    <w:semiHidden/>
    <w:rsid w:val="00545BD5"/>
    <w:rPr>
      <w:i/>
      <w:sz w:val="22"/>
    </w:rPr>
  </w:style>
  <w:style w:type="character" w:customStyle="1" w:styleId="CharChar20">
    <w:name w:val="Char Char20"/>
    <w:semiHidden/>
    <w:rsid w:val="00545BD5"/>
    <w:rPr>
      <w:b/>
      <w:sz w:val="22"/>
      <w:szCs w:val="22"/>
      <w:lang w:val="en-GB"/>
    </w:rPr>
  </w:style>
  <w:style w:type="character" w:customStyle="1" w:styleId="CharChar19">
    <w:name w:val="Char Char19"/>
    <w:semiHidden/>
    <w:rsid w:val="00545BD5"/>
    <w:rPr>
      <w:i/>
      <w:sz w:val="22"/>
    </w:rPr>
  </w:style>
  <w:style w:type="character" w:customStyle="1" w:styleId="CharChar18">
    <w:name w:val="Char Char18"/>
    <w:semiHidden/>
    <w:rsid w:val="00545BD5"/>
    <w:rPr>
      <w:b/>
      <w:i/>
      <w:sz w:val="18"/>
    </w:rPr>
  </w:style>
  <w:style w:type="character" w:customStyle="1" w:styleId="CharChar15">
    <w:name w:val="Char Char15"/>
    <w:semiHidden/>
    <w:rsid w:val="00545BD5"/>
    <w:rPr>
      <w:rFonts w:ascii="Cambria" w:eastAsia="Times New Roman" w:hAnsi="Cambria" w:cs="Times New Roman"/>
      <w:i/>
      <w:iCs/>
      <w:color w:val="4F81BD"/>
      <w:spacing w:val="15"/>
      <w:kern w:val="1"/>
      <w:sz w:val="24"/>
      <w:szCs w:val="24"/>
      <w:lang w:val="en-US"/>
    </w:rPr>
  </w:style>
  <w:style w:type="character" w:customStyle="1" w:styleId="CharChar14">
    <w:name w:val="Char Char14"/>
    <w:semiHidden/>
    <w:rsid w:val="00545BD5"/>
    <w:rPr>
      <w:kern w:val="1"/>
      <w:sz w:val="24"/>
      <w:szCs w:val="24"/>
    </w:rPr>
  </w:style>
  <w:style w:type="character" w:customStyle="1" w:styleId="CharChar12">
    <w:name w:val="Char Char12"/>
    <w:semiHidden/>
    <w:rsid w:val="00545BD5"/>
    <w:rPr>
      <w:kern w:val="1"/>
    </w:rPr>
  </w:style>
  <w:style w:type="character" w:customStyle="1" w:styleId="CharChar11">
    <w:name w:val="Char Char11"/>
    <w:semiHidden/>
    <w:rsid w:val="00545BD5"/>
    <w:rPr>
      <w:rFonts w:ascii="Tahoma" w:hAnsi="Tahoma" w:cs="Tahoma"/>
      <w:kern w:val="1"/>
      <w:sz w:val="16"/>
      <w:szCs w:val="16"/>
    </w:rPr>
  </w:style>
  <w:style w:type="character" w:customStyle="1" w:styleId="CharChar17">
    <w:name w:val="Char Char17"/>
    <w:semiHidden/>
    <w:rsid w:val="00545BD5"/>
    <w:rPr>
      <w:rFonts w:ascii="Arial" w:hAnsi="Arial" w:cs="Arial"/>
      <w:b/>
      <w:bCs/>
      <w:kern w:val="28"/>
      <w:lang w:eastAsia="en-US"/>
    </w:rPr>
  </w:style>
  <w:style w:type="character" w:customStyle="1" w:styleId="CharChar10">
    <w:name w:val="Char Char10"/>
    <w:semiHidden/>
    <w:rsid w:val="00545BD5"/>
    <w:rPr>
      <w:rFonts w:ascii="Tahoma" w:eastAsia="Times New Roman" w:hAnsi="Tahoma" w:cs="Tahoma"/>
      <w:sz w:val="16"/>
      <w:szCs w:val="16"/>
    </w:rPr>
  </w:style>
  <w:style w:type="character" w:customStyle="1" w:styleId="StlusBekezdsFlkvrChar">
    <w:name w:val="Stílus Bekezdés + Félkövér Char"/>
    <w:semiHidden/>
    <w:rsid w:val="00E548D5"/>
    <w:rPr>
      <w:b/>
      <w:bCs/>
      <w:lang w:val="hu-HU" w:eastAsia="hu-HU" w:bidi="ar-SA"/>
    </w:rPr>
  </w:style>
  <w:style w:type="paragraph" w:styleId="Listaszerbekezds">
    <w:name w:val="List Paragraph"/>
    <w:basedOn w:val="Norml"/>
    <w:uiPriority w:val="34"/>
    <w:qFormat/>
    <w:rsid w:val="00A34530"/>
    <w:pPr>
      <w:ind w:left="720"/>
      <w:contextualSpacing/>
    </w:pPr>
  </w:style>
  <w:style w:type="character" w:customStyle="1" w:styleId="Stlus12pt">
    <w:name w:val="Stílus 12 pt"/>
    <w:semiHidden/>
    <w:rsid w:val="00E05EF9"/>
    <w:rPr>
      <w:rFonts w:ascii="Times New Roman" w:hAnsi="Times New Roman"/>
      <w:sz w:val="22"/>
    </w:rPr>
  </w:style>
  <w:style w:type="character" w:customStyle="1" w:styleId="Stlus8ptMintzatres25-osszrke">
    <w:name w:val="Stílus 8 pt Mintázat: Üres (25%-os szürke)"/>
    <w:semiHidden/>
    <w:rsid w:val="00E82480"/>
    <w:rPr>
      <w:sz w:val="16"/>
      <w:bdr w:val="none" w:sz="0" w:space="0" w:color="auto"/>
      <w:shd w:val="clear" w:color="auto" w:fill="auto"/>
    </w:rPr>
  </w:style>
  <w:style w:type="character" w:customStyle="1" w:styleId="StlusKpalrsNemFlkvrBalrazrtBal127cmEltteChar">
    <w:name w:val="Stílus Képaláírás + Nem Félkövér Balra zárt Bal:  127 cm Előtte:... Char"/>
    <w:link w:val="StlusKpalrsNemFlkvrBalrazrtBal127cmEltte"/>
    <w:rsid w:val="00A71620"/>
    <w:rPr>
      <w:rFonts w:ascii="Verdana" w:eastAsia="Times New Roman" w:hAnsi="Verdana"/>
      <w:sz w:val="16"/>
    </w:rPr>
  </w:style>
  <w:style w:type="paragraph" w:customStyle="1" w:styleId="frbekezds">
    <w:name w:val="fr bekezdés"/>
    <w:basedOn w:val="Norml"/>
    <w:link w:val="frbekezdsChar"/>
    <w:autoRedefine/>
    <w:semiHidden/>
    <w:rsid w:val="00FA3F65"/>
    <w:pPr>
      <w:numPr>
        <w:numId w:val="17"/>
      </w:numPr>
      <w:tabs>
        <w:tab w:val="left" w:pos="550"/>
      </w:tabs>
      <w:ind w:left="550" w:hanging="193"/>
    </w:pPr>
  </w:style>
  <w:style w:type="character" w:customStyle="1" w:styleId="frbekezdsChar">
    <w:name w:val="fr bekezdés Char"/>
    <w:link w:val="frbekezds"/>
    <w:semiHidden/>
    <w:rsid w:val="00FA3F65"/>
    <w:rPr>
      <w:rFonts w:cs="Arial"/>
      <w:kern w:val="1"/>
      <w:sz w:val="22"/>
      <w:szCs w:val="24"/>
    </w:rPr>
  </w:style>
  <w:style w:type="character" w:customStyle="1" w:styleId="StlusFinomkiemels">
    <w:name w:val="Stílus Finom kiemelés +"/>
    <w:basedOn w:val="Finomkiemels"/>
    <w:semiHidden/>
    <w:rsid w:val="00FC346E"/>
    <w:rPr>
      <w:rFonts w:ascii="Times New Roman" w:hAnsi="Times New Roman"/>
      <w:i/>
      <w:iCs/>
      <w:color w:val="auto"/>
      <w:sz w:val="22"/>
    </w:rPr>
  </w:style>
  <w:style w:type="paragraph" w:customStyle="1" w:styleId="brasorszma">
    <w:name w:val="ábra sorszáma"/>
    <w:basedOn w:val="Norml"/>
    <w:autoRedefine/>
    <w:rsid w:val="00E2553B"/>
    <w:pPr>
      <w:keepNext/>
      <w:keepLines/>
      <w:numPr>
        <w:numId w:val="21"/>
      </w:numPr>
      <w:tabs>
        <w:tab w:val="right" w:pos="8800"/>
      </w:tabs>
      <w:suppressAutoHyphens w:val="0"/>
      <w:spacing w:before="120" w:after="0"/>
      <w:jc w:val="right"/>
    </w:pPr>
    <w:rPr>
      <w:rFonts w:eastAsia="Times New Roman" w:cs="Times New Roman"/>
      <w:kern w:val="0"/>
      <w:szCs w:val="22"/>
    </w:rPr>
  </w:style>
  <w:style w:type="paragraph" w:customStyle="1" w:styleId="Listaszerbekezds1">
    <w:name w:val="Listaszerű bekezdés1"/>
    <w:basedOn w:val="Norml"/>
    <w:rsid w:val="00FA4E7F"/>
    <w:pPr>
      <w:suppressAutoHyphens w:val="0"/>
      <w:spacing w:after="200" w:line="276" w:lineRule="auto"/>
      <w:ind w:left="720" w:firstLine="0"/>
      <w:contextualSpacing/>
      <w:jc w:val="left"/>
    </w:pPr>
    <w:rPr>
      <w:rFonts w:ascii="Calibri" w:eastAsia="Times New Roman" w:hAnsi="Calibri" w:cs="Times New Roman"/>
      <w:kern w:val="0"/>
      <w:szCs w:val="22"/>
      <w:lang w:eastAsia="en-US"/>
    </w:rPr>
  </w:style>
  <w:style w:type="table" w:styleId="Egyszertblzat2">
    <w:name w:val="Table Simple 2"/>
    <w:basedOn w:val="Normltblzat"/>
    <w:rsid w:val="00A84FA0"/>
    <w:pPr>
      <w:suppressAutoHyphens/>
      <w:spacing w:after="120"/>
      <w:ind w:firstLine="284"/>
      <w:jc w:val="both"/>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Nemlista1">
    <w:name w:val="Nem lista1"/>
    <w:next w:val="Nemlista"/>
    <w:semiHidden/>
    <w:rsid w:val="004676EA"/>
  </w:style>
  <w:style w:type="character" w:customStyle="1" w:styleId="Footer2CharChar">
    <w:name w:val="Footer 2 Char Char"/>
    <w:rsid w:val="00C45507"/>
    <w:rPr>
      <w:sz w:val="24"/>
      <w:szCs w:val="24"/>
      <w:lang w:val="fr-FR" w:eastAsia="fr-FR" w:bidi="ar-SA"/>
    </w:rPr>
  </w:style>
  <w:style w:type="paragraph" w:customStyle="1" w:styleId="frbekezds0">
    <w:name w:val="frbekezds"/>
    <w:basedOn w:val="Norml"/>
    <w:rsid w:val="009D14FD"/>
    <w:pPr>
      <w:suppressAutoHyphens w:val="0"/>
      <w:spacing w:before="100" w:beforeAutospacing="1" w:after="100" w:afterAutospacing="1"/>
      <w:ind w:firstLine="0"/>
      <w:jc w:val="left"/>
    </w:pPr>
    <w:rPr>
      <w:rFonts w:eastAsia="Times New Roman" w:cs="Times New Roman"/>
      <w:kern w:val="0"/>
      <w:sz w:val="24"/>
    </w:rPr>
  </w:style>
  <w:style w:type="character" w:customStyle="1" w:styleId="KpalrsChar">
    <w:name w:val="Képaláírás Char"/>
    <w:rsid w:val="00421549"/>
    <w:rPr>
      <w:rFonts w:ascii="Verdana" w:hAnsi="Verdana"/>
      <w:b/>
      <w:bCs/>
      <w:sz w:val="18"/>
      <w:lang w:val="hu-HU" w:eastAsia="hu-HU" w:bidi="ar-SA"/>
    </w:rPr>
  </w:style>
  <w:style w:type="paragraph" w:customStyle="1" w:styleId="norml0">
    <w:name w:val="norml"/>
    <w:basedOn w:val="Norml"/>
    <w:rsid w:val="00607931"/>
    <w:pPr>
      <w:suppressAutoHyphens w:val="0"/>
      <w:spacing w:after="0"/>
      <w:ind w:firstLine="0"/>
    </w:pPr>
    <w:rPr>
      <w:rFonts w:ascii="MS Sans Serif" w:eastAsia="Times New Roman" w:hAnsi="MS Sans Serif" w:cs="Times New Roman"/>
      <w:kern w:val="0"/>
      <w:sz w:val="24"/>
    </w:rPr>
  </w:style>
  <w:style w:type="paragraph" w:customStyle="1" w:styleId="Forrs">
    <w:name w:val="Forrás"/>
    <w:basedOn w:val="Norml"/>
    <w:next w:val="Norml"/>
    <w:rsid w:val="00D13A65"/>
    <w:pPr>
      <w:suppressAutoHyphens w:val="0"/>
      <w:spacing w:after="0"/>
      <w:ind w:firstLine="0"/>
      <w:jc w:val="center"/>
    </w:pPr>
    <w:rPr>
      <w:rFonts w:eastAsia="Times New Roman" w:cs="Times New Roman"/>
      <w:kern w:val="0"/>
      <w:sz w:val="20"/>
      <w:szCs w:val="20"/>
    </w:rPr>
  </w:style>
  <w:style w:type="paragraph" w:customStyle="1" w:styleId="j-cmsor5">
    <w:name w:val="j-cmsor5"/>
    <w:basedOn w:val="Norml"/>
    <w:rsid w:val="007717B1"/>
    <w:pPr>
      <w:suppressAutoHyphens w:val="0"/>
      <w:spacing w:before="100" w:beforeAutospacing="1" w:after="100" w:afterAutospacing="1"/>
      <w:ind w:firstLine="0"/>
      <w:jc w:val="left"/>
    </w:pPr>
    <w:rPr>
      <w:rFonts w:eastAsia="Times New Roman" w:cs="Times New Roman"/>
      <w:kern w:val="0"/>
      <w:sz w:val="24"/>
    </w:rPr>
  </w:style>
  <w:style w:type="character" w:customStyle="1" w:styleId="CaptionChar">
    <w:name w:val="Caption Char"/>
    <w:aliases w:val="Char Char Char Char1 Char1"/>
    <w:locked/>
    <w:rsid w:val="002322DA"/>
    <w:rPr>
      <w:rFonts w:ascii="Verdana" w:hAnsi="Verdana" w:cs="Times New Roman"/>
      <w:b/>
      <w:bCs/>
      <w:sz w:val="18"/>
      <w:lang w:val="hu-HU" w:eastAsia="hu-HU" w:bidi="ar-SA"/>
    </w:rPr>
  </w:style>
  <w:style w:type="character" w:customStyle="1" w:styleId="Bodytext4">
    <w:name w:val="Body text (4)"/>
    <w:link w:val="Bodytext41"/>
    <w:rsid w:val="002E49E2"/>
    <w:rPr>
      <w:rFonts w:ascii="Arial" w:hAnsi="Arial"/>
      <w:sz w:val="24"/>
      <w:szCs w:val="24"/>
      <w:lang w:bidi="ar-SA"/>
    </w:rPr>
  </w:style>
  <w:style w:type="character" w:customStyle="1" w:styleId="Bodytext43">
    <w:name w:val="Body text (4)3"/>
    <w:basedOn w:val="Bodytext4"/>
    <w:rsid w:val="002E49E2"/>
    <w:rPr>
      <w:rFonts w:ascii="Arial" w:hAnsi="Arial"/>
      <w:sz w:val="24"/>
      <w:szCs w:val="24"/>
      <w:lang w:bidi="ar-SA"/>
    </w:rPr>
  </w:style>
  <w:style w:type="character" w:customStyle="1" w:styleId="Picturecaption5">
    <w:name w:val="Picture caption (5)"/>
    <w:link w:val="Picturecaption51"/>
    <w:rsid w:val="002E49E2"/>
    <w:rPr>
      <w:rFonts w:ascii="Arial" w:hAnsi="Arial"/>
      <w:b/>
      <w:bCs/>
      <w:sz w:val="24"/>
      <w:szCs w:val="24"/>
      <w:lang w:bidi="ar-SA"/>
    </w:rPr>
  </w:style>
  <w:style w:type="character" w:customStyle="1" w:styleId="Picturecaption52">
    <w:name w:val="Picture caption (5)2"/>
    <w:basedOn w:val="Picturecaption5"/>
    <w:rsid w:val="002E49E2"/>
    <w:rPr>
      <w:rFonts w:ascii="Arial" w:hAnsi="Arial"/>
      <w:b/>
      <w:bCs/>
      <w:sz w:val="24"/>
      <w:szCs w:val="24"/>
      <w:lang w:bidi="ar-SA"/>
    </w:rPr>
  </w:style>
  <w:style w:type="character" w:customStyle="1" w:styleId="Szvegtrzs1">
    <w:name w:val="Szövegtörzs1"/>
    <w:link w:val="Bodytext1"/>
    <w:rsid w:val="002E49E2"/>
    <w:rPr>
      <w:rFonts w:ascii="Arial" w:hAnsi="Arial"/>
      <w:sz w:val="24"/>
      <w:szCs w:val="24"/>
      <w:lang w:bidi="ar-SA"/>
    </w:rPr>
  </w:style>
  <w:style w:type="character" w:customStyle="1" w:styleId="BodytextBold">
    <w:name w:val="Body text + Bold"/>
    <w:rsid w:val="002E49E2"/>
    <w:rPr>
      <w:rFonts w:ascii="Arial" w:hAnsi="Arial"/>
      <w:b/>
      <w:bCs/>
      <w:sz w:val="24"/>
      <w:szCs w:val="24"/>
      <w:lang w:bidi="ar-SA"/>
    </w:rPr>
  </w:style>
  <w:style w:type="character" w:customStyle="1" w:styleId="Heading24">
    <w:name w:val="Heading #2 (4)"/>
    <w:link w:val="Heading241"/>
    <w:rsid w:val="002E49E2"/>
    <w:rPr>
      <w:rFonts w:ascii="Arial" w:hAnsi="Arial"/>
      <w:b/>
      <w:bCs/>
      <w:sz w:val="24"/>
      <w:szCs w:val="24"/>
      <w:lang w:bidi="ar-SA"/>
    </w:rPr>
  </w:style>
  <w:style w:type="character" w:customStyle="1" w:styleId="Bodytext13">
    <w:name w:val="Body text (13)"/>
    <w:link w:val="Bodytext131"/>
    <w:rsid w:val="002E49E2"/>
    <w:rPr>
      <w:rFonts w:ascii="Arial" w:hAnsi="Arial"/>
      <w:i/>
      <w:iCs/>
      <w:sz w:val="24"/>
      <w:szCs w:val="24"/>
      <w:lang w:bidi="ar-SA"/>
    </w:rPr>
  </w:style>
  <w:style w:type="character" w:customStyle="1" w:styleId="Bodytext132">
    <w:name w:val="Body text (13)2"/>
    <w:basedOn w:val="Bodytext13"/>
    <w:rsid w:val="002E49E2"/>
    <w:rPr>
      <w:rFonts w:ascii="Arial" w:hAnsi="Arial"/>
      <w:i/>
      <w:iCs/>
      <w:sz w:val="24"/>
      <w:szCs w:val="24"/>
      <w:lang w:bidi="ar-SA"/>
    </w:rPr>
  </w:style>
  <w:style w:type="character" w:customStyle="1" w:styleId="Bodytext13Bold">
    <w:name w:val="Body text (13) + Bold"/>
    <w:rsid w:val="002E49E2"/>
    <w:rPr>
      <w:rFonts w:ascii="Arial" w:hAnsi="Arial"/>
      <w:b/>
      <w:bCs/>
      <w:i/>
      <w:iCs/>
      <w:sz w:val="24"/>
      <w:szCs w:val="24"/>
      <w:lang w:bidi="ar-SA"/>
    </w:rPr>
  </w:style>
  <w:style w:type="character" w:customStyle="1" w:styleId="Heading2414">
    <w:name w:val="Heading #2 (4)14"/>
    <w:basedOn w:val="Heading24"/>
    <w:rsid w:val="002E49E2"/>
    <w:rPr>
      <w:rFonts w:ascii="Arial" w:hAnsi="Arial"/>
      <w:b/>
      <w:bCs/>
      <w:sz w:val="24"/>
      <w:szCs w:val="24"/>
      <w:lang w:bidi="ar-SA"/>
    </w:rPr>
  </w:style>
  <w:style w:type="character" w:customStyle="1" w:styleId="Picturecaption1612pt">
    <w:name w:val="Picture caption (16) + 12 pt"/>
    <w:aliases w:val="Not Bold"/>
    <w:rsid w:val="002E49E2"/>
    <w:rPr>
      <w:rFonts w:ascii="Arial" w:hAnsi="Arial"/>
      <w:b/>
      <w:bCs/>
      <w:sz w:val="24"/>
      <w:szCs w:val="24"/>
      <w:lang w:bidi="ar-SA"/>
    </w:rPr>
  </w:style>
  <w:style w:type="paragraph" w:customStyle="1" w:styleId="Bodytext41">
    <w:name w:val="Body text (4)1"/>
    <w:basedOn w:val="Norml"/>
    <w:link w:val="Bodytext4"/>
    <w:rsid w:val="002E49E2"/>
    <w:pPr>
      <w:shd w:val="clear" w:color="auto" w:fill="FFFFFF"/>
      <w:suppressAutoHyphens w:val="0"/>
      <w:spacing w:before="360" w:after="360" w:line="403" w:lineRule="exact"/>
      <w:ind w:firstLine="0"/>
      <w:jc w:val="left"/>
    </w:pPr>
    <w:rPr>
      <w:rFonts w:ascii="Arial" w:eastAsia="Times New Roman" w:hAnsi="Arial" w:cs="Times New Roman"/>
      <w:kern w:val="0"/>
      <w:sz w:val="24"/>
    </w:rPr>
  </w:style>
  <w:style w:type="paragraph" w:customStyle="1" w:styleId="Picturecaption51">
    <w:name w:val="Picture caption (5)1"/>
    <w:basedOn w:val="Norml"/>
    <w:link w:val="Picturecaption5"/>
    <w:rsid w:val="002E49E2"/>
    <w:pPr>
      <w:shd w:val="clear" w:color="auto" w:fill="FFFFFF"/>
      <w:suppressAutoHyphens w:val="0"/>
      <w:spacing w:after="0" w:line="240" w:lineRule="atLeast"/>
      <w:ind w:firstLine="0"/>
      <w:jc w:val="left"/>
    </w:pPr>
    <w:rPr>
      <w:rFonts w:ascii="Arial" w:eastAsia="Times New Roman" w:hAnsi="Arial" w:cs="Times New Roman"/>
      <w:b/>
      <w:bCs/>
      <w:kern w:val="0"/>
      <w:sz w:val="24"/>
    </w:rPr>
  </w:style>
  <w:style w:type="paragraph" w:customStyle="1" w:styleId="Bodytext1">
    <w:name w:val="Body text1"/>
    <w:basedOn w:val="Norml"/>
    <w:link w:val="Szvegtrzs1"/>
    <w:rsid w:val="002E49E2"/>
    <w:pPr>
      <w:shd w:val="clear" w:color="auto" w:fill="FFFFFF"/>
      <w:suppressAutoHyphens w:val="0"/>
      <w:spacing w:before="300" w:after="0" w:line="278" w:lineRule="exact"/>
      <w:ind w:firstLine="280"/>
    </w:pPr>
    <w:rPr>
      <w:rFonts w:ascii="Arial" w:eastAsia="Times New Roman" w:hAnsi="Arial" w:cs="Times New Roman"/>
      <w:kern w:val="0"/>
      <w:sz w:val="24"/>
    </w:rPr>
  </w:style>
  <w:style w:type="paragraph" w:customStyle="1" w:styleId="Heading241">
    <w:name w:val="Heading #2 (4)1"/>
    <w:basedOn w:val="Norml"/>
    <w:link w:val="Heading24"/>
    <w:rsid w:val="002E49E2"/>
    <w:pPr>
      <w:shd w:val="clear" w:color="auto" w:fill="FFFFFF"/>
      <w:suppressAutoHyphens w:val="0"/>
      <w:spacing w:before="120" w:after="240" w:line="240" w:lineRule="atLeast"/>
      <w:ind w:firstLine="0"/>
      <w:jc w:val="left"/>
      <w:outlineLvl w:val="1"/>
    </w:pPr>
    <w:rPr>
      <w:rFonts w:ascii="Arial" w:eastAsia="Times New Roman" w:hAnsi="Arial" w:cs="Times New Roman"/>
      <w:b/>
      <w:bCs/>
      <w:kern w:val="0"/>
      <w:sz w:val="24"/>
    </w:rPr>
  </w:style>
  <w:style w:type="paragraph" w:customStyle="1" w:styleId="Bodytext131">
    <w:name w:val="Body text (13)1"/>
    <w:basedOn w:val="Norml"/>
    <w:link w:val="Bodytext13"/>
    <w:rsid w:val="002E49E2"/>
    <w:pPr>
      <w:shd w:val="clear" w:color="auto" w:fill="FFFFFF"/>
      <w:suppressAutoHyphens w:val="0"/>
      <w:spacing w:before="480" w:after="660" w:line="278" w:lineRule="exact"/>
      <w:ind w:firstLine="0"/>
    </w:pPr>
    <w:rPr>
      <w:rFonts w:ascii="Arial" w:eastAsia="Times New Roman" w:hAnsi="Arial" w:cs="Times New Roman"/>
      <w:i/>
      <w:iCs/>
      <w:kern w:val="0"/>
      <w:sz w:val="24"/>
    </w:rPr>
  </w:style>
  <w:style w:type="character" w:customStyle="1" w:styleId="Bodytext6">
    <w:name w:val="Body text (6)"/>
    <w:link w:val="Bodytext61"/>
    <w:rsid w:val="002E49E2"/>
    <w:rPr>
      <w:rFonts w:ascii="Arial" w:hAnsi="Arial"/>
      <w:sz w:val="18"/>
      <w:szCs w:val="18"/>
      <w:lang w:bidi="ar-SA"/>
    </w:rPr>
  </w:style>
  <w:style w:type="character" w:customStyle="1" w:styleId="Bodytext7">
    <w:name w:val="Body text (7)"/>
    <w:link w:val="Bodytext71"/>
    <w:rsid w:val="002E49E2"/>
    <w:rPr>
      <w:rFonts w:ascii="Arial" w:hAnsi="Arial"/>
      <w:sz w:val="18"/>
      <w:szCs w:val="18"/>
      <w:lang w:bidi="ar-SA"/>
    </w:rPr>
  </w:style>
  <w:style w:type="character" w:customStyle="1" w:styleId="Heading2413">
    <w:name w:val="Heading #2 (4)13"/>
    <w:rsid w:val="002E49E2"/>
    <w:rPr>
      <w:rFonts w:ascii="Arial" w:hAnsi="Arial" w:cs="Arial"/>
      <w:b w:val="0"/>
      <w:bCs w:val="0"/>
      <w:sz w:val="24"/>
      <w:szCs w:val="24"/>
      <w:lang w:bidi="ar-SA"/>
    </w:rPr>
  </w:style>
  <w:style w:type="paragraph" w:customStyle="1" w:styleId="Bodytext61">
    <w:name w:val="Body text (6)1"/>
    <w:basedOn w:val="Norml"/>
    <w:link w:val="Bodytext6"/>
    <w:rsid w:val="002E49E2"/>
    <w:pPr>
      <w:shd w:val="clear" w:color="auto" w:fill="FFFFFF"/>
      <w:suppressAutoHyphens w:val="0"/>
      <w:spacing w:after="0" w:line="240" w:lineRule="atLeast"/>
      <w:ind w:firstLine="0"/>
      <w:jc w:val="left"/>
    </w:pPr>
    <w:rPr>
      <w:rFonts w:ascii="Arial" w:eastAsia="Times New Roman" w:hAnsi="Arial" w:cs="Times New Roman"/>
      <w:kern w:val="0"/>
      <w:sz w:val="18"/>
      <w:szCs w:val="18"/>
    </w:rPr>
  </w:style>
  <w:style w:type="paragraph" w:customStyle="1" w:styleId="Bodytext71">
    <w:name w:val="Body text (7)1"/>
    <w:basedOn w:val="Norml"/>
    <w:link w:val="Bodytext7"/>
    <w:rsid w:val="002E49E2"/>
    <w:pPr>
      <w:shd w:val="clear" w:color="auto" w:fill="FFFFFF"/>
      <w:suppressAutoHyphens w:val="0"/>
      <w:spacing w:after="0" w:line="216" w:lineRule="exact"/>
      <w:ind w:firstLine="0"/>
      <w:jc w:val="right"/>
    </w:pPr>
    <w:rPr>
      <w:rFonts w:ascii="Arial" w:eastAsia="Times New Roman" w:hAnsi="Arial" w:cs="Times New Roman"/>
      <w:kern w:val="0"/>
      <w:sz w:val="18"/>
      <w:szCs w:val="18"/>
    </w:rPr>
  </w:style>
  <w:style w:type="character" w:customStyle="1" w:styleId="Heading2416">
    <w:name w:val="Heading #2 (4)16"/>
    <w:rsid w:val="00DE1394"/>
    <w:rPr>
      <w:rFonts w:ascii="Arial" w:hAnsi="Arial" w:cs="Arial"/>
      <w:b w:val="0"/>
      <w:bCs w:val="0"/>
      <w:sz w:val="24"/>
      <w:szCs w:val="24"/>
      <w:lang w:bidi="ar-SA"/>
    </w:rPr>
  </w:style>
  <w:style w:type="character" w:customStyle="1" w:styleId="Bodytext122">
    <w:name w:val="Body text (12)2"/>
    <w:basedOn w:val="Bekezdsalapbettpusa"/>
    <w:rsid w:val="00A35D13"/>
    <w:rPr>
      <w:rFonts w:ascii="Arial" w:hAnsi="Arial"/>
      <w:b/>
      <w:bCs/>
      <w:sz w:val="18"/>
      <w:szCs w:val="18"/>
      <w:lang w:bidi="ar-SA"/>
    </w:rPr>
  </w:style>
  <w:style w:type="character" w:customStyle="1" w:styleId="Heading25">
    <w:name w:val="Heading #2 (5)"/>
    <w:link w:val="Heading251"/>
    <w:rsid w:val="00055AFA"/>
    <w:rPr>
      <w:rFonts w:ascii="Arial" w:hAnsi="Arial"/>
      <w:b/>
      <w:bCs/>
      <w:i/>
      <w:iCs/>
      <w:sz w:val="24"/>
      <w:szCs w:val="24"/>
      <w:lang w:bidi="ar-SA"/>
    </w:rPr>
  </w:style>
  <w:style w:type="character" w:customStyle="1" w:styleId="Heading252">
    <w:name w:val="Heading #2 (5)2"/>
    <w:basedOn w:val="Heading25"/>
    <w:rsid w:val="00055AFA"/>
    <w:rPr>
      <w:rFonts w:ascii="Arial" w:hAnsi="Arial"/>
      <w:b/>
      <w:bCs/>
      <w:i/>
      <w:iCs/>
      <w:sz w:val="24"/>
      <w:szCs w:val="24"/>
      <w:lang w:bidi="ar-SA"/>
    </w:rPr>
  </w:style>
  <w:style w:type="paragraph" w:customStyle="1" w:styleId="Heading251">
    <w:name w:val="Heading #2 (5)1"/>
    <w:basedOn w:val="Norml"/>
    <w:link w:val="Heading25"/>
    <w:rsid w:val="00055AFA"/>
    <w:pPr>
      <w:shd w:val="clear" w:color="auto" w:fill="FFFFFF"/>
      <w:suppressAutoHyphens w:val="0"/>
      <w:spacing w:before="660" w:after="240" w:line="240" w:lineRule="atLeast"/>
      <w:ind w:firstLine="0"/>
      <w:jc w:val="left"/>
      <w:outlineLvl w:val="1"/>
    </w:pPr>
    <w:rPr>
      <w:rFonts w:ascii="Arial" w:eastAsia="Times New Roman" w:hAnsi="Arial" w:cs="Times New Roman"/>
      <w:b/>
      <w:bCs/>
      <w:i/>
      <w:iCs/>
      <w:kern w:val="0"/>
      <w:sz w:val="24"/>
    </w:rPr>
  </w:style>
  <w:style w:type="paragraph" w:customStyle="1" w:styleId="j-szmozottfelsorols">
    <w:name w:val="j- számozott felsorolás"/>
    <w:basedOn w:val="Norml"/>
    <w:autoRedefine/>
    <w:rsid w:val="00434B01"/>
    <w:pPr>
      <w:suppressAutoHyphens w:val="0"/>
      <w:spacing w:after="0"/>
      <w:ind w:firstLine="0"/>
    </w:pPr>
    <w:rPr>
      <w:rFonts w:eastAsia="Times New Roman" w:cs="Times New Roman"/>
      <w:kern w:val="0"/>
      <w:szCs w:val="22"/>
    </w:rPr>
  </w:style>
  <w:style w:type="paragraph" w:customStyle="1" w:styleId="5Normal">
    <w:name w:val="5 Normal"/>
    <w:uiPriority w:val="99"/>
    <w:rsid w:val="00D16AD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styleId="Tartalomjegyzkcmsora">
    <w:name w:val="TOC Heading"/>
    <w:basedOn w:val="Cmsor1"/>
    <w:next w:val="Norml"/>
    <w:uiPriority w:val="39"/>
    <w:unhideWhenUsed/>
    <w:qFormat/>
    <w:rsid w:val="00011C3B"/>
    <w:pPr>
      <w:keepLines/>
      <w:pageBreakBefore w:val="0"/>
      <w:numPr>
        <w:numId w:val="0"/>
      </w:numPr>
      <w:suppressAutoHyphens w:val="0"/>
      <w:spacing w:before="480" w:after="0" w:line="276" w:lineRule="auto"/>
      <w:jc w:val="left"/>
      <w:outlineLvl w:val="9"/>
    </w:pPr>
    <w:rPr>
      <w:rFonts w:ascii="Cambria" w:eastAsia="Times New Roman" w:hAnsi="Cambria" w:cs="Times New Roman"/>
      <w:color w:val="365F91"/>
      <w:sz w:val="28"/>
      <w:szCs w:val="28"/>
    </w:rPr>
  </w:style>
  <w:style w:type="character" w:customStyle="1" w:styleId="Kpalrs10">
    <w:name w:val="Képaláírás1"/>
    <w:semiHidden/>
    <w:rsid w:val="00011C3B"/>
    <w:rPr>
      <w:b/>
      <w:bCs/>
      <w:sz w:val="20"/>
    </w:rPr>
  </w:style>
  <w:style w:type="character" w:customStyle="1" w:styleId="CharChar22">
    <w:name w:val="Char Char2"/>
    <w:semiHidden/>
    <w:rsid w:val="00011C3B"/>
    <w:rPr>
      <w:rFonts w:cs="Arial"/>
      <w:bCs/>
      <w:i/>
      <w:sz w:val="22"/>
      <w:szCs w:val="26"/>
      <w:lang w:val="en-GB" w:eastAsia="hu-HU" w:bidi="ar-SA"/>
    </w:rPr>
  </w:style>
  <w:style w:type="character" w:customStyle="1" w:styleId="CharChar160">
    <w:name w:val="Char Char16"/>
    <w:semiHidden/>
    <w:rsid w:val="00011C3B"/>
    <w:rPr>
      <w:rFonts w:eastAsia="Times New Roman" w:cs="Times New Roman"/>
      <w:b/>
      <w:bCs/>
      <w:sz w:val="36"/>
      <w:szCs w:val="36"/>
    </w:rPr>
  </w:style>
  <w:style w:type="character" w:customStyle="1" w:styleId="CharChar220">
    <w:name w:val="Char Char22"/>
    <w:semiHidden/>
    <w:rsid w:val="00011C3B"/>
    <w:rPr>
      <w:b/>
      <w:sz w:val="22"/>
    </w:rPr>
  </w:style>
  <w:style w:type="character" w:customStyle="1" w:styleId="CharChar210">
    <w:name w:val="Char Char21"/>
    <w:semiHidden/>
    <w:rsid w:val="00011C3B"/>
    <w:rPr>
      <w:i/>
      <w:sz w:val="22"/>
    </w:rPr>
  </w:style>
  <w:style w:type="character" w:customStyle="1" w:styleId="CharChar200">
    <w:name w:val="Char Char20"/>
    <w:semiHidden/>
    <w:rsid w:val="00011C3B"/>
    <w:rPr>
      <w:b/>
      <w:sz w:val="22"/>
      <w:szCs w:val="22"/>
      <w:lang w:val="en-GB"/>
    </w:rPr>
  </w:style>
  <w:style w:type="character" w:customStyle="1" w:styleId="CharChar190">
    <w:name w:val="Char Char19"/>
    <w:semiHidden/>
    <w:rsid w:val="00011C3B"/>
    <w:rPr>
      <w:i/>
      <w:sz w:val="22"/>
    </w:rPr>
  </w:style>
  <w:style w:type="character" w:customStyle="1" w:styleId="CharChar180">
    <w:name w:val="Char Char18"/>
    <w:semiHidden/>
    <w:rsid w:val="00011C3B"/>
    <w:rPr>
      <w:b/>
      <w:i/>
      <w:sz w:val="18"/>
    </w:rPr>
  </w:style>
  <w:style w:type="character" w:customStyle="1" w:styleId="CharChar150">
    <w:name w:val="Char Char15"/>
    <w:semiHidden/>
    <w:rsid w:val="00011C3B"/>
    <w:rPr>
      <w:rFonts w:ascii="Cambria" w:eastAsia="Times New Roman" w:hAnsi="Cambria" w:cs="Times New Roman"/>
      <w:i/>
      <w:iCs/>
      <w:color w:val="4F81BD"/>
      <w:spacing w:val="15"/>
      <w:kern w:val="1"/>
      <w:sz w:val="24"/>
      <w:szCs w:val="24"/>
      <w:lang w:val="en-US"/>
    </w:rPr>
  </w:style>
  <w:style w:type="character" w:customStyle="1" w:styleId="CharChar140">
    <w:name w:val="Char Char14"/>
    <w:semiHidden/>
    <w:rsid w:val="00011C3B"/>
    <w:rPr>
      <w:kern w:val="1"/>
      <w:sz w:val="24"/>
      <w:szCs w:val="24"/>
    </w:rPr>
  </w:style>
  <w:style w:type="character" w:customStyle="1" w:styleId="CharChar13">
    <w:name w:val="Char Char13"/>
    <w:semiHidden/>
    <w:rsid w:val="00011C3B"/>
    <w:rPr>
      <w:kern w:val="1"/>
      <w:sz w:val="24"/>
      <w:szCs w:val="24"/>
    </w:rPr>
  </w:style>
  <w:style w:type="character" w:customStyle="1" w:styleId="CharChar120">
    <w:name w:val="Char Char12"/>
    <w:semiHidden/>
    <w:rsid w:val="00011C3B"/>
    <w:rPr>
      <w:kern w:val="1"/>
    </w:rPr>
  </w:style>
  <w:style w:type="character" w:customStyle="1" w:styleId="CharChar110">
    <w:name w:val="Char Char11"/>
    <w:semiHidden/>
    <w:rsid w:val="00011C3B"/>
    <w:rPr>
      <w:rFonts w:ascii="Tahoma" w:hAnsi="Tahoma" w:cs="Tahoma"/>
      <w:kern w:val="1"/>
      <w:sz w:val="16"/>
      <w:szCs w:val="16"/>
    </w:rPr>
  </w:style>
  <w:style w:type="character" w:customStyle="1" w:styleId="CharChar170">
    <w:name w:val="Char Char17"/>
    <w:semiHidden/>
    <w:rsid w:val="00011C3B"/>
    <w:rPr>
      <w:rFonts w:ascii="Arial" w:hAnsi="Arial" w:cs="Arial"/>
      <w:b/>
      <w:bCs/>
      <w:kern w:val="28"/>
      <w:lang w:eastAsia="en-US"/>
    </w:rPr>
  </w:style>
  <w:style w:type="character" w:customStyle="1" w:styleId="CharChar6">
    <w:name w:val="Char Char6"/>
    <w:semiHidden/>
    <w:rsid w:val="00011C3B"/>
    <w:rPr>
      <w:rFonts w:eastAsia="Times New Roman"/>
      <w:sz w:val="26"/>
      <w:szCs w:val="24"/>
      <w:lang w:val="en-GB" w:eastAsia="ar-SA"/>
    </w:rPr>
  </w:style>
  <w:style w:type="character" w:customStyle="1" w:styleId="CharChar5">
    <w:name w:val="Char Char5"/>
    <w:semiHidden/>
    <w:rsid w:val="00011C3B"/>
    <w:rPr>
      <w:rFonts w:eastAsia="Times New Roman"/>
      <w:sz w:val="16"/>
      <w:szCs w:val="16"/>
      <w:lang w:val="en-GB"/>
    </w:rPr>
  </w:style>
  <w:style w:type="paragraph" w:customStyle="1" w:styleId="j-cmsor4">
    <w:name w:val="j- címsor4"/>
    <w:basedOn w:val="Cmsor4"/>
    <w:next w:val="Norml"/>
    <w:autoRedefine/>
    <w:rsid w:val="00011C3B"/>
    <w:pPr>
      <w:numPr>
        <w:numId w:val="17"/>
      </w:numPr>
      <w:tabs>
        <w:tab w:val="num" w:pos="284"/>
      </w:tabs>
      <w:spacing w:before="360"/>
      <w:ind w:left="990" w:hanging="990"/>
      <w:jc w:val="left"/>
    </w:pPr>
    <w:rPr>
      <w:iCs/>
      <w:kern w:val="0"/>
    </w:rPr>
  </w:style>
  <w:style w:type="numbering" w:customStyle="1" w:styleId="Nemlista2">
    <w:name w:val="Nem lista2"/>
    <w:next w:val="Nemlista"/>
    <w:semiHidden/>
    <w:rsid w:val="00011C3B"/>
  </w:style>
  <w:style w:type="character" w:customStyle="1" w:styleId="j-bracmChar">
    <w:name w:val="j- ábracím Char"/>
    <w:link w:val="j-bracm"/>
    <w:rsid w:val="00011C3B"/>
    <w:rPr>
      <w:b/>
    </w:rPr>
  </w:style>
  <w:style w:type="paragraph" w:customStyle="1" w:styleId="HUNNormal">
    <w:name w:val="HUN_Normal"/>
    <w:basedOn w:val="Norml"/>
    <w:semiHidden/>
    <w:rsid w:val="00011C3B"/>
    <w:pPr>
      <w:suppressAutoHyphens w:val="0"/>
      <w:spacing w:before="60" w:line="280" w:lineRule="atLeast"/>
      <w:ind w:firstLine="0"/>
    </w:pPr>
    <w:rPr>
      <w:rFonts w:ascii="Franklin Gothic Book" w:eastAsia="Times New Roman" w:hAnsi="Franklin Gothic Book" w:cs="Times New Roman"/>
      <w:kern w:val="0"/>
      <w:sz w:val="20"/>
      <w:szCs w:val="20"/>
    </w:rPr>
  </w:style>
  <w:style w:type="paragraph" w:customStyle="1" w:styleId="j-cmsor3">
    <w:name w:val="j- címsor3"/>
    <w:basedOn w:val="Cmsor3"/>
    <w:next w:val="Norml"/>
    <w:autoRedefine/>
    <w:rsid w:val="00011C3B"/>
    <w:pPr>
      <w:numPr>
        <w:numId w:val="17"/>
      </w:numPr>
      <w:spacing w:after="120"/>
    </w:pPr>
    <w:rPr>
      <w:szCs w:val="22"/>
      <w:lang w:bidi="sa-IN"/>
    </w:rPr>
  </w:style>
  <w:style w:type="paragraph" w:customStyle="1" w:styleId="Normlforrs">
    <w:name w:val="Normál forrás"/>
    <w:basedOn w:val="Norml"/>
    <w:rsid w:val="00380857"/>
    <w:pPr>
      <w:spacing w:after="240"/>
      <w:ind w:firstLine="0"/>
      <w:jc w:val="right"/>
    </w:pPr>
    <w:rPr>
      <w:i/>
      <w:kern w:val="22"/>
      <w:szCs w:val="20"/>
    </w:rPr>
  </w:style>
  <w:style w:type="paragraph" w:customStyle="1" w:styleId="j-braszm">
    <w:name w:val="j- ábraszám"/>
    <w:basedOn w:val="Kpalrs"/>
    <w:autoRedefine/>
    <w:rsid w:val="00011C3B"/>
    <w:pPr>
      <w:numPr>
        <w:numId w:val="35"/>
      </w:numPr>
      <w:tabs>
        <w:tab w:val="clear" w:pos="1068"/>
        <w:tab w:val="num" w:pos="440"/>
      </w:tabs>
      <w:spacing w:before="360"/>
      <w:ind w:left="0" w:firstLine="0"/>
      <w:jc w:val="right"/>
    </w:pPr>
    <w:rPr>
      <w:b w:val="0"/>
    </w:rPr>
  </w:style>
  <w:style w:type="paragraph" w:customStyle="1" w:styleId="j-bracm">
    <w:name w:val="j- ábracím"/>
    <w:basedOn w:val="Norml"/>
    <w:link w:val="j-bracmChar"/>
    <w:rsid w:val="00011C3B"/>
    <w:pPr>
      <w:keepNext/>
      <w:suppressAutoHyphens w:val="0"/>
      <w:ind w:firstLine="0"/>
      <w:jc w:val="center"/>
    </w:pPr>
    <w:rPr>
      <w:rFonts w:cs="Times New Roman"/>
      <w:b/>
      <w:kern w:val="0"/>
      <w:sz w:val="20"/>
      <w:szCs w:val="20"/>
    </w:rPr>
  </w:style>
  <w:style w:type="paragraph" w:customStyle="1" w:styleId="j-tblzat-fcm">
    <w:name w:val="j- táblázat-főcím"/>
    <w:basedOn w:val="Norml"/>
    <w:rsid w:val="00011C3B"/>
    <w:pPr>
      <w:keepNext/>
      <w:suppressAutoHyphens w:val="0"/>
      <w:ind w:firstLine="0"/>
      <w:jc w:val="center"/>
    </w:pPr>
    <w:rPr>
      <w:rFonts w:eastAsia="Times New Roman" w:cs="Times New Roman"/>
      <w:b/>
      <w:kern w:val="0"/>
      <w:szCs w:val="22"/>
    </w:rPr>
  </w:style>
  <w:style w:type="paragraph" w:customStyle="1" w:styleId="j-tblzat-alcm">
    <w:name w:val="j- táblázat-alcím"/>
    <w:basedOn w:val="Norml"/>
    <w:autoRedefine/>
    <w:rsid w:val="00011C3B"/>
    <w:pPr>
      <w:keepNext/>
      <w:spacing w:before="120"/>
      <w:ind w:firstLine="0"/>
      <w:jc w:val="center"/>
    </w:pPr>
    <w:rPr>
      <w:b/>
      <w:bCs/>
      <w:i/>
      <w:kern w:val="22"/>
      <w:lang w:bidi="sa-IN"/>
    </w:rPr>
  </w:style>
  <w:style w:type="paragraph" w:customStyle="1" w:styleId="j-tblzatszm">
    <w:name w:val="j- táblázatszám"/>
    <w:basedOn w:val="Kpalrs"/>
    <w:autoRedefine/>
    <w:rsid w:val="00FE0173"/>
    <w:pPr>
      <w:widowControl w:val="0"/>
      <w:numPr>
        <w:numId w:val="0"/>
      </w:numPr>
      <w:suppressAutoHyphens w:val="0"/>
      <w:spacing w:before="360"/>
      <w:ind w:left="9020"/>
      <w:jc w:val="right"/>
    </w:pPr>
    <w:rPr>
      <w:b w:val="0"/>
      <w:bCs w:val="0"/>
    </w:rPr>
  </w:style>
  <w:style w:type="paragraph" w:customStyle="1" w:styleId="j-felsorols1">
    <w:name w:val="j- felsorolás1"/>
    <w:basedOn w:val="Norml"/>
    <w:link w:val="j-felsorols1Char"/>
    <w:rsid w:val="00011C3B"/>
    <w:pPr>
      <w:numPr>
        <w:numId w:val="34"/>
      </w:numPr>
      <w:suppressAutoHyphens w:val="0"/>
      <w:spacing w:after="0"/>
    </w:pPr>
    <w:rPr>
      <w:rFonts w:eastAsia="Times New Roman" w:cs="Times New Roman"/>
      <w:kern w:val="0"/>
      <w:szCs w:val="22"/>
    </w:rPr>
  </w:style>
  <w:style w:type="paragraph" w:customStyle="1" w:styleId="j-cmsor50">
    <w:name w:val="j- címsor5"/>
    <w:basedOn w:val="Norml"/>
    <w:link w:val="j-cmsor5Char"/>
    <w:autoRedefine/>
    <w:rsid w:val="00C96F79"/>
    <w:pPr>
      <w:keepNext/>
      <w:suppressAutoHyphens w:val="0"/>
      <w:spacing w:before="360" w:line="276" w:lineRule="auto"/>
      <w:ind w:firstLine="0"/>
    </w:pPr>
    <w:rPr>
      <w:rFonts w:eastAsia="Times New Roman" w:cs="Times New Roman"/>
      <w:b/>
      <w:bCs/>
      <w:i/>
      <w:kern w:val="0"/>
      <w:sz w:val="24"/>
    </w:rPr>
  </w:style>
  <w:style w:type="paragraph" w:customStyle="1" w:styleId="j-felsorols2">
    <w:name w:val="j- felsorolás2"/>
    <w:basedOn w:val="Norml"/>
    <w:autoRedefine/>
    <w:rsid w:val="00011C3B"/>
    <w:pPr>
      <w:tabs>
        <w:tab w:val="left" w:pos="1540"/>
        <w:tab w:val="right" w:pos="8800"/>
      </w:tabs>
      <w:suppressAutoHyphens w:val="0"/>
      <w:spacing w:after="0"/>
      <w:ind w:left="1540" w:hanging="360"/>
      <w:jc w:val="left"/>
    </w:pPr>
    <w:rPr>
      <w:rFonts w:eastAsia="Times New Roman" w:cs="Times New Roman"/>
      <w:kern w:val="0"/>
      <w:szCs w:val="22"/>
    </w:rPr>
  </w:style>
  <w:style w:type="paragraph" w:customStyle="1" w:styleId="StlusChkList">
    <w:name w:val="Stílus Chk List"/>
    <w:basedOn w:val="Norml"/>
    <w:semiHidden/>
    <w:rsid w:val="00BD037E"/>
    <w:pPr>
      <w:suppressAutoHyphens w:val="0"/>
      <w:spacing w:after="0"/>
      <w:ind w:left="567" w:firstLine="0"/>
    </w:pPr>
    <w:rPr>
      <w:rFonts w:eastAsia="Times New Roman" w:cs="Times New Roman"/>
      <w:b/>
      <w:bCs/>
      <w:kern w:val="0"/>
      <w:sz w:val="24"/>
    </w:rPr>
  </w:style>
  <w:style w:type="paragraph" w:customStyle="1" w:styleId="heading">
    <w:name w:val="heading"/>
    <w:aliases w:val="6,4,7"/>
    <w:basedOn w:val="Norml"/>
    <w:next w:val="Norml"/>
    <w:autoRedefine/>
    <w:semiHidden/>
    <w:rsid w:val="00011C3B"/>
    <w:pPr>
      <w:keepNext/>
      <w:spacing w:after="0"/>
      <w:ind w:firstLine="0"/>
      <w:outlineLvl w:val="5"/>
    </w:pPr>
    <w:rPr>
      <w:rFonts w:eastAsia="Times New Roman" w:cs="Times New Roman"/>
      <w:b/>
      <w:bCs/>
      <w:snapToGrid w:val="0"/>
      <w:kern w:val="0"/>
      <w:sz w:val="24"/>
      <w:lang w:val="en-GB"/>
    </w:rPr>
  </w:style>
  <w:style w:type="character" w:customStyle="1" w:styleId="j-felsorols1Char">
    <w:name w:val="j- felsorolás1 Char"/>
    <w:link w:val="j-felsorols1"/>
    <w:rsid w:val="00011C3B"/>
    <w:rPr>
      <w:rFonts w:eastAsia="Times New Roman"/>
      <w:sz w:val="22"/>
      <w:szCs w:val="22"/>
    </w:rPr>
  </w:style>
  <w:style w:type="character" w:customStyle="1" w:styleId="Heading4Char">
    <w:name w:val="Heading 4 Char"/>
    <w:semiHidden/>
    <w:locked/>
    <w:rsid w:val="00011C3B"/>
    <w:rPr>
      <w:rFonts w:cs="Arial"/>
      <w:b/>
      <w:bCs/>
      <w:i/>
      <w:kern w:val="22"/>
      <w:sz w:val="22"/>
      <w:szCs w:val="28"/>
      <w:lang w:val="hu-HU" w:eastAsia="hu-HU" w:bidi="ar-SA"/>
    </w:rPr>
  </w:style>
  <w:style w:type="character" w:customStyle="1" w:styleId="Heading6Char">
    <w:name w:val="Heading 6 Char"/>
    <w:semiHidden/>
    <w:locked/>
    <w:rsid w:val="00011C3B"/>
    <w:rPr>
      <w:rFonts w:cs="Arial"/>
      <w:i/>
      <w:sz w:val="22"/>
      <w:lang w:val="hu-HU" w:eastAsia="hu-HU" w:bidi="ar-SA"/>
    </w:rPr>
  </w:style>
  <w:style w:type="character" w:customStyle="1" w:styleId="Heading8Char">
    <w:name w:val="Heading 8 Char"/>
    <w:semiHidden/>
    <w:locked/>
    <w:rsid w:val="00011C3B"/>
    <w:rPr>
      <w:rFonts w:cs="Arial"/>
      <w:i/>
      <w:sz w:val="22"/>
      <w:lang w:val="hu-HU" w:eastAsia="hu-HU" w:bidi="ar-SA"/>
    </w:rPr>
  </w:style>
  <w:style w:type="character" w:customStyle="1" w:styleId="Heading9Char">
    <w:name w:val="Heading 9 Char"/>
    <w:semiHidden/>
    <w:locked/>
    <w:rsid w:val="00011C3B"/>
    <w:rPr>
      <w:rFonts w:cs="Arial"/>
      <w:b/>
      <w:i/>
      <w:sz w:val="18"/>
      <w:lang w:val="hu-HU" w:eastAsia="hu-HU" w:bidi="ar-SA"/>
    </w:rPr>
  </w:style>
  <w:style w:type="character" w:customStyle="1" w:styleId="SubtitleChar">
    <w:name w:val="Subtitle Char"/>
    <w:semiHidden/>
    <w:locked/>
    <w:rsid w:val="00011C3B"/>
    <w:rPr>
      <w:rFonts w:ascii="Cambria" w:hAnsi="Cambria" w:cs="Times New Roman"/>
      <w:i/>
      <w:iCs/>
      <w:color w:val="4F81BD"/>
      <w:spacing w:val="15"/>
      <w:kern w:val="22"/>
      <w:sz w:val="24"/>
      <w:szCs w:val="24"/>
      <w:lang w:val="en-US" w:eastAsia="hu-HU" w:bidi="ar-SA"/>
    </w:rPr>
  </w:style>
  <w:style w:type="character" w:customStyle="1" w:styleId="HeaderChar">
    <w:name w:val="Header Char"/>
    <w:semiHidden/>
    <w:locked/>
    <w:rsid w:val="00011C3B"/>
    <w:rPr>
      <w:rFonts w:eastAsia="Times New Roman" w:cs="Arial"/>
      <w:kern w:val="22"/>
      <w:sz w:val="24"/>
      <w:szCs w:val="24"/>
      <w:lang w:val="hu-HU" w:eastAsia="hu-HU" w:bidi="ar-SA"/>
    </w:rPr>
  </w:style>
  <w:style w:type="character" w:customStyle="1" w:styleId="BalloonTextChar">
    <w:name w:val="Balloon Text Char"/>
    <w:semiHidden/>
    <w:locked/>
    <w:rsid w:val="00011C3B"/>
    <w:rPr>
      <w:rFonts w:ascii="Tahoma" w:eastAsia="Times New Roman" w:hAnsi="Tahoma" w:cs="Tahoma"/>
      <w:kern w:val="22"/>
      <w:sz w:val="16"/>
      <w:szCs w:val="16"/>
      <w:lang w:val="hu-HU" w:eastAsia="hu-HU" w:bidi="ar-SA"/>
    </w:rPr>
  </w:style>
  <w:style w:type="character" w:customStyle="1" w:styleId="BodyTextIndentChar1">
    <w:name w:val="Body Text Indent Char1"/>
    <w:semiHidden/>
    <w:locked/>
    <w:rsid w:val="00011C3B"/>
    <w:rPr>
      <w:rFonts w:cs="Arial"/>
      <w:snapToGrid w:val="0"/>
      <w:sz w:val="22"/>
      <w:szCs w:val="22"/>
      <w:lang w:val="en-GB" w:eastAsia="hu-HU" w:bidi="ar-SA"/>
    </w:rPr>
  </w:style>
  <w:style w:type="character" w:customStyle="1" w:styleId="CharChar1100">
    <w:name w:val="Char Char110"/>
    <w:semiHidden/>
    <w:rsid w:val="00011C3B"/>
    <w:rPr>
      <w:rFonts w:cs="Times New Roman"/>
      <w:b/>
      <w:i/>
      <w:sz w:val="26"/>
      <w:szCs w:val="26"/>
      <w:lang w:val="en-GB" w:eastAsia="hu-HU" w:bidi="ar-SA"/>
    </w:rPr>
  </w:style>
  <w:style w:type="character" w:customStyle="1" w:styleId="BodyText3Char">
    <w:name w:val="Body Text 3 Char"/>
    <w:semiHidden/>
    <w:locked/>
    <w:rsid w:val="00011C3B"/>
    <w:rPr>
      <w:rFonts w:cs="Arial"/>
      <w:sz w:val="16"/>
      <w:szCs w:val="16"/>
      <w:lang w:val="en-GB" w:eastAsia="hu-HU" w:bidi="ar-SA"/>
    </w:rPr>
  </w:style>
  <w:style w:type="character" w:customStyle="1" w:styleId="BodyTextIndent3Char">
    <w:name w:val="Body Text Indent 3 Char"/>
    <w:semiHidden/>
    <w:locked/>
    <w:rsid w:val="00011C3B"/>
    <w:rPr>
      <w:rFonts w:cs="Arial"/>
      <w:sz w:val="22"/>
      <w:szCs w:val="22"/>
      <w:lang w:val="en-GB" w:eastAsia="hu-HU" w:bidi="ar-SA"/>
    </w:rPr>
  </w:style>
  <w:style w:type="character" w:customStyle="1" w:styleId="PlainTextChar">
    <w:name w:val="Plain Text Char"/>
    <w:semiHidden/>
    <w:locked/>
    <w:rsid w:val="00011C3B"/>
    <w:rPr>
      <w:rFonts w:ascii="Consolas" w:eastAsia="Times New Roman" w:hAnsi="Consolas" w:cs="Times New Roman"/>
      <w:sz w:val="21"/>
      <w:szCs w:val="21"/>
      <w:lang w:val="hu-HU" w:eastAsia="en-US" w:bidi="ar-SA"/>
    </w:rPr>
  </w:style>
  <w:style w:type="paragraph" w:customStyle="1" w:styleId="Listaszerbekezds10">
    <w:name w:val="Listaszerű bekezdés1"/>
    <w:basedOn w:val="Norml"/>
    <w:semiHidden/>
    <w:rsid w:val="00011C3B"/>
    <w:pPr>
      <w:ind w:left="720" w:firstLine="0"/>
      <w:contextualSpacing/>
    </w:pPr>
    <w:rPr>
      <w:rFonts w:eastAsia="Times New Roman"/>
      <w:kern w:val="22"/>
    </w:rPr>
  </w:style>
  <w:style w:type="character" w:customStyle="1" w:styleId="Footer2CharChar1">
    <w:name w:val="Footer 2 Char Char1"/>
    <w:semiHidden/>
    <w:rsid w:val="00011C3B"/>
    <w:rPr>
      <w:rFonts w:ascii="Arial" w:hAnsi="Arial" w:cs="Arial"/>
      <w:noProof/>
      <w:color w:val="333333"/>
      <w:sz w:val="22"/>
      <w:szCs w:val="22"/>
      <w:lang w:val="hu-HU" w:eastAsia="hu-HU" w:bidi="ar-SA"/>
    </w:rPr>
  </w:style>
  <w:style w:type="character" w:customStyle="1" w:styleId="j-cmsor5Char">
    <w:name w:val="j- címsor5 Char"/>
    <w:link w:val="j-cmsor50"/>
    <w:rsid w:val="00727249"/>
    <w:rPr>
      <w:rFonts w:eastAsia="Times New Roman"/>
      <w:b/>
      <w:bCs/>
      <w:i/>
      <w:sz w:val="24"/>
      <w:szCs w:val="24"/>
    </w:rPr>
  </w:style>
  <w:style w:type="numbering" w:styleId="111111">
    <w:name w:val="Outline List 2"/>
    <w:basedOn w:val="Nemlista"/>
    <w:semiHidden/>
    <w:rsid w:val="00011C3B"/>
    <w:pPr>
      <w:numPr>
        <w:numId w:val="39"/>
      </w:numPr>
    </w:pPr>
  </w:style>
  <w:style w:type="numbering" w:styleId="1ai">
    <w:name w:val="Outline List 1"/>
    <w:basedOn w:val="Nemlista"/>
    <w:semiHidden/>
    <w:rsid w:val="00011C3B"/>
    <w:pPr>
      <w:numPr>
        <w:numId w:val="40"/>
      </w:numPr>
    </w:pPr>
  </w:style>
  <w:style w:type="paragraph" w:styleId="Alrs">
    <w:name w:val="Signature"/>
    <w:basedOn w:val="Norml"/>
    <w:link w:val="AlrsChar"/>
    <w:semiHidden/>
    <w:rsid w:val="00011C3B"/>
    <w:pPr>
      <w:ind w:left="4252" w:firstLine="0"/>
    </w:pPr>
    <w:rPr>
      <w:kern w:val="22"/>
    </w:rPr>
  </w:style>
  <w:style w:type="character" w:customStyle="1" w:styleId="AlrsChar">
    <w:name w:val="Aláírás Char"/>
    <w:link w:val="Alrs"/>
    <w:semiHidden/>
    <w:rsid w:val="00011C3B"/>
    <w:rPr>
      <w:rFonts w:cs="Arial"/>
      <w:kern w:val="22"/>
      <w:sz w:val="22"/>
      <w:szCs w:val="24"/>
    </w:rPr>
  </w:style>
  <w:style w:type="paragraph" w:styleId="Befejezs">
    <w:name w:val="Closing"/>
    <w:basedOn w:val="Norml"/>
    <w:link w:val="BefejezsChar"/>
    <w:semiHidden/>
    <w:rsid w:val="00011C3B"/>
    <w:pPr>
      <w:ind w:left="4252" w:firstLine="0"/>
    </w:pPr>
    <w:rPr>
      <w:kern w:val="22"/>
    </w:rPr>
  </w:style>
  <w:style w:type="character" w:customStyle="1" w:styleId="BefejezsChar">
    <w:name w:val="Befejezés Char"/>
    <w:link w:val="Befejezs"/>
    <w:semiHidden/>
    <w:rsid w:val="00011C3B"/>
    <w:rPr>
      <w:rFonts w:cs="Arial"/>
      <w:kern w:val="22"/>
      <w:sz w:val="22"/>
      <w:szCs w:val="24"/>
    </w:rPr>
  </w:style>
  <w:style w:type="paragraph" w:styleId="Bortkcm">
    <w:name w:val="envelope address"/>
    <w:basedOn w:val="Norml"/>
    <w:semiHidden/>
    <w:rsid w:val="00011C3B"/>
    <w:pPr>
      <w:framePr w:w="7920" w:h="1980" w:hRule="exact" w:hSpace="141" w:wrap="auto" w:hAnchor="page" w:xAlign="center" w:yAlign="bottom"/>
      <w:ind w:left="2880" w:firstLine="0"/>
    </w:pPr>
    <w:rPr>
      <w:rFonts w:ascii="Arial" w:hAnsi="Arial"/>
      <w:kern w:val="22"/>
      <w:sz w:val="24"/>
    </w:rPr>
  </w:style>
  <w:style w:type="numbering" w:styleId="Cikkelyrsz">
    <w:name w:val="Outline List 3"/>
    <w:basedOn w:val="Nemlista"/>
    <w:semiHidden/>
    <w:rsid w:val="00011C3B"/>
    <w:pPr>
      <w:numPr>
        <w:numId w:val="41"/>
      </w:numPr>
    </w:pPr>
  </w:style>
  <w:style w:type="table" w:styleId="Egyszertblzat1">
    <w:name w:val="Table Simple 1"/>
    <w:basedOn w:val="Normltblzat"/>
    <w:semiHidden/>
    <w:rsid w:val="00011C3B"/>
    <w:pPr>
      <w:suppressAutoHyphens/>
      <w:spacing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3">
    <w:name w:val="Table Simple 3"/>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nstblzat">
    <w:name w:val="Table Elegant"/>
    <w:basedOn w:val="Normltblzat"/>
    <w:semiHidden/>
    <w:rsid w:val="00011C3B"/>
    <w:pPr>
      <w:suppressAutoHyphens/>
      <w:spacing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eladcmebortkon">
    <w:name w:val="envelope return"/>
    <w:basedOn w:val="Norml"/>
    <w:semiHidden/>
    <w:rsid w:val="00011C3B"/>
    <w:pPr>
      <w:ind w:firstLine="0"/>
    </w:pPr>
    <w:rPr>
      <w:rFonts w:ascii="Arial" w:hAnsi="Arial"/>
      <w:kern w:val="22"/>
      <w:sz w:val="20"/>
      <w:szCs w:val="20"/>
    </w:rPr>
  </w:style>
  <w:style w:type="paragraph" w:styleId="Felsorols3">
    <w:name w:val="List Bullet 3"/>
    <w:basedOn w:val="Norml"/>
    <w:semiHidden/>
    <w:rsid w:val="00011C3B"/>
    <w:pPr>
      <w:numPr>
        <w:numId w:val="37"/>
      </w:numPr>
    </w:pPr>
    <w:rPr>
      <w:kern w:val="22"/>
    </w:rPr>
  </w:style>
  <w:style w:type="paragraph" w:styleId="Felsorols5">
    <w:name w:val="List Bullet 5"/>
    <w:basedOn w:val="Norml"/>
    <w:semiHidden/>
    <w:rsid w:val="00011C3B"/>
    <w:pPr>
      <w:numPr>
        <w:numId w:val="38"/>
      </w:numPr>
    </w:pPr>
    <w:rPr>
      <w:kern w:val="22"/>
    </w:rPr>
  </w:style>
  <w:style w:type="table" w:styleId="Finomtblzat1">
    <w:name w:val="Table Subtle 1"/>
    <w:basedOn w:val="Normltblzat"/>
    <w:semiHidden/>
    <w:rsid w:val="00011C3B"/>
    <w:pPr>
      <w:suppressAutoHyphens/>
      <w:spacing w:after="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semiHidden/>
    <w:rsid w:val="00011C3B"/>
    <w:pPr>
      <w:suppressAutoHyphens/>
      <w:spacing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billentyzet">
    <w:name w:val="HTML Keyboard"/>
    <w:semiHidden/>
    <w:rsid w:val="00011C3B"/>
    <w:rPr>
      <w:rFonts w:ascii="Courier New" w:hAnsi="Courier New"/>
      <w:sz w:val="20"/>
      <w:szCs w:val="20"/>
    </w:rPr>
  </w:style>
  <w:style w:type="paragraph" w:styleId="HTML-cm">
    <w:name w:val="HTML Address"/>
    <w:basedOn w:val="Norml"/>
    <w:link w:val="HTML-cmChar"/>
    <w:semiHidden/>
    <w:rsid w:val="00011C3B"/>
    <w:pPr>
      <w:ind w:firstLine="0"/>
    </w:pPr>
    <w:rPr>
      <w:i/>
      <w:iCs/>
      <w:kern w:val="22"/>
    </w:rPr>
  </w:style>
  <w:style w:type="character" w:customStyle="1" w:styleId="HTML-cmChar">
    <w:name w:val="HTML-cím Char"/>
    <w:link w:val="HTML-cm"/>
    <w:semiHidden/>
    <w:rsid w:val="00011C3B"/>
    <w:rPr>
      <w:rFonts w:cs="Arial"/>
      <w:i/>
      <w:iCs/>
      <w:kern w:val="22"/>
      <w:sz w:val="22"/>
      <w:szCs w:val="24"/>
    </w:rPr>
  </w:style>
  <w:style w:type="character" w:styleId="HTML-definci">
    <w:name w:val="HTML Definition"/>
    <w:semiHidden/>
    <w:rsid w:val="00011C3B"/>
    <w:rPr>
      <w:i/>
      <w:iCs/>
    </w:rPr>
  </w:style>
  <w:style w:type="character" w:styleId="HTML-idzet">
    <w:name w:val="HTML Cite"/>
    <w:semiHidden/>
    <w:rsid w:val="00011C3B"/>
    <w:rPr>
      <w:i/>
      <w:iCs/>
    </w:rPr>
  </w:style>
  <w:style w:type="character" w:styleId="HTML-rgp">
    <w:name w:val="HTML Typewriter"/>
    <w:semiHidden/>
    <w:rsid w:val="00011C3B"/>
    <w:rPr>
      <w:rFonts w:ascii="Courier New" w:hAnsi="Courier New"/>
      <w:sz w:val="20"/>
      <w:szCs w:val="20"/>
    </w:rPr>
  </w:style>
  <w:style w:type="paragraph" w:styleId="HTML-kntformzott">
    <w:name w:val="HTML Preformatted"/>
    <w:basedOn w:val="Norml"/>
    <w:link w:val="HTML-kntformzottChar"/>
    <w:semiHidden/>
    <w:rsid w:val="00011C3B"/>
    <w:pPr>
      <w:ind w:firstLine="0"/>
    </w:pPr>
    <w:rPr>
      <w:rFonts w:ascii="Courier New" w:hAnsi="Courier New"/>
      <w:kern w:val="22"/>
      <w:sz w:val="20"/>
      <w:szCs w:val="20"/>
    </w:rPr>
  </w:style>
  <w:style w:type="character" w:customStyle="1" w:styleId="HTML-kntformzottChar">
    <w:name w:val="HTML-ként formázott Char"/>
    <w:link w:val="HTML-kntformzott"/>
    <w:semiHidden/>
    <w:rsid w:val="00011C3B"/>
    <w:rPr>
      <w:rFonts w:ascii="Courier New" w:hAnsi="Courier New" w:cs="Arial"/>
      <w:kern w:val="22"/>
    </w:rPr>
  </w:style>
  <w:style w:type="character" w:styleId="HTML-kd">
    <w:name w:val="HTML Code"/>
    <w:semiHidden/>
    <w:rsid w:val="00011C3B"/>
    <w:rPr>
      <w:rFonts w:ascii="Courier New" w:hAnsi="Courier New"/>
      <w:sz w:val="20"/>
      <w:szCs w:val="20"/>
    </w:rPr>
  </w:style>
  <w:style w:type="character" w:styleId="HTML-minta">
    <w:name w:val="HTML Sample"/>
    <w:semiHidden/>
    <w:rsid w:val="00011C3B"/>
    <w:rPr>
      <w:rFonts w:ascii="Courier New" w:hAnsi="Courier New"/>
    </w:rPr>
  </w:style>
  <w:style w:type="character" w:styleId="HTML-mozaiksz">
    <w:name w:val="HTML Acronym"/>
    <w:semiHidden/>
    <w:rsid w:val="00011C3B"/>
  </w:style>
  <w:style w:type="character" w:styleId="HTML-vltoz">
    <w:name w:val="HTML Variable"/>
    <w:semiHidden/>
    <w:rsid w:val="00011C3B"/>
    <w:rPr>
      <w:i/>
      <w:iCs/>
    </w:rPr>
  </w:style>
  <w:style w:type="table" w:styleId="Klasszikustblzat1">
    <w:name w:val="Table Classic 1"/>
    <w:basedOn w:val="Normltblzat"/>
    <w:semiHidden/>
    <w:rsid w:val="00011C3B"/>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semiHidden/>
    <w:rsid w:val="00011C3B"/>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semiHidden/>
    <w:rsid w:val="00011C3B"/>
    <w:pPr>
      <w:suppressAutoHyphens/>
      <w:spacing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semiHidden/>
    <w:rsid w:val="00011C3B"/>
    <w:pPr>
      <w:suppressAutoHyphens/>
      <w:spacing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a3">
    <w:name w:val="List 3"/>
    <w:basedOn w:val="Norml"/>
    <w:semiHidden/>
    <w:rsid w:val="00011C3B"/>
    <w:pPr>
      <w:ind w:left="849" w:hanging="283"/>
    </w:pPr>
    <w:rPr>
      <w:kern w:val="22"/>
    </w:rPr>
  </w:style>
  <w:style w:type="paragraph" w:styleId="Lista4">
    <w:name w:val="List 4"/>
    <w:basedOn w:val="Norml"/>
    <w:semiHidden/>
    <w:rsid w:val="00011C3B"/>
    <w:pPr>
      <w:ind w:left="1132" w:hanging="283"/>
    </w:pPr>
    <w:rPr>
      <w:kern w:val="22"/>
    </w:rPr>
  </w:style>
  <w:style w:type="paragraph" w:styleId="Lista5">
    <w:name w:val="List 5"/>
    <w:basedOn w:val="Norml"/>
    <w:semiHidden/>
    <w:rsid w:val="00011C3B"/>
    <w:pPr>
      <w:ind w:left="1415" w:hanging="283"/>
    </w:pPr>
    <w:rPr>
      <w:kern w:val="22"/>
    </w:rPr>
  </w:style>
  <w:style w:type="paragraph" w:styleId="Listafolytatsa">
    <w:name w:val="List Continue"/>
    <w:basedOn w:val="Norml"/>
    <w:semiHidden/>
    <w:rsid w:val="00011C3B"/>
    <w:pPr>
      <w:ind w:left="283" w:firstLine="0"/>
    </w:pPr>
    <w:rPr>
      <w:kern w:val="22"/>
    </w:rPr>
  </w:style>
  <w:style w:type="paragraph" w:styleId="Listafolytatsa2">
    <w:name w:val="List Continue 2"/>
    <w:basedOn w:val="Norml"/>
    <w:semiHidden/>
    <w:rsid w:val="00011C3B"/>
    <w:pPr>
      <w:ind w:left="566" w:firstLine="0"/>
    </w:pPr>
    <w:rPr>
      <w:kern w:val="22"/>
    </w:rPr>
  </w:style>
  <w:style w:type="paragraph" w:styleId="Listafolytatsa3">
    <w:name w:val="List Continue 3"/>
    <w:basedOn w:val="Norml"/>
    <w:semiHidden/>
    <w:rsid w:val="00011C3B"/>
    <w:pPr>
      <w:ind w:left="849" w:firstLine="0"/>
    </w:pPr>
    <w:rPr>
      <w:kern w:val="22"/>
    </w:rPr>
  </w:style>
  <w:style w:type="paragraph" w:styleId="Listafolytatsa4">
    <w:name w:val="List Continue 4"/>
    <w:basedOn w:val="Norml"/>
    <w:semiHidden/>
    <w:rsid w:val="00011C3B"/>
    <w:pPr>
      <w:ind w:left="1132" w:firstLine="0"/>
    </w:pPr>
    <w:rPr>
      <w:kern w:val="22"/>
    </w:rPr>
  </w:style>
  <w:style w:type="paragraph" w:styleId="Listafolytatsa5">
    <w:name w:val="List Continue 5"/>
    <w:basedOn w:val="Norml"/>
    <w:semiHidden/>
    <w:rsid w:val="00011C3B"/>
    <w:pPr>
      <w:ind w:left="1415" w:firstLine="0"/>
    </w:pPr>
    <w:rPr>
      <w:kern w:val="22"/>
    </w:rPr>
  </w:style>
  <w:style w:type="table" w:styleId="Listaszertblzat1">
    <w:name w:val="Table List 1"/>
    <w:basedOn w:val="Normltblzat"/>
    <w:semiHidden/>
    <w:rsid w:val="00011C3B"/>
    <w:pPr>
      <w:suppressAutoHyphens/>
      <w:spacing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semiHidden/>
    <w:rsid w:val="00011C3B"/>
    <w:pPr>
      <w:suppressAutoHyphens/>
      <w:spacing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semiHidden/>
    <w:rsid w:val="00011C3B"/>
    <w:pPr>
      <w:suppressAutoHyphens/>
      <w:spacing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semiHidden/>
    <w:rsid w:val="00011C3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semiHidden/>
    <w:rsid w:val="00011C3B"/>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semiHidden/>
    <w:rsid w:val="00011C3B"/>
    <w:pPr>
      <w:suppressAutoHyphens/>
      <w:spacing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semiHidden/>
    <w:rsid w:val="00011C3B"/>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Megjegyzsfej">
    <w:name w:val="Note Heading"/>
    <w:basedOn w:val="Norml"/>
    <w:next w:val="Norml"/>
    <w:link w:val="MegjegyzsfejChar"/>
    <w:semiHidden/>
    <w:rsid w:val="00011C3B"/>
    <w:pPr>
      <w:ind w:firstLine="0"/>
    </w:pPr>
    <w:rPr>
      <w:kern w:val="22"/>
    </w:rPr>
  </w:style>
  <w:style w:type="character" w:customStyle="1" w:styleId="MegjegyzsfejChar">
    <w:name w:val="Megjegyzésfej Char"/>
    <w:link w:val="Megjegyzsfej"/>
    <w:semiHidden/>
    <w:rsid w:val="00011C3B"/>
    <w:rPr>
      <w:rFonts w:cs="Arial"/>
      <w:kern w:val="22"/>
      <w:sz w:val="22"/>
      <w:szCs w:val="24"/>
    </w:rPr>
  </w:style>
  <w:style w:type="table" w:styleId="Moderntblzat">
    <w:name w:val="Table Contemporary"/>
    <w:basedOn w:val="Normltblzat"/>
    <w:semiHidden/>
    <w:rsid w:val="00011C3B"/>
    <w:pPr>
      <w:suppressAutoHyphens/>
      <w:spacing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Oszlopostblzat1">
    <w:name w:val="Table Columns 1"/>
    <w:basedOn w:val="Normltblzat"/>
    <w:semiHidden/>
    <w:rsid w:val="00011C3B"/>
    <w:pPr>
      <w:suppressAutoHyphens/>
      <w:spacing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2">
    <w:name w:val="Table Columns 2"/>
    <w:basedOn w:val="Normltblzat"/>
    <w:semiHidden/>
    <w:rsid w:val="00011C3B"/>
    <w:pPr>
      <w:suppressAutoHyphens/>
      <w:spacing w:after="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3">
    <w:name w:val="Table Columns 3"/>
    <w:basedOn w:val="Normltblzat"/>
    <w:semiHidden/>
    <w:rsid w:val="00011C3B"/>
    <w:pPr>
      <w:suppressAutoHyphens/>
      <w:spacing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szlopostblzat4">
    <w:name w:val="Table Columns 4"/>
    <w:basedOn w:val="Normltblzat"/>
    <w:semiHidden/>
    <w:rsid w:val="00011C3B"/>
    <w:pPr>
      <w:suppressAutoHyphens/>
      <w:spacing w:after="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Oszlopostblzat5">
    <w:name w:val="Table Columns 5"/>
    <w:basedOn w:val="Normltblzat"/>
    <w:semiHidden/>
    <w:rsid w:val="00011C3B"/>
    <w:pPr>
      <w:suppressAutoHyphens/>
      <w:spacing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Profitblzat">
    <w:name w:val="Table Professional"/>
    <w:basedOn w:val="Normltblzat"/>
    <w:semiHidden/>
    <w:rsid w:val="00011C3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csostblzat1">
    <w:name w:val="Table Grid 1"/>
    <w:basedOn w:val="Normltblzat"/>
    <w:semiHidden/>
    <w:rsid w:val="00011C3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
    <w:name w:val="Table Grid 2"/>
    <w:basedOn w:val="Normltblzat"/>
    <w:semiHidden/>
    <w:rsid w:val="00011C3B"/>
    <w:pPr>
      <w:suppressAutoHyphens/>
      <w:spacing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
    <w:name w:val="Table Grid 3"/>
    <w:basedOn w:val="Normltblzat"/>
    <w:semiHidden/>
    <w:rsid w:val="00011C3B"/>
    <w:pPr>
      <w:suppressAutoHyphens/>
      <w:spacing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
    <w:name w:val="Table Grid 4"/>
    <w:basedOn w:val="Normltblzat"/>
    <w:semiHidden/>
    <w:rsid w:val="00011C3B"/>
    <w:pPr>
      <w:suppressAutoHyphens/>
      <w:spacing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semiHidden/>
    <w:rsid w:val="00011C3B"/>
    <w:pPr>
      <w:suppressAutoHyphens/>
      <w:spacing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semiHidden/>
    <w:rsid w:val="00011C3B"/>
    <w:pPr>
      <w:suppressAutoHyphens/>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orszma">
    <w:name w:val="line number"/>
    <w:semiHidden/>
    <w:rsid w:val="00011C3B"/>
  </w:style>
  <w:style w:type="paragraph" w:styleId="Szmozottlista2">
    <w:name w:val="List Number 2"/>
    <w:basedOn w:val="Norml"/>
    <w:semiHidden/>
    <w:rsid w:val="00011C3B"/>
    <w:pPr>
      <w:numPr>
        <w:numId w:val="42"/>
      </w:numPr>
    </w:pPr>
    <w:rPr>
      <w:kern w:val="22"/>
    </w:rPr>
  </w:style>
  <w:style w:type="paragraph" w:styleId="Szmozottlista3">
    <w:name w:val="List Number 3"/>
    <w:basedOn w:val="Norml"/>
    <w:semiHidden/>
    <w:rsid w:val="00011C3B"/>
    <w:pPr>
      <w:numPr>
        <w:numId w:val="43"/>
      </w:numPr>
    </w:pPr>
    <w:rPr>
      <w:kern w:val="22"/>
    </w:rPr>
  </w:style>
  <w:style w:type="paragraph" w:styleId="Szvegblokk">
    <w:name w:val="Block Text"/>
    <w:basedOn w:val="Norml"/>
    <w:semiHidden/>
    <w:rsid w:val="00011C3B"/>
    <w:pPr>
      <w:ind w:left="1440" w:right="1440" w:firstLine="0"/>
    </w:pPr>
    <w:rPr>
      <w:kern w:val="22"/>
    </w:rPr>
  </w:style>
  <w:style w:type="paragraph" w:styleId="Szvegtrzselssora">
    <w:name w:val="Body Text First Indent"/>
    <w:basedOn w:val="Szvegtrzs"/>
    <w:link w:val="SzvegtrzselssoraChar"/>
    <w:semiHidden/>
    <w:rsid w:val="00011C3B"/>
    <w:pPr>
      <w:ind w:firstLine="210"/>
    </w:pPr>
    <w:rPr>
      <w:kern w:val="22"/>
    </w:rPr>
  </w:style>
  <w:style w:type="character" w:customStyle="1" w:styleId="SzvegtrzselssoraChar">
    <w:name w:val="Szövegtörzs első sora Char"/>
    <w:link w:val="Szvegtrzselssora"/>
    <w:semiHidden/>
    <w:rsid w:val="00011C3B"/>
    <w:rPr>
      <w:rFonts w:eastAsia="Lucida Sans Unicode" w:cs="Arial"/>
      <w:kern w:val="22"/>
      <w:sz w:val="22"/>
      <w:szCs w:val="24"/>
      <w:lang w:val="en-US"/>
    </w:rPr>
  </w:style>
  <w:style w:type="paragraph" w:styleId="Szvegtrzselssora2">
    <w:name w:val="Body Text First Indent 2"/>
    <w:basedOn w:val="Norml"/>
    <w:link w:val="Szvegtrzselssora2Char"/>
    <w:semiHidden/>
    <w:rsid w:val="00BD037E"/>
    <w:pPr>
      <w:ind w:left="283" w:firstLine="210"/>
    </w:pPr>
    <w:rPr>
      <w:kern w:val="22"/>
    </w:rPr>
  </w:style>
  <w:style w:type="character" w:customStyle="1" w:styleId="Szvegtrzselssora2Char">
    <w:name w:val="Szövegtörzs első sora 2 Char"/>
    <w:link w:val="Szvegtrzselssora2"/>
    <w:semiHidden/>
    <w:rsid w:val="00011C3B"/>
    <w:rPr>
      <w:rFonts w:eastAsia="Times New Roman" w:cs="Arial"/>
      <w:snapToGrid/>
      <w:kern w:val="22"/>
      <w:sz w:val="22"/>
      <w:szCs w:val="24"/>
      <w:lang w:val="en-GB"/>
    </w:rPr>
  </w:style>
  <w:style w:type="table" w:styleId="Tarkatblzat1">
    <w:name w:val="Table Colorful 1"/>
    <w:basedOn w:val="Normltblzat"/>
    <w:semiHidden/>
    <w:rsid w:val="00011C3B"/>
    <w:pPr>
      <w:suppressAutoHyphens/>
      <w:spacing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semiHidden/>
    <w:rsid w:val="00011C3B"/>
    <w:pPr>
      <w:suppressAutoHyphens/>
      <w:spacing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semiHidden/>
    <w:rsid w:val="00011C3B"/>
    <w:pPr>
      <w:suppressAutoHyphens/>
      <w:spacing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mrapltblzat">
    <w:name w:val="Table Theme"/>
    <w:basedOn w:val="Normltblzat"/>
    <w:semiHidden/>
    <w:rsid w:val="00011C3B"/>
    <w:pPr>
      <w:suppressAutoHyphens/>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hatstblzat1">
    <w:name w:val="Table 3D effects 1"/>
    <w:basedOn w:val="Normltblzat"/>
    <w:semiHidden/>
    <w:rsid w:val="00011C3B"/>
    <w:pPr>
      <w:suppressAutoHyphens/>
      <w:spacing w:after="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semiHidden/>
    <w:rsid w:val="00011C3B"/>
    <w:pPr>
      <w:suppressAutoHyphens/>
      <w:spacing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semiHidden/>
    <w:rsid w:val="00011C3B"/>
    <w:pPr>
      <w:suppressAutoHyphens/>
      <w:spacing w:after="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enetfej">
    <w:name w:val="Message Header"/>
    <w:basedOn w:val="Norml"/>
    <w:link w:val="zenetfejChar"/>
    <w:semiHidden/>
    <w:rsid w:val="00011C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kern w:val="22"/>
      <w:sz w:val="24"/>
    </w:rPr>
  </w:style>
  <w:style w:type="character" w:customStyle="1" w:styleId="zenetfejChar">
    <w:name w:val="Üzenetfej Char"/>
    <w:link w:val="zenetfej"/>
    <w:semiHidden/>
    <w:rsid w:val="00011C3B"/>
    <w:rPr>
      <w:rFonts w:ascii="Arial" w:hAnsi="Arial" w:cs="Arial"/>
      <w:kern w:val="22"/>
      <w:sz w:val="24"/>
      <w:szCs w:val="24"/>
      <w:shd w:val="pct20" w:color="auto" w:fill="auto"/>
    </w:rPr>
  </w:style>
  <w:style w:type="table" w:styleId="Webestblzat1">
    <w:name w:val="Table Web 1"/>
    <w:basedOn w:val="Normltblzat"/>
    <w:semiHidden/>
    <w:rsid w:val="00011C3B"/>
    <w:pPr>
      <w:suppressAutoHyphens/>
      <w:spacing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semiHidden/>
    <w:rsid w:val="00011C3B"/>
    <w:pPr>
      <w:suppressAutoHyphens/>
      <w:spacing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semiHidden/>
    <w:rsid w:val="00011C3B"/>
    <w:pPr>
      <w:suppressAutoHyphens/>
      <w:spacing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l2">
    <w:name w:val="Normál2"/>
    <w:basedOn w:val="Bekezds"/>
    <w:autoRedefine/>
    <w:semiHidden/>
    <w:rsid w:val="00011C3B"/>
    <w:pPr>
      <w:spacing w:before="0"/>
      <w:ind w:firstLine="0"/>
    </w:pPr>
    <w:rPr>
      <w:sz w:val="24"/>
      <w:szCs w:val="24"/>
    </w:rPr>
  </w:style>
  <w:style w:type="character" w:customStyle="1" w:styleId="BalloonTextChar1">
    <w:name w:val="Balloon Text Char1"/>
    <w:locked/>
    <w:rsid w:val="00011C3B"/>
    <w:rPr>
      <w:rFonts w:ascii="Tahoma" w:hAnsi="Tahoma" w:cs="Tahoma"/>
      <w:kern w:val="1"/>
      <w:sz w:val="16"/>
      <w:szCs w:val="16"/>
    </w:rPr>
  </w:style>
  <w:style w:type="paragraph" w:customStyle="1" w:styleId="body0020text">
    <w:name w:val="body_0020text"/>
    <w:basedOn w:val="Norml"/>
    <w:rsid w:val="007928C3"/>
    <w:pPr>
      <w:suppressAutoHyphens w:val="0"/>
      <w:spacing w:before="100" w:beforeAutospacing="1" w:after="100" w:afterAutospacing="1"/>
      <w:ind w:firstLine="0"/>
      <w:jc w:val="left"/>
    </w:pPr>
    <w:rPr>
      <w:rFonts w:eastAsia="Times New Roman" w:cs="Times New Roman"/>
      <w:kern w:val="0"/>
      <w:sz w:val="24"/>
    </w:rPr>
  </w:style>
  <w:style w:type="paragraph" w:customStyle="1" w:styleId="xxs5">
    <w:name w:val="x_x_s5"/>
    <w:basedOn w:val="Norml"/>
    <w:uiPriority w:val="99"/>
    <w:rsid w:val="007928C3"/>
    <w:pPr>
      <w:suppressAutoHyphens w:val="0"/>
      <w:spacing w:before="100" w:beforeAutospacing="1" w:after="100" w:afterAutospacing="1"/>
      <w:ind w:firstLine="0"/>
      <w:jc w:val="left"/>
    </w:pPr>
    <w:rPr>
      <w:rFonts w:eastAsia="Times New Roman" w:cs="Times New Roman"/>
      <w:kern w:val="0"/>
      <w:sz w:val="24"/>
    </w:rPr>
  </w:style>
  <w:style w:type="paragraph" w:customStyle="1" w:styleId="Textbody">
    <w:name w:val="Text body"/>
    <w:basedOn w:val="Norml"/>
    <w:uiPriority w:val="99"/>
    <w:rsid w:val="007928C3"/>
    <w:pPr>
      <w:widowControl w:val="0"/>
      <w:autoSpaceDN w:val="0"/>
      <w:ind w:firstLine="0"/>
      <w:jc w:val="left"/>
      <w:textAlignment w:val="baseline"/>
    </w:pPr>
    <w:rPr>
      <w:rFonts w:eastAsia="Times New Roman" w:cs="Tahoma"/>
      <w:kern w:val="3"/>
      <w:sz w:val="24"/>
    </w:rPr>
  </w:style>
  <w:style w:type="paragraph" w:customStyle="1" w:styleId="xl85">
    <w:name w:val="xl85"/>
    <w:basedOn w:val="Norml"/>
    <w:rsid w:val="00CF7C1C"/>
    <w:pPr>
      <w:pBdr>
        <w:top w:val="single" w:sz="4" w:space="0" w:color="auto"/>
        <w:bottom w:val="single" w:sz="4"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86">
    <w:name w:val="xl86"/>
    <w:basedOn w:val="Norml"/>
    <w:rsid w:val="00CF7C1C"/>
    <w:pPr>
      <w:pBdr>
        <w:top w:val="single" w:sz="4"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87">
    <w:name w:val="xl87"/>
    <w:basedOn w:val="Norml"/>
    <w:rsid w:val="00CF7C1C"/>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88">
    <w:name w:val="xl88"/>
    <w:basedOn w:val="Norml"/>
    <w:rsid w:val="00CF7C1C"/>
    <w:pPr>
      <w:pBdr>
        <w:top w:val="single" w:sz="8" w:space="0" w:color="auto"/>
        <w:left w:val="single" w:sz="8" w:space="0" w:color="auto"/>
        <w:bottom w:val="single" w:sz="8" w:space="0" w:color="auto"/>
        <w:right w:val="single" w:sz="4" w:space="0" w:color="auto"/>
      </w:pBdr>
      <w:shd w:val="clear" w:color="000000" w:fill="CCCCFF"/>
      <w:suppressAutoHyphens w:val="0"/>
      <w:spacing w:before="100" w:beforeAutospacing="1" w:after="100" w:afterAutospacing="1"/>
      <w:ind w:firstLine="0"/>
      <w:jc w:val="right"/>
      <w:textAlignment w:val="center"/>
    </w:pPr>
    <w:rPr>
      <w:rFonts w:eastAsia="Times New Roman" w:cs="Times New Roman"/>
      <w:b/>
      <w:bCs/>
      <w:color w:val="000000"/>
      <w:kern w:val="0"/>
      <w:sz w:val="12"/>
      <w:szCs w:val="12"/>
    </w:rPr>
  </w:style>
  <w:style w:type="paragraph" w:customStyle="1" w:styleId="xl89">
    <w:name w:val="xl89"/>
    <w:basedOn w:val="Norml"/>
    <w:rsid w:val="00CF7C1C"/>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ind w:firstLine="0"/>
      <w:jc w:val="right"/>
      <w:textAlignment w:val="center"/>
    </w:pPr>
    <w:rPr>
      <w:rFonts w:eastAsia="Times New Roman" w:cs="Times New Roman"/>
      <w:kern w:val="0"/>
      <w:sz w:val="12"/>
      <w:szCs w:val="12"/>
    </w:rPr>
  </w:style>
  <w:style w:type="paragraph" w:customStyle="1" w:styleId="xl90">
    <w:name w:val="xl90"/>
    <w:basedOn w:val="Norml"/>
    <w:rsid w:val="00CF7C1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right"/>
      <w:textAlignment w:val="center"/>
    </w:pPr>
    <w:rPr>
      <w:rFonts w:eastAsia="Times New Roman" w:cs="Times New Roman"/>
      <w:kern w:val="0"/>
      <w:sz w:val="12"/>
      <w:szCs w:val="12"/>
    </w:rPr>
  </w:style>
  <w:style w:type="paragraph" w:customStyle="1" w:styleId="xl91">
    <w:name w:val="xl91"/>
    <w:basedOn w:val="Norml"/>
    <w:rsid w:val="00CF7C1C"/>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2">
    <w:name w:val="xl92"/>
    <w:basedOn w:val="Norml"/>
    <w:rsid w:val="00CF7C1C"/>
    <w:pPr>
      <w:pBdr>
        <w:top w:val="single" w:sz="4" w:space="0" w:color="auto"/>
        <w:left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3">
    <w:name w:val="xl93"/>
    <w:basedOn w:val="Norml"/>
    <w:rsid w:val="00CF7C1C"/>
    <w:pPr>
      <w:pBdr>
        <w:top w:val="single" w:sz="4"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94">
    <w:name w:val="xl94"/>
    <w:basedOn w:val="Norml"/>
    <w:rsid w:val="00CF7C1C"/>
    <w:pPr>
      <w:pBdr>
        <w:top w:val="single" w:sz="4"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5">
    <w:name w:val="xl95"/>
    <w:basedOn w:val="Norml"/>
    <w:rsid w:val="00CF7C1C"/>
    <w:pPr>
      <w:pBdr>
        <w:top w:val="single" w:sz="4"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6">
    <w:name w:val="xl96"/>
    <w:basedOn w:val="Norml"/>
    <w:rsid w:val="00CF7C1C"/>
    <w:pPr>
      <w:pBdr>
        <w:top w:val="single" w:sz="8" w:space="0" w:color="auto"/>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7">
    <w:name w:val="xl97"/>
    <w:basedOn w:val="Norml"/>
    <w:rsid w:val="00CF7C1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8">
    <w:name w:val="xl98"/>
    <w:basedOn w:val="Norml"/>
    <w:rsid w:val="00CF7C1C"/>
    <w:pPr>
      <w:pBdr>
        <w:top w:val="single" w:sz="8" w:space="0" w:color="auto"/>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99">
    <w:name w:val="xl99"/>
    <w:basedOn w:val="Norml"/>
    <w:rsid w:val="00CF7C1C"/>
    <w:pPr>
      <w:pBdr>
        <w:top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0">
    <w:name w:val="xl100"/>
    <w:basedOn w:val="Norml"/>
    <w:rsid w:val="00CF7C1C"/>
    <w:pPr>
      <w:pBdr>
        <w:top w:val="single" w:sz="4"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1">
    <w:name w:val="xl101"/>
    <w:basedOn w:val="Norml"/>
    <w:rsid w:val="00CF7C1C"/>
    <w:pPr>
      <w:pBdr>
        <w:top w:val="single" w:sz="4" w:space="0" w:color="auto"/>
        <w:bottom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2">
    <w:name w:val="xl102"/>
    <w:basedOn w:val="Norml"/>
    <w:rsid w:val="00CF7C1C"/>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3">
    <w:name w:val="xl103"/>
    <w:basedOn w:val="Norml"/>
    <w:rsid w:val="00CF7C1C"/>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4">
    <w:name w:val="xl104"/>
    <w:basedOn w:val="Norml"/>
    <w:rsid w:val="00CF7C1C"/>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ind w:firstLine="0"/>
      <w:jc w:val="right"/>
      <w:textAlignment w:val="center"/>
    </w:pPr>
    <w:rPr>
      <w:rFonts w:eastAsia="Times New Roman" w:cs="Times New Roman"/>
      <w:b/>
      <w:bCs/>
      <w:kern w:val="0"/>
      <w:sz w:val="12"/>
      <w:szCs w:val="12"/>
    </w:rPr>
  </w:style>
  <w:style w:type="paragraph" w:customStyle="1" w:styleId="xl105">
    <w:name w:val="xl105"/>
    <w:basedOn w:val="Norml"/>
    <w:rsid w:val="00CF7C1C"/>
    <w:pP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6">
    <w:name w:val="xl106"/>
    <w:basedOn w:val="Norml"/>
    <w:rsid w:val="00CF7C1C"/>
    <w:pPr>
      <w:pBdr>
        <w:top w:val="single" w:sz="8" w:space="0" w:color="auto"/>
        <w:left w:val="single" w:sz="8" w:space="0" w:color="auto"/>
        <w:bottom w:val="single" w:sz="8" w:space="0" w:color="auto"/>
        <w:right w:val="single" w:sz="4" w:space="0" w:color="auto"/>
      </w:pBdr>
      <w:shd w:val="clear" w:color="000000" w:fill="CCCCFF"/>
      <w:suppressAutoHyphens w:val="0"/>
      <w:spacing w:before="100" w:beforeAutospacing="1" w:after="100" w:afterAutospacing="1"/>
      <w:ind w:firstLine="0"/>
      <w:jc w:val="left"/>
      <w:textAlignment w:val="center"/>
    </w:pPr>
    <w:rPr>
      <w:rFonts w:eastAsia="Times New Roman" w:cs="Times New Roman"/>
      <w:b/>
      <w:bCs/>
      <w:color w:val="000000"/>
      <w:kern w:val="0"/>
      <w:sz w:val="12"/>
      <w:szCs w:val="12"/>
    </w:rPr>
  </w:style>
  <w:style w:type="paragraph" w:customStyle="1" w:styleId="xl107">
    <w:name w:val="xl107"/>
    <w:basedOn w:val="Norml"/>
    <w:rsid w:val="00CF7C1C"/>
    <w:pPr>
      <w:pBdr>
        <w:top w:val="single" w:sz="8" w:space="0" w:color="auto"/>
        <w:bottom w:val="single" w:sz="8" w:space="0" w:color="auto"/>
      </w:pBdr>
      <w:shd w:val="clear" w:color="000000" w:fill="CCCCFF"/>
      <w:suppressAutoHyphens w:val="0"/>
      <w:spacing w:before="100" w:beforeAutospacing="1" w:after="100" w:afterAutospacing="1"/>
      <w:ind w:firstLine="0"/>
      <w:jc w:val="left"/>
      <w:textAlignment w:val="center"/>
    </w:pPr>
    <w:rPr>
      <w:rFonts w:eastAsia="Times New Roman" w:cs="Times New Roman"/>
      <w:b/>
      <w:bCs/>
      <w:color w:val="000000"/>
      <w:kern w:val="0"/>
      <w:sz w:val="12"/>
      <w:szCs w:val="12"/>
    </w:rPr>
  </w:style>
  <w:style w:type="paragraph" w:customStyle="1" w:styleId="xl108">
    <w:name w:val="xl108"/>
    <w:basedOn w:val="Norml"/>
    <w:rsid w:val="00CF7C1C"/>
    <w:pPr>
      <w:pBdr>
        <w:top w:val="single" w:sz="8" w:space="0" w:color="auto"/>
        <w:left w:val="single" w:sz="4" w:space="0" w:color="auto"/>
        <w:bottom w:val="single" w:sz="8" w:space="0" w:color="auto"/>
      </w:pBdr>
      <w:shd w:val="clear" w:color="000000" w:fill="CCCCFF"/>
      <w:suppressAutoHyphens w:val="0"/>
      <w:spacing w:before="100" w:beforeAutospacing="1" w:after="100" w:afterAutospacing="1"/>
      <w:ind w:firstLine="0"/>
      <w:jc w:val="left"/>
      <w:textAlignment w:val="center"/>
    </w:pPr>
    <w:rPr>
      <w:rFonts w:eastAsia="Times New Roman" w:cs="Times New Roman"/>
      <w:b/>
      <w:bCs/>
      <w:color w:val="000000"/>
      <w:kern w:val="0"/>
      <w:sz w:val="12"/>
      <w:szCs w:val="12"/>
    </w:rPr>
  </w:style>
  <w:style w:type="paragraph" w:customStyle="1" w:styleId="xl109">
    <w:name w:val="xl109"/>
    <w:basedOn w:val="Norml"/>
    <w:rsid w:val="00CF7C1C"/>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ind w:firstLine="0"/>
      <w:jc w:val="left"/>
      <w:textAlignment w:val="center"/>
    </w:pPr>
    <w:rPr>
      <w:rFonts w:eastAsia="Times New Roman" w:cs="Times New Roman"/>
      <w:b/>
      <w:bCs/>
      <w:kern w:val="0"/>
      <w:sz w:val="12"/>
      <w:szCs w:val="12"/>
    </w:rPr>
  </w:style>
  <w:style w:type="paragraph" w:customStyle="1" w:styleId="xl110">
    <w:name w:val="xl110"/>
    <w:basedOn w:val="Norml"/>
    <w:rsid w:val="00CF7C1C"/>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ind w:firstLine="0"/>
      <w:jc w:val="left"/>
      <w:textAlignment w:val="center"/>
    </w:pPr>
    <w:rPr>
      <w:rFonts w:eastAsia="Times New Roman" w:cs="Times New Roman"/>
      <w:b/>
      <w:bCs/>
      <w:kern w:val="0"/>
      <w:sz w:val="12"/>
      <w:szCs w:val="12"/>
    </w:rPr>
  </w:style>
  <w:style w:type="paragraph" w:customStyle="1" w:styleId="xl111">
    <w:name w:val="xl111"/>
    <w:basedOn w:val="Norml"/>
    <w:rsid w:val="00CF7C1C"/>
    <w:pPr>
      <w:pBdr>
        <w:top w:val="single" w:sz="8" w:space="0" w:color="auto"/>
        <w:left w:val="single" w:sz="4" w:space="0" w:color="auto"/>
        <w:bottom w:val="single" w:sz="8" w:space="0" w:color="auto"/>
      </w:pBdr>
      <w:shd w:val="clear" w:color="000000" w:fill="C0C0C0"/>
      <w:suppressAutoHyphens w:val="0"/>
      <w:spacing w:before="100" w:beforeAutospacing="1" w:after="100" w:afterAutospacing="1"/>
      <w:ind w:firstLine="0"/>
      <w:jc w:val="left"/>
      <w:textAlignment w:val="center"/>
    </w:pPr>
    <w:rPr>
      <w:rFonts w:eastAsia="Times New Roman" w:cs="Times New Roman"/>
      <w:b/>
      <w:bCs/>
      <w:kern w:val="0"/>
      <w:sz w:val="12"/>
      <w:szCs w:val="12"/>
    </w:rPr>
  </w:style>
  <w:style w:type="paragraph" w:customStyle="1" w:styleId="xl112">
    <w:name w:val="xl112"/>
    <w:basedOn w:val="Norml"/>
    <w:rsid w:val="00CF7C1C"/>
    <w:pPr>
      <w:pBdr>
        <w:top w:val="single" w:sz="4" w:space="0" w:color="auto"/>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3">
    <w:name w:val="xl113"/>
    <w:basedOn w:val="Norml"/>
    <w:rsid w:val="00CF7C1C"/>
    <w:pPr>
      <w:pBdr>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4">
    <w:name w:val="xl114"/>
    <w:basedOn w:val="Norml"/>
    <w:rsid w:val="00CF7C1C"/>
    <w:pPr>
      <w:pBdr>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5">
    <w:name w:val="xl115"/>
    <w:basedOn w:val="Norml"/>
    <w:rsid w:val="00CF7C1C"/>
    <w:pPr>
      <w:pBdr>
        <w:top w:val="single" w:sz="4" w:space="0" w:color="auto"/>
        <w:left w:val="single" w:sz="8" w:space="0" w:color="auto"/>
        <w:right w:val="single" w:sz="8" w:space="0" w:color="auto"/>
      </w:pBdr>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6">
    <w:name w:val="xl116"/>
    <w:basedOn w:val="Norml"/>
    <w:rsid w:val="00CF7C1C"/>
    <w:pPr>
      <w:pBdr>
        <w:left w:val="single" w:sz="8" w:space="0" w:color="auto"/>
        <w:right w:val="single" w:sz="8" w:space="0" w:color="auto"/>
      </w:pBdr>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7">
    <w:name w:val="xl117"/>
    <w:basedOn w:val="Norml"/>
    <w:rsid w:val="00CF7C1C"/>
    <w:pPr>
      <w:pBdr>
        <w:left w:val="single" w:sz="8" w:space="0" w:color="auto"/>
        <w:bottom w:val="single" w:sz="4" w:space="0" w:color="auto"/>
        <w:right w:val="single" w:sz="8" w:space="0" w:color="auto"/>
      </w:pBdr>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8">
    <w:name w:val="xl118"/>
    <w:basedOn w:val="Norml"/>
    <w:rsid w:val="00CF7C1C"/>
    <w:pPr>
      <w:pBdr>
        <w:top w:val="single" w:sz="8" w:space="0" w:color="auto"/>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9">
    <w:name w:val="xl119"/>
    <w:basedOn w:val="Norml"/>
    <w:rsid w:val="00CF7C1C"/>
    <w:pPr>
      <w:pBdr>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0">
    <w:name w:val="xl120"/>
    <w:basedOn w:val="Norml"/>
    <w:rsid w:val="00CF7C1C"/>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1">
    <w:name w:val="xl121"/>
    <w:basedOn w:val="Norml"/>
    <w:rsid w:val="00CF7C1C"/>
    <w:pPr>
      <w:pBdr>
        <w:top w:val="single" w:sz="8" w:space="0" w:color="auto"/>
        <w:left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2">
    <w:name w:val="xl122"/>
    <w:basedOn w:val="Norml"/>
    <w:rsid w:val="00CF7C1C"/>
    <w:pPr>
      <w:pBdr>
        <w:left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3">
    <w:name w:val="xl123"/>
    <w:basedOn w:val="Norml"/>
    <w:rsid w:val="00CF7C1C"/>
    <w:pPr>
      <w:pBdr>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4">
    <w:name w:val="xl124"/>
    <w:basedOn w:val="Norml"/>
    <w:rsid w:val="00CF7C1C"/>
    <w:pPr>
      <w:pBdr>
        <w:top w:val="single" w:sz="8" w:space="0" w:color="auto"/>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5">
    <w:name w:val="xl125"/>
    <w:basedOn w:val="Norml"/>
    <w:rsid w:val="00CF7C1C"/>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6">
    <w:name w:val="xl126"/>
    <w:basedOn w:val="Norml"/>
    <w:rsid w:val="00CF7C1C"/>
    <w:pPr>
      <w:pBdr>
        <w:top w:val="single" w:sz="4" w:space="0" w:color="auto"/>
        <w:left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7">
    <w:name w:val="xl127"/>
    <w:basedOn w:val="Norml"/>
    <w:rsid w:val="00CF7C1C"/>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8">
    <w:name w:val="xl128"/>
    <w:basedOn w:val="Norml"/>
    <w:rsid w:val="00CF7C1C"/>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9">
    <w:name w:val="xl129"/>
    <w:basedOn w:val="Norml"/>
    <w:rsid w:val="00CF7C1C"/>
    <w:pPr>
      <w:pBdr>
        <w:left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30">
    <w:name w:val="xl130"/>
    <w:basedOn w:val="Norml"/>
    <w:rsid w:val="00CF7C1C"/>
    <w:pPr>
      <w:pBdr>
        <w:top w:val="single" w:sz="4" w:space="0" w:color="auto"/>
        <w:left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31">
    <w:name w:val="xl131"/>
    <w:basedOn w:val="Norml"/>
    <w:rsid w:val="00CF7C1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2">
    <w:name w:val="xl132"/>
    <w:basedOn w:val="Norml"/>
    <w:rsid w:val="00CF7C1C"/>
    <w:pPr>
      <w:pBdr>
        <w:top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3">
    <w:name w:val="xl133"/>
    <w:basedOn w:val="Norml"/>
    <w:rsid w:val="00CF7C1C"/>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4">
    <w:name w:val="xl134"/>
    <w:basedOn w:val="Norml"/>
    <w:rsid w:val="00CF7C1C"/>
    <w:pPr>
      <w:pBdr>
        <w:left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5">
    <w:name w:val="xl135"/>
    <w:basedOn w:val="Norml"/>
    <w:rsid w:val="00CF7C1C"/>
    <w:pPr>
      <w:pBdr>
        <w:top w:val="single" w:sz="8" w:space="0" w:color="auto"/>
        <w:left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6">
    <w:name w:val="xl136"/>
    <w:basedOn w:val="Norml"/>
    <w:rsid w:val="00CF7C1C"/>
    <w:pPr>
      <w:pBdr>
        <w:left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7">
    <w:name w:val="xl137"/>
    <w:basedOn w:val="Norml"/>
    <w:rsid w:val="00CF7C1C"/>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8">
    <w:name w:val="xl138"/>
    <w:basedOn w:val="Norml"/>
    <w:rsid w:val="00CF7C1C"/>
    <w:pPr>
      <w:pBdr>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9">
    <w:name w:val="xl139"/>
    <w:basedOn w:val="Norml"/>
    <w:rsid w:val="00CF7C1C"/>
    <w:pPr>
      <w:pBdr>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0">
    <w:name w:val="xl140"/>
    <w:basedOn w:val="Norml"/>
    <w:rsid w:val="00CF7C1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1">
    <w:name w:val="xl141"/>
    <w:basedOn w:val="Norml"/>
    <w:rsid w:val="00CF7C1C"/>
    <w:pPr>
      <w:pBdr>
        <w:top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2">
    <w:name w:val="xl142"/>
    <w:basedOn w:val="Norml"/>
    <w:rsid w:val="00CF7C1C"/>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3">
    <w:name w:val="xl143"/>
    <w:basedOn w:val="Norml"/>
    <w:rsid w:val="00CF7C1C"/>
    <w:pPr>
      <w:pBdr>
        <w:left w:val="single" w:sz="8"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4">
    <w:name w:val="xl144"/>
    <w:basedOn w:val="Norml"/>
    <w:rsid w:val="00CF7C1C"/>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5">
    <w:name w:val="xl145"/>
    <w:basedOn w:val="Norml"/>
    <w:rsid w:val="00CF7C1C"/>
    <w:pPr>
      <w:pBdr>
        <w:left w:val="single" w:sz="4" w:space="0" w:color="auto"/>
        <w:bottom w:val="single" w:sz="4"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6">
    <w:name w:val="xl146"/>
    <w:basedOn w:val="Norml"/>
    <w:rsid w:val="00CF7C1C"/>
    <w:pPr>
      <w:pBdr>
        <w:left w:val="single" w:sz="8"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7">
    <w:name w:val="xl147"/>
    <w:basedOn w:val="Norml"/>
    <w:rsid w:val="00CF7C1C"/>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8">
    <w:name w:val="xl148"/>
    <w:basedOn w:val="Norml"/>
    <w:rsid w:val="00CF7C1C"/>
    <w:pPr>
      <w:pBdr>
        <w:left w:val="single" w:sz="4" w:space="0" w:color="auto"/>
        <w:bottom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9">
    <w:name w:val="xl149"/>
    <w:basedOn w:val="Norml"/>
    <w:rsid w:val="00CF7C1C"/>
    <w:pPr>
      <w:pBdr>
        <w:left w:val="single" w:sz="8" w:space="0" w:color="auto"/>
        <w:bottom w:val="single" w:sz="4"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Normltblabal2">
    <w:name w:val="Normál.tábla.bal.2"/>
    <w:basedOn w:val="Normltblabal"/>
    <w:rsid w:val="0054518E"/>
    <w:pPr>
      <w:ind w:left="593" w:hanging="284"/>
    </w:pPr>
  </w:style>
  <w:style w:type="paragraph" w:customStyle="1" w:styleId="Normltblabal3pckkel">
    <w:name w:val="Normál.tábla.bal.3(pöcökkel)"/>
    <w:basedOn w:val="Norml"/>
    <w:rsid w:val="000B51B8"/>
    <w:pPr>
      <w:numPr>
        <w:numId w:val="36"/>
      </w:numPr>
      <w:spacing w:after="0"/>
      <w:jc w:val="left"/>
    </w:pPr>
    <w:rPr>
      <w:rFonts w:cs="Times New Roman"/>
      <w:sz w:val="20"/>
      <w:szCs w:val="20"/>
    </w:rPr>
  </w:style>
  <w:style w:type="paragraph" w:customStyle="1" w:styleId="Normltblajobb">
    <w:name w:val="Normál.tábla.jobb"/>
    <w:basedOn w:val="Norml"/>
    <w:rsid w:val="000B51B8"/>
    <w:pPr>
      <w:spacing w:after="0"/>
      <w:ind w:firstLine="0"/>
      <w:jc w:val="right"/>
    </w:pPr>
    <w:rPr>
      <w:rFonts w:cs="Times New Roman"/>
      <w:sz w:val="20"/>
      <w:szCs w:val="20"/>
      <w:lang w:val="en-GB"/>
    </w:rPr>
  </w:style>
  <w:style w:type="paragraph" w:customStyle="1" w:styleId="Normltblakzp">
    <w:name w:val="Normál.tábla.közép"/>
    <w:basedOn w:val="Normltblabal"/>
    <w:rsid w:val="00BB58EE"/>
    <w:pPr>
      <w:ind w:left="0" w:firstLine="0"/>
      <w:jc w:val="center"/>
    </w:pPr>
  </w:style>
  <w:style w:type="paragraph" w:styleId="Vltozat">
    <w:name w:val="Revision"/>
    <w:hidden/>
    <w:uiPriority w:val="99"/>
    <w:semiHidden/>
    <w:rsid w:val="00CC7190"/>
    <w:rPr>
      <w:rFonts w:cs="Arial"/>
      <w:kern w:val="1"/>
      <w:sz w:val="22"/>
      <w:szCs w:val="24"/>
    </w:rPr>
  </w:style>
  <w:style w:type="paragraph" w:customStyle="1" w:styleId="Tbla-cm">
    <w:name w:val="Tábla-cím"/>
    <w:basedOn w:val="Norml"/>
    <w:rsid w:val="006C2767"/>
    <w:pPr>
      <w:keepNext/>
      <w:spacing w:after="0"/>
      <w:ind w:firstLine="0"/>
      <w:jc w:val="center"/>
    </w:pPr>
    <w:rPr>
      <w:b/>
      <w:sz w:val="20"/>
      <w:szCs w:val="20"/>
    </w:rPr>
  </w:style>
  <w:style w:type="paragraph" w:customStyle="1" w:styleId="Tbla-bal">
    <w:name w:val="Tábla-bal"/>
    <w:basedOn w:val="Tbla-cm"/>
    <w:rsid w:val="00896E03"/>
    <w:pPr>
      <w:jc w:val="left"/>
    </w:pPr>
    <w:rPr>
      <w:b w:val="0"/>
    </w:rPr>
  </w:style>
  <w:style w:type="paragraph" w:customStyle="1" w:styleId="Tbla-kzp">
    <w:name w:val="Tábla-közép"/>
    <w:basedOn w:val="Tbla-cm"/>
    <w:rsid w:val="00234D35"/>
    <w:rPr>
      <w:b w:val="0"/>
      <w:lang w:bidi="sa-IN"/>
    </w:rPr>
  </w:style>
  <w:style w:type="paragraph" w:customStyle="1" w:styleId="Tbla-jobb">
    <w:name w:val="Tábla-jobb"/>
    <w:basedOn w:val="Tbla-bal"/>
    <w:rsid w:val="00234D35"/>
    <w:pPr>
      <w:jc w:val="right"/>
    </w:pPr>
  </w:style>
  <w:style w:type="paragraph" w:customStyle="1" w:styleId="Normllista1">
    <w:name w:val="Normál lista1"/>
    <w:basedOn w:val="Norml"/>
    <w:rsid w:val="00264DB1"/>
    <w:pPr>
      <w:ind w:left="284" w:hanging="284"/>
    </w:pPr>
  </w:style>
  <w:style w:type="paragraph" w:customStyle="1" w:styleId="j-nomlszveg">
    <w:name w:val="j- nomálszöveg"/>
    <w:basedOn w:val="Norml"/>
    <w:link w:val="j-nomlszvegChar"/>
    <w:rsid w:val="00E81CFE"/>
    <w:pPr>
      <w:suppressAutoHyphens w:val="0"/>
      <w:spacing w:before="120"/>
      <w:ind w:firstLine="0"/>
    </w:pPr>
    <w:rPr>
      <w:kern w:val="22"/>
      <w:szCs w:val="20"/>
    </w:rPr>
  </w:style>
  <w:style w:type="character" w:customStyle="1" w:styleId="j-nomlszvegChar">
    <w:name w:val="j- nomálszöveg Char"/>
    <w:link w:val="j-nomlszveg"/>
    <w:rsid w:val="00E81CFE"/>
    <w:rPr>
      <w:rFonts w:cs="Arial"/>
      <w:kern w:val="22"/>
      <w:sz w:val="22"/>
    </w:rPr>
  </w:style>
  <w:style w:type="character" w:styleId="Hiperhivatkozs">
    <w:name w:val="Hyperlink"/>
    <w:uiPriority w:val="99"/>
    <w:rsid w:val="00B921B3"/>
    <w:rPr>
      <w:color w:val="0000FF"/>
      <w:u w:val="single"/>
    </w:rPr>
  </w:style>
  <w:style w:type="paragraph" w:customStyle="1" w:styleId="j-forrs">
    <w:name w:val="j- forrás"/>
    <w:basedOn w:val="Norml"/>
    <w:rsid w:val="00B921B3"/>
    <w:pPr>
      <w:ind w:firstLine="0"/>
    </w:pPr>
    <w:rPr>
      <w:kern w:val="22"/>
      <w:sz w:val="20"/>
      <w:szCs w:val="20"/>
    </w:rPr>
  </w:style>
  <w:style w:type="paragraph" w:styleId="Megjegyzstrgya">
    <w:name w:val="annotation subject"/>
    <w:basedOn w:val="Jegyzetszveg"/>
    <w:next w:val="Jegyzetszveg"/>
    <w:link w:val="MegjegyzstrgyaChar"/>
    <w:semiHidden/>
    <w:unhideWhenUsed/>
    <w:rsid w:val="00126F94"/>
    <w:rPr>
      <w:b/>
      <w:bCs/>
    </w:rPr>
  </w:style>
  <w:style w:type="character" w:customStyle="1" w:styleId="MegjegyzstrgyaChar">
    <w:name w:val="Megjegyzés tárgya Char"/>
    <w:basedOn w:val="JegyzetszvegChar"/>
    <w:link w:val="Megjegyzstrgya"/>
    <w:semiHidden/>
    <w:rsid w:val="00126F94"/>
    <w:rPr>
      <w:rFonts w:cs="Arial"/>
      <w:b/>
      <w:bCs/>
      <w:kern w:val="1"/>
    </w:rPr>
  </w:style>
  <w:style w:type="numbering" w:customStyle="1" w:styleId="Nemlista3">
    <w:name w:val="Nem lista3"/>
    <w:next w:val="Nemlista"/>
    <w:uiPriority w:val="99"/>
    <w:semiHidden/>
    <w:unhideWhenUsed/>
    <w:rsid w:val="006E6B08"/>
  </w:style>
  <w:style w:type="paragraph" w:styleId="Cm">
    <w:name w:val="Title"/>
    <w:basedOn w:val="Norml"/>
    <w:link w:val="CmChar"/>
    <w:qFormat/>
    <w:rsid w:val="006E6B08"/>
    <w:pPr>
      <w:autoSpaceDE w:val="0"/>
      <w:autoSpaceDN w:val="0"/>
      <w:adjustRightInd w:val="0"/>
      <w:ind w:left="1094" w:right="737" w:hanging="737"/>
      <w:jc w:val="center"/>
    </w:pPr>
    <w:rPr>
      <w:rFonts w:eastAsia="Times New Roman" w:cs="Times New Roman"/>
      <w:b/>
      <w:bCs/>
      <w:kern w:val="0"/>
      <w:sz w:val="36"/>
      <w:szCs w:val="36"/>
    </w:rPr>
  </w:style>
  <w:style w:type="character" w:customStyle="1" w:styleId="CmChar">
    <w:name w:val="Cím Char"/>
    <w:basedOn w:val="Bekezdsalapbettpusa"/>
    <w:link w:val="Cm"/>
    <w:rsid w:val="006E6B08"/>
    <w:rPr>
      <w:rFonts w:eastAsia="Times New Roman"/>
      <w:b/>
      <w:bCs/>
      <w:sz w:val="36"/>
      <w:szCs w:val="36"/>
    </w:rPr>
  </w:style>
  <w:style w:type="paragraph" w:customStyle="1" w:styleId="Bullet">
    <w:name w:val="Bullet"/>
    <w:basedOn w:val="Szvegtrzs"/>
    <w:link w:val="BulletCharChar"/>
    <w:semiHidden/>
    <w:rsid w:val="006E6B08"/>
    <w:pPr>
      <w:widowControl w:val="0"/>
      <w:tabs>
        <w:tab w:val="num" w:pos="1440"/>
      </w:tabs>
      <w:ind w:left="-2160" w:firstLine="0"/>
    </w:pPr>
    <w:rPr>
      <w:rFonts w:cs="Times New Roman"/>
    </w:rPr>
  </w:style>
  <w:style w:type="numbering" w:customStyle="1" w:styleId="StlusFelsorols11pt1">
    <w:name w:val="Stílus Felsorolás 11 pt1"/>
    <w:basedOn w:val="Nemlista"/>
    <w:semiHidden/>
    <w:rsid w:val="006E6B08"/>
  </w:style>
  <w:style w:type="paragraph" w:customStyle="1" w:styleId="TableHeadingWhite">
    <w:name w:val="Table Heading White"/>
    <w:basedOn w:val="TableHeading"/>
    <w:semiHidden/>
    <w:rsid w:val="006E6B08"/>
    <w:pPr>
      <w:ind w:firstLine="0"/>
      <w:jc w:val="left"/>
    </w:pPr>
    <w:rPr>
      <w:bCs/>
      <w:color w:val="FFFFFF"/>
      <w:kern w:val="22"/>
      <w:sz w:val="20"/>
    </w:rPr>
  </w:style>
  <w:style w:type="character" w:customStyle="1" w:styleId="Absatz-Standardschriftart">
    <w:name w:val="Absatz-Standardschriftart"/>
    <w:semiHidden/>
    <w:rsid w:val="006E6B08"/>
  </w:style>
  <w:style w:type="paragraph" w:customStyle="1" w:styleId="Cmsor">
    <w:name w:val="Címsor"/>
    <w:basedOn w:val="Norml"/>
    <w:next w:val="Szvegtrzs"/>
    <w:semiHidden/>
    <w:rsid w:val="006E6B08"/>
    <w:pPr>
      <w:keepNext/>
      <w:spacing w:before="240"/>
      <w:ind w:firstLine="0"/>
    </w:pPr>
    <w:rPr>
      <w:rFonts w:ascii="Arial" w:hAnsi="Arial" w:cs="Tahoma"/>
      <w:kern w:val="22"/>
      <w:sz w:val="28"/>
      <w:szCs w:val="28"/>
    </w:rPr>
  </w:style>
  <w:style w:type="paragraph" w:styleId="Lista">
    <w:name w:val="List"/>
    <w:basedOn w:val="Szvegtrzs"/>
    <w:semiHidden/>
    <w:rsid w:val="006E6B08"/>
    <w:pPr>
      <w:widowControl w:val="0"/>
      <w:ind w:firstLine="0"/>
    </w:pPr>
    <w:rPr>
      <w:rFonts w:cs="Tahoma"/>
    </w:rPr>
  </w:style>
  <w:style w:type="paragraph" w:customStyle="1" w:styleId="Tblzatfejlc">
    <w:name w:val="Táblázatfejléc"/>
    <w:basedOn w:val="Tblzattartalom"/>
    <w:semiHidden/>
    <w:rsid w:val="006E6B08"/>
    <w:pPr>
      <w:ind w:firstLine="0"/>
      <w:jc w:val="center"/>
    </w:pPr>
    <w:rPr>
      <w:b/>
      <w:bCs/>
      <w:kern w:val="22"/>
    </w:rPr>
  </w:style>
  <w:style w:type="paragraph" w:customStyle="1" w:styleId="tabtext">
    <w:name w:val="tabtext"/>
    <w:basedOn w:val="Norml"/>
    <w:semiHidden/>
    <w:rsid w:val="006E6B08"/>
    <w:pPr>
      <w:spacing w:before="20" w:after="20"/>
      <w:ind w:firstLine="0"/>
    </w:pPr>
    <w:rPr>
      <w:kern w:val="22"/>
      <w:sz w:val="18"/>
      <w:szCs w:val="18"/>
      <w:lang w:val="cs-CZ"/>
    </w:rPr>
  </w:style>
  <w:style w:type="paragraph" w:customStyle="1" w:styleId="TableContents">
    <w:name w:val="Table Contents"/>
    <w:basedOn w:val="Norml"/>
    <w:semiHidden/>
    <w:rsid w:val="006E6B08"/>
    <w:pPr>
      <w:ind w:firstLine="0"/>
    </w:pPr>
    <w:rPr>
      <w:kern w:val="22"/>
      <w:sz w:val="24"/>
    </w:rPr>
  </w:style>
  <w:style w:type="character" w:customStyle="1" w:styleId="BulletCharChar">
    <w:name w:val="Bullet Char Char"/>
    <w:link w:val="Bullet"/>
    <w:semiHidden/>
    <w:rsid w:val="006E6B08"/>
    <w:rPr>
      <w:kern w:val="1"/>
      <w:sz w:val="22"/>
      <w:szCs w:val="24"/>
    </w:rPr>
  </w:style>
  <w:style w:type="table" w:customStyle="1" w:styleId="Rcsostblzat10">
    <w:name w:val="Rácsos táblázat1"/>
    <w:basedOn w:val="Normltblzat"/>
    <w:next w:val="Rcsostblzat"/>
    <w:rsid w:val="006E6B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1">
    <w:name w:val="Stílus1"/>
    <w:basedOn w:val="Norml"/>
    <w:next w:val="Norml"/>
    <w:semiHidden/>
    <w:rsid w:val="006E6B08"/>
    <w:pPr>
      <w:suppressAutoHyphens w:val="0"/>
      <w:ind w:firstLine="0"/>
    </w:pPr>
    <w:rPr>
      <w:rFonts w:eastAsia="Times New Roman"/>
      <w:kern w:val="0"/>
      <w:sz w:val="24"/>
    </w:rPr>
  </w:style>
  <w:style w:type="paragraph" w:customStyle="1" w:styleId="Norml3">
    <w:name w:val="Norml"/>
    <w:semiHidden/>
    <w:rsid w:val="006E6B08"/>
    <w:pPr>
      <w:autoSpaceDE w:val="0"/>
      <w:autoSpaceDN w:val="0"/>
      <w:adjustRightInd w:val="0"/>
    </w:pPr>
    <w:rPr>
      <w:rFonts w:ascii="MS Sans Serif" w:eastAsia="Times New Roman" w:hAnsi="MS Sans Serif"/>
      <w:szCs w:val="24"/>
    </w:rPr>
  </w:style>
  <w:style w:type="paragraph" w:customStyle="1" w:styleId="Normltblzatban-jobbra">
    <w:name w:val="Normál (táblázatban-jobbra)"/>
    <w:basedOn w:val="Norml"/>
    <w:semiHidden/>
    <w:rsid w:val="006E6B08"/>
    <w:pPr>
      <w:ind w:firstLine="0"/>
      <w:jc w:val="right"/>
    </w:pPr>
    <w:rPr>
      <w:rFonts w:eastAsia="Times New Roman"/>
      <w:kern w:val="0"/>
      <w:szCs w:val="22"/>
      <w:lang w:val="en-GB" w:eastAsia="ar-SA"/>
    </w:rPr>
  </w:style>
  <w:style w:type="paragraph" w:customStyle="1" w:styleId="braszm">
    <w:name w:val="Ábraszám"/>
    <w:basedOn w:val="Norml"/>
    <w:next w:val="Norml"/>
    <w:semiHidden/>
    <w:rsid w:val="006E6B08"/>
    <w:pPr>
      <w:keepNext/>
      <w:suppressAutoHyphens w:val="0"/>
      <w:spacing w:before="240"/>
      <w:ind w:left="360" w:hanging="360"/>
      <w:jc w:val="right"/>
    </w:pPr>
    <w:rPr>
      <w:rFonts w:eastAsia="Times New Roman"/>
      <w:kern w:val="0"/>
      <w:sz w:val="26"/>
      <w:szCs w:val="20"/>
    </w:rPr>
  </w:style>
  <w:style w:type="paragraph" w:customStyle="1" w:styleId="TblzatcmJobbrazrtUtna0pt">
    <w:name w:val="Táblázat cím +Jobbra zárt Utána:  0 pt"/>
    <w:basedOn w:val="Norml"/>
    <w:autoRedefine/>
    <w:semiHidden/>
    <w:rsid w:val="006E6B08"/>
    <w:pPr>
      <w:suppressAutoHyphens w:val="0"/>
      <w:ind w:firstLine="0"/>
      <w:jc w:val="right"/>
    </w:pPr>
    <w:rPr>
      <w:rFonts w:eastAsia="Times New Roman"/>
      <w:b/>
      <w:bCs/>
      <w:i/>
      <w:iCs/>
      <w:kern w:val="0"/>
      <w:sz w:val="24"/>
      <w:szCs w:val="20"/>
    </w:rPr>
  </w:style>
  <w:style w:type="paragraph" w:customStyle="1" w:styleId="Tbraszm">
    <w:name w:val="T. ábraszám"/>
    <w:basedOn w:val="Norml"/>
    <w:autoRedefine/>
    <w:semiHidden/>
    <w:rsid w:val="006E6B08"/>
    <w:pPr>
      <w:tabs>
        <w:tab w:val="num" w:pos="720"/>
      </w:tabs>
      <w:suppressAutoHyphens w:val="0"/>
      <w:spacing w:before="120"/>
      <w:ind w:left="720" w:hanging="360"/>
      <w:jc w:val="right"/>
    </w:pPr>
    <w:rPr>
      <w:rFonts w:eastAsia="Times New Roman"/>
      <w:b/>
      <w:i/>
      <w:kern w:val="0"/>
      <w:sz w:val="24"/>
      <w:szCs w:val="22"/>
    </w:rPr>
  </w:style>
  <w:style w:type="paragraph" w:customStyle="1" w:styleId="braszm0">
    <w:name w:val="ábraszám"/>
    <w:basedOn w:val="Norml"/>
    <w:autoRedefine/>
    <w:semiHidden/>
    <w:rsid w:val="006E6B08"/>
    <w:pPr>
      <w:tabs>
        <w:tab w:val="num" w:pos="1080"/>
      </w:tabs>
      <w:suppressAutoHyphens w:val="0"/>
      <w:spacing w:before="120"/>
      <w:ind w:left="1080" w:hanging="360"/>
      <w:jc w:val="right"/>
    </w:pPr>
    <w:rPr>
      <w:rFonts w:eastAsia="Times New Roman"/>
      <w:b/>
      <w:i/>
      <w:kern w:val="0"/>
      <w:sz w:val="24"/>
    </w:rPr>
  </w:style>
  <w:style w:type="paragraph" w:styleId="Dokumentumtrkp">
    <w:name w:val="Document Map"/>
    <w:basedOn w:val="Norml"/>
    <w:link w:val="DokumentumtrkpChar"/>
    <w:semiHidden/>
    <w:unhideWhenUsed/>
    <w:rsid w:val="006E6B08"/>
    <w:pPr>
      <w:suppressAutoHyphens w:val="0"/>
      <w:ind w:firstLine="0"/>
    </w:pPr>
    <w:rPr>
      <w:rFonts w:ascii="Tahoma" w:eastAsia="Times New Roman" w:hAnsi="Tahoma" w:cs="Tahoma"/>
      <w:kern w:val="0"/>
      <w:sz w:val="16"/>
      <w:szCs w:val="16"/>
    </w:rPr>
  </w:style>
  <w:style w:type="character" w:customStyle="1" w:styleId="DokumentumtrkpChar">
    <w:name w:val="Dokumentumtérkép Char"/>
    <w:basedOn w:val="Bekezdsalapbettpusa"/>
    <w:link w:val="Dokumentumtrkp"/>
    <w:semiHidden/>
    <w:rsid w:val="006E6B08"/>
    <w:rPr>
      <w:rFonts w:ascii="Tahoma" w:eastAsia="Times New Roman" w:hAnsi="Tahoma" w:cs="Tahoma"/>
      <w:sz w:val="16"/>
      <w:szCs w:val="16"/>
    </w:rPr>
  </w:style>
  <w:style w:type="character" w:customStyle="1" w:styleId="NormltblzatbanChar">
    <w:name w:val="Normál (táblázatban) Char"/>
    <w:semiHidden/>
    <w:rsid w:val="006E6B08"/>
    <w:rPr>
      <w:sz w:val="22"/>
      <w:szCs w:val="22"/>
      <w:lang w:val="hu-HU" w:eastAsia="ar-SA" w:bidi="ar-SA"/>
    </w:rPr>
  </w:style>
  <w:style w:type="paragraph" w:styleId="Szvegtrzsbehzssal">
    <w:name w:val="Body Text Indent"/>
    <w:basedOn w:val="Szvegtrzs"/>
    <w:link w:val="SzvegtrzsbehzssalChar"/>
    <w:semiHidden/>
    <w:rsid w:val="006E6B08"/>
    <w:pPr>
      <w:ind w:left="357" w:firstLine="357"/>
    </w:pPr>
    <w:rPr>
      <w:rFonts w:eastAsia="Times New Roman"/>
      <w:snapToGrid w:val="0"/>
      <w:kern w:val="0"/>
      <w:szCs w:val="22"/>
      <w:lang w:val="en-GB"/>
    </w:rPr>
  </w:style>
  <w:style w:type="character" w:customStyle="1" w:styleId="SzvegtrzsbehzssalChar">
    <w:name w:val="Szövegtörzs behúzással Char"/>
    <w:basedOn w:val="Bekezdsalapbettpusa"/>
    <w:link w:val="Szvegtrzsbehzssal"/>
    <w:semiHidden/>
    <w:rsid w:val="006E6B08"/>
    <w:rPr>
      <w:rFonts w:eastAsia="Times New Roman" w:cs="Arial"/>
      <w:snapToGrid w:val="0"/>
      <w:sz w:val="22"/>
      <w:szCs w:val="22"/>
      <w:lang w:val="en-GB"/>
    </w:rPr>
  </w:style>
  <w:style w:type="paragraph" w:customStyle="1" w:styleId="ListLettered">
    <w:name w:val="List Lettered"/>
    <w:basedOn w:val="Norml"/>
    <w:semiHidden/>
    <w:rsid w:val="006E6B08"/>
    <w:pPr>
      <w:tabs>
        <w:tab w:val="num" w:pos="1097"/>
      </w:tabs>
      <w:suppressAutoHyphens w:val="0"/>
      <w:ind w:left="964" w:hanging="227"/>
    </w:pPr>
    <w:rPr>
      <w:rFonts w:eastAsia="Times New Roman"/>
      <w:kern w:val="0"/>
      <w:szCs w:val="22"/>
    </w:rPr>
  </w:style>
  <w:style w:type="paragraph" w:customStyle="1" w:styleId="Bullet2">
    <w:name w:val="Bullet 2"/>
    <w:basedOn w:val="Bullet"/>
    <w:semiHidden/>
    <w:rsid w:val="006E6B08"/>
    <w:pPr>
      <w:widowControl/>
      <w:tabs>
        <w:tab w:val="clear" w:pos="1440"/>
        <w:tab w:val="num" w:pos="360"/>
      </w:tabs>
      <w:suppressAutoHyphens w:val="0"/>
      <w:spacing w:line="240" w:lineRule="atLeast"/>
      <w:ind w:left="360" w:hanging="360"/>
    </w:pPr>
    <w:rPr>
      <w:rFonts w:eastAsia="MS Mincho"/>
      <w:kern w:val="0"/>
      <w:szCs w:val="20"/>
      <w:lang w:val="en-GB" w:eastAsia="ja-JP"/>
    </w:rPr>
  </w:style>
  <w:style w:type="paragraph" w:customStyle="1" w:styleId="ListDash1">
    <w:name w:val="List Dash 1"/>
    <w:basedOn w:val="Text1"/>
    <w:semiHidden/>
    <w:rsid w:val="006E6B08"/>
    <w:pPr>
      <w:ind w:firstLine="0"/>
    </w:pPr>
  </w:style>
  <w:style w:type="character" w:customStyle="1" w:styleId="BekezdsCharCharChar">
    <w:name w:val="Bekezdés Char Char Char"/>
    <w:semiHidden/>
    <w:rsid w:val="006E6B08"/>
    <w:rPr>
      <w:sz w:val="26"/>
      <w:szCs w:val="26"/>
      <w:lang w:val="hu-HU"/>
    </w:rPr>
  </w:style>
  <w:style w:type="paragraph" w:customStyle="1" w:styleId="1txtbody">
    <w:name w:val="1_txtbody"/>
    <w:semiHidden/>
    <w:rsid w:val="006E6B08"/>
    <w:pPr>
      <w:overflowPunct w:val="0"/>
      <w:autoSpaceDE w:val="0"/>
      <w:autoSpaceDN w:val="0"/>
      <w:adjustRightInd w:val="0"/>
      <w:spacing w:before="120" w:after="120" w:line="320" w:lineRule="atLeast"/>
      <w:ind w:firstLine="363"/>
      <w:jc w:val="both"/>
      <w:textAlignment w:val="baseline"/>
    </w:pPr>
    <w:rPr>
      <w:rFonts w:ascii="Arial" w:eastAsia="MS Mincho" w:hAnsi="Arial"/>
      <w:sz w:val="22"/>
    </w:rPr>
  </w:style>
  <w:style w:type="paragraph" w:customStyle="1" w:styleId="mellkletcm">
    <w:name w:val="melléklet cím"/>
    <w:basedOn w:val="Norml"/>
    <w:next w:val="Norml"/>
    <w:semiHidden/>
    <w:rsid w:val="006E6B08"/>
    <w:pPr>
      <w:keepNext/>
      <w:suppressAutoHyphens w:val="0"/>
      <w:spacing w:after="240"/>
      <w:ind w:firstLine="0"/>
      <w:jc w:val="center"/>
    </w:pPr>
    <w:rPr>
      <w:rFonts w:eastAsia="Times New Roman"/>
      <w:b/>
      <w:bCs/>
      <w:snapToGrid w:val="0"/>
      <w:kern w:val="0"/>
      <w:sz w:val="26"/>
      <w:szCs w:val="26"/>
    </w:rPr>
  </w:style>
  <w:style w:type="paragraph" w:customStyle="1" w:styleId="Mellkletszm">
    <w:name w:val="Melléklet szám"/>
    <w:basedOn w:val="Norml"/>
    <w:next w:val="mellkletcm"/>
    <w:semiHidden/>
    <w:rsid w:val="006E6B08"/>
    <w:pPr>
      <w:keepNext/>
      <w:tabs>
        <w:tab w:val="num" w:pos="360"/>
      </w:tabs>
      <w:suppressAutoHyphens w:val="0"/>
      <w:spacing w:before="240"/>
      <w:ind w:left="357" w:hanging="357"/>
      <w:jc w:val="right"/>
    </w:pPr>
    <w:rPr>
      <w:rFonts w:eastAsia="Times New Roman"/>
      <w:snapToGrid w:val="0"/>
      <w:kern w:val="0"/>
      <w:sz w:val="26"/>
      <w:szCs w:val="26"/>
    </w:rPr>
  </w:style>
  <w:style w:type="paragraph" w:customStyle="1" w:styleId="Tblacm">
    <w:name w:val="Táblacím"/>
    <w:basedOn w:val="Norml"/>
    <w:next w:val="Norml"/>
    <w:semiHidden/>
    <w:rsid w:val="006E6B08"/>
    <w:pPr>
      <w:keepNext/>
      <w:suppressAutoHyphens w:val="0"/>
      <w:spacing w:after="240"/>
      <w:ind w:firstLine="0"/>
      <w:jc w:val="center"/>
    </w:pPr>
    <w:rPr>
      <w:rFonts w:eastAsia="Times New Roman"/>
      <w:b/>
      <w:snapToGrid w:val="0"/>
      <w:kern w:val="0"/>
      <w:sz w:val="26"/>
      <w:szCs w:val="20"/>
      <w:lang w:val="en-US"/>
    </w:rPr>
  </w:style>
  <w:style w:type="character" w:customStyle="1" w:styleId="tw4winTerm">
    <w:name w:val="tw4winTerm"/>
    <w:semiHidden/>
    <w:rsid w:val="006E6B08"/>
    <w:rPr>
      <w:color w:val="0000FF"/>
    </w:rPr>
  </w:style>
  <w:style w:type="paragraph" w:customStyle="1" w:styleId="ListDash">
    <w:name w:val="List Dash"/>
    <w:basedOn w:val="Norml"/>
    <w:semiHidden/>
    <w:rsid w:val="006E6B08"/>
    <w:pPr>
      <w:tabs>
        <w:tab w:val="num" w:pos="720"/>
      </w:tabs>
      <w:suppressAutoHyphens w:val="0"/>
      <w:spacing w:after="240"/>
      <w:ind w:left="720" w:hanging="360"/>
    </w:pPr>
    <w:rPr>
      <w:rFonts w:eastAsia="Times New Roman"/>
      <w:kern w:val="0"/>
      <w:sz w:val="24"/>
      <w:szCs w:val="20"/>
      <w:lang w:val="en-GB" w:eastAsia="en-GB"/>
    </w:rPr>
  </w:style>
  <w:style w:type="character" w:customStyle="1" w:styleId="BulletChar">
    <w:name w:val="Bullet Char"/>
    <w:semiHidden/>
    <w:rsid w:val="006E6B08"/>
    <w:rPr>
      <w:sz w:val="22"/>
      <w:szCs w:val="24"/>
      <w:lang w:val="en-GB" w:eastAsia="hu-HU" w:bidi="ar-SA"/>
    </w:rPr>
  </w:style>
  <w:style w:type="paragraph" w:customStyle="1" w:styleId="CommentSubject1">
    <w:name w:val="Comment Subject1"/>
    <w:basedOn w:val="Jegyzetszveg"/>
    <w:next w:val="Jegyzetszveg"/>
    <w:semiHidden/>
    <w:rsid w:val="006E6B08"/>
    <w:pPr>
      <w:tabs>
        <w:tab w:val="num" w:pos="1304"/>
      </w:tabs>
      <w:suppressAutoHyphens w:val="0"/>
      <w:ind w:firstLine="0"/>
    </w:pPr>
    <w:rPr>
      <w:rFonts w:eastAsia="Times New Roman"/>
      <w:b/>
      <w:bCs/>
      <w:kern w:val="0"/>
    </w:rPr>
  </w:style>
  <w:style w:type="paragraph" w:customStyle="1" w:styleId="bracm">
    <w:name w:val="Ábracím"/>
    <w:basedOn w:val="Norml"/>
    <w:next w:val="Norml"/>
    <w:semiHidden/>
    <w:rsid w:val="006E6B08"/>
    <w:pPr>
      <w:keepNext/>
      <w:suppressAutoHyphens w:val="0"/>
      <w:spacing w:after="240"/>
      <w:ind w:firstLine="0"/>
      <w:jc w:val="center"/>
    </w:pPr>
    <w:rPr>
      <w:rFonts w:eastAsia="Times New Roman"/>
      <w:b/>
      <w:bCs/>
      <w:snapToGrid w:val="0"/>
      <w:kern w:val="0"/>
      <w:sz w:val="26"/>
      <w:szCs w:val="26"/>
      <w:lang w:val="en-GB"/>
    </w:rPr>
  </w:style>
  <w:style w:type="paragraph" w:customStyle="1" w:styleId="Szvegtrzsbullet">
    <w:name w:val="Szövegtörzs_bullet"/>
    <w:basedOn w:val="Szvegtrzs"/>
    <w:semiHidden/>
    <w:rsid w:val="006E6B08"/>
    <w:pPr>
      <w:ind w:firstLine="357"/>
    </w:pPr>
    <w:rPr>
      <w:rFonts w:eastAsia="Times New Roman"/>
      <w:kern w:val="0"/>
      <w:sz w:val="26"/>
      <w:lang w:eastAsia="ar-SA"/>
    </w:rPr>
  </w:style>
  <w:style w:type="paragraph" w:customStyle="1" w:styleId="Normlvastag">
    <w:name w:val="Normál (vastag)"/>
    <w:basedOn w:val="Norml"/>
    <w:semiHidden/>
    <w:rsid w:val="006E6B08"/>
    <w:pPr>
      <w:ind w:firstLine="357"/>
    </w:pPr>
    <w:rPr>
      <w:rFonts w:eastAsia="Times New Roman"/>
      <w:b/>
      <w:kern w:val="0"/>
      <w:sz w:val="26"/>
      <w:lang w:eastAsia="ar-SA"/>
    </w:rPr>
  </w:style>
  <w:style w:type="character" w:customStyle="1" w:styleId="style5">
    <w:name w:val="style5"/>
    <w:basedOn w:val="Bekezdsalapbettpusa"/>
    <w:semiHidden/>
    <w:rsid w:val="006E6B08"/>
  </w:style>
  <w:style w:type="character" w:customStyle="1" w:styleId="CmsorszvegbenChar">
    <w:name w:val="Címsor szövegben Char"/>
    <w:semiHidden/>
    <w:rsid w:val="006E6B08"/>
    <w:rPr>
      <w:b/>
      <w:bCs/>
      <w:sz w:val="26"/>
      <w:szCs w:val="22"/>
      <w:lang w:val="en-GB" w:eastAsia="ar-SA" w:bidi="ar-SA"/>
    </w:rPr>
  </w:style>
  <w:style w:type="paragraph" w:customStyle="1" w:styleId="Cmsorszvegben">
    <w:name w:val="Címsor szövegben"/>
    <w:basedOn w:val="Norml1"/>
    <w:autoRedefine/>
    <w:semiHidden/>
    <w:rsid w:val="006E6B08"/>
    <w:pPr>
      <w:keepNext/>
      <w:keepLines/>
      <w:spacing w:before="240" w:after="240"/>
      <w:ind w:firstLine="0"/>
    </w:pPr>
    <w:rPr>
      <w:b/>
      <w:bCs/>
      <w:sz w:val="26"/>
      <w:lang w:eastAsia="ar-SA"/>
    </w:rPr>
  </w:style>
  <w:style w:type="character" w:customStyle="1" w:styleId="MegjegyzstrgyaChar1">
    <w:name w:val="Megjegyzés tárgya Char1"/>
    <w:basedOn w:val="JegyzetszvegChar"/>
    <w:semiHidden/>
    <w:rsid w:val="006E6B08"/>
    <w:rPr>
      <w:rFonts w:ascii="Times New Roman" w:eastAsia="Lucida Sans Unicode" w:hAnsi="Times New Roman" w:cs="Arial"/>
      <w:b/>
      <w:bCs/>
      <w:kern w:val="22"/>
      <w:sz w:val="20"/>
      <w:szCs w:val="20"/>
      <w:lang w:eastAsia="hu-HU"/>
    </w:rPr>
  </w:style>
  <w:style w:type="paragraph" w:customStyle="1" w:styleId="Normlsr">
    <w:name w:val="Normál (sürü)"/>
    <w:basedOn w:val="Norml"/>
    <w:autoRedefine/>
    <w:semiHidden/>
    <w:rsid w:val="006E6B08"/>
    <w:pPr>
      <w:ind w:firstLine="0"/>
    </w:pPr>
    <w:rPr>
      <w:rFonts w:eastAsia="Times New Roman"/>
      <w:w w:val="90"/>
      <w:kern w:val="0"/>
      <w:sz w:val="26"/>
      <w:szCs w:val="26"/>
      <w:lang w:eastAsia="ar-SA"/>
    </w:rPr>
  </w:style>
  <w:style w:type="paragraph" w:customStyle="1" w:styleId="Szvegtrzsbehzssal21">
    <w:name w:val="Szövegtörzs behúzással 21"/>
    <w:basedOn w:val="Norml"/>
    <w:semiHidden/>
    <w:rsid w:val="006E6B08"/>
    <w:pPr>
      <w:spacing w:line="480" w:lineRule="auto"/>
      <w:ind w:left="283" w:firstLine="360"/>
    </w:pPr>
    <w:rPr>
      <w:rFonts w:eastAsia="Times New Roman"/>
      <w:kern w:val="0"/>
      <w:sz w:val="26"/>
      <w:lang w:eastAsia="ar-SA"/>
    </w:rPr>
  </w:style>
  <w:style w:type="paragraph" w:customStyle="1" w:styleId="bekezds0">
    <w:name w:val="bekezds"/>
    <w:basedOn w:val="Norml"/>
    <w:semiHidden/>
    <w:rsid w:val="006E6B08"/>
    <w:pPr>
      <w:suppressAutoHyphens w:val="0"/>
      <w:spacing w:before="240"/>
      <w:ind w:firstLine="709"/>
    </w:pPr>
    <w:rPr>
      <w:rFonts w:eastAsia="Times New Roman"/>
      <w:kern w:val="0"/>
      <w:sz w:val="26"/>
      <w:szCs w:val="26"/>
    </w:rPr>
  </w:style>
  <w:style w:type="paragraph" w:customStyle="1" w:styleId="Norm">
    <w:name w:val="Norm"/>
    <w:semiHidden/>
    <w:rsid w:val="006E6B08"/>
    <w:pPr>
      <w:widowControl w:val="0"/>
      <w:tabs>
        <w:tab w:val="left" w:pos="567"/>
        <w:tab w:val="left" w:pos="1134"/>
        <w:tab w:val="left" w:pos="1418"/>
        <w:tab w:val="left" w:pos="1701"/>
      </w:tabs>
      <w:spacing w:before="120" w:after="120"/>
      <w:ind w:left="567" w:hanging="567"/>
      <w:jc w:val="both"/>
    </w:pPr>
    <w:rPr>
      <w:rFonts w:eastAsia="Times New Roman"/>
      <w:sz w:val="24"/>
      <w:lang w:val="en-GB"/>
    </w:rPr>
  </w:style>
  <w:style w:type="paragraph" w:styleId="Szvegtrzsbehzssal2">
    <w:name w:val="Body Text Indent 2"/>
    <w:basedOn w:val="Norml"/>
    <w:link w:val="Szvegtrzsbehzssal2Char"/>
    <w:semiHidden/>
    <w:rsid w:val="006E6B08"/>
    <w:pPr>
      <w:spacing w:line="480" w:lineRule="auto"/>
      <w:ind w:left="283" w:firstLine="357"/>
    </w:pPr>
    <w:rPr>
      <w:rFonts w:eastAsia="Times New Roman"/>
      <w:kern w:val="0"/>
      <w:sz w:val="26"/>
      <w:lang w:val="en-GB" w:eastAsia="ar-SA"/>
    </w:rPr>
  </w:style>
  <w:style w:type="character" w:customStyle="1" w:styleId="Szvegtrzsbehzssal2Char">
    <w:name w:val="Szövegtörzs behúzással 2 Char"/>
    <w:basedOn w:val="Bekezdsalapbettpusa"/>
    <w:link w:val="Szvegtrzsbehzssal2"/>
    <w:semiHidden/>
    <w:rsid w:val="006E6B08"/>
    <w:rPr>
      <w:rFonts w:eastAsia="Times New Roman" w:cs="Arial"/>
      <w:sz w:val="26"/>
      <w:szCs w:val="24"/>
      <w:lang w:val="en-GB" w:eastAsia="ar-SA"/>
    </w:rPr>
  </w:style>
  <w:style w:type="paragraph" w:customStyle="1" w:styleId="ListNumber4Level2">
    <w:name w:val="List Number 4 (Level 2)"/>
    <w:basedOn w:val="Norml"/>
    <w:semiHidden/>
    <w:rsid w:val="006E6B08"/>
    <w:pPr>
      <w:tabs>
        <w:tab w:val="num" w:pos="360"/>
      </w:tabs>
      <w:suppressAutoHyphens w:val="0"/>
      <w:spacing w:before="120"/>
      <w:ind w:firstLine="0"/>
    </w:pPr>
    <w:rPr>
      <w:rFonts w:eastAsia="Times New Roman"/>
      <w:kern w:val="0"/>
      <w:sz w:val="24"/>
      <w:szCs w:val="20"/>
      <w:lang w:val="en-GB" w:eastAsia="ar-SA"/>
    </w:rPr>
  </w:style>
  <w:style w:type="paragraph" w:customStyle="1" w:styleId="ListNumberLevel2">
    <w:name w:val="List Number (Level 2)"/>
    <w:basedOn w:val="Norml"/>
    <w:semiHidden/>
    <w:rsid w:val="006E6B08"/>
    <w:pPr>
      <w:tabs>
        <w:tab w:val="num" w:pos="1417"/>
      </w:tabs>
      <w:suppressAutoHyphens w:val="0"/>
      <w:spacing w:before="120"/>
      <w:ind w:left="1417" w:hanging="708"/>
    </w:pPr>
    <w:rPr>
      <w:rFonts w:eastAsia="Times New Roman"/>
      <w:kern w:val="0"/>
      <w:sz w:val="24"/>
      <w:lang w:val="en-GB"/>
    </w:rPr>
  </w:style>
  <w:style w:type="paragraph" w:customStyle="1" w:styleId="Cmso6">
    <w:name w:val="Címso 6"/>
    <w:basedOn w:val="Norml"/>
    <w:semiHidden/>
    <w:rsid w:val="006E6B08"/>
    <w:pPr>
      <w:ind w:firstLine="0"/>
    </w:pPr>
    <w:rPr>
      <w:rFonts w:eastAsia="Times New Roman"/>
      <w:kern w:val="0"/>
      <w:sz w:val="26"/>
      <w:lang w:val="en-GB" w:eastAsia="ar-SA"/>
    </w:rPr>
  </w:style>
  <w:style w:type="paragraph" w:customStyle="1" w:styleId="Char3">
    <w:name w:val="Char3"/>
    <w:basedOn w:val="Norml"/>
    <w:semiHidden/>
    <w:rsid w:val="006E6B08"/>
    <w:pPr>
      <w:suppressAutoHyphens w:val="0"/>
      <w:spacing w:after="160" w:line="240" w:lineRule="exact"/>
      <w:ind w:firstLine="0"/>
    </w:pPr>
    <w:rPr>
      <w:rFonts w:ascii="Tahoma" w:eastAsia="Times New Roman" w:hAnsi="Tahoma"/>
      <w:kern w:val="0"/>
      <w:sz w:val="20"/>
      <w:szCs w:val="20"/>
      <w:lang w:val="en-US" w:eastAsia="en-US"/>
    </w:rPr>
  </w:style>
  <w:style w:type="paragraph" w:styleId="NormlWeb">
    <w:name w:val="Normal (Web)"/>
    <w:basedOn w:val="Norml"/>
    <w:semiHidden/>
    <w:rsid w:val="006E6B08"/>
    <w:pPr>
      <w:suppressAutoHyphens w:val="0"/>
      <w:spacing w:before="100" w:beforeAutospacing="1" w:after="100" w:afterAutospacing="1"/>
      <w:ind w:firstLine="0"/>
    </w:pPr>
    <w:rPr>
      <w:rFonts w:ascii="Arial Unicode MS" w:eastAsia="Arial Unicode MS" w:hAnsi="Arial Unicode MS" w:cs="Arial Unicode MS"/>
      <w:kern w:val="0"/>
      <w:sz w:val="24"/>
    </w:rPr>
  </w:style>
  <w:style w:type="character" w:customStyle="1" w:styleId="CharChar23">
    <w:name w:val="Char Char23"/>
    <w:semiHidden/>
    <w:rsid w:val="006E6B08"/>
    <w:rPr>
      <w:b/>
      <w:bCs/>
      <w:i/>
      <w:kern w:val="1"/>
      <w:sz w:val="22"/>
      <w:szCs w:val="28"/>
    </w:rPr>
  </w:style>
  <w:style w:type="character" w:customStyle="1" w:styleId="CharChar9">
    <w:name w:val="Char Char9"/>
    <w:semiHidden/>
    <w:rsid w:val="006E6B08"/>
    <w:rPr>
      <w:rFonts w:eastAsia="Times New Roman"/>
      <w:snapToGrid w:val="0"/>
      <w:sz w:val="22"/>
      <w:szCs w:val="22"/>
      <w:lang w:val="en-GB"/>
    </w:rPr>
  </w:style>
  <w:style w:type="character" w:customStyle="1" w:styleId="CharChar8">
    <w:name w:val="Char Char8"/>
    <w:semiHidden/>
    <w:rsid w:val="006E6B08"/>
    <w:rPr>
      <w:rFonts w:eastAsia="Times New Roman"/>
      <w:sz w:val="22"/>
      <w:szCs w:val="22"/>
    </w:rPr>
  </w:style>
  <w:style w:type="character" w:customStyle="1" w:styleId="CharChar7">
    <w:name w:val="Char Char7"/>
    <w:semiHidden/>
    <w:rsid w:val="006E6B08"/>
    <w:rPr>
      <w:rFonts w:eastAsia="Times New Roman"/>
      <w:b/>
      <w:bCs/>
      <w:kern w:val="1"/>
      <w:lang w:eastAsia="ar-SA"/>
    </w:rPr>
  </w:style>
  <w:style w:type="character" w:customStyle="1" w:styleId="CharChar4">
    <w:name w:val="Char Char4"/>
    <w:semiHidden/>
    <w:rsid w:val="006E6B08"/>
    <w:rPr>
      <w:rFonts w:eastAsia="Times New Roman"/>
      <w:sz w:val="22"/>
      <w:szCs w:val="22"/>
      <w:lang w:val="en-GB"/>
    </w:rPr>
  </w:style>
  <w:style w:type="paragraph" w:styleId="Csakszveg">
    <w:name w:val="Plain Text"/>
    <w:basedOn w:val="Norml"/>
    <w:link w:val="CsakszvegChar"/>
    <w:uiPriority w:val="99"/>
    <w:semiHidden/>
    <w:unhideWhenUsed/>
    <w:rsid w:val="006E6B08"/>
    <w:pPr>
      <w:suppressAutoHyphens w:val="0"/>
      <w:ind w:firstLine="0"/>
    </w:pPr>
    <w:rPr>
      <w:rFonts w:ascii="Consolas" w:eastAsia="Calibri" w:hAnsi="Consolas" w:cs="Times New Roman"/>
      <w:kern w:val="0"/>
      <w:sz w:val="21"/>
      <w:szCs w:val="21"/>
      <w:lang w:eastAsia="en-US"/>
    </w:rPr>
  </w:style>
  <w:style w:type="character" w:customStyle="1" w:styleId="CsakszvegChar">
    <w:name w:val="Csak szöveg Char"/>
    <w:basedOn w:val="Bekezdsalapbettpusa"/>
    <w:link w:val="Csakszveg"/>
    <w:uiPriority w:val="99"/>
    <w:semiHidden/>
    <w:rsid w:val="006E6B08"/>
    <w:rPr>
      <w:rFonts w:ascii="Consolas" w:eastAsia="Calibri" w:hAnsi="Consolas"/>
      <w:sz w:val="21"/>
      <w:szCs w:val="21"/>
      <w:lang w:eastAsia="en-US"/>
    </w:rPr>
  </w:style>
  <w:style w:type="paragraph" w:styleId="Szmozottlista5">
    <w:name w:val="List Number 5"/>
    <w:basedOn w:val="Norml"/>
    <w:semiHidden/>
    <w:rsid w:val="006E6B08"/>
    <w:pPr>
      <w:suppressAutoHyphens w:val="0"/>
      <w:ind w:left="2932" w:hanging="360"/>
    </w:pPr>
    <w:rPr>
      <w:rFonts w:ascii="Arial Narrow" w:eastAsia="Times New Roman" w:hAnsi="Arial Narrow" w:cs="Times New Roman"/>
      <w:kern w:val="0"/>
      <w:sz w:val="24"/>
    </w:rPr>
  </w:style>
  <w:style w:type="paragraph" w:customStyle="1" w:styleId="StlusStlusKpalrsNemFlkvrBalrazrtBal127cmElt">
    <w:name w:val="Stílus Stílus Képaláírás + Nem Félkövér Balra zárt Bal:  127 cm Előt..."/>
    <w:basedOn w:val="StlusKpalrsNemFlkvrBalrazrtBal127cmEltte"/>
    <w:semiHidden/>
    <w:rsid w:val="006E6B08"/>
    <w:pPr>
      <w:numPr>
        <w:numId w:val="0"/>
      </w:numPr>
      <w:spacing w:after="0"/>
    </w:pPr>
  </w:style>
  <w:style w:type="paragraph" w:styleId="brajegyzk">
    <w:name w:val="table of figures"/>
    <w:basedOn w:val="Norml"/>
    <w:next w:val="Norml"/>
    <w:uiPriority w:val="99"/>
    <w:semiHidden/>
    <w:unhideWhenUsed/>
    <w:rsid w:val="006E6B08"/>
    <w:pPr>
      <w:ind w:firstLine="0"/>
    </w:pPr>
    <w:rPr>
      <w:kern w:val="22"/>
    </w:rPr>
  </w:style>
  <w:style w:type="paragraph" w:customStyle="1" w:styleId="tblaforrs">
    <w:name w:val="táblaforrás"/>
    <w:basedOn w:val="StlusKpalrsNemFlkvrBalrazrtBal127cmEltte"/>
    <w:link w:val="tblaforrsCharChar"/>
    <w:autoRedefine/>
    <w:semiHidden/>
    <w:rsid w:val="006E6B08"/>
    <w:pPr>
      <w:keepNext w:val="0"/>
      <w:numPr>
        <w:numId w:val="0"/>
      </w:numPr>
      <w:spacing w:after="0"/>
    </w:pPr>
  </w:style>
  <w:style w:type="character" w:customStyle="1" w:styleId="tblaforrsCharChar">
    <w:name w:val="táblaforrás Char Char"/>
    <w:basedOn w:val="StlusKpalrsNemFlkvrBalrazrtBal127cmEltteChar"/>
    <w:link w:val="tblaforrs"/>
    <w:semiHidden/>
    <w:rsid w:val="006E6B08"/>
    <w:rPr>
      <w:rFonts w:ascii="Verdana" w:eastAsia="Times New Roman" w:hAnsi="Verdana"/>
      <w:sz w:val="16"/>
    </w:rPr>
  </w:style>
  <w:style w:type="character" w:customStyle="1" w:styleId="StlusFinomkiemels12ptAutomatikus">
    <w:name w:val="Stílus Finom kiemelés + 12 pt Automatikus"/>
    <w:semiHidden/>
    <w:rsid w:val="006E6B08"/>
    <w:rPr>
      <w:rFonts w:ascii="Times New Roman" w:hAnsi="Times New Roman"/>
      <w:i/>
      <w:iCs/>
      <w:color w:val="auto"/>
      <w:kern w:val="0"/>
      <w:sz w:val="22"/>
    </w:rPr>
  </w:style>
  <w:style w:type="paragraph" w:customStyle="1" w:styleId="finomkiemels0">
    <w:name w:val="finom kiemelés"/>
    <w:basedOn w:val="Norml"/>
    <w:semiHidden/>
    <w:rsid w:val="006E6B08"/>
    <w:pPr>
      <w:spacing w:before="240"/>
      <w:ind w:firstLine="0"/>
    </w:pPr>
    <w:rPr>
      <w:rFonts w:eastAsia="Times New Roman" w:cs="Times New Roman"/>
      <w:i/>
      <w:iCs/>
      <w:kern w:val="22"/>
      <w:szCs w:val="20"/>
    </w:rPr>
  </w:style>
  <w:style w:type="paragraph" w:customStyle="1" w:styleId="Cmsorbold">
    <w:name w:val="Címsor bold"/>
    <w:basedOn w:val="Norml"/>
    <w:semiHidden/>
    <w:rsid w:val="006E6B08"/>
    <w:pPr>
      <w:keepNext/>
      <w:suppressAutoHyphens w:val="0"/>
      <w:spacing w:before="240"/>
      <w:ind w:firstLine="567"/>
    </w:pPr>
    <w:rPr>
      <w:rFonts w:eastAsia="Times New Roman" w:cs="Times New Roman"/>
      <w:b/>
      <w:kern w:val="0"/>
      <w:sz w:val="20"/>
      <w:szCs w:val="20"/>
    </w:rPr>
  </w:style>
  <w:style w:type="paragraph" w:customStyle="1" w:styleId="tblzatsorszma">
    <w:name w:val="táblázat sorszáma"/>
    <w:basedOn w:val="Norml"/>
    <w:autoRedefine/>
    <w:semiHidden/>
    <w:rsid w:val="006E6B08"/>
    <w:pPr>
      <w:keepNext/>
      <w:tabs>
        <w:tab w:val="num" w:pos="720"/>
      </w:tabs>
      <w:suppressAutoHyphens w:val="0"/>
      <w:spacing w:before="120" w:after="0"/>
      <w:ind w:left="720" w:hanging="360"/>
      <w:jc w:val="right"/>
    </w:pPr>
    <w:rPr>
      <w:rFonts w:eastAsia="Times New Roman" w:cs="Times New Roman"/>
      <w:kern w:val="0"/>
      <w:sz w:val="24"/>
    </w:rPr>
  </w:style>
  <w:style w:type="numbering" w:customStyle="1" w:styleId="Nemlista21">
    <w:name w:val="Nem lista21"/>
    <w:next w:val="Nemlista"/>
    <w:semiHidden/>
    <w:rsid w:val="006E6B08"/>
  </w:style>
  <w:style w:type="paragraph" w:customStyle="1" w:styleId="j-braszm1">
    <w:name w:val="j- ábraszám1"/>
    <w:basedOn w:val="Kpalrs"/>
    <w:next w:val="j-braszm"/>
    <w:autoRedefine/>
    <w:rsid w:val="006E6B08"/>
    <w:pPr>
      <w:numPr>
        <w:numId w:val="0"/>
      </w:numPr>
      <w:tabs>
        <w:tab w:val="num" w:pos="440"/>
      </w:tabs>
      <w:spacing w:before="360"/>
      <w:jc w:val="left"/>
    </w:pPr>
    <w:rPr>
      <w:b w:val="0"/>
    </w:rPr>
  </w:style>
  <w:style w:type="numbering" w:customStyle="1" w:styleId="Nemlista11">
    <w:name w:val="Nem lista11"/>
    <w:next w:val="Nemlista"/>
    <w:semiHidden/>
    <w:rsid w:val="006E6B08"/>
  </w:style>
  <w:style w:type="character" w:customStyle="1" w:styleId="CommentTextChar">
    <w:name w:val="Comment Text Char"/>
    <w:semiHidden/>
    <w:locked/>
    <w:rsid w:val="006E6B08"/>
    <w:rPr>
      <w:rFonts w:eastAsia="Times New Roman" w:cs="Arial"/>
      <w:kern w:val="22"/>
      <w:lang w:val="hu-HU" w:eastAsia="hu-HU" w:bidi="ar-SA"/>
    </w:rPr>
  </w:style>
  <w:style w:type="paragraph" w:customStyle="1" w:styleId="j-cmsor1">
    <w:name w:val="j- címsor1"/>
    <w:basedOn w:val="Cmsor1"/>
    <w:next w:val="j-cmsor2"/>
    <w:rsid w:val="006E6B08"/>
    <w:pPr>
      <w:numPr>
        <w:numId w:val="0"/>
      </w:numPr>
      <w:tabs>
        <w:tab w:val="num" w:pos="0"/>
      </w:tabs>
      <w:spacing w:before="0" w:after="120"/>
      <w:ind w:left="432" w:hanging="432"/>
    </w:pPr>
    <w:rPr>
      <w:sz w:val="32"/>
    </w:rPr>
  </w:style>
  <w:style w:type="paragraph" w:customStyle="1" w:styleId="j-cmsor2">
    <w:name w:val="j- címsor2"/>
    <w:basedOn w:val="Cmsor2"/>
    <w:next w:val="j-cmsor3"/>
    <w:rsid w:val="006E6B08"/>
    <w:pPr>
      <w:numPr>
        <w:ilvl w:val="0"/>
        <w:numId w:val="0"/>
      </w:numPr>
      <w:tabs>
        <w:tab w:val="num" w:pos="660"/>
      </w:tabs>
      <w:spacing w:before="240"/>
      <w:ind w:left="660" w:hanging="660"/>
    </w:pPr>
    <w:rPr>
      <w:kern w:val="0"/>
    </w:rPr>
  </w:style>
  <w:style w:type="character" w:customStyle="1" w:styleId="SzvegtrzsStandardparagraphSzvegtrzsChar1SzvegtrzsCharCharCharCharCharCharChar">
    <w:name w:val="Szövegtörzs;Standard paragraph;Szövegtörzs Char1;Szövegtörzs Char Char;Char Char Char Char Char"/>
    <w:semiHidden/>
    <w:locked/>
    <w:rsid w:val="006E6B08"/>
    <w:rPr>
      <w:rFonts w:eastAsia="Times New Roman" w:cs="Arial"/>
      <w:kern w:val="22"/>
      <w:sz w:val="24"/>
      <w:szCs w:val="24"/>
      <w:lang w:val="hu-HU" w:eastAsia="hu-HU" w:bidi="ar-SA"/>
    </w:rPr>
  </w:style>
  <w:style w:type="character" w:customStyle="1" w:styleId="TitleChar">
    <w:name w:val="Title Char"/>
    <w:semiHidden/>
    <w:locked/>
    <w:rsid w:val="006E6B08"/>
    <w:rPr>
      <w:rFonts w:cs="Times New Roman"/>
      <w:b/>
      <w:bCs/>
      <w:sz w:val="36"/>
      <w:szCs w:val="36"/>
      <w:lang w:val="hu-HU" w:eastAsia="hu-HU" w:bidi="ar-SA"/>
    </w:rPr>
  </w:style>
  <w:style w:type="character" w:customStyle="1" w:styleId="Heading5Char">
    <w:name w:val="Heading 5 Char"/>
    <w:semiHidden/>
    <w:locked/>
    <w:rsid w:val="006E6B08"/>
    <w:rPr>
      <w:rFonts w:cs="Arial"/>
      <w:b/>
      <w:sz w:val="22"/>
      <w:lang w:val="hu-HU" w:eastAsia="hu-HU" w:bidi="ar-SA"/>
    </w:rPr>
  </w:style>
  <w:style w:type="character" w:customStyle="1" w:styleId="Heading7Char">
    <w:name w:val="Heading 7 Char"/>
    <w:semiHidden/>
    <w:locked/>
    <w:rsid w:val="006E6B08"/>
    <w:rPr>
      <w:rFonts w:cs="Arial"/>
      <w:b/>
      <w:sz w:val="22"/>
      <w:szCs w:val="22"/>
      <w:lang w:val="en-GB" w:eastAsia="hu-HU" w:bidi="ar-SA"/>
    </w:rPr>
  </w:style>
  <w:style w:type="character" w:customStyle="1" w:styleId="Caption1">
    <w:name w:val="Caption1"/>
    <w:semiHidden/>
    <w:rsid w:val="006E6B08"/>
    <w:rPr>
      <w:rFonts w:cs="Times New Roman"/>
      <w:b/>
      <w:bCs/>
      <w:sz w:val="20"/>
    </w:rPr>
  </w:style>
  <w:style w:type="character" w:customStyle="1" w:styleId="FooterChar">
    <w:name w:val="Footer Char"/>
    <w:aliases w:val="Footer 2 Char"/>
    <w:semiHidden/>
    <w:locked/>
    <w:rsid w:val="006E6B08"/>
    <w:rPr>
      <w:rFonts w:ascii="Arial" w:hAnsi="Arial" w:cs="Arial"/>
      <w:noProof/>
      <w:color w:val="333333"/>
      <w:sz w:val="22"/>
      <w:szCs w:val="22"/>
      <w:lang w:val="hu-HU" w:eastAsia="hu-HU" w:bidi="ar-SA"/>
    </w:rPr>
  </w:style>
  <w:style w:type="character" w:customStyle="1" w:styleId="DocumentMapChar">
    <w:name w:val="Document Map Char"/>
    <w:semiHidden/>
    <w:locked/>
    <w:rsid w:val="006E6B08"/>
    <w:rPr>
      <w:rFonts w:ascii="Tahoma" w:hAnsi="Tahoma" w:cs="Tahoma"/>
      <w:sz w:val="16"/>
      <w:szCs w:val="16"/>
      <w:lang w:val="hu-HU" w:eastAsia="hu-HU" w:bidi="ar-SA"/>
    </w:rPr>
  </w:style>
  <w:style w:type="character" w:customStyle="1" w:styleId="BodyText2Char">
    <w:name w:val="Body Text 2 Char"/>
    <w:semiHidden/>
    <w:locked/>
    <w:rsid w:val="006E6B08"/>
    <w:rPr>
      <w:rFonts w:cs="Arial"/>
      <w:sz w:val="22"/>
      <w:szCs w:val="22"/>
      <w:lang w:val="hu-HU" w:eastAsia="hu-HU" w:bidi="ar-SA"/>
    </w:rPr>
  </w:style>
  <w:style w:type="character" w:customStyle="1" w:styleId="CommentSubjectChar">
    <w:name w:val="Comment Subject Char"/>
    <w:semiHidden/>
    <w:locked/>
    <w:rsid w:val="006E6B08"/>
    <w:rPr>
      <w:rFonts w:eastAsia="Times New Roman" w:cs="Arial"/>
      <w:b/>
      <w:bCs/>
      <w:kern w:val="22"/>
      <w:lang w:val="hu-HU" w:eastAsia="ar-SA" w:bidi="ar-SA"/>
    </w:rPr>
  </w:style>
  <w:style w:type="character" w:customStyle="1" w:styleId="BodyTextIndent2Char">
    <w:name w:val="Body Text Indent 2 Char"/>
    <w:semiHidden/>
    <w:locked/>
    <w:rsid w:val="006E6B08"/>
    <w:rPr>
      <w:rFonts w:cs="Arial"/>
      <w:sz w:val="24"/>
      <w:szCs w:val="24"/>
      <w:lang w:val="en-GB" w:eastAsia="ar-SA" w:bidi="ar-SA"/>
    </w:rPr>
  </w:style>
  <w:style w:type="character" w:customStyle="1" w:styleId="Finomkiemels1">
    <w:name w:val="Finom kiemelés1"/>
    <w:semiHidden/>
    <w:rsid w:val="006E6B08"/>
    <w:rPr>
      <w:rFonts w:ascii="Times New Roman" w:hAnsi="Times New Roman" w:cs="Times New Roman"/>
      <w:i/>
      <w:iCs/>
      <w:color w:val="auto"/>
      <w:sz w:val="22"/>
    </w:rPr>
  </w:style>
  <w:style w:type="paragraph" w:customStyle="1" w:styleId="j-cmsor6">
    <w:name w:val="j- címsor 6"/>
    <w:basedOn w:val="j-cmsor50"/>
    <w:next w:val="j-nomlszveg"/>
    <w:autoRedefine/>
    <w:rsid w:val="006E6B08"/>
    <w:rPr>
      <w:sz w:val="22"/>
      <w:szCs w:val="22"/>
    </w:rPr>
  </w:style>
  <w:style w:type="paragraph" w:customStyle="1" w:styleId="j-cmsor60">
    <w:name w:val="j- címsor6"/>
    <w:basedOn w:val="j-cmsor6"/>
    <w:next w:val="j-nomlszveg"/>
    <w:autoRedefine/>
    <w:rsid w:val="006E6B08"/>
    <w:rPr>
      <w:i w:val="0"/>
    </w:rPr>
  </w:style>
  <w:style w:type="numbering" w:customStyle="1" w:styleId="1111111">
    <w:name w:val="1 / 1.1 / 1.1.11"/>
    <w:basedOn w:val="Nemlista"/>
    <w:next w:val="111111"/>
    <w:semiHidden/>
    <w:rsid w:val="006E6B08"/>
  </w:style>
  <w:style w:type="numbering" w:customStyle="1" w:styleId="1ai1">
    <w:name w:val="1 / a / i1"/>
    <w:basedOn w:val="Nemlista"/>
    <w:next w:val="1ai"/>
    <w:semiHidden/>
    <w:rsid w:val="006E6B08"/>
  </w:style>
  <w:style w:type="numbering" w:customStyle="1" w:styleId="Cikkelyrsz1">
    <w:name w:val="Cikkely / rész1"/>
    <w:basedOn w:val="Nemlista"/>
    <w:next w:val="Cikkelyrsz"/>
    <w:semiHidden/>
    <w:rsid w:val="006E6B08"/>
  </w:style>
  <w:style w:type="paragraph" w:styleId="Dtum">
    <w:name w:val="Date"/>
    <w:basedOn w:val="Norml"/>
    <w:next w:val="Norml"/>
    <w:link w:val="DtumChar"/>
    <w:semiHidden/>
    <w:rsid w:val="006E6B08"/>
    <w:pPr>
      <w:ind w:firstLine="0"/>
    </w:pPr>
    <w:rPr>
      <w:kern w:val="22"/>
    </w:rPr>
  </w:style>
  <w:style w:type="character" w:customStyle="1" w:styleId="DtumChar">
    <w:name w:val="Dátum Char"/>
    <w:basedOn w:val="Bekezdsalapbettpusa"/>
    <w:link w:val="Dtum"/>
    <w:semiHidden/>
    <w:rsid w:val="006E6B08"/>
    <w:rPr>
      <w:rFonts w:cs="Arial"/>
      <w:kern w:val="22"/>
      <w:sz w:val="22"/>
      <w:szCs w:val="24"/>
    </w:rPr>
  </w:style>
  <w:style w:type="table" w:customStyle="1" w:styleId="Egyszertblzat11">
    <w:name w:val="Egyszerű táblázat 11"/>
    <w:basedOn w:val="Normltblzat"/>
    <w:next w:val="Egyszertblzat1"/>
    <w:semiHidden/>
    <w:rsid w:val="006E6B08"/>
    <w:pPr>
      <w:suppressAutoHyphens/>
      <w:spacing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gyszertblzat21">
    <w:name w:val="Egyszerű táblázat 21"/>
    <w:basedOn w:val="Normltblzat"/>
    <w:next w:val="Egyszertblzat2"/>
    <w:semiHidden/>
    <w:rsid w:val="006E6B08"/>
    <w:pPr>
      <w:suppressAutoHyphens/>
      <w:spacing w:after="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gyszertblzat31">
    <w:name w:val="Egyszerű táblázat 31"/>
    <w:basedOn w:val="Normltblzat"/>
    <w:next w:val="Egyszertblzat3"/>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Elegnstblzat1">
    <w:name w:val="Elegáns táblázat1"/>
    <w:basedOn w:val="Normltblzat"/>
    <w:next w:val="Elegnstblzat"/>
    <w:semiHidden/>
    <w:rsid w:val="006E6B08"/>
    <w:pPr>
      <w:suppressAutoHyphens/>
      <w:spacing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alrsa">
    <w:name w:val="E-mail Signature"/>
    <w:basedOn w:val="Norml"/>
    <w:link w:val="E-mailalrsaChar"/>
    <w:semiHidden/>
    <w:rsid w:val="006E6B08"/>
    <w:pPr>
      <w:ind w:firstLine="0"/>
    </w:pPr>
    <w:rPr>
      <w:kern w:val="22"/>
    </w:rPr>
  </w:style>
  <w:style w:type="character" w:customStyle="1" w:styleId="E-mailalrsaChar">
    <w:name w:val="E-mail aláírása Char"/>
    <w:basedOn w:val="Bekezdsalapbettpusa"/>
    <w:link w:val="E-mailalrsa"/>
    <w:semiHidden/>
    <w:rsid w:val="006E6B08"/>
    <w:rPr>
      <w:rFonts w:cs="Arial"/>
      <w:kern w:val="22"/>
      <w:sz w:val="22"/>
      <w:szCs w:val="24"/>
    </w:rPr>
  </w:style>
  <w:style w:type="table" w:customStyle="1" w:styleId="Finomtblzat11">
    <w:name w:val="Finom táblázat 11"/>
    <w:basedOn w:val="Normltblzat"/>
    <w:next w:val="Finomtblzat1"/>
    <w:semiHidden/>
    <w:rsid w:val="006E6B08"/>
    <w:pPr>
      <w:suppressAutoHyphens/>
      <w:spacing w:after="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Finomtblzat21">
    <w:name w:val="Finom táblázat 21"/>
    <w:basedOn w:val="Normltblzat"/>
    <w:next w:val="Finomtblzat2"/>
    <w:semiHidden/>
    <w:rsid w:val="006E6B08"/>
    <w:pPr>
      <w:suppressAutoHyphens/>
      <w:spacing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zikustblzat11">
    <w:name w:val="Klasszikus táblázat 11"/>
    <w:basedOn w:val="Normltblzat"/>
    <w:next w:val="Klasszikustblzat1"/>
    <w:semiHidden/>
    <w:rsid w:val="006E6B08"/>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zikustblzat21">
    <w:name w:val="Klasszikus táblázat 21"/>
    <w:basedOn w:val="Normltblzat"/>
    <w:next w:val="Klasszikustblzat2"/>
    <w:semiHidden/>
    <w:rsid w:val="006E6B08"/>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szikustblzat31">
    <w:name w:val="Klasszikus táblázat 31"/>
    <w:basedOn w:val="Normltblzat"/>
    <w:next w:val="Klasszikustblzat3"/>
    <w:semiHidden/>
    <w:rsid w:val="006E6B08"/>
    <w:pPr>
      <w:suppressAutoHyphens/>
      <w:spacing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szikustblzat41">
    <w:name w:val="Klasszikus táblázat 41"/>
    <w:basedOn w:val="Normltblzat"/>
    <w:next w:val="Klasszikustblzat4"/>
    <w:semiHidden/>
    <w:rsid w:val="006E6B08"/>
    <w:pPr>
      <w:suppressAutoHyphens/>
      <w:spacing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a2">
    <w:name w:val="List 2"/>
    <w:basedOn w:val="Norml"/>
    <w:semiHidden/>
    <w:rsid w:val="006E6B08"/>
    <w:pPr>
      <w:ind w:left="566" w:hanging="283"/>
    </w:pPr>
    <w:rPr>
      <w:kern w:val="22"/>
    </w:rPr>
  </w:style>
  <w:style w:type="table" w:customStyle="1" w:styleId="Listaszertblzat11">
    <w:name w:val="Listaszerű táblázat 11"/>
    <w:basedOn w:val="Normltblzat"/>
    <w:next w:val="Listaszertblzat1"/>
    <w:semiHidden/>
    <w:rsid w:val="006E6B08"/>
    <w:pPr>
      <w:suppressAutoHyphens/>
      <w:spacing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szertblzat21">
    <w:name w:val="Listaszerű táblázat 21"/>
    <w:basedOn w:val="Normltblzat"/>
    <w:next w:val="Listaszertblzat2"/>
    <w:semiHidden/>
    <w:rsid w:val="006E6B08"/>
    <w:pPr>
      <w:suppressAutoHyphens/>
      <w:spacing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szertblzat31">
    <w:name w:val="Listaszerű táblázat 31"/>
    <w:basedOn w:val="Normltblzat"/>
    <w:next w:val="Listaszertblzat3"/>
    <w:semiHidden/>
    <w:rsid w:val="006E6B08"/>
    <w:pPr>
      <w:suppressAutoHyphens/>
      <w:spacing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aszertblzat41">
    <w:name w:val="Listaszerű táblázat 41"/>
    <w:basedOn w:val="Normltblzat"/>
    <w:next w:val="Listaszertblzat4"/>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szertblzat51">
    <w:name w:val="Listaszerű táblázat 51"/>
    <w:basedOn w:val="Normltblzat"/>
    <w:next w:val="Listaszertblzat5"/>
    <w:semiHidden/>
    <w:rsid w:val="006E6B08"/>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Listaszertblzat61">
    <w:name w:val="Listaszerű táblázat 61"/>
    <w:basedOn w:val="Normltblzat"/>
    <w:next w:val="Listaszertblzat6"/>
    <w:semiHidden/>
    <w:rsid w:val="006E6B08"/>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Listaszertblzat71">
    <w:name w:val="Listaszerű táblázat 71"/>
    <w:basedOn w:val="Normltblzat"/>
    <w:next w:val="Listaszertblzat7"/>
    <w:semiHidden/>
    <w:rsid w:val="006E6B08"/>
    <w:pPr>
      <w:suppressAutoHyphens/>
      <w:spacing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staszertblzat81">
    <w:name w:val="Listaszerű táblázat 81"/>
    <w:basedOn w:val="Normltblzat"/>
    <w:next w:val="Listaszertblzat8"/>
    <w:semiHidden/>
    <w:rsid w:val="006E6B08"/>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Megszlts">
    <w:name w:val="Salutation"/>
    <w:basedOn w:val="Norml"/>
    <w:next w:val="Norml"/>
    <w:link w:val="MegszltsChar"/>
    <w:semiHidden/>
    <w:rsid w:val="006E6B08"/>
    <w:pPr>
      <w:ind w:firstLine="0"/>
    </w:pPr>
    <w:rPr>
      <w:kern w:val="22"/>
    </w:rPr>
  </w:style>
  <w:style w:type="character" w:customStyle="1" w:styleId="MegszltsChar">
    <w:name w:val="Megszólítás Char"/>
    <w:basedOn w:val="Bekezdsalapbettpusa"/>
    <w:link w:val="Megszlts"/>
    <w:semiHidden/>
    <w:rsid w:val="006E6B08"/>
    <w:rPr>
      <w:rFonts w:cs="Arial"/>
      <w:kern w:val="22"/>
      <w:sz w:val="22"/>
      <w:szCs w:val="24"/>
    </w:rPr>
  </w:style>
  <w:style w:type="table" w:customStyle="1" w:styleId="Moderntblzat1">
    <w:name w:val="Modern táblázat1"/>
    <w:basedOn w:val="Normltblzat"/>
    <w:next w:val="Moderntblzat"/>
    <w:semiHidden/>
    <w:rsid w:val="006E6B08"/>
    <w:pPr>
      <w:suppressAutoHyphens/>
      <w:spacing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lbehzs">
    <w:name w:val="Normal Indent"/>
    <w:basedOn w:val="Norml"/>
    <w:semiHidden/>
    <w:rsid w:val="006E6B08"/>
    <w:pPr>
      <w:ind w:left="708" w:firstLine="0"/>
    </w:pPr>
    <w:rPr>
      <w:kern w:val="22"/>
    </w:rPr>
  </w:style>
  <w:style w:type="table" w:customStyle="1" w:styleId="Oszlopostblzat11">
    <w:name w:val="Oszlopos táblázat 11"/>
    <w:basedOn w:val="Normltblzat"/>
    <w:next w:val="Oszlopostblzat1"/>
    <w:semiHidden/>
    <w:rsid w:val="006E6B08"/>
    <w:pPr>
      <w:suppressAutoHyphens/>
      <w:spacing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szlopostblzat21">
    <w:name w:val="Oszlopos táblázat 21"/>
    <w:basedOn w:val="Normltblzat"/>
    <w:next w:val="Oszlopostblzat2"/>
    <w:semiHidden/>
    <w:rsid w:val="006E6B08"/>
    <w:pPr>
      <w:suppressAutoHyphens/>
      <w:spacing w:after="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szlopostblzat31">
    <w:name w:val="Oszlopos táblázat 31"/>
    <w:basedOn w:val="Normltblzat"/>
    <w:next w:val="Oszlopostblzat3"/>
    <w:semiHidden/>
    <w:rsid w:val="006E6B08"/>
    <w:pPr>
      <w:suppressAutoHyphens/>
      <w:spacing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Oszlopostblzat41">
    <w:name w:val="Oszlopos táblázat 41"/>
    <w:basedOn w:val="Normltblzat"/>
    <w:next w:val="Oszlopostblzat4"/>
    <w:semiHidden/>
    <w:rsid w:val="006E6B08"/>
    <w:pPr>
      <w:suppressAutoHyphens/>
      <w:spacing w:after="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Oszlopostblzat51">
    <w:name w:val="Oszlopos táblázat 51"/>
    <w:basedOn w:val="Normltblzat"/>
    <w:next w:val="Oszlopostblzat5"/>
    <w:semiHidden/>
    <w:rsid w:val="006E6B08"/>
    <w:pPr>
      <w:suppressAutoHyphens/>
      <w:spacing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Profitblzat1">
    <w:name w:val="Profi táblázat1"/>
    <w:basedOn w:val="Normltblzat"/>
    <w:next w:val="Profitblzat"/>
    <w:semiHidden/>
    <w:rsid w:val="006E6B08"/>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Rcsostblzat11">
    <w:name w:val="Rácsos táblázat 11"/>
    <w:basedOn w:val="Normltblzat"/>
    <w:next w:val="Rcsostblzat1"/>
    <w:semiHidden/>
    <w:rsid w:val="006E6B08"/>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csostblzat21">
    <w:name w:val="Rácsos táblázat 21"/>
    <w:basedOn w:val="Normltblzat"/>
    <w:next w:val="Rcsostblzat2"/>
    <w:semiHidden/>
    <w:rsid w:val="006E6B08"/>
    <w:pPr>
      <w:suppressAutoHyphens/>
      <w:spacing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Rcsostblzat31">
    <w:name w:val="Rácsos táblázat 31"/>
    <w:basedOn w:val="Normltblzat"/>
    <w:next w:val="Rcsostblzat3"/>
    <w:semiHidden/>
    <w:rsid w:val="006E6B08"/>
    <w:pPr>
      <w:suppressAutoHyphens/>
      <w:spacing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Rcsostblzat41">
    <w:name w:val="Rácsos táblázat 41"/>
    <w:basedOn w:val="Normltblzat"/>
    <w:next w:val="Rcsostblzat4"/>
    <w:semiHidden/>
    <w:rsid w:val="006E6B08"/>
    <w:pPr>
      <w:suppressAutoHyphens/>
      <w:spacing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Rcsostblzat51">
    <w:name w:val="Rácsos táblázat 51"/>
    <w:basedOn w:val="Normltblzat"/>
    <w:next w:val="Rcsostblzat5"/>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sostblzat61">
    <w:name w:val="Rácsos táblázat 61"/>
    <w:basedOn w:val="Normltblzat"/>
    <w:next w:val="Rcsostblzat6"/>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sostblzat71">
    <w:name w:val="Rácsos táblázat 71"/>
    <w:basedOn w:val="Normltblzat"/>
    <w:next w:val="Rcsostblzat7"/>
    <w:semiHidden/>
    <w:rsid w:val="006E6B08"/>
    <w:pPr>
      <w:suppressAutoHyphens/>
      <w:spacing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sostblzat81">
    <w:name w:val="Rácsos táblázat 81"/>
    <w:basedOn w:val="Normltblzat"/>
    <w:next w:val="Rcsostblzat8"/>
    <w:semiHidden/>
    <w:rsid w:val="006E6B08"/>
    <w:pPr>
      <w:suppressAutoHyphens/>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zmozottlista4">
    <w:name w:val="List Number 4"/>
    <w:basedOn w:val="Norml"/>
    <w:semiHidden/>
    <w:rsid w:val="006E6B08"/>
    <w:pPr>
      <w:tabs>
        <w:tab w:val="num" w:pos="1209"/>
      </w:tabs>
      <w:ind w:left="1209" w:hanging="360"/>
    </w:pPr>
    <w:rPr>
      <w:kern w:val="22"/>
    </w:rPr>
  </w:style>
  <w:style w:type="table" w:customStyle="1" w:styleId="Tarkatblzat11">
    <w:name w:val="Tarka táblázat 11"/>
    <w:basedOn w:val="Normltblzat"/>
    <w:next w:val="Tarkatblzat1"/>
    <w:semiHidden/>
    <w:rsid w:val="006E6B08"/>
    <w:pPr>
      <w:suppressAutoHyphens/>
      <w:spacing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rkatblzat21">
    <w:name w:val="Tarka táblázat 21"/>
    <w:basedOn w:val="Normltblzat"/>
    <w:next w:val="Tarkatblzat2"/>
    <w:semiHidden/>
    <w:rsid w:val="006E6B08"/>
    <w:pPr>
      <w:suppressAutoHyphens/>
      <w:spacing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rkatblzat31">
    <w:name w:val="Tarka táblázat 31"/>
    <w:basedOn w:val="Normltblzat"/>
    <w:next w:val="Tarkatblzat3"/>
    <w:semiHidden/>
    <w:rsid w:val="006E6B08"/>
    <w:pPr>
      <w:suppressAutoHyphens/>
      <w:spacing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mrapltblzat1">
    <w:name w:val="Témára épülő táblázat1"/>
    <w:basedOn w:val="Normltblzat"/>
    <w:next w:val="Tmrapltblzat"/>
    <w:semiHidden/>
    <w:rsid w:val="006E6B08"/>
    <w:pPr>
      <w:suppressAutoHyphens/>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hatstblzat11">
    <w:name w:val="Térhatású táblázat 11"/>
    <w:basedOn w:val="Normltblzat"/>
    <w:next w:val="Trhatstblzat1"/>
    <w:semiHidden/>
    <w:rsid w:val="006E6B08"/>
    <w:pPr>
      <w:suppressAutoHyphens/>
      <w:spacing w:after="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rhatstblzat21">
    <w:name w:val="Térhatású táblázat 21"/>
    <w:basedOn w:val="Normltblzat"/>
    <w:next w:val="Trhatstblzat2"/>
    <w:semiHidden/>
    <w:rsid w:val="006E6B08"/>
    <w:pPr>
      <w:suppressAutoHyphens/>
      <w:spacing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hatstblzat31">
    <w:name w:val="Térhatású táblázat 31"/>
    <w:basedOn w:val="Normltblzat"/>
    <w:next w:val="Trhatstblzat3"/>
    <w:semiHidden/>
    <w:rsid w:val="006E6B08"/>
    <w:pPr>
      <w:suppressAutoHyphens/>
      <w:spacing w:after="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Webestblzat11">
    <w:name w:val="Webes táblázat 11"/>
    <w:basedOn w:val="Normltblzat"/>
    <w:next w:val="Webestblzat1"/>
    <w:semiHidden/>
    <w:rsid w:val="006E6B08"/>
    <w:pPr>
      <w:suppressAutoHyphens/>
      <w:spacing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estblzat21">
    <w:name w:val="Webes táblázat 21"/>
    <w:basedOn w:val="Normltblzat"/>
    <w:next w:val="Webestblzat2"/>
    <w:semiHidden/>
    <w:rsid w:val="006E6B08"/>
    <w:pPr>
      <w:suppressAutoHyphens/>
      <w:spacing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estblzat31">
    <w:name w:val="Webes táblázat 31"/>
    <w:basedOn w:val="Normltblzat"/>
    <w:next w:val="Webestblzat3"/>
    <w:semiHidden/>
    <w:rsid w:val="006E6B08"/>
    <w:pPr>
      <w:suppressAutoHyphens/>
      <w:spacing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lushj">
    <w:name w:val="Stílus hj"/>
    <w:basedOn w:val="Norml"/>
    <w:link w:val="StlushjChar"/>
    <w:semiHidden/>
    <w:qFormat/>
    <w:rsid w:val="006E6B08"/>
    <w:pPr>
      <w:suppressAutoHyphens w:val="0"/>
      <w:spacing w:after="0"/>
      <w:ind w:firstLine="360"/>
    </w:pPr>
    <w:rPr>
      <w:rFonts w:ascii="Arial" w:eastAsia="Times New Roman" w:hAnsi="Arial"/>
      <w:kern w:val="0"/>
      <w:sz w:val="20"/>
      <w:szCs w:val="20"/>
      <w:lang w:eastAsia="en-US" w:bidi="en-US"/>
    </w:rPr>
  </w:style>
  <w:style w:type="character" w:customStyle="1" w:styleId="StlushjChar">
    <w:name w:val="Stílus hj Char"/>
    <w:link w:val="Stlushj"/>
    <w:semiHidden/>
    <w:rsid w:val="006E6B08"/>
    <w:rPr>
      <w:rFonts w:ascii="Arial" w:eastAsia="Times New Roman" w:hAnsi="Arial" w:cs="Arial"/>
      <w:lang w:eastAsia="en-US" w:bidi="en-US"/>
    </w:rPr>
  </w:style>
  <w:style w:type="paragraph" w:customStyle="1" w:styleId="Szunet">
    <w:name w:val="Szunet"/>
    <w:basedOn w:val="Norml"/>
    <w:semiHidden/>
    <w:rsid w:val="006E6B08"/>
    <w:pPr>
      <w:tabs>
        <w:tab w:val="left" w:pos="568"/>
      </w:tabs>
      <w:suppressAutoHyphens w:val="0"/>
      <w:spacing w:before="720" w:after="0"/>
      <w:ind w:firstLine="0"/>
      <w:jc w:val="left"/>
    </w:pPr>
    <w:rPr>
      <w:rFonts w:eastAsia="Times New Roman" w:cs="Times New Roman"/>
      <w:kern w:val="0"/>
      <w:sz w:val="24"/>
    </w:rPr>
  </w:style>
  <w:style w:type="paragraph" w:customStyle="1" w:styleId="Default">
    <w:name w:val="Default"/>
    <w:semiHidden/>
    <w:rsid w:val="006E6B08"/>
    <w:pPr>
      <w:autoSpaceDE w:val="0"/>
      <w:autoSpaceDN w:val="0"/>
      <w:adjustRightInd w:val="0"/>
    </w:pPr>
    <w:rPr>
      <w:rFonts w:eastAsia="Times New Roman"/>
      <w:color w:val="000000"/>
      <w:sz w:val="24"/>
      <w:szCs w:val="24"/>
    </w:rPr>
  </w:style>
  <w:style w:type="paragraph" w:customStyle="1" w:styleId="CM4">
    <w:name w:val="CM4"/>
    <w:basedOn w:val="Default"/>
    <w:next w:val="Default"/>
    <w:semiHidden/>
    <w:rsid w:val="006E6B08"/>
    <w:rPr>
      <w:rFonts w:ascii="EUAlbertina" w:hAnsi="EUAlbertina"/>
      <w:color w:val="auto"/>
    </w:rPr>
  </w:style>
  <w:style w:type="paragraph" w:customStyle="1" w:styleId="MTCmsor2">
    <w:name w:val="MT Címsor 2"/>
    <w:basedOn w:val="Norml"/>
    <w:semiHidden/>
    <w:rsid w:val="006E6B08"/>
    <w:pPr>
      <w:keepNext/>
      <w:spacing w:before="240"/>
      <w:ind w:left="851" w:hanging="851"/>
      <w:outlineLvl w:val="1"/>
    </w:pPr>
    <w:rPr>
      <w:rFonts w:ascii="Verdana" w:eastAsia="Calibri" w:hAnsi="Verdana" w:cs="Times New Roman"/>
      <w:b/>
      <w:kern w:val="0"/>
      <w:sz w:val="24"/>
      <w:szCs w:val="20"/>
      <w:lang w:eastAsia="ar-SA"/>
    </w:rPr>
  </w:style>
  <w:style w:type="paragraph" w:customStyle="1" w:styleId="MTCmsor5">
    <w:name w:val="MT Címsor 5"/>
    <w:basedOn w:val="Norml"/>
    <w:semiHidden/>
    <w:rsid w:val="006E6B08"/>
    <w:pPr>
      <w:keepNext/>
      <w:suppressAutoHyphens w:val="0"/>
      <w:autoSpaceDE w:val="0"/>
      <w:autoSpaceDN w:val="0"/>
      <w:adjustRightInd w:val="0"/>
      <w:spacing w:before="120" w:after="0"/>
      <w:ind w:firstLine="0"/>
    </w:pPr>
    <w:rPr>
      <w:rFonts w:ascii="Verdana" w:eastAsia="Calibri" w:hAnsi="Verdana" w:cs="Verdana-Italic"/>
      <w:b/>
      <w:iCs/>
      <w:kern w:val="0"/>
      <w:sz w:val="20"/>
      <w:szCs w:val="20"/>
    </w:rPr>
  </w:style>
  <w:style w:type="paragraph" w:customStyle="1" w:styleId="Style1">
    <w:name w:val="Style 1"/>
    <w:semiHidden/>
    <w:rsid w:val="006E6B08"/>
    <w:pPr>
      <w:widowControl w:val="0"/>
      <w:autoSpaceDE w:val="0"/>
      <w:autoSpaceDN w:val="0"/>
      <w:adjustRightInd w:val="0"/>
    </w:pPr>
    <w:rPr>
      <w:rFonts w:eastAsia="Times New Roman"/>
      <w:lang w:val="en-US"/>
    </w:rPr>
  </w:style>
  <w:style w:type="paragraph" w:customStyle="1" w:styleId="Style2">
    <w:name w:val="Style 2"/>
    <w:semiHidden/>
    <w:rsid w:val="006E6B08"/>
    <w:pPr>
      <w:widowControl w:val="0"/>
      <w:autoSpaceDE w:val="0"/>
      <w:autoSpaceDN w:val="0"/>
      <w:ind w:left="1368"/>
      <w:jc w:val="both"/>
    </w:pPr>
    <w:rPr>
      <w:rFonts w:eastAsia="Times New Roman"/>
      <w:sz w:val="26"/>
      <w:szCs w:val="26"/>
      <w:lang w:val="en-US"/>
    </w:rPr>
  </w:style>
  <w:style w:type="character" w:customStyle="1" w:styleId="CharacterStyle1">
    <w:name w:val="Character Style 1"/>
    <w:semiHidden/>
    <w:rsid w:val="006E6B08"/>
    <w:rPr>
      <w:sz w:val="26"/>
      <w:szCs w:val="26"/>
    </w:rPr>
  </w:style>
  <w:style w:type="paragraph" w:customStyle="1" w:styleId="Nincstrkz1">
    <w:name w:val="Nincs térköz1"/>
    <w:link w:val="NoSpacingChar"/>
    <w:semiHidden/>
    <w:rsid w:val="006E6B08"/>
    <w:rPr>
      <w:rFonts w:ascii="Calibri" w:eastAsia="Times New Roman" w:hAnsi="Calibri"/>
      <w:sz w:val="22"/>
      <w:szCs w:val="22"/>
      <w:lang w:val="en-US" w:eastAsia="en-US"/>
    </w:rPr>
  </w:style>
  <w:style w:type="character" w:customStyle="1" w:styleId="NoSpacingChar">
    <w:name w:val="No Spacing Char"/>
    <w:link w:val="Nincstrkz1"/>
    <w:semiHidden/>
    <w:locked/>
    <w:rsid w:val="006E6B08"/>
    <w:rPr>
      <w:rFonts w:ascii="Calibri" w:eastAsia="Times New Roman" w:hAnsi="Calibri"/>
      <w:sz w:val="22"/>
      <w:szCs w:val="22"/>
      <w:lang w:val="en-US" w:eastAsia="en-US"/>
    </w:rPr>
  </w:style>
  <w:style w:type="character" w:customStyle="1" w:styleId="Bodytext2">
    <w:name w:val="Body text2"/>
    <w:basedOn w:val="Szvegtrzs1"/>
    <w:semiHidden/>
    <w:rsid w:val="006E6B08"/>
    <w:rPr>
      <w:rFonts w:ascii="Arial" w:hAnsi="Arial"/>
      <w:sz w:val="24"/>
      <w:szCs w:val="24"/>
      <w:shd w:val="clear" w:color="auto" w:fill="FFFFFF"/>
      <w:lang w:bidi="ar-SA"/>
    </w:rPr>
  </w:style>
  <w:style w:type="character" w:customStyle="1" w:styleId="Picturecaption16">
    <w:name w:val="Picture caption (16)"/>
    <w:link w:val="Picturecaption161"/>
    <w:semiHidden/>
    <w:rsid w:val="006E6B08"/>
    <w:rPr>
      <w:rFonts w:ascii="Arial" w:hAnsi="Arial"/>
      <w:b/>
      <w:bCs/>
      <w:shd w:val="clear" w:color="auto" w:fill="FFFFFF"/>
    </w:rPr>
  </w:style>
  <w:style w:type="paragraph" w:customStyle="1" w:styleId="Picturecaption161">
    <w:name w:val="Picture caption (16)1"/>
    <w:basedOn w:val="Norml"/>
    <w:link w:val="Picturecaption16"/>
    <w:semiHidden/>
    <w:rsid w:val="006E6B08"/>
    <w:pPr>
      <w:shd w:val="clear" w:color="auto" w:fill="FFFFFF"/>
      <w:suppressAutoHyphens w:val="0"/>
      <w:spacing w:after="0" w:line="240" w:lineRule="atLeast"/>
      <w:ind w:firstLine="0"/>
      <w:jc w:val="left"/>
    </w:pPr>
    <w:rPr>
      <w:rFonts w:ascii="Arial" w:hAnsi="Arial" w:cs="Times New Roman"/>
      <w:b/>
      <w:bCs/>
      <w:kern w:val="0"/>
      <w:sz w:val="20"/>
      <w:szCs w:val="20"/>
    </w:rPr>
  </w:style>
  <w:style w:type="character" w:customStyle="1" w:styleId="Bodytext62">
    <w:name w:val="Body text (6)2"/>
    <w:basedOn w:val="Bodytext6"/>
    <w:semiHidden/>
    <w:rsid w:val="006E6B08"/>
    <w:rPr>
      <w:rFonts w:ascii="Arial" w:hAnsi="Arial"/>
      <w:sz w:val="18"/>
      <w:szCs w:val="18"/>
      <w:shd w:val="clear" w:color="auto" w:fill="FFFFFF"/>
      <w:lang w:bidi="ar-SA"/>
    </w:rPr>
  </w:style>
  <w:style w:type="character" w:customStyle="1" w:styleId="Bodytext72">
    <w:name w:val="Body text (7)2"/>
    <w:basedOn w:val="Bodytext7"/>
    <w:semiHidden/>
    <w:rsid w:val="006E6B08"/>
    <w:rPr>
      <w:rFonts w:ascii="Arial" w:hAnsi="Arial"/>
      <w:sz w:val="18"/>
      <w:szCs w:val="18"/>
      <w:shd w:val="clear" w:color="auto" w:fill="FFFFFF"/>
      <w:lang w:bidi="ar-SA"/>
    </w:rPr>
  </w:style>
  <w:style w:type="character" w:customStyle="1" w:styleId="Tablecaption3">
    <w:name w:val="Table caption (3)"/>
    <w:link w:val="Tablecaption31"/>
    <w:semiHidden/>
    <w:rsid w:val="006E6B08"/>
    <w:rPr>
      <w:rFonts w:ascii="Arial" w:hAnsi="Arial"/>
      <w:sz w:val="18"/>
      <w:szCs w:val="18"/>
      <w:shd w:val="clear" w:color="auto" w:fill="FFFFFF"/>
    </w:rPr>
  </w:style>
  <w:style w:type="character" w:customStyle="1" w:styleId="Tablecaption32">
    <w:name w:val="Table caption (3)2"/>
    <w:basedOn w:val="Tablecaption3"/>
    <w:semiHidden/>
    <w:rsid w:val="006E6B08"/>
    <w:rPr>
      <w:rFonts w:ascii="Arial" w:hAnsi="Arial"/>
      <w:sz w:val="18"/>
      <w:szCs w:val="18"/>
      <w:shd w:val="clear" w:color="auto" w:fill="FFFFFF"/>
    </w:rPr>
  </w:style>
  <w:style w:type="character" w:customStyle="1" w:styleId="Bodytext12">
    <w:name w:val="Body text (12)"/>
    <w:link w:val="Bodytext121"/>
    <w:semiHidden/>
    <w:rsid w:val="006E6B08"/>
    <w:rPr>
      <w:rFonts w:ascii="Arial" w:hAnsi="Arial"/>
      <w:b/>
      <w:bCs/>
      <w:sz w:val="18"/>
      <w:szCs w:val="18"/>
      <w:shd w:val="clear" w:color="auto" w:fill="FFFFFF"/>
    </w:rPr>
  </w:style>
  <w:style w:type="paragraph" w:customStyle="1" w:styleId="Tablecaption31">
    <w:name w:val="Table caption (3)1"/>
    <w:basedOn w:val="Norml"/>
    <w:link w:val="Tablecaption3"/>
    <w:semiHidden/>
    <w:rsid w:val="006E6B08"/>
    <w:pPr>
      <w:shd w:val="clear" w:color="auto" w:fill="FFFFFF"/>
      <w:suppressAutoHyphens w:val="0"/>
      <w:spacing w:after="0" w:line="355" w:lineRule="exact"/>
      <w:ind w:firstLine="0"/>
      <w:jc w:val="left"/>
    </w:pPr>
    <w:rPr>
      <w:rFonts w:ascii="Arial" w:hAnsi="Arial" w:cs="Times New Roman"/>
      <w:kern w:val="0"/>
      <w:sz w:val="18"/>
      <w:szCs w:val="18"/>
    </w:rPr>
  </w:style>
  <w:style w:type="paragraph" w:customStyle="1" w:styleId="Bodytext121">
    <w:name w:val="Body text (12)1"/>
    <w:basedOn w:val="Norml"/>
    <w:link w:val="Bodytext12"/>
    <w:semiHidden/>
    <w:rsid w:val="006E6B08"/>
    <w:pPr>
      <w:shd w:val="clear" w:color="auto" w:fill="FFFFFF"/>
      <w:suppressAutoHyphens w:val="0"/>
      <w:spacing w:after="0" w:line="240" w:lineRule="atLeast"/>
      <w:ind w:firstLine="0"/>
      <w:jc w:val="left"/>
    </w:pPr>
    <w:rPr>
      <w:rFonts w:ascii="Arial" w:hAnsi="Arial" w:cs="Times New Roman"/>
      <w:b/>
      <w:bCs/>
      <w:kern w:val="0"/>
      <w:sz w:val="18"/>
      <w:szCs w:val="18"/>
    </w:rPr>
  </w:style>
  <w:style w:type="paragraph" w:customStyle="1" w:styleId="MTCmsor1">
    <w:name w:val="MT Címsor 1"/>
    <w:basedOn w:val="Cmsor1"/>
    <w:semiHidden/>
    <w:rsid w:val="006E6B08"/>
    <w:pPr>
      <w:numPr>
        <w:numId w:val="0"/>
      </w:numPr>
      <w:spacing w:before="240" w:after="120"/>
      <w:jc w:val="center"/>
    </w:pPr>
    <w:rPr>
      <w:rFonts w:ascii="Verdana" w:eastAsia="Calibri" w:hAnsi="Verdana" w:cs="Arial"/>
      <w:kern w:val="32"/>
      <w:sz w:val="32"/>
      <w:lang w:eastAsia="ar-SA"/>
    </w:rPr>
  </w:style>
  <w:style w:type="character" w:customStyle="1" w:styleId="CommentTextChar1">
    <w:name w:val="Comment Text Char1"/>
    <w:locked/>
    <w:rsid w:val="006E6B08"/>
    <w:rPr>
      <w:rFonts w:cs="Times New Roman"/>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0" w:unhideWhenUsed="0" w:qFormat="1"/>
    <w:lsdException w:name="table of figures"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06375"/>
    <w:pPr>
      <w:suppressAutoHyphens/>
      <w:spacing w:after="120"/>
      <w:ind w:firstLine="284"/>
      <w:jc w:val="both"/>
    </w:pPr>
    <w:rPr>
      <w:rFonts w:cs="Arial"/>
      <w:kern w:val="1"/>
      <w:sz w:val="22"/>
      <w:szCs w:val="24"/>
    </w:rPr>
  </w:style>
  <w:style w:type="paragraph" w:styleId="Cmsor1">
    <w:name w:val="heading 1"/>
    <w:aliases w:val="Num,Numbered - 1,heading 1,FŐCÍM14arialallcaps,Cím1,1,FOCÍM14arialallcaps,FÕCÍM14arialallcaps,aCímsor 1"/>
    <w:basedOn w:val="Norml"/>
    <w:next w:val="Szvegtrzs"/>
    <w:link w:val="Cmsor1Char"/>
    <w:qFormat/>
    <w:rsid w:val="00FE0173"/>
    <w:pPr>
      <w:keepNext/>
      <w:pageBreakBefore/>
      <w:numPr>
        <w:numId w:val="18"/>
      </w:numPr>
      <w:spacing w:before="360" w:after="480"/>
      <w:outlineLvl w:val="0"/>
    </w:pPr>
    <w:rPr>
      <w:rFonts w:cs="Tahoma"/>
      <w:b/>
      <w:bCs/>
      <w:kern w:val="0"/>
      <w:sz w:val="36"/>
      <w:szCs w:val="32"/>
    </w:rPr>
  </w:style>
  <w:style w:type="paragraph" w:styleId="Cmsor2">
    <w:name w:val="heading 2"/>
    <w:aliases w:val="g,2,Cím2,a Címsor 2,adpis 2,1alcímallacps,Fejléc 2"/>
    <w:basedOn w:val="Szvegtrzs"/>
    <w:next w:val="Szvegtrzs"/>
    <w:link w:val="Cmsor2Char"/>
    <w:autoRedefine/>
    <w:qFormat/>
    <w:rsid w:val="009C4E1A"/>
    <w:pPr>
      <w:keepNext/>
      <w:numPr>
        <w:ilvl w:val="1"/>
        <w:numId w:val="18"/>
      </w:numPr>
      <w:spacing w:before="480" w:after="240"/>
      <w:ind w:left="578" w:hanging="578"/>
      <w:outlineLvl w:val="1"/>
    </w:pPr>
    <w:rPr>
      <w:b/>
      <w:bCs/>
      <w:iCs/>
      <w:sz w:val="26"/>
      <w:szCs w:val="26"/>
    </w:rPr>
  </w:style>
  <w:style w:type="paragraph" w:styleId="Cmsor3">
    <w:name w:val="heading 3"/>
    <w:aliases w:val="Cím3,3"/>
    <w:basedOn w:val="Szvegtrzs"/>
    <w:next w:val="Szvegtrzs"/>
    <w:link w:val="Cmsor3Char"/>
    <w:autoRedefine/>
    <w:qFormat/>
    <w:rsid w:val="00DB48A3"/>
    <w:pPr>
      <w:keepNext/>
      <w:numPr>
        <w:ilvl w:val="2"/>
        <w:numId w:val="1"/>
      </w:numPr>
      <w:spacing w:before="480" w:after="240"/>
      <w:ind w:left="720"/>
      <w:outlineLvl w:val="2"/>
    </w:pPr>
    <w:rPr>
      <w:b/>
      <w:bCs/>
      <w:szCs w:val="26"/>
    </w:rPr>
  </w:style>
  <w:style w:type="paragraph" w:styleId="Cmsor4">
    <w:name w:val="heading 4"/>
    <w:basedOn w:val="Norml"/>
    <w:next w:val="Norml"/>
    <w:link w:val="Cmsor4Char"/>
    <w:autoRedefine/>
    <w:qFormat/>
    <w:rsid w:val="00D85C56"/>
    <w:pPr>
      <w:keepNext/>
      <w:numPr>
        <w:ilvl w:val="3"/>
        <w:numId w:val="18"/>
      </w:numPr>
      <w:spacing w:before="600"/>
      <w:ind w:left="992" w:hanging="992"/>
      <w:outlineLvl w:val="3"/>
    </w:pPr>
    <w:rPr>
      <w:b/>
      <w:bCs/>
      <w:i/>
      <w:szCs w:val="28"/>
    </w:rPr>
  </w:style>
  <w:style w:type="paragraph" w:styleId="Cmsor5">
    <w:name w:val="heading 5"/>
    <w:basedOn w:val="Norml"/>
    <w:next w:val="Szvegtrzs"/>
    <w:link w:val="Cmsor5Char"/>
    <w:qFormat/>
    <w:rsid w:val="00415ECA"/>
    <w:pPr>
      <w:keepNext/>
      <w:numPr>
        <w:ilvl w:val="4"/>
        <w:numId w:val="18"/>
      </w:numPr>
      <w:spacing w:before="240" w:after="60"/>
      <w:ind w:right="737"/>
      <w:outlineLvl w:val="4"/>
    </w:pPr>
    <w:rPr>
      <w:b/>
      <w:kern w:val="0"/>
      <w:szCs w:val="20"/>
    </w:rPr>
  </w:style>
  <w:style w:type="paragraph" w:styleId="Cmsor6">
    <w:name w:val="heading 6"/>
    <w:basedOn w:val="Norml"/>
    <w:next w:val="Szvegtrzs"/>
    <w:link w:val="Cmsor6Char"/>
    <w:qFormat/>
    <w:rsid w:val="00AA1ED3"/>
    <w:pPr>
      <w:keepNext/>
      <w:spacing w:before="360"/>
      <w:ind w:right="737" w:firstLine="0"/>
      <w:jc w:val="left"/>
      <w:outlineLvl w:val="5"/>
    </w:pPr>
    <w:rPr>
      <w:b/>
      <w:kern w:val="0"/>
      <w:szCs w:val="20"/>
    </w:rPr>
  </w:style>
  <w:style w:type="paragraph" w:styleId="Cmsor7">
    <w:name w:val="heading 7"/>
    <w:basedOn w:val="Norml"/>
    <w:next w:val="Norml"/>
    <w:link w:val="Cmsor7Char"/>
    <w:qFormat/>
    <w:rsid w:val="00DB48A3"/>
    <w:pPr>
      <w:keepNext/>
      <w:spacing w:before="360"/>
      <w:ind w:firstLine="0"/>
      <w:jc w:val="left"/>
      <w:outlineLvl w:val="6"/>
    </w:pPr>
    <w:rPr>
      <w:i/>
      <w:kern w:val="0"/>
      <w:szCs w:val="22"/>
      <w:u w:val="single"/>
      <w:lang w:val="en-GB"/>
    </w:rPr>
  </w:style>
  <w:style w:type="paragraph" w:styleId="Cmsor8">
    <w:name w:val="heading 8"/>
    <w:basedOn w:val="Norml"/>
    <w:next w:val="Norml"/>
    <w:link w:val="Cmsor8Char"/>
    <w:qFormat/>
    <w:rsid w:val="00415ECA"/>
    <w:pPr>
      <w:numPr>
        <w:ilvl w:val="7"/>
        <w:numId w:val="18"/>
      </w:numPr>
      <w:spacing w:before="240" w:after="60"/>
      <w:ind w:right="737"/>
      <w:outlineLvl w:val="7"/>
    </w:pPr>
    <w:rPr>
      <w:i/>
      <w:kern w:val="0"/>
      <w:szCs w:val="20"/>
    </w:rPr>
  </w:style>
  <w:style w:type="paragraph" w:styleId="Cmsor9">
    <w:name w:val="heading 9"/>
    <w:basedOn w:val="Norml"/>
    <w:next w:val="Norml"/>
    <w:link w:val="Cmsor9Char"/>
    <w:qFormat/>
    <w:rsid w:val="00415ECA"/>
    <w:pPr>
      <w:numPr>
        <w:ilvl w:val="8"/>
        <w:numId w:val="18"/>
      </w:numPr>
      <w:spacing w:before="240" w:after="60"/>
      <w:ind w:right="737"/>
      <w:outlineLvl w:val="8"/>
    </w:pPr>
    <w:rPr>
      <w:b/>
      <w:i/>
      <w:kern w:val="0"/>
      <w:sz w:val="18"/>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Num Char,Numbered - 1 Char,heading 1 Char,FŐCÍM14arialallcaps Char,Cím1 Char,1 Char,FOCÍM14arialallcaps Char,FÕCÍM14arialallcaps Char,aCímsor 1 Char"/>
    <w:link w:val="Cmsor1"/>
    <w:rsid w:val="00FE0173"/>
    <w:rPr>
      <w:rFonts w:cs="Tahoma"/>
      <w:b/>
      <w:bCs/>
      <w:sz w:val="36"/>
      <w:szCs w:val="32"/>
    </w:rPr>
  </w:style>
  <w:style w:type="paragraph" w:styleId="Szvegtrzs">
    <w:name w:val="Body Text"/>
    <w:aliases w:val="Standard paragraph,Szövegtörzs Char1,Szövegtörzs Char Char, Char,Char,Szövegtörzs Char Char Char Char,Table,Heading,Text,footnote1,text,Footnote1,Imre,Char Char Char"/>
    <w:basedOn w:val="Norml"/>
    <w:link w:val="SzvegtrzsChar"/>
    <w:unhideWhenUsed/>
    <w:rsid w:val="007D0216"/>
  </w:style>
  <w:style w:type="character" w:customStyle="1" w:styleId="SzvegtrzsChar">
    <w:name w:val="Szövegtörzs Char"/>
    <w:aliases w:val="Standard paragraph Char,Szövegtörzs Char1 Char,Szövegtörzs Char Char Char, Char Char,Char Char,Szövegtörzs Char Char Char Char Char,Table Char,Heading Char,Text Char,footnote1 Char,text Char,Footnote1 Char,Imre Char,Char Char Char Char"/>
    <w:link w:val="Szvegtrzs"/>
    <w:rsid w:val="007D0216"/>
    <w:rPr>
      <w:rFonts w:eastAsia="Lucida Sans Unicode"/>
      <w:kern w:val="1"/>
      <w:sz w:val="22"/>
      <w:szCs w:val="24"/>
      <w:lang w:val="en-US"/>
    </w:rPr>
  </w:style>
  <w:style w:type="character" w:customStyle="1" w:styleId="Cmsor2Char">
    <w:name w:val="Címsor 2 Char"/>
    <w:aliases w:val="g Char,2 Char,Cím2 Char,a Címsor 2 Char,adpis 2 Char,1alcímallacps Char,Fejléc 2 Char"/>
    <w:link w:val="Cmsor2"/>
    <w:rsid w:val="009C4E1A"/>
    <w:rPr>
      <w:rFonts w:cs="Arial"/>
      <w:b/>
      <w:bCs/>
      <w:iCs/>
      <w:kern w:val="1"/>
      <w:sz w:val="26"/>
      <w:szCs w:val="26"/>
    </w:rPr>
  </w:style>
  <w:style w:type="character" w:customStyle="1" w:styleId="Cmsor3Char">
    <w:name w:val="Címsor 3 Char"/>
    <w:aliases w:val="Cím3 Char,3 Char"/>
    <w:link w:val="Cmsor3"/>
    <w:rsid w:val="00DB48A3"/>
    <w:rPr>
      <w:rFonts w:cs="Arial"/>
      <w:b/>
      <w:bCs/>
      <w:kern w:val="1"/>
      <w:sz w:val="22"/>
      <w:szCs w:val="26"/>
    </w:rPr>
  </w:style>
  <w:style w:type="character" w:customStyle="1" w:styleId="Cmsor4Char">
    <w:name w:val="Címsor 4 Char"/>
    <w:link w:val="Cmsor4"/>
    <w:rsid w:val="00D85C56"/>
    <w:rPr>
      <w:rFonts w:cs="Arial"/>
      <w:b/>
      <w:bCs/>
      <w:i/>
      <w:kern w:val="1"/>
      <w:sz w:val="22"/>
      <w:szCs w:val="28"/>
    </w:rPr>
  </w:style>
  <w:style w:type="paragraph" w:styleId="Kpalrs">
    <w:name w:val="caption"/>
    <w:aliases w:val="Char Char Char Char1"/>
    <w:basedOn w:val="Norml"/>
    <w:next w:val="Norml"/>
    <w:link w:val="KpalrsChar1"/>
    <w:qFormat/>
    <w:rsid w:val="00684726"/>
    <w:pPr>
      <w:keepNext/>
      <w:numPr>
        <w:numId w:val="19"/>
      </w:numPr>
    </w:pPr>
    <w:rPr>
      <w:b/>
      <w:bCs/>
      <w:kern w:val="28"/>
      <w:sz w:val="20"/>
      <w:szCs w:val="20"/>
      <w:lang w:eastAsia="en-US"/>
    </w:rPr>
  </w:style>
  <w:style w:type="paragraph" w:styleId="llb">
    <w:name w:val="footer"/>
    <w:aliases w:val="Footer 2"/>
    <w:basedOn w:val="Norml"/>
    <w:link w:val="llbChar"/>
    <w:uiPriority w:val="99"/>
    <w:unhideWhenUsed/>
    <w:rsid w:val="00DB48A3"/>
    <w:pPr>
      <w:tabs>
        <w:tab w:val="center" w:pos="4536"/>
        <w:tab w:val="right" w:pos="9072"/>
      </w:tabs>
      <w:spacing w:after="0"/>
    </w:pPr>
  </w:style>
  <w:style w:type="character" w:customStyle="1" w:styleId="llbChar">
    <w:name w:val="Élőláb Char"/>
    <w:aliases w:val="Footer 2 Char1"/>
    <w:basedOn w:val="Bekezdsalapbettpusa"/>
    <w:link w:val="llb"/>
    <w:uiPriority w:val="99"/>
    <w:rsid w:val="00DB48A3"/>
    <w:rPr>
      <w:rFonts w:cs="Arial"/>
      <w:kern w:val="1"/>
      <w:sz w:val="22"/>
      <w:szCs w:val="24"/>
    </w:rPr>
  </w:style>
  <w:style w:type="character" w:customStyle="1" w:styleId="Cmsor5Char">
    <w:name w:val="Címsor 5 Char"/>
    <w:link w:val="Cmsor5"/>
    <w:rsid w:val="00415ECA"/>
    <w:rPr>
      <w:rFonts w:cs="Arial"/>
      <w:b/>
      <w:sz w:val="22"/>
    </w:rPr>
  </w:style>
  <w:style w:type="character" w:customStyle="1" w:styleId="Cmsor6Char">
    <w:name w:val="Címsor 6 Char"/>
    <w:link w:val="Cmsor6"/>
    <w:rsid w:val="00AA1ED3"/>
    <w:rPr>
      <w:rFonts w:cs="Arial"/>
      <w:b/>
      <w:sz w:val="22"/>
    </w:rPr>
  </w:style>
  <w:style w:type="character" w:customStyle="1" w:styleId="Cmsor7Char">
    <w:name w:val="Címsor 7 Char"/>
    <w:link w:val="Cmsor7"/>
    <w:rsid w:val="00DB48A3"/>
    <w:rPr>
      <w:rFonts w:cs="Arial"/>
      <w:i/>
      <w:sz w:val="22"/>
      <w:szCs w:val="22"/>
      <w:u w:val="single"/>
      <w:lang w:val="en-GB"/>
    </w:rPr>
  </w:style>
  <w:style w:type="character" w:customStyle="1" w:styleId="Cmsor8Char">
    <w:name w:val="Címsor 8 Char"/>
    <w:link w:val="Cmsor8"/>
    <w:rsid w:val="00415ECA"/>
    <w:rPr>
      <w:rFonts w:cs="Arial"/>
      <w:i/>
      <w:sz w:val="22"/>
    </w:rPr>
  </w:style>
  <w:style w:type="character" w:customStyle="1" w:styleId="Cmsor9Char">
    <w:name w:val="Címsor 9 Char"/>
    <w:link w:val="Cmsor9"/>
    <w:rsid w:val="00415ECA"/>
    <w:rPr>
      <w:rFonts w:cs="Arial"/>
      <w:b/>
      <w:i/>
      <w:sz w:val="18"/>
    </w:rPr>
  </w:style>
  <w:style w:type="paragraph" w:styleId="Alcm">
    <w:name w:val="Subtitle"/>
    <w:basedOn w:val="Norml"/>
    <w:next w:val="Norml"/>
    <w:link w:val="AlcmChar"/>
    <w:qFormat/>
    <w:rsid w:val="00415ECA"/>
    <w:pPr>
      <w:numPr>
        <w:ilvl w:val="1"/>
      </w:numPr>
      <w:ind w:firstLine="284"/>
    </w:pPr>
    <w:rPr>
      <w:rFonts w:ascii="Cambria" w:eastAsia="Times New Roman" w:hAnsi="Cambria" w:cs="Times New Roman"/>
      <w:i/>
      <w:iCs/>
      <w:color w:val="4F81BD"/>
      <w:spacing w:val="15"/>
      <w:sz w:val="24"/>
      <w:lang w:val="en-US"/>
    </w:rPr>
  </w:style>
  <w:style w:type="character" w:customStyle="1" w:styleId="AlcmChar">
    <w:name w:val="Alcím Char"/>
    <w:link w:val="Alcm"/>
    <w:rsid w:val="00415ECA"/>
    <w:rPr>
      <w:rFonts w:ascii="Cambria" w:eastAsia="Times New Roman" w:hAnsi="Cambria" w:cs="Times New Roman"/>
      <w:i/>
      <w:iCs/>
      <w:color w:val="4F81BD"/>
      <w:spacing w:val="15"/>
      <w:kern w:val="1"/>
      <w:sz w:val="24"/>
      <w:szCs w:val="24"/>
      <w:lang w:val="en-US"/>
    </w:rPr>
  </w:style>
  <w:style w:type="character" w:styleId="Kiemels">
    <w:name w:val="Emphasis"/>
    <w:qFormat/>
    <w:rsid w:val="00415ECA"/>
    <w:rPr>
      <w:i/>
      <w:iCs/>
    </w:rPr>
  </w:style>
  <w:style w:type="character" w:customStyle="1" w:styleId="Lbjegyzet-karakterek">
    <w:name w:val="Lábjegyzet-karakterek"/>
    <w:semiHidden/>
    <w:rsid w:val="00C07F4B"/>
    <w:rPr>
      <w:vertAlign w:val="superscript"/>
    </w:rPr>
  </w:style>
  <w:style w:type="paragraph" w:customStyle="1" w:styleId="bra-cmebra">
    <w:name w:val="ábra-címe(ábra)"/>
    <w:basedOn w:val="j-braszm"/>
    <w:autoRedefine/>
    <w:rsid w:val="00673DDE"/>
    <w:pPr>
      <w:jc w:val="center"/>
    </w:pPr>
    <w:rPr>
      <w:b/>
    </w:rPr>
  </w:style>
  <w:style w:type="paragraph" w:styleId="Lbjegyzetszveg">
    <w:name w:val="footnote text"/>
    <w:aliases w:val="Footnote Text Imre,FußnotentextE,Footnote,Char1,Char1 Char,Fußnotentext Char"/>
    <w:basedOn w:val="Norml"/>
    <w:link w:val="LbjegyzetszvegChar"/>
    <w:semiHidden/>
    <w:rsid w:val="00C377F8"/>
    <w:pPr>
      <w:suppressLineNumbers/>
      <w:ind w:left="283" w:hanging="283"/>
    </w:pPr>
    <w:rPr>
      <w:szCs w:val="20"/>
    </w:rPr>
  </w:style>
  <w:style w:type="character" w:customStyle="1" w:styleId="LbjegyzetszvegChar">
    <w:name w:val="Lábjegyzetszöveg Char"/>
    <w:aliases w:val="Footnote Text Imre Char,FußnotentextE Char,Footnote Char,Char1 Char1,Char1 Char Char,Fußnotentext Char Char"/>
    <w:link w:val="Lbjegyzetszveg"/>
    <w:rsid w:val="00C377F8"/>
    <w:rPr>
      <w:rFonts w:eastAsia="Lucida Sans Unicode" w:cs="Arial"/>
      <w:kern w:val="1"/>
      <w:sz w:val="22"/>
      <w:lang w:val="hu-HU" w:eastAsia="hu-HU" w:bidi="ar-SA"/>
    </w:rPr>
  </w:style>
  <w:style w:type="character" w:customStyle="1" w:styleId="Kpalrs1">
    <w:name w:val="Képaláírás1"/>
    <w:semiHidden/>
    <w:rsid w:val="00C07F4B"/>
    <w:rPr>
      <w:b/>
      <w:bCs/>
      <w:sz w:val="20"/>
    </w:rPr>
  </w:style>
  <w:style w:type="numbering" w:customStyle="1" w:styleId="StlusFelsorols11pt">
    <w:name w:val="Stílus Felsorolás 11 pt"/>
    <w:basedOn w:val="Nemlista"/>
    <w:semiHidden/>
    <w:rsid w:val="00C07F4B"/>
    <w:pPr>
      <w:numPr>
        <w:numId w:val="3"/>
      </w:numPr>
    </w:pPr>
  </w:style>
  <w:style w:type="paragraph" w:customStyle="1" w:styleId="TableHeading">
    <w:name w:val="Table Heading"/>
    <w:basedOn w:val="Norml"/>
    <w:semiHidden/>
    <w:rsid w:val="00C07F4B"/>
    <w:pPr>
      <w:spacing w:before="60" w:after="60"/>
    </w:pPr>
    <w:rPr>
      <w:b/>
      <w:sz w:val="18"/>
      <w:szCs w:val="18"/>
    </w:rPr>
  </w:style>
  <w:style w:type="paragraph" w:customStyle="1" w:styleId="TableText">
    <w:name w:val="Table Text"/>
    <w:basedOn w:val="Szvegtrzs"/>
    <w:semiHidden/>
    <w:rsid w:val="00C07F4B"/>
    <w:pPr>
      <w:widowControl w:val="0"/>
      <w:spacing w:before="60" w:after="60"/>
      <w:jc w:val="left"/>
    </w:pPr>
    <w:rPr>
      <w:sz w:val="18"/>
      <w:szCs w:val="18"/>
    </w:rPr>
  </w:style>
  <w:style w:type="character" w:customStyle="1" w:styleId="WW8Num3z0">
    <w:name w:val="WW8Num3z0"/>
    <w:semiHidden/>
    <w:rsid w:val="00C07F4B"/>
    <w:rPr>
      <w:rFonts w:ascii="Times New Roman" w:hAnsi="Times New Roman" w:cs="Times New Roman"/>
    </w:rPr>
  </w:style>
  <w:style w:type="character" w:customStyle="1" w:styleId="StlusCaption">
    <w:name w:val="Stílus Caption +"/>
    <w:basedOn w:val="Kpalrs1"/>
    <w:semiHidden/>
    <w:rsid w:val="00C07F4B"/>
    <w:rPr>
      <w:b/>
      <w:bCs/>
      <w:sz w:val="20"/>
    </w:rPr>
  </w:style>
  <w:style w:type="paragraph" w:styleId="lfej">
    <w:name w:val="header"/>
    <w:basedOn w:val="Norml"/>
    <w:link w:val="lfejChar"/>
    <w:uiPriority w:val="99"/>
    <w:rsid w:val="00C07F4B"/>
    <w:pPr>
      <w:suppressLineNumbers/>
      <w:tabs>
        <w:tab w:val="center" w:pos="4818"/>
        <w:tab w:val="right" w:pos="9637"/>
      </w:tabs>
    </w:pPr>
    <w:rPr>
      <w:sz w:val="24"/>
    </w:rPr>
  </w:style>
  <w:style w:type="character" w:customStyle="1" w:styleId="lfejChar">
    <w:name w:val="Élőfej Char"/>
    <w:link w:val="lfej"/>
    <w:uiPriority w:val="99"/>
    <w:rsid w:val="00C07F4B"/>
    <w:rPr>
      <w:kern w:val="1"/>
      <w:sz w:val="24"/>
      <w:szCs w:val="24"/>
    </w:rPr>
  </w:style>
  <w:style w:type="paragraph" w:customStyle="1" w:styleId="PropHeader">
    <w:name w:val="Prop Header"/>
    <w:basedOn w:val="lfej"/>
    <w:semiHidden/>
    <w:rsid w:val="00C07F4B"/>
    <w:pPr>
      <w:tabs>
        <w:tab w:val="center" w:pos="4536"/>
        <w:tab w:val="center" w:pos="4703"/>
        <w:tab w:val="right" w:pos="9072"/>
        <w:tab w:val="right" w:pos="9406"/>
      </w:tabs>
      <w:spacing w:after="60"/>
    </w:pPr>
    <w:rPr>
      <w:rFonts w:ascii="Tahoma" w:hAnsi="Tahoma"/>
      <w:b/>
      <w:smallCaps/>
      <w:spacing w:val="30"/>
      <w:sz w:val="22"/>
      <w:szCs w:val="22"/>
    </w:rPr>
  </w:style>
  <w:style w:type="character" w:customStyle="1" w:styleId="Lbjegyzet-hivatkozs1">
    <w:name w:val="Lábjegyzet-hivatkozás1"/>
    <w:semiHidden/>
    <w:rsid w:val="00C07F4B"/>
    <w:rPr>
      <w:vertAlign w:val="superscript"/>
    </w:rPr>
  </w:style>
  <w:style w:type="character" w:customStyle="1" w:styleId="WW8Num2z0">
    <w:name w:val="WW8Num2z0"/>
    <w:semiHidden/>
    <w:rsid w:val="00C07F4B"/>
    <w:rPr>
      <w:rFonts w:ascii="Times New Roman" w:hAnsi="Times New Roman"/>
    </w:rPr>
  </w:style>
  <w:style w:type="character" w:customStyle="1" w:styleId="WW8Num4z0">
    <w:name w:val="WW8Num4z0"/>
    <w:semiHidden/>
    <w:rsid w:val="00C07F4B"/>
    <w:rPr>
      <w:rFonts w:ascii="Times New Roman" w:hAnsi="Times New Roman" w:cs="Times New Roman"/>
    </w:rPr>
  </w:style>
  <w:style w:type="character" w:customStyle="1" w:styleId="WW8Num5z0">
    <w:name w:val="WW8Num5z0"/>
    <w:semiHidden/>
    <w:rsid w:val="00C07F4B"/>
    <w:rPr>
      <w:rFonts w:ascii="Times New Roman" w:hAnsi="Times New Roman"/>
    </w:rPr>
  </w:style>
  <w:style w:type="character" w:customStyle="1" w:styleId="WW8Num6z0">
    <w:name w:val="WW8Num6z0"/>
    <w:semiHidden/>
    <w:rsid w:val="00C07F4B"/>
    <w:rPr>
      <w:rFonts w:ascii="Times New Roman" w:hAnsi="Times New Roman"/>
    </w:rPr>
  </w:style>
  <w:style w:type="character" w:customStyle="1" w:styleId="WW8Num7z0">
    <w:name w:val="WW8Num7z0"/>
    <w:semiHidden/>
    <w:rsid w:val="00C07F4B"/>
    <w:rPr>
      <w:rFonts w:ascii="Times New Roman" w:hAnsi="Times New Roman"/>
    </w:rPr>
  </w:style>
  <w:style w:type="character" w:customStyle="1" w:styleId="WW8Num8z0">
    <w:name w:val="WW8Num8z0"/>
    <w:semiHidden/>
    <w:rsid w:val="00C07F4B"/>
    <w:rPr>
      <w:rFonts w:ascii="Times New Roman" w:hAnsi="Times New Roman" w:cs="Times New Roman"/>
    </w:rPr>
  </w:style>
  <w:style w:type="character" w:customStyle="1" w:styleId="WW8Num10z0">
    <w:name w:val="WW8Num10z0"/>
    <w:semiHidden/>
    <w:rsid w:val="00C07F4B"/>
    <w:rPr>
      <w:rFonts w:ascii="Times New Roman" w:hAnsi="Times New Roman" w:cs="Times New Roman"/>
    </w:rPr>
  </w:style>
  <w:style w:type="character" w:customStyle="1" w:styleId="WW-Absatz-Standardschriftart">
    <w:name w:val="WW-Absatz-Standardschriftart"/>
    <w:semiHidden/>
    <w:rsid w:val="00C07F4B"/>
  </w:style>
  <w:style w:type="character" w:customStyle="1" w:styleId="WW-Absatz-Standardschriftart1">
    <w:name w:val="WW-Absatz-Standardschriftart1"/>
    <w:semiHidden/>
    <w:rsid w:val="00C07F4B"/>
  </w:style>
  <w:style w:type="character" w:customStyle="1" w:styleId="WW-Absatz-Standardschriftart11">
    <w:name w:val="WW-Absatz-Standardschriftart11"/>
    <w:semiHidden/>
    <w:rsid w:val="00C07F4B"/>
  </w:style>
  <w:style w:type="character" w:customStyle="1" w:styleId="WW8Num15z0">
    <w:name w:val="WW8Num15z0"/>
    <w:semiHidden/>
    <w:rsid w:val="00C07F4B"/>
    <w:rPr>
      <w:rFonts w:ascii="Times New Roman" w:hAnsi="Times New Roman"/>
    </w:rPr>
  </w:style>
  <w:style w:type="character" w:customStyle="1" w:styleId="WW8Num18z0">
    <w:name w:val="WW8Num18z0"/>
    <w:semiHidden/>
    <w:rsid w:val="00C07F4B"/>
    <w:rPr>
      <w:rFonts w:ascii="Times New Roman" w:hAnsi="Times New Roman" w:cs="Times New Roman"/>
    </w:rPr>
  </w:style>
  <w:style w:type="character" w:customStyle="1" w:styleId="Felsorolsjel">
    <w:name w:val="Felsorolásjel"/>
    <w:semiHidden/>
    <w:rsid w:val="00C07F4B"/>
    <w:rPr>
      <w:rFonts w:ascii="StarSymbol" w:eastAsia="StarSymbol" w:hAnsi="StarSymbol" w:cs="StarSymbol"/>
      <w:sz w:val="18"/>
      <w:szCs w:val="18"/>
    </w:rPr>
  </w:style>
  <w:style w:type="character" w:customStyle="1" w:styleId="WW8Num21z0">
    <w:name w:val="WW8Num21z0"/>
    <w:semiHidden/>
    <w:rsid w:val="00C07F4B"/>
    <w:rPr>
      <w:rFonts w:ascii="Times New Roman" w:hAnsi="Times New Roman"/>
    </w:rPr>
  </w:style>
  <w:style w:type="character" w:styleId="Lbjegyzet-hivatkozs">
    <w:name w:val="footnote reference"/>
    <w:aliases w:val="Footnote symbol,number"/>
    <w:semiHidden/>
    <w:rsid w:val="00C07F4B"/>
    <w:rPr>
      <w:vertAlign w:val="superscript"/>
    </w:rPr>
  </w:style>
  <w:style w:type="character" w:customStyle="1" w:styleId="WW8Num14z0">
    <w:name w:val="WW8Num14z0"/>
    <w:semiHidden/>
    <w:rsid w:val="00C07F4B"/>
    <w:rPr>
      <w:rFonts w:ascii="Wingdings" w:hAnsi="Wingdings"/>
    </w:rPr>
  </w:style>
  <w:style w:type="character" w:customStyle="1" w:styleId="WW8Num19z0">
    <w:name w:val="WW8Num19z0"/>
    <w:semiHidden/>
    <w:rsid w:val="00C07F4B"/>
    <w:rPr>
      <w:b/>
      <w:i w:val="0"/>
    </w:rPr>
  </w:style>
  <w:style w:type="character" w:customStyle="1" w:styleId="Vgjegyzet-karakterek">
    <w:name w:val="Végjegyzet-karakterek"/>
    <w:semiHidden/>
    <w:rsid w:val="00C07F4B"/>
    <w:rPr>
      <w:vertAlign w:val="superscript"/>
    </w:rPr>
  </w:style>
  <w:style w:type="character" w:customStyle="1" w:styleId="WW-Vgjegyzet-karakterek">
    <w:name w:val="WW-Végjegyzet-karakterek"/>
    <w:semiHidden/>
    <w:rsid w:val="00C07F4B"/>
  </w:style>
  <w:style w:type="character" w:customStyle="1" w:styleId="WW8Num16z0">
    <w:name w:val="WW8Num16z0"/>
    <w:semiHidden/>
    <w:rsid w:val="00C07F4B"/>
    <w:rPr>
      <w:rFonts w:ascii="Times New Roman" w:hAnsi="Times New Roman" w:cs="Times New Roman"/>
    </w:rPr>
  </w:style>
  <w:style w:type="character" w:customStyle="1" w:styleId="WW8Num17z0">
    <w:name w:val="WW8Num17z0"/>
    <w:semiHidden/>
    <w:rsid w:val="00C07F4B"/>
    <w:rPr>
      <w:rFonts w:ascii="Times New Roman" w:hAnsi="Times New Roman" w:cs="Times New Roman"/>
    </w:rPr>
  </w:style>
  <w:style w:type="character" w:customStyle="1" w:styleId="WW8Num12z0">
    <w:name w:val="WW8Num12z0"/>
    <w:semiHidden/>
    <w:rsid w:val="00C07F4B"/>
    <w:rPr>
      <w:rFonts w:ascii="Times New Roman" w:hAnsi="Times New Roman" w:cs="Times New Roman"/>
    </w:rPr>
  </w:style>
  <w:style w:type="character" w:customStyle="1" w:styleId="WW8Num9z0">
    <w:name w:val="WW8Num9z0"/>
    <w:semiHidden/>
    <w:rsid w:val="00C07F4B"/>
    <w:rPr>
      <w:rFonts w:ascii="Times New Roman" w:hAnsi="Times New Roman" w:cs="Times New Roman"/>
    </w:rPr>
  </w:style>
  <w:style w:type="character" w:customStyle="1" w:styleId="WW8Num13z0">
    <w:name w:val="WW8Num13z0"/>
    <w:semiHidden/>
    <w:rsid w:val="00C07F4B"/>
    <w:rPr>
      <w:rFonts w:ascii="Times New Roman" w:hAnsi="Times New Roman"/>
    </w:rPr>
  </w:style>
  <w:style w:type="character" w:customStyle="1" w:styleId="WW8Num20z0">
    <w:name w:val="WW8Num20z0"/>
    <w:semiHidden/>
    <w:rsid w:val="00C07F4B"/>
    <w:rPr>
      <w:rFonts w:ascii="Times New Roman" w:hAnsi="Times New Roman"/>
    </w:rPr>
  </w:style>
  <w:style w:type="character" w:customStyle="1" w:styleId="WW8Num22z0">
    <w:name w:val="WW8Num22z0"/>
    <w:semiHidden/>
    <w:rsid w:val="00C07F4B"/>
    <w:rPr>
      <w:rFonts w:ascii="Times New Roman" w:hAnsi="Times New Roman" w:cs="Times New Roman"/>
    </w:rPr>
  </w:style>
  <w:style w:type="character" w:customStyle="1" w:styleId="WW8Num23z0">
    <w:name w:val="WW8Num23z0"/>
    <w:semiHidden/>
    <w:rsid w:val="00C07F4B"/>
    <w:rPr>
      <w:rFonts w:ascii="Times New Roman" w:hAnsi="Times New Roman" w:cs="Times New Roman"/>
    </w:rPr>
  </w:style>
  <w:style w:type="character" w:styleId="Vgjegyzet-hivatkozs">
    <w:name w:val="endnote reference"/>
    <w:semiHidden/>
    <w:rsid w:val="00C07F4B"/>
    <w:rPr>
      <w:vertAlign w:val="superscript"/>
    </w:rPr>
  </w:style>
  <w:style w:type="character" w:customStyle="1" w:styleId="Szmozsjelek">
    <w:name w:val="Számozásjelek"/>
    <w:semiHidden/>
    <w:rsid w:val="00C07F4B"/>
  </w:style>
  <w:style w:type="character" w:customStyle="1" w:styleId="WW8Num11z0">
    <w:name w:val="WW8Num11z0"/>
    <w:semiHidden/>
    <w:rsid w:val="00C07F4B"/>
    <w:rPr>
      <w:rFonts w:cs="Times New Roman"/>
    </w:rPr>
  </w:style>
  <w:style w:type="paragraph" w:customStyle="1" w:styleId="Normltblabal">
    <w:name w:val="Normál.tábla.bal"/>
    <w:basedOn w:val="Norml"/>
    <w:autoRedefine/>
    <w:rsid w:val="004869BB"/>
    <w:pPr>
      <w:spacing w:after="0"/>
      <w:ind w:left="244" w:hanging="244"/>
      <w:jc w:val="left"/>
    </w:pPr>
    <w:rPr>
      <w:sz w:val="20"/>
    </w:rPr>
  </w:style>
  <w:style w:type="paragraph" w:customStyle="1" w:styleId="Felirat">
    <w:name w:val="Felirat"/>
    <w:basedOn w:val="Norml"/>
    <w:semiHidden/>
    <w:rsid w:val="00C07F4B"/>
    <w:pPr>
      <w:suppressLineNumbers/>
      <w:spacing w:before="120"/>
    </w:pPr>
    <w:rPr>
      <w:rFonts w:cs="Tahoma"/>
      <w:i/>
      <w:iCs/>
      <w:sz w:val="24"/>
    </w:rPr>
  </w:style>
  <w:style w:type="paragraph" w:customStyle="1" w:styleId="Trgymutat">
    <w:name w:val="Tárgymutató"/>
    <w:basedOn w:val="Norml"/>
    <w:semiHidden/>
    <w:rsid w:val="00C07F4B"/>
    <w:pPr>
      <w:suppressLineNumbers/>
    </w:pPr>
    <w:rPr>
      <w:rFonts w:cs="Tahoma"/>
      <w:sz w:val="24"/>
    </w:rPr>
  </w:style>
  <w:style w:type="paragraph" w:customStyle="1" w:styleId="Tblzattartalom">
    <w:name w:val="Táblázattartalom"/>
    <w:basedOn w:val="Norml"/>
    <w:semiHidden/>
    <w:rsid w:val="00C07F4B"/>
    <w:pPr>
      <w:suppressLineNumbers/>
    </w:pPr>
    <w:rPr>
      <w:sz w:val="24"/>
    </w:rPr>
  </w:style>
  <w:style w:type="paragraph" w:customStyle="1" w:styleId="PropHeader2">
    <w:name w:val="Prop Header 2"/>
    <w:basedOn w:val="PropHeader"/>
    <w:semiHidden/>
    <w:rsid w:val="00C07F4B"/>
    <w:pPr>
      <w:spacing w:after="0"/>
    </w:pPr>
    <w:rPr>
      <w:b w:val="0"/>
      <w:smallCaps w:val="0"/>
      <w:spacing w:val="0"/>
      <w:sz w:val="20"/>
      <w:szCs w:val="20"/>
    </w:rPr>
  </w:style>
  <w:style w:type="paragraph" w:customStyle="1" w:styleId="Tartalomjegyzk-fejlc">
    <w:name w:val="Tartalomjegyzék-fejléc"/>
    <w:basedOn w:val="Norml"/>
    <w:semiHidden/>
    <w:rsid w:val="0054518E"/>
    <w:pPr>
      <w:keepNext/>
      <w:suppressLineNumbers/>
      <w:spacing w:before="240"/>
    </w:pPr>
    <w:rPr>
      <w:rFonts w:ascii="Arial" w:hAnsi="Arial" w:cs="Tahoma"/>
      <w:b/>
      <w:bCs/>
      <w:sz w:val="32"/>
      <w:szCs w:val="32"/>
    </w:rPr>
  </w:style>
  <w:style w:type="paragraph" w:styleId="TJ1">
    <w:name w:val="toc 1"/>
    <w:basedOn w:val="Trgymutat"/>
    <w:autoRedefine/>
    <w:uiPriority w:val="39"/>
    <w:rsid w:val="001D7D77"/>
    <w:pPr>
      <w:tabs>
        <w:tab w:val="right" w:leader="dot" w:pos="9130"/>
      </w:tabs>
      <w:spacing w:before="120"/>
      <w:ind w:left="550" w:right="488" w:hanging="550"/>
    </w:pPr>
    <w:rPr>
      <w:b/>
      <w:sz w:val="28"/>
    </w:rPr>
  </w:style>
  <w:style w:type="paragraph" w:styleId="TJ2">
    <w:name w:val="toc 2"/>
    <w:basedOn w:val="Trgymutat"/>
    <w:autoRedefine/>
    <w:uiPriority w:val="39"/>
    <w:rsid w:val="001D7D77"/>
    <w:pPr>
      <w:tabs>
        <w:tab w:val="right" w:leader="dot" w:pos="9130"/>
      </w:tabs>
      <w:spacing w:before="120"/>
      <w:ind w:left="879" w:right="488" w:hanging="550"/>
      <w:jc w:val="left"/>
    </w:pPr>
    <w:rPr>
      <w:b/>
    </w:rPr>
  </w:style>
  <w:style w:type="paragraph" w:styleId="TJ3">
    <w:name w:val="toc 3"/>
    <w:basedOn w:val="Trgymutat"/>
    <w:autoRedefine/>
    <w:uiPriority w:val="39"/>
    <w:rsid w:val="006516C5"/>
    <w:pPr>
      <w:tabs>
        <w:tab w:val="left" w:pos="2310"/>
        <w:tab w:val="right" w:leader="dot" w:pos="9130"/>
      </w:tabs>
      <w:spacing w:after="60"/>
      <w:ind w:left="1537" w:right="601" w:hanging="879"/>
      <w:jc w:val="left"/>
    </w:pPr>
    <w:rPr>
      <w:noProof/>
      <w:sz w:val="22"/>
    </w:rPr>
  </w:style>
  <w:style w:type="paragraph" w:customStyle="1" w:styleId="BodyText31">
    <w:name w:val="Body Text 31"/>
    <w:basedOn w:val="Norml"/>
    <w:semiHidden/>
    <w:rsid w:val="00C07F4B"/>
    <w:rPr>
      <w:sz w:val="24"/>
    </w:rPr>
  </w:style>
  <w:style w:type="paragraph" w:customStyle="1" w:styleId="Bekezds">
    <w:name w:val="Bekezdés"/>
    <w:basedOn w:val="Norml"/>
    <w:link w:val="BekezdsChar1"/>
    <w:rsid w:val="00C07F4B"/>
    <w:pPr>
      <w:spacing w:before="240"/>
      <w:ind w:firstLine="709"/>
    </w:pPr>
    <w:rPr>
      <w:sz w:val="26"/>
      <w:szCs w:val="20"/>
    </w:rPr>
  </w:style>
  <w:style w:type="paragraph" w:customStyle="1" w:styleId="LbjegyzetszvegFootnoteTextImreFunotentextEFootnoteChar1Char1Char">
    <w:name w:val="Lábjegyzetszöveg.Footnote Text Imre.FußnotentextE.Footnote.Char1.Char1 Char"/>
    <w:basedOn w:val="Norml"/>
    <w:semiHidden/>
    <w:rsid w:val="00C07F4B"/>
    <w:rPr>
      <w:sz w:val="20"/>
      <w:szCs w:val="20"/>
      <w:lang w:val="en-GB"/>
    </w:rPr>
  </w:style>
  <w:style w:type="paragraph" w:styleId="TJ4">
    <w:name w:val="toc 4"/>
    <w:basedOn w:val="Trgymutat"/>
    <w:uiPriority w:val="39"/>
    <w:semiHidden/>
    <w:rsid w:val="00C07F4B"/>
    <w:pPr>
      <w:tabs>
        <w:tab w:val="right" w:leader="dot" w:pos="9637"/>
      </w:tabs>
      <w:ind w:left="849"/>
    </w:pPr>
  </w:style>
  <w:style w:type="paragraph" w:styleId="TJ5">
    <w:name w:val="toc 5"/>
    <w:basedOn w:val="Trgymutat"/>
    <w:uiPriority w:val="39"/>
    <w:semiHidden/>
    <w:rsid w:val="00C07F4B"/>
    <w:pPr>
      <w:tabs>
        <w:tab w:val="right" w:leader="dot" w:pos="9637"/>
      </w:tabs>
      <w:ind w:left="1132"/>
    </w:pPr>
  </w:style>
  <w:style w:type="paragraph" w:styleId="TJ6">
    <w:name w:val="toc 6"/>
    <w:basedOn w:val="Trgymutat"/>
    <w:uiPriority w:val="39"/>
    <w:semiHidden/>
    <w:rsid w:val="00C07F4B"/>
    <w:pPr>
      <w:tabs>
        <w:tab w:val="right" w:leader="dot" w:pos="9637"/>
      </w:tabs>
      <w:ind w:left="1415"/>
    </w:pPr>
  </w:style>
  <w:style w:type="paragraph" w:styleId="TJ7">
    <w:name w:val="toc 7"/>
    <w:basedOn w:val="Trgymutat"/>
    <w:uiPriority w:val="39"/>
    <w:semiHidden/>
    <w:rsid w:val="00C07F4B"/>
    <w:pPr>
      <w:tabs>
        <w:tab w:val="right" w:leader="dot" w:pos="9637"/>
      </w:tabs>
      <w:ind w:left="1698"/>
    </w:pPr>
  </w:style>
  <w:style w:type="paragraph" w:styleId="TJ8">
    <w:name w:val="toc 8"/>
    <w:basedOn w:val="Trgymutat"/>
    <w:uiPriority w:val="39"/>
    <w:semiHidden/>
    <w:rsid w:val="00C07F4B"/>
    <w:pPr>
      <w:tabs>
        <w:tab w:val="right" w:leader="dot" w:pos="9637"/>
      </w:tabs>
      <w:ind w:left="1981"/>
    </w:pPr>
  </w:style>
  <w:style w:type="paragraph" w:styleId="TJ9">
    <w:name w:val="toc 9"/>
    <w:basedOn w:val="Trgymutat"/>
    <w:uiPriority w:val="39"/>
    <w:semiHidden/>
    <w:rsid w:val="00C07F4B"/>
    <w:pPr>
      <w:tabs>
        <w:tab w:val="right" w:leader="dot" w:pos="9637"/>
      </w:tabs>
      <w:ind w:left="2264"/>
    </w:pPr>
  </w:style>
  <w:style w:type="paragraph" w:customStyle="1" w:styleId="Tartalomjegyzk10">
    <w:name w:val="Tartalomjegyzék 10"/>
    <w:basedOn w:val="Trgymutat"/>
    <w:semiHidden/>
    <w:rsid w:val="00C07F4B"/>
    <w:pPr>
      <w:tabs>
        <w:tab w:val="right" w:leader="dot" w:pos="9637"/>
      </w:tabs>
      <w:ind w:left="2547"/>
    </w:pPr>
  </w:style>
  <w:style w:type="paragraph" w:customStyle="1" w:styleId="Kerettartalom">
    <w:name w:val="Kerettartalom"/>
    <w:basedOn w:val="Szvegtrzs"/>
    <w:semiHidden/>
    <w:rsid w:val="00C07F4B"/>
    <w:pPr>
      <w:widowControl w:val="0"/>
    </w:pPr>
    <w:rPr>
      <w:rFonts w:cs="Times New Roman"/>
    </w:rPr>
  </w:style>
  <w:style w:type="paragraph" w:styleId="Jegyzetszveg">
    <w:name w:val="annotation text"/>
    <w:basedOn w:val="Norml"/>
    <w:link w:val="JegyzetszvegChar"/>
    <w:semiHidden/>
    <w:rsid w:val="00C07F4B"/>
    <w:rPr>
      <w:sz w:val="20"/>
      <w:szCs w:val="20"/>
    </w:rPr>
  </w:style>
  <w:style w:type="character" w:customStyle="1" w:styleId="JegyzetszvegChar">
    <w:name w:val="Jegyzetszöveg Char"/>
    <w:link w:val="Jegyzetszveg"/>
    <w:rsid w:val="00C07F4B"/>
    <w:rPr>
      <w:kern w:val="1"/>
    </w:rPr>
  </w:style>
  <w:style w:type="paragraph" w:customStyle="1" w:styleId="TableTextBullet">
    <w:name w:val="Table Text Bullet"/>
    <w:basedOn w:val="TableText"/>
    <w:semiHidden/>
    <w:rsid w:val="00C07F4B"/>
    <w:pPr>
      <w:tabs>
        <w:tab w:val="num" w:pos="926"/>
      </w:tabs>
      <w:ind w:left="-2124"/>
    </w:pPr>
  </w:style>
  <w:style w:type="paragraph" w:styleId="Buborkszveg">
    <w:name w:val="Balloon Text"/>
    <w:basedOn w:val="Norml"/>
    <w:link w:val="BuborkszvegChar"/>
    <w:uiPriority w:val="99"/>
    <w:semiHidden/>
    <w:rsid w:val="00C07F4B"/>
    <w:rPr>
      <w:rFonts w:ascii="Tahoma" w:hAnsi="Tahoma" w:cs="Tahoma"/>
      <w:sz w:val="16"/>
      <w:szCs w:val="16"/>
    </w:rPr>
  </w:style>
  <w:style w:type="character" w:customStyle="1" w:styleId="BuborkszvegChar">
    <w:name w:val="Buborékszöveg Char"/>
    <w:link w:val="Buborkszveg"/>
    <w:uiPriority w:val="99"/>
    <w:rsid w:val="00C07F4B"/>
    <w:rPr>
      <w:rFonts w:ascii="Tahoma" w:hAnsi="Tahoma" w:cs="Tahoma"/>
      <w:kern w:val="1"/>
      <w:sz w:val="16"/>
      <w:szCs w:val="16"/>
    </w:rPr>
  </w:style>
  <w:style w:type="paragraph" w:customStyle="1" w:styleId="Felsorols1">
    <w:name w:val="Felsorolás 1"/>
    <w:basedOn w:val="Felsorols"/>
    <w:semiHidden/>
    <w:rsid w:val="00C07F4B"/>
    <w:pPr>
      <w:numPr>
        <w:numId w:val="4"/>
      </w:numPr>
      <w:suppressAutoHyphens w:val="0"/>
      <w:spacing w:before="60" w:after="60" w:line="280" w:lineRule="atLeast"/>
    </w:pPr>
    <w:rPr>
      <w:rFonts w:ascii="Arial" w:eastAsia="Times New Roman" w:hAnsi="Arial"/>
      <w:snapToGrid w:val="0"/>
      <w:color w:val="000000"/>
      <w:kern w:val="0"/>
      <w:szCs w:val="20"/>
    </w:rPr>
  </w:style>
  <w:style w:type="paragraph" w:styleId="Felsorols">
    <w:name w:val="List Bullet"/>
    <w:aliases w:val="Bullet indent spaced Char Char,Bullet indent spaced Char Char Char Char Char Char Char Char Char Char Char Char Char Char Char Char Char Char Char Char Char Char Char Char Char Char Char,Bullet indent spaced"/>
    <w:basedOn w:val="Norml"/>
    <w:semiHidden/>
    <w:rsid w:val="00C07F4B"/>
    <w:pPr>
      <w:numPr>
        <w:numId w:val="2"/>
      </w:numPr>
    </w:pPr>
  </w:style>
  <w:style w:type="paragraph" w:customStyle="1" w:styleId="xl32">
    <w:name w:val="xl32"/>
    <w:basedOn w:val="Norml"/>
    <w:semiHidden/>
    <w:rsid w:val="00C07F4B"/>
    <w:pPr>
      <w:pBdr>
        <w:left w:val="single" w:sz="4" w:space="0" w:color="auto"/>
        <w:bottom w:val="single" w:sz="4" w:space="0" w:color="auto"/>
        <w:right w:val="single" w:sz="4" w:space="0" w:color="auto"/>
      </w:pBdr>
      <w:suppressAutoHyphens w:val="0"/>
      <w:spacing w:before="100" w:beforeAutospacing="1" w:after="100" w:afterAutospacing="1"/>
      <w:jc w:val="right"/>
    </w:pPr>
    <w:rPr>
      <w:rFonts w:eastAsia="Arial Unicode MS"/>
      <w:kern w:val="0"/>
      <w:sz w:val="24"/>
    </w:rPr>
  </w:style>
  <w:style w:type="character" w:styleId="Oldalszm">
    <w:name w:val="page number"/>
    <w:basedOn w:val="Bekezdsalapbettpusa"/>
    <w:semiHidden/>
    <w:rsid w:val="00C07F4B"/>
  </w:style>
  <w:style w:type="paragraph" w:customStyle="1" w:styleId="felsorols00">
    <w:name w:val="felsorolás (00)"/>
    <w:basedOn w:val="Norml"/>
    <w:link w:val="felsorols00Char1"/>
    <w:semiHidden/>
    <w:rsid w:val="00C07F4B"/>
    <w:pPr>
      <w:numPr>
        <w:numId w:val="5"/>
      </w:numPr>
    </w:pPr>
    <w:rPr>
      <w:rFonts w:eastAsia="Times New Roman"/>
      <w:kern w:val="0"/>
      <w:sz w:val="26"/>
      <w:lang w:eastAsia="ar-SA"/>
    </w:rPr>
  </w:style>
  <w:style w:type="character" w:styleId="Kiemels2">
    <w:name w:val="Strong"/>
    <w:qFormat/>
    <w:rsid w:val="00415ECA"/>
    <w:rPr>
      <w:b/>
      <w:bCs/>
    </w:rPr>
  </w:style>
  <w:style w:type="paragraph" w:customStyle="1" w:styleId="Normltblateljes">
    <w:name w:val="Normál (tábla teljes)"/>
    <w:basedOn w:val="Norml"/>
    <w:semiHidden/>
    <w:rsid w:val="00C07F4B"/>
    <w:rPr>
      <w:rFonts w:eastAsia="Times New Roman"/>
      <w:kern w:val="0"/>
      <w:szCs w:val="22"/>
      <w:lang w:eastAsia="ar-SA"/>
    </w:rPr>
  </w:style>
  <w:style w:type="paragraph" w:customStyle="1" w:styleId="felsorolsbeljebb01">
    <w:name w:val="felsorolás (beljebb01)"/>
    <w:basedOn w:val="Norml"/>
    <w:autoRedefine/>
    <w:semiHidden/>
    <w:rsid w:val="00C07F4B"/>
    <w:pPr>
      <w:tabs>
        <w:tab w:val="num" w:pos="1440"/>
      </w:tabs>
      <w:suppressAutoHyphens w:val="0"/>
      <w:spacing w:after="40"/>
      <w:ind w:left="1440" w:hanging="357"/>
    </w:pPr>
    <w:rPr>
      <w:rFonts w:eastAsia="Times New Roman"/>
      <w:snapToGrid w:val="0"/>
      <w:kern w:val="0"/>
      <w:sz w:val="26"/>
      <w:szCs w:val="26"/>
    </w:rPr>
  </w:style>
  <w:style w:type="character" w:customStyle="1" w:styleId="felsorols00CharChar">
    <w:name w:val="felsorolás (00) Char Char"/>
    <w:semiHidden/>
    <w:rsid w:val="00C07F4B"/>
    <w:rPr>
      <w:sz w:val="26"/>
      <w:szCs w:val="24"/>
      <w:lang w:val="hu-HU" w:eastAsia="ar-SA" w:bidi="ar-SA"/>
    </w:rPr>
  </w:style>
  <w:style w:type="table" w:styleId="Rcsostblzat">
    <w:name w:val="Table Grid"/>
    <w:basedOn w:val="Normltblzat"/>
    <w:rsid w:val="00C07F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palrsChar1">
    <w:name w:val="Képaláírás Char1"/>
    <w:aliases w:val="Char Char Char Char1 Char"/>
    <w:link w:val="Kpalrs"/>
    <w:rsid w:val="00684726"/>
    <w:rPr>
      <w:rFonts w:cs="Arial"/>
      <w:b/>
      <w:bCs/>
      <w:kern w:val="28"/>
      <w:lang w:eastAsia="en-US"/>
    </w:rPr>
  </w:style>
  <w:style w:type="paragraph" w:customStyle="1" w:styleId="StlusKpalrsNemFlkvrBalrazrtBal127cmEltte">
    <w:name w:val="Stílus Képaláírás + Nem Félkövér Balra zárt Bal:  127 cm Előtte:..."/>
    <w:basedOn w:val="Kpalrs"/>
    <w:next w:val="Norml"/>
    <w:link w:val="StlusKpalrsNemFlkvrBalrazrtBal127cmEltteChar"/>
    <w:rsid w:val="00C07F4B"/>
    <w:pPr>
      <w:ind w:left="720"/>
    </w:pPr>
    <w:rPr>
      <w:rFonts w:ascii="Verdana" w:eastAsia="Times New Roman" w:hAnsi="Verdana" w:cs="Times New Roman"/>
      <w:b w:val="0"/>
      <w:bCs w:val="0"/>
      <w:kern w:val="0"/>
      <w:sz w:val="16"/>
      <w:lang w:eastAsia="hu-HU"/>
    </w:rPr>
  </w:style>
  <w:style w:type="character" w:customStyle="1" w:styleId="BekezdsChar1">
    <w:name w:val="Bekezdés Char1"/>
    <w:link w:val="Bekezds"/>
    <w:rsid w:val="0087337F"/>
    <w:rPr>
      <w:kern w:val="1"/>
      <w:sz w:val="26"/>
    </w:rPr>
  </w:style>
  <w:style w:type="paragraph" w:customStyle="1" w:styleId="Felsorols123">
    <w:name w:val="Felsorolás 1.2.3."/>
    <w:basedOn w:val="Norml"/>
    <w:semiHidden/>
    <w:rsid w:val="0023553A"/>
    <w:pPr>
      <w:suppressAutoHyphens w:val="0"/>
      <w:spacing w:before="60" w:after="60"/>
    </w:pPr>
    <w:rPr>
      <w:rFonts w:ascii="Verdana" w:eastAsia="Times New Roman" w:hAnsi="Verdana"/>
      <w:kern w:val="0"/>
      <w:sz w:val="20"/>
    </w:rPr>
  </w:style>
  <w:style w:type="paragraph" w:styleId="Felsorols2">
    <w:name w:val="List Bullet 2"/>
    <w:basedOn w:val="Norml"/>
    <w:semiHidden/>
    <w:unhideWhenUsed/>
    <w:rsid w:val="0023553A"/>
    <w:pPr>
      <w:numPr>
        <w:numId w:val="6"/>
      </w:numPr>
      <w:contextualSpacing/>
    </w:pPr>
  </w:style>
  <w:style w:type="paragraph" w:customStyle="1" w:styleId="StlusCmsor5TimesNewRoman10ptEltte12ptUtna3">
    <w:name w:val="Stílus Címsor 5 + Times New Roman 10 pt Előtte:  12 pt Utána:  3 ..."/>
    <w:basedOn w:val="Cmsor5"/>
    <w:autoRedefine/>
    <w:semiHidden/>
    <w:rsid w:val="006B7E22"/>
    <w:pPr>
      <w:tabs>
        <w:tab w:val="num" w:pos="1008"/>
      </w:tabs>
      <w:suppressAutoHyphens w:val="0"/>
      <w:spacing w:before="360" w:after="120"/>
      <w:ind w:left="1009" w:right="0" w:hanging="1009"/>
    </w:pPr>
    <w:rPr>
      <w:rFonts w:eastAsia="Times New Roman"/>
      <w:iCs/>
      <w:sz w:val="20"/>
    </w:rPr>
  </w:style>
  <w:style w:type="paragraph" w:customStyle="1" w:styleId="Bekezd">
    <w:name w:val="Bekezd"/>
    <w:basedOn w:val="Norml"/>
    <w:semiHidden/>
    <w:rsid w:val="000809E5"/>
    <w:pPr>
      <w:suppressAutoHyphens w:val="0"/>
      <w:spacing w:after="240" w:line="360" w:lineRule="auto"/>
    </w:pPr>
    <w:rPr>
      <w:rFonts w:ascii="Courier New" w:eastAsia="Times New Roman" w:hAnsi="Courier New"/>
      <w:kern w:val="0"/>
      <w:sz w:val="24"/>
      <w:szCs w:val="20"/>
      <w:lang w:val="en-GB"/>
    </w:rPr>
  </w:style>
  <w:style w:type="paragraph" w:customStyle="1" w:styleId="Norml1">
    <w:name w:val="Normál1"/>
    <w:basedOn w:val="Norml"/>
    <w:rsid w:val="00B22BEB"/>
    <w:pPr>
      <w:suppressAutoHyphens w:val="0"/>
      <w:spacing w:after="60"/>
    </w:pPr>
    <w:rPr>
      <w:rFonts w:eastAsia="Times New Roman"/>
      <w:kern w:val="0"/>
      <w:szCs w:val="22"/>
      <w:lang w:val="en-GB"/>
    </w:rPr>
  </w:style>
  <w:style w:type="paragraph" w:customStyle="1" w:styleId="TblzatcmSZMJobbrazrtUtna0pt">
    <w:name w:val="Táblázat cím + SZÁM +Jobbra zárt Utána:  0 pt"/>
    <w:basedOn w:val="Norml"/>
    <w:autoRedefine/>
    <w:semiHidden/>
    <w:rsid w:val="00CF65A0"/>
    <w:pPr>
      <w:numPr>
        <w:numId w:val="8"/>
      </w:numPr>
      <w:suppressAutoHyphens w:val="0"/>
      <w:jc w:val="right"/>
    </w:pPr>
    <w:rPr>
      <w:rFonts w:eastAsia="Times New Roman"/>
      <w:b/>
      <w:bCs/>
      <w:i/>
      <w:iCs/>
      <w:kern w:val="0"/>
      <w:sz w:val="24"/>
      <w:szCs w:val="20"/>
    </w:rPr>
  </w:style>
  <w:style w:type="paragraph" w:customStyle="1" w:styleId="Tbraszmjobbra">
    <w:name w:val="T. ábraszám + jobbra"/>
    <w:basedOn w:val="Norml"/>
    <w:autoRedefine/>
    <w:semiHidden/>
    <w:rsid w:val="00CF65A0"/>
    <w:pPr>
      <w:keepNext/>
      <w:numPr>
        <w:numId w:val="11"/>
      </w:numPr>
      <w:suppressAutoHyphens w:val="0"/>
      <w:spacing w:before="120"/>
      <w:jc w:val="right"/>
    </w:pPr>
    <w:rPr>
      <w:rFonts w:eastAsia="Times New Roman"/>
      <w:b/>
      <w:i/>
      <w:kern w:val="0"/>
      <w:sz w:val="24"/>
    </w:rPr>
  </w:style>
  <w:style w:type="paragraph" w:customStyle="1" w:styleId="TableNumbers">
    <w:name w:val="Table Numbers"/>
    <w:basedOn w:val="TableText"/>
    <w:semiHidden/>
    <w:rsid w:val="003D46E9"/>
    <w:pPr>
      <w:widowControl/>
      <w:suppressAutoHyphens w:val="0"/>
      <w:spacing w:before="20" w:after="20" w:line="240" w:lineRule="atLeast"/>
      <w:ind w:right="82"/>
      <w:jc w:val="right"/>
    </w:pPr>
    <w:rPr>
      <w:rFonts w:eastAsia="MS Mincho"/>
      <w:snapToGrid w:val="0"/>
      <w:kern w:val="0"/>
      <w:sz w:val="20"/>
      <w:szCs w:val="20"/>
      <w:lang w:val="en-GB"/>
    </w:rPr>
  </w:style>
  <w:style w:type="paragraph" w:customStyle="1" w:styleId="Source">
    <w:name w:val="Source"/>
    <w:basedOn w:val="Norml"/>
    <w:semiHidden/>
    <w:rsid w:val="003D46E9"/>
    <w:pPr>
      <w:suppressAutoHyphens w:val="0"/>
      <w:spacing w:before="60" w:after="60"/>
    </w:pPr>
    <w:rPr>
      <w:rFonts w:eastAsia="Times New Roman"/>
      <w:i/>
      <w:iCs/>
      <w:snapToGrid w:val="0"/>
      <w:kern w:val="0"/>
      <w:sz w:val="20"/>
      <w:szCs w:val="20"/>
      <w:lang w:val="en-GB"/>
    </w:rPr>
  </w:style>
  <w:style w:type="paragraph" w:customStyle="1" w:styleId="Normltblzatban-kzp">
    <w:name w:val="Normál (táblázatban-közép)"/>
    <w:basedOn w:val="Norml"/>
    <w:semiHidden/>
    <w:rsid w:val="003D46E9"/>
    <w:pPr>
      <w:spacing w:after="60"/>
      <w:jc w:val="center"/>
    </w:pPr>
    <w:rPr>
      <w:rFonts w:eastAsia="Times New Roman"/>
      <w:kern w:val="0"/>
      <w:szCs w:val="22"/>
      <w:lang w:eastAsia="ar-SA"/>
    </w:rPr>
  </w:style>
  <w:style w:type="paragraph" w:customStyle="1" w:styleId="NormlCm">
    <w:name w:val="NormálCím"/>
    <w:basedOn w:val="Norml1"/>
    <w:semiHidden/>
    <w:rsid w:val="003D46E9"/>
    <w:pPr>
      <w:keepNext/>
      <w:keepLines/>
      <w:spacing w:after="240"/>
    </w:pPr>
    <w:rPr>
      <w:b/>
      <w:lang w:val="hu-HU" w:eastAsia="ar-SA"/>
    </w:rPr>
  </w:style>
  <w:style w:type="paragraph" w:customStyle="1" w:styleId="Normltblzatban">
    <w:name w:val="Normál (táblázatban)"/>
    <w:basedOn w:val="Norml"/>
    <w:semiHidden/>
    <w:rsid w:val="00A6161E"/>
    <w:pPr>
      <w:ind w:left="284" w:hanging="284"/>
    </w:pPr>
    <w:rPr>
      <w:rFonts w:eastAsia="Times New Roman"/>
      <w:kern w:val="0"/>
      <w:szCs w:val="22"/>
      <w:lang w:eastAsia="ar-SA"/>
    </w:rPr>
  </w:style>
  <w:style w:type="paragraph" w:customStyle="1" w:styleId="Exhibit">
    <w:name w:val="Exhibit"/>
    <w:basedOn w:val="Norml"/>
    <w:semiHidden/>
    <w:rsid w:val="00A6161E"/>
    <w:pPr>
      <w:keepNext/>
      <w:suppressAutoHyphens w:val="0"/>
      <w:spacing w:before="120"/>
    </w:pPr>
    <w:rPr>
      <w:rFonts w:eastAsia="Times New Roman"/>
      <w:b/>
      <w:bCs/>
      <w:snapToGrid w:val="0"/>
      <w:kern w:val="0"/>
      <w:sz w:val="20"/>
      <w:szCs w:val="20"/>
    </w:rPr>
  </w:style>
  <w:style w:type="character" w:customStyle="1" w:styleId="Norml1Char">
    <w:name w:val="Normál1 Char"/>
    <w:semiHidden/>
    <w:rsid w:val="00A6161E"/>
    <w:rPr>
      <w:sz w:val="22"/>
      <w:szCs w:val="22"/>
      <w:lang w:val="en-GB" w:eastAsia="hu-HU" w:bidi="ar-SA"/>
    </w:rPr>
  </w:style>
  <w:style w:type="paragraph" w:customStyle="1" w:styleId="Felsorols20">
    <w:name w:val="Felsorolás2"/>
    <w:basedOn w:val="Norml"/>
    <w:semiHidden/>
    <w:rsid w:val="00A6161E"/>
    <w:pPr>
      <w:numPr>
        <w:numId w:val="13"/>
      </w:numPr>
      <w:suppressAutoHyphens w:val="0"/>
    </w:pPr>
    <w:rPr>
      <w:rFonts w:eastAsia="Times New Roman"/>
      <w:kern w:val="0"/>
      <w:sz w:val="26"/>
      <w:szCs w:val="20"/>
      <w:lang w:eastAsia="ar-SA"/>
    </w:rPr>
  </w:style>
  <w:style w:type="paragraph" w:customStyle="1" w:styleId="BekezdsChar">
    <w:name w:val="Bekezdés Char"/>
    <w:basedOn w:val="Norml"/>
    <w:semiHidden/>
    <w:rsid w:val="00A6161E"/>
    <w:pPr>
      <w:suppressAutoHyphens w:val="0"/>
      <w:spacing w:before="240"/>
      <w:ind w:firstLine="709"/>
    </w:pPr>
    <w:rPr>
      <w:rFonts w:eastAsia="Times New Roman"/>
      <w:kern w:val="0"/>
      <w:sz w:val="26"/>
      <w:szCs w:val="26"/>
      <w:lang w:val="en-US"/>
    </w:rPr>
  </w:style>
  <w:style w:type="paragraph" w:customStyle="1" w:styleId="gyiratszm">
    <w:name w:val="ügyiratszám"/>
    <w:basedOn w:val="Norml"/>
    <w:next w:val="Norml"/>
    <w:semiHidden/>
    <w:rsid w:val="00A6161E"/>
    <w:pPr>
      <w:tabs>
        <w:tab w:val="left" w:pos="5103"/>
      </w:tabs>
      <w:suppressAutoHyphens w:val="0"/>
      <w:spacing w:after="720"/>
    </w:pPr>
    <w:rPr>
      <w:rFonts w:eastAsia="Times New Roman"/>
      <w:snapToGrid w:val="0"/>
      <w:kern w:val="0"/>
      <w:sz w:val="26"/>
      <w:szCs w:val="26"/>
    </w:rPr>
  </w:style>
  <w:style w:type="paragraph" w:styleId="Szvegtrzs2">
    <w:name w:val="Body Text 2"/>
    <w:basedOn w:val="Norml"/>
    <w:link w:val="Szvegtrzs2Char"/>
    <w:semiHidden/>
    <w:rsid w:val="00A6161E"/>
    <w:pPr>
      <w:suppressAutoHyphens w:val="0"/>
      <w:spacing w:line="480" w:lineRule="auto"/>
    </w:pPr>
    <w:rPr>
      <w:rFonts w:eastAsia="Times New Roman"/>
      <w:kern w:val="0"/>
      <w:szCs w:val="22"/>
    </w:rPr>
  </w:style>
  <w:style w:type="character" w:customStyle="1" w:styleId="Szvegtrzs2Char">
    <w:name w:val="Szövegtörzs 2 Char"/>
    <w:link w:val="Szvegtrzs2"/>
    <w:rsid w:val="00A6161E"/>
    <w:rPr>
      <w:rFonts w:eastAsia="Times New Roman"/>
      <w:sz w:val="22"/>
      <w:szCs w:val="22"/>
    </w:rPr>
  </w:style>
  <w:style w:type="paragraph" w:customStyle="1" w:styleId="Felsorolsszmozott">
    <w:name w:val="Felsorolás számozott"/>
    <w:basedOn w:val="Norml"/>
    <w:semiHidden/>
    <w:rsid w:val="00A6161E"/>
    <w:pPr>
      <w:tabs>
        <w:tab w:val="num" w:pos="1440"/>
      </w:tabs>
      <w:suppressAutoHyphens w:val="0"/>
      <w:ind w:left="1440" w:hanging="360"/>
    </w:pPr>
    <w:rPr>
      <w:rFonts w:eastAsia="Times New Roman"/>
      <w:kern w:val="0"/>
      <w:lang w:val="en-GB" w:eastAsia="ar-SA"/>
    </w:rPr>
  </w:style>
  <w:style w:type="character" w:styleId="Jegyzethivatkozs">
    <w:name w:val="annotation reference"/>
    <w:semiHidden/>
    <w:rsid w:val="00A6161E"/>
    <w:rPr>
      <w:sz w:val="16"/>
      <w:szCs w:val="16"/>
    </w:rPr>
  </w:style>
  <w:style w:type="paragraph" w:customStyle="1" w:styleId="Text1">
    <w:name w:val="Text 1"/>
    <w:basedOn w:val="Norml"/>
    <w:semiHidden/>
    <w:rsid w:val="00A6161E"/>
    <w:pPr>
      <w:suppressAutoHyphens w:val="0"/>
      <w:spacing w:before="120"/>
      <w:ind w:left="850"/>
    </w:pPr>
    <w:rPr>
      <w:rFonts w:eastAsia="Times New Roman"/>
      <w:kern w:val="0"/>
      <w:szCs w:val="20"/>
      <w:lang w:eastAsia="zh-CN"/>
    </w:rPr>
  </w:style>
  <w:style w:type="character" w:customStyle="1" w:styleId="BekezdsCharChar">
    <w:name w:val="Bekezdés Char Char"/>
    <w:semiHidden/>
    <w:rsid w:val="00A6161E"/>
    <w:rPr>
      <w:sz w:val="26"/>
      <w:lang w:val="hu-HU" w:eastAsia="hu-HU" w:bidi="ar-SA"/>
    </w:rPr>
  </w:style>
  <w:style w:type="paragraph" w:customStyle="1" w:styleId="felsorols00bogynlkl">
    <w:name w:val="felsorolás (00bogyónélkül)"/>
    <w:basedOn w:val="felsorols00"/>
    <w:autoRedefine/>
    <w:semiHidden/>
    <w:rsid w:val="00A6161E"/>
    <w:pPr>
      <w:numPr>
        <w:numId w:val="0"/>
      </w:numPr>
      <w:ind w:left="720" w:hanging="12"/>
    </w:pPr>
  </w:style>
  <w:style w:type="character" w:customStyle="1" w:styleId="BodyTextCharChar">
    <w:name w:val="Body Text Char Char"/>
    <w:semiHidden/>
    <w:rsid w:val="00A6161E"/>
    <w:rPr>
      <w:sz w:val="24"/>
      <w:szCs w:val="24"/>
      <w:lang w:val="hu-HU"/>
    </w:rPr>
  </w:style>
  <w:style w:type="character" w:styleId="Mrltotthiperhivatkozs">
    <w:name w:val="FollowedHyperlink"/>
    <w:uiPriority w:val="99"/>
    <w:semiHidden/>
    <w:rsid w:val="00A6161E"/>
    <w:rPr>
      <w:color w:val="800080"/>
      <w:u w:val="single"/>
    </w:rPr>
  </w:style>
  <w:style w:type="paragraph" w:customStyle="1" w:styleId="Tblaszm">
    <w:name w:val="Táblaszám"/>
    <w:basedOn w:val="Norml"/>
    <w:next w:val="Norml"/>
    <w:semiHidden/>
    <w:rsid w:val="00A6161E"/>
    <w:pPr>
      <w:keepNext/>
      <w:suppressAutoHyphens w:val="0"/>
      <w:spacing w:before="240"/>
      <w:ind w:left="432" w:hanging="432"/>
      <w:jc w:val="right"/>
    </w:pPr>
    <w:rPr>
      <w:rFonts w:eastAsia="Times New Roman"/>
      <w:snapToGrid w:val="0"/>
      <w:kern w:val="0"/>
      <w:sz w:val="26"/>
      <w:szCs w:val="26"/>
    </w:rPr>
  </w:style>
  <w:style w:type="character" w:customStyle="1" w:styleId="CharChar1">
    <w:name w:val="Char Char1"/>
    <w:semiHidden/>
    <w:rsid w:val="00A6161E"/>
    <w:rPr>
      <w:b/>
      <w:i/>
      <w:sz w:val="26"/>
      <w:szCs w:val="26"/>
      <w:lang w:val="en-GB" w:eastAsia="hu-HU" w:bidi="ar-SA"/>
    </w:rPr>
  </w:style>
  <w:style w:type="paragraph" w:customStyle="1" w:styleId="2bullets1">
    <w:name w:val="2_bullets_1"/>
    <w:basedOn w:val="Norml"/>
    <w:semiHidden/>
    <w:rsid w:val="00A6161E"/>
    <w:pPr>
      <w:tabs>
        <w:tab w:val="num" w:pos="360"/>
      </w:tabs>
      <w:suppressAutoHyphens w:val="0"/>
      <w:overflowPunct w:val="0"/>
      <w:autoSpaceDE w:val="0"/>
      <w:autoSpaceDN w:val="0"/>
      <w:adjustRightInd w:val="0"/>
      <w:spacing w:before="60" w:line="320" w:lineRule="atLeast"/>
      <w:ind w:left="360" w:hanging="360"/>
      <w:textAlignment w:val="baseline"/>
    </w:pPr>
    <w:rPr>
      <w:rFonts w:ascii="Arial" w:eastAsia="MS Mincho" w:hAnsi="Arial"/>
      <w:kern w:val="28"/>
      <w:szCs w:val="20"/>
    </w:rPr>
  </w:style>
  <w:style w:type="paragraph" w:customStyle="1" w:styleId="Normlbogy">
    <w:name w:val="Normál.bogyó"/>
    <w:basedOn w:val="Listaszerbekezds"/>
    <w:rsid w:val="00D90F4C"/>
    <w:pPr>
      <w:numPr>
        <w:numId w:val="77"/>
      </w:numPr>
      <w:ind w:left="284" w:hanging="284"/>
    </w:pPr>
  </w:style>
  <w:style w:type="paragraph" w:customStyle="1" w:styleId="4tablbels">
    <w:name w:val="4_tabl_belső"/>
    <w:basedOn w:val="Norml"/>
    <w:semiHidden/>
    <w:rsid w:val="00D90F4C"/>
    <w:pPr>
      <w:suppressAutoHyphens w:val="0"/>
      <w:overflowPunct w:val="0"/>
      <w:autoSpaceDE w:val="0"/>
      <w:autoSpaceDN w:val="0"/>
      <w:adjustRightInd w:val="0"/>
      <w:spacing w:after="0"/>
      <w:ind w:firstLine="0"/>
      <w:jc w:val="left"/>
      <w:textAlignment w:val="baseline"/>
    </w:pPr>
    <w:rPr>
      <w:rFonts w:ascii="Arial Narrow" w:eastAsia="MS Mincho" w:hAnsi="Arial Narrow"/>
      <w:kern w:val="0"/>
      <w:sz w:val="20"/>
      <w:szCs w:val="20"/>
    </w:rPr>
  </w:style>
  <w:style w:type="paragraph" w:customStyle="1" w:styleId="Normllista2">
    <w:name w:val="Normál lista2"/>
    <w:basedOn w:val="Normllista1"/>
    <w:rsid w:val="00896E03"/>
    <w:pPr>
      <w:spacing w:after="0"/>
      <w:ind w:left="568"/>
    </w:pPr>
  </w:style>
  <w:style w:type="character" w:customStyle="1" w:styleId="tw4winMark">
    <w:name w:val="tw4winMark"/>
    <w:semiHidden/>
    <w:rsid w:val="00A6161E"/>
    <w:rPr>
      <w:rFonts w:ascii="Courier New" w:hAnsi="Courier New" w:cs="Courier New"/>
      <w:vanish/>
      <w:color w:val="800080"/>
      <w:sz w:val="24"/>
      <w:szCs w:val="24"/>
      <w:vertAlign w:val="subscript"/>
    </w:rPr>
  </w:style>
  <w:style w:type="paragraph" w:styleId="Szmozottlista">
    <w:name w:val="List Number"/>
    <w:basedOn w:val="Norml"/>
    <w:semiHidden/>
    <w:rsid w:val="00A6161E"/>
    <w:pPr>
      <w:tabs>
        <w:tab w:val="num" w:pos="720"/>
      </w:tabs>
      <w:suppressAutoHyphens w:val="0"/>
      <w:spacing w:before="120"/>
      <w:ind w:left="720" w:hanging="360"/>
    </w:pPr>
    <w:rPr>
      <w:rFonts w:eastAsia="Times New Roman"/>
      <w:kern w:val="0"/>
      <w:sz w:val="24"/>
      <w:szCs w:val="20"/>
      <w:lang w:val="en-GB" w:eastAsia="zh-CN"/>
    </w:rPr>
  </w:style>
  <w:style w:type="character" w:customStyle="1" w:styleId="BodyTextStandardparagraphSzvegtrzsChar1SzvegtrzsCharCharCharCharChar">
    <w:name w:val="Body Text;Standard paragraph;Szövegtörzs Char1;Szövegtörzs Char Char;Char Char Char"/>
    <w:semiHidden/>
    <w:rsid w:val="00A6161E"/>
    <w:rPr>
      <w:sz w:val="22"/>
      <w:szCs w:val="24"/>
      <w:lang w:val="en-GB" w:eastAsia="hu-HU" w:bidi="ar-SA"/>
    </w:rPr>
  </w:style>
  <w:style w:type="character" w:customStyle="1" w:styleId="CharChar3">
    <w:name w:val="Char Char3"/>
    <w:semiHidden/>
    <w:rsid w:val="00A6161E"/>
    <w:rPr>
      <w:rFonts w:cs="Arial"/>
      <w:b/>
      <w:bCs/>
      <w:i/>
      <w:smallCaps/>
      <w:kern w:val="32"/>
      <w:sz w:val="36"/>
      <w:szCs w:val="36"/>
      <w:lang w:val="en-GB" w:eastAsia="hu-HU" w:bidi="ar-SA"/>
    </w:rPr>
  </w:style>
  <w:style w:type="character" w:customStyle="1" w:styleId="CharChar2">
    <w:name w:val="Char Char2"/>
    <w:semiHidden/>
    <w:rsid w:val="00A6161E"/>
    <w:rPr>
      <w:rFonts w:cs="Arial"/>
      <w:bCs/>
      <w:i/>
      <w:sz w:val="22"/>
      <w:szCs w:val="26"/>
      <w:lang w:val="en-GB" w:eastAsia="hu-HU" w:bidi="ar-SA"/>
    </w:rPr>
  </w:style>
  <w:style w:type="character" w:customStyle="1" w:styleId="BodyTextIndentChar">
    <w:name w:val="Body Text Indent Char"/>
    <w:semiHidden/>
    <w:rsid w:val="00A6161E"/>
    <w:rPr>
      <w:sz w:val="24"/>
      <w:szCs w:val="24"/>
      <w:lang w:val="hu-HU" w:eastAsia="hu-HU" w:bidi="ar-SA"/>
    </w:rPr>
  </w:style>
  <w:style w:type="paragraph" w:customStyle="1" w:styleId="Title1">
    <w:name w:val="Title1"/>
    <w:basedOn w:val="Cmsor1"/>
    <w:semiHidden/>
    <w:rsid w:val="00A6161E"/>
    <w:pPr>
      <w:numPr>
        <w:numId w:val="0"/>
      </w:numPr>
    </w:pPr>
    <w:rPr>
      <w:rFonts w:eastAsia="Times New Roman" w:cs="Times New Roman"/>
      <w:bCs w:val="0"/>
      <w:smallCaps/>
      <w:noProof/>
      <w:snapToGrid w:val="0"/>
      <w:szCs w:val="20"/>
    </w:rPr>
  </w:style>
  <w:style w:type="character" w:customStyle="1" w:styleId="TableTextChar">
    <w:name w:val="Table Text Char"/>
    <w:semiHidden/>
    <w:rsid w:val="00A6161E"/>
    <w:rPr>
      <w:rFonts w:eastAsia="MS Mincho"/>
      <w:lang w:val="hu-HU" w:eastAsia="hu-HU" w:bidi="ar-SA"/>
    </w:rPr>
  </w:style>
  <w:style w:type="paragraph" w:customStyle="1" w:styleId="3tablfelett">
    <w:name w:val="3_tabl_felett"/>
    <w:basedOn w:val="Norml"/>
    <w:next w:val="Norml"/>
    <w:semiHidden/>
    <w:rsid w:val="00D90F4C"/>
    <w:pPr>
      <w:suppressAutoHyphens w:val="0"/>
      <w:overflowPunct w:val="0"/>
      <w:autoSpaceDE w:val="0"/>
      <w:autoSpaceDN w:val="0"/>
      <w:adjustRightInd w:val="0"/>
      <w:spacing w:before="240" w:line="280" w:lineRule="exact"/>
      <w:ind w:firstLine="363"/>
      <w:jc w:val="center"/>
      <w:textAlignment w:val="baseline"/>
    </w:pPr>
    <w:rPr>
      <w:rFonts w:ascii="Arial" w:eastAsia="MS Mincho" w:hAnsi="Arial" w:cs="Times New Roman"/>
      <w:b/>
      <w:bCs/>
      <w:kern w:val="0"/>
      <w:szCs w:val="20"/>
    </w:rPr>
  </w:style>
  <w:style w:type="paragraph" w:customStyle="1" w:styleId="5tablalatt">
    <w:name w:val="5_tabl_alatt"/>
    <w:basedOn w:val="Norml"/>
    <w:semiHidden/>
    <w:rsid w:val="00D90F4C"/>
    <w:pPr>
      <w:suppressAutoHyphens w:val="0"/>
      <w:overflowPunct w:val="0"/>
      <w:autoSpaceDE w:val="0"/>
      <w:autoSpaceDN w:val="0"/>
      <w:adjustRightInd w:val="0"/>
      <w:spacing w:before="120" w:after="360" w:line="260" w:lineRule="atLeast"/>
      <w:ind w:firstLine="363"/>
      <w:jc w:val="center"/>
      <w:textAlignment w:val="baseline"/>
    </w:pPr>
    <w:rPr>
      <w:rFonts w:ascii="Arial" w:eastAsia="MS Mincho" w:hAnsi="Arial" w:cs="Times New Roman"/>
      <w:kern w:val="0"/>
      <w:sz w:val="20"/>
      <w:szCs w:val="20"/>
    </w:rPr>
  </w:style>
  <w:style w:type="paragraph" w:customStyle="1" w:styleId="6postit">
    <w:name w:val="6_post_it"/>
    <w:semiHidden/>
    <w:rsid w:val="00A6161E"/>
    <w:pPr>
      <w:widowControl w:val="0"/>
      <w:pBdr>
        <w:top w:val="single" w:sz="6" w:space="2" w:color="000000" w:shadow="1"/>
        <w:left w:val="single" w:sz="6" w:space="1" w:color="000000" w:shadow="1"/>
        <w:bottom w:val="single" w:sz="6" w:space="2" w:color="000000" w:shadow="1"/>
        <w:right w:val="single" w:sz="6" w:space="4" w:color="000000" w:shadow="1"/>
      </w:pBdr>
      <w:shd w:val="clear" w:color="auto" w:fill="FFFF00"/>
      <w:spacing w:before="240" w:after="240"/>
      <w:ind w:right="2835"/>
    </w:pPr>
    <w:rPr>
      <w:rFonts w:eastAsia="Times New Roman"/>
      <w:sz w:val="22"/>
    </w:rPr>
  </w:style>
  <w:style w:type="paragraph" w:customStyle="1" w:styleId="7puffer">
    <w:name w:val="7_puffer"/>
    <w:semiHidden/>
    <w:rsid w:val="00A6161E"/>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rPr>
      <w:rFonts w:ascii="Century Schoolbook" w:eastAsia="Times New Roman" w:hAnsi="Century Schoolbook"/>
      <w:color w:val="808000"/>
    </w:rPr>
  </w:style>
  <w:style w:type="paragraph" w:customStyle="1" w:styleId="8box">
    <w:name w:val="8_box"/>
    <w:basedOn w:val="Norml"/>
    <w:semiHidden/>
    <w:rsid w:val="00D90F4C"/>
    <w:pPr>
      <w:pBdr>
        <w:top w:val="single" w:sz="6" w:space="10" w:color="auto" w:shadow="1"/>
        <w:left w:val="single" w:sz="6" w:space="10" w:color="auto" w:shadow="1"/>
        <w:bottom w:val="single" w:sz="6" w:space="10" w:color="auto" w:shadow="1"/>
        <w:right w:val="single" w:sz="6" w:space="10" w:color="auto" w:shadow="1"/>
      </w:pBdr>
      <w:shd w:val="clear" w:color="auto" w:fill="C0C0C0"/>
      <w:tabs>
        <w:tab w:val="left" w:pos="720"/>
      </w:tabs>
      <w:suppressAutoHyphens w:val="0"/>
      <w:overflowPunct w:val="0"/>
      <w:autoSpaceDE w:val="0"/>
      <w:autoSpaceDN w:val="0"/>
      <w:adjustRightInd w:val="0"/>
      <w:spacing w:after="0" w:line="320" w:lineRule="atLeast"/>
      <w:ind w:left="720" w:right="720" w:firstLine="0"/>
      <w:textAlignment w:val="baseline"/>
    </w:pPr>
    <w:rPr>
      <w:rFonts w:ascii="Arial" w:eastAsia="MS Mincho" w:hAnsi="Arial"/>
      <w:b/>
      <w:bCs/>
      <w:kern w:val="0"/>
      <w:sz w:val="20"/>
      <w:szCs w:val="20"/>
    </w:rPr>
  </w:style>
  <w:style w:type="paragraph" w:customStyle="1" w:styleId="fedlapcm">
    <w:name w:val="fedlapcím"/>
    <w:autoRedefine/>
    <w:semiHidden/>
    <w:rsid w:val="00A6161E"/>
    <w:pPr>
      <w:spacing w:line="240" w:lineRule="atLeast"/>
      <w:jc w:val="center"/>
    </w:pPr>
    <w:rPr>
      <w:rFonts w:ascii="Arial" w:eastAsia="Times New Roman" w:hAnsi="Arial"/>
      <w:b/>
      <w:sz w:val="32"/>
    </w:rPr>
  </w:style>
  <w:style w:type="character" w:customStyle="1" w:styleId="Hyperlink1">
    <w:name w:val="Hyperlink1"/>
    <w:semiHidden/>
    <w:rsid w:val="00A6161E"/>
    <w:rPr>
      <w:color w:val="0000FF"/>
      <w:u w:val="single"/>
    </w:rPr>
  </w:style>
  <w:style w:type="paragraph" w:customStyle="1" w:styleId="7-puffer-forrs">
    <w:name w:val="7-puffer-forrás"/>
    <w:semiHidden/>
    <w:rsid w:val="00A6161E"/>
    <w:pPr>
      <w:shd w:val="clear" w:color="auto" w:fill="00FF00"/>
      <w:spacing w:after="80"/>
      <w:ind w:right="7698" w:hanging="113"/>
      <w:jc w:val="both"/>
    </w:pPr>
    <w:rPr>
      <w:rFonts w:eastAsia="Times New Roman"/>
      <w:b/>
      <w:bCs/>
      <w:snapToGrid w:val="0"/>
      <w:color w:val="000000"/>
      <w:sz w:val="24"/>
    </w:rPr>
  </w:style>
  <w:style w:type="paragraph" w:customStyle="1" w:styleId="kpfelirat">
    <w:name w:val="képfelirat"/>
    <w:semiHidden/>
    <w:rsid w:val="00A6161E"/>
    <w:pPr>
      <w:spacing w:line="240" w:lineRule="exact"/>
    </w:pPr>
    <w:rPr>
      <w:rFonts w:ascii="Arial Narrow" w:eastAsia="Times New Roman" w:hAnsi="Arial Narrow"/>
    </w:rPr>
  </w:style>
  <w:style w:type="paragraph" w:customStyle="1" w:styleId="puffer">
    <w:name w:val="puffer"/>
    <w:basedOn w:val="Norml"/>
    <w:semiHidden/>
    <w:rsid w:val="00A6161E"/>
    <w:pPr>
      <w:pBdr>
        <w:top w:val="single" w:sz="4" w:space="1" w:color="auto"/>
        <w:left w:val="single" w:sz="4" w:space="4" w:color="auto"/>
        <w:bottom w:val="single" w:sz="4" w:space="1" w:color="auto"/>
        <w:right w:val="single" w:sz="4" w:space="4" w:color="auto"/>
      </w:pBdr>
      <w:suppressAutoHyphens w:val="0"/>
      <w:overflowPunct w:val="0"/>
      <w:autoSpaceDE w:val="0"/>
      <w:autoSpaceDN w:val="0"/>
      <w:adjustRightInd w:val="0"/>
      <w:textAlignment w:val="baseline"/>
    </w:pPr>
    <w:rPr>
      <w:rFonts w:ascii="Century Schoolbook" w:eastAsia="Times New Roman" w:hAnsi="Century Schoolbook"/>
      <w:color w:val="808000"/>
      <w:kern w:val="0"/>
      <w:sz w:val="20"/>
      <w:szCs w:val="20"/>
    </w:rPr>
  </w:style>
  <w:style w:type="paragraph" w:customStyle="1" w:styleId="9-javaslat">
    <w:name w:val="9-javaslat"/>
    <w:semiHidden/>
    <w:rsid w:val="00A6161E"/>
    <w:pPr>
      <w:jc w:val="both"/>
    </w:pPr>
    <w:rPr>
      <w:rFonts w:ascii="Arial" w:eastAsia="Times New Roman" w:hAnsi="Arial"/>
    </w:rPr>
  </w:style>
  <w:style w:type="paragraph" w:customStyle="1" w:styleId="xl24">
    <w:name w:val="xl24"/>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5">
    <w:name w:val="xl25"/>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6">
    <w:name w:val="xl26"/>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7">
    <w:name w:val="xl27"/>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top"/>
    </w:pPr>
    <w:rPr>
      <w:rFonts w:ascii="Arial Unicode MS" w:eastAsia="Arial Unicode MS" w:hAnsi="Arial Unicode MS" w:cs="Arial Unicode MS"/>
      <w:kern w:val="0"/>
      <w:sz w:val="24"/>
    </w:rPr>
  </w:style>
  <w:style w:type="paragraph" w:customStyle="1" w:styleId="xl28">
    <w:name w:val="xl28"/>
    <w:basedOn w:val="Norml"/>
    <w:semiHidden/>
    <w:rsid w:val="00A6161E"/>
    <w:pP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0">
    <w:name w:val="xl30"/>
    <w:basedOn w:val="Norml"/>
    <w:semiHidden/>
    <w:rsid w:val="00A6161E"/>
    <w:pPr>
      <w:pBdr>
        <w:left w:val="single" w:sz="8"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1">
    <w:name w:val="xl31"/>
    <w:basedOn w:val="Norml"/>
    <w:semiHidden/>
    <w:rsid w:val="00A6161E"/>
    <w:pPr>
      <w:suppressAutoHyphens w:val="0"/>
      <w:spacing w:before="100" w:beforeAutospacing="1" w:after="100" w:afterAutospacing="1"/>
      <w:jc w:val="center"/>
      <w:textAlignment w:val="center"/>
    </w:pPr>
    <w:rPr>
      <w:rFonts w:ascii="Arial Narrow" w:eastAsia="Arial Unicode MS" w:hAnsi="Arial Narrow" w:cs="Arial Unicode MS"/>
      <w:kern w:val="0"/>
      <w:sz w:val="24"/>
    </w:rPr>
  </w:style>
  <w:style w:type="paragraph" w:customStyle="1" w:styleId="xl33">
    <w:name w:val="xl33"/>
    <w:basedOn w:val="Norml"/>
    <w:semiHidden/>
    <w:rsid w:val="00A6161E"/>
    <w:pPr>
      <w:pBdr>
        <w:top w:val="single" w:sz="12" w:space="0" w:color="800000"/>
        <w:left w:val="single" w:sz="8" w:space="0" w:color="auto"/>
        <w:bottom w:val="double" w:sz="6" w:space="0" w:color="auto"/>
      </w:pBdr>
      <w:shd w:val="clear" w:color="auto" w:fill="FFFF99"/>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4">
    <w:name w:val="xl34"/>
    <w:basedOn w:val="Norml"/>
    <w:semiHidden/>
    <w:rsid w:val="00A6161E"/>
    <w:pPr>
      <w:pBdr>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5">
    <w:name w:val="xl35"/>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6">
    <w:name w:val="xl36"/>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16"/>
      <w:szCs w:val="16"/>
    </w:rPr>
  </w:style>
  <w:style w:type="paragraph" w:customStyle="1" w:styleId="xl37">
    <w:name w:val="xl37"/>
    <w:basedOn w:val="Norml"/>
    <w:semiHidden/>
    <w:rsid w:val="00A6161E"/>
    <w:pPr>
      <w:pBdr>
        <w:top w:val="single" w:sz="4" w:space="0" w:color="auto"/>
        <w:left w:val="single" w:sz="8" w:space="0" w:color="auto"/>
        <w:bottom w:val="single" w:sz="12" w:space="0" w:color="800000"/>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8">
    <w:name w:val="xl38"/>
    <w:basedOn w:val="Norml"/>
    <w:semiHidden/>
    <w:rsid w:val="00A6161E"/>
    <w:pPr>
      <w:pBdr>
        <w:left w:val="single" w:sz="8"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9">
    <w:name w:val="xl39"/>
    <w:basedOn w:val="Norml"/>
    <w:semiHidden/>
    <w:rsid w:val="00A6161E"/>
    <w:pPr>
      <w:pBdr>
        <w:top w:val="single" w:sz="12" w:space="0" w:color="800000"/>
        <w:left w:val="single" w:sz="8"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40">
    <w:name w:val="xl40"/>
    <w:basedOn w:val="Norml"/>
    <w:semiHidden/>
    <w:rsid w:val="00A6161E"/>
    <w:pPr>
      <w:pBdr>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1">
    <w:name w:val="xl41"/>
    <w:basedOn w:val="Norml"/>
    <w:semiHidden/>
    <w:rsid w:val="00A6161E"/>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2">
    <w:name w:val="xl42"/>
    <w:basedOn w:val="Norml"/>
    <w:semiHidden/>
    <w:rsid w:val="00A6161E"/>
    <w:pPr>
      <w:pBdr>
        <w:left w:val="single" w:sz="4" w:space="0" w:color="auto"/>
        <w:bottom w:val="single" w:sz="4" w:space="0" w:color="auto"/>
      </w:pBdr>
      <w:shd w:val="clear" w:color="auto" w:fill="FFCC00"/>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43">
    <w:name w:val="xl43"/>
    <w:basedOn w:val="Norml"/>
    <w:semiHidden/>
    <w:rsid w:val="00A6161E"/>
    <w:pPr>
      <w:pBdr>
        <w:left w:val="single" w:sz="4" w:space="0" w:color="auto"/>
        <w:bottom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4">
    <w:name w:val="xl44"/>
    <w:basedOn w:val="Norml"/>
    <w:semiHidden/>
    <w:rsid w:val="00A6161E"/>
    <w:pPr>
      <w:pBdr>
        <w:left w:val="double" w:sz="6" w:space="0" w:color="auto"/>
        <w:bottom w:val="single" w:sz="4" w:space="0" w:color="auto"/>
        <w:right w:val="double" w:sz="6" w:space="0" w:color="auto"/>
      </w:pBdr>
      <w:shd w:val="clear" w:color="auto" w:fill="FF9900"/>
      <w:suppressAutoHyphens w:val="0"/>
      <w:spacing w:before="100" w:beforeAutospacing="1" w:after="100" w:afterAutospacing="1"/>
      <w:jc w:val="right"/>
      <w:textAlignment w:val="center"/>
    </w:pPr>
    <w:rPr>
      <w:rFonts w:ascii="Arial" w:eastAsia="Arial Unicode MS" w:hAnsi="Arial" w:cs="Arial Unicode MS"/>
      <w:b/>
      <w:bCs/>
      <w:kern w:val="0"/>
      <w:szCs w:val="22"/>
    </w:rPr>
  </w:style>
  <w:style w:type="paragraph" w:customStyle="1" w:styleId="xl45">
    <w:name w:val="xl45"/>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6">
    <w:name w:val="xl46"/>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7">
    <w:name w:val="xl47"/>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8">
    <w:name w:val="xl48"/>
    <w:basedOn w:val="Norml"/>
    <w:semiHidden/>
    <w:rsid w:val="00A6161E"/>
    <w:pPr>
      <w:pBdr>
        <w:top w:val="single" w:sz="4" w:space="0" w:color="auto"/>
        <w:left w:val="single" w:sz="8" w:space="0" w:color="auto"/>
        <w:bottom w:val="single" w:sz="12" w:space="0" w:color="800000"/>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9">
    <w:name w:val="xl49"/>
    <w:basedOn w:val="Norml"/>
    <w:semiHidden/>
    <w:rsid w:val="00A6161E"/>
    <w:pPr>
      <w:pBdr>
        <w:top w:val="single" w:sz="4" w:space="0" w:color="auto"/>
        <w:left w:val="single" w:sz="4" w:space="0" w:color="auto"/>
        <w:bottom w:val="single" w:sz="12" w:space="0" w:color="800000"/>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0">
    <w:name w:val="xl50"/>
    <w:basedOn w:val="Norml"/>
    <w:semiHidden/>
    <w:rsid w:val="00A6161E"/>
    <w:pPr>
      <w:pBdr>
        <w:top w:val="single" w:sz="4" w:space="0" w:color="auto"/>
        <w:left w:val="single" w:sz="4" w:space="0" w:color="auto"/>
        <w:bottom w:val="single" w:sz="12" w:space="0" w:color="800000"/>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1">
    <w:name w:val="xl51"/>
    <w:basedOn w:val="Norml"/>
    <w:semiHidden/>
    <w:rsid w:val="00A6161E"/>
    <w:pPr>
      <w:pBdr>
        <w:top w:val="single" w:sz="12" w:space="0" w:color="800000"/>
        <w:left w:val="single" w:sz="8"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2">
    <w:name w:val="xl52"/>
    <w:basedOn w:val="Norml"/>
    <w:semiHidden/>
    <w:rsid w:val="00A6161E"/>
    <w:pPr>
      <w:pBdr>
        <w:top w:val="single" w:sz="12" w:space="0" w:color="800000"/>
        <w:left w:val="single" w:sz="4"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3">
    <w:name w:val="xl53"/>
    <w:basedOn w:val="Norml"/>
    <w:semiHidden/>
    <w:rsid w:val="00A6161E"/>
    <w:pPr>
      <w:pBdr>
        <w:top w:val="single" w:sz="12" w:space="0" w:color="800000"/>
        <w:left w:val="single" w:sz="4" w:space="0" w:color="auto"/>
        <w:bottom w:val="double" w:sz="6"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4">
    <w:name w:val="xl54"/>
    <w:basedOn w:val="Norml"/>
    <w:semiHidden/>
    <w:rsid w:val="00A6161E"/>
    <w:pP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5">
    <w:name w:val="xl55"/>
    <w:basedOn w:val="Norml"/>
    <w:semiHidden/>
    <w:rsid w:val="00A6161E"/>
    <w:pPr>
      <w:pBdr>
        <w:top w:val="single" w:sz="12" w:space="0" w:color="800000"/>
        <w:left w:val="single" w:sz="4"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6">
    <w:name w:val="xl56"/>
    <w:basedOn w:val="Norml"/>
    <w:semiHidden/>
    <w:rsid w:val="00A6161E"/>
    <w:pPr>
      <w:pBdr>
        <w:top w:val="single" w:sz="12" w:space="0" w:color="800000"/>
        <w:left w:val="single" w:sz="4" w:space="0" w:color="auto"/>
        <w:bottom w:val="double" w:sz="6"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7">
    <w:name w:val="xl57"/>
    <w:basedOn w:val="Norml"/>
    <w:semiHidden/>
    <w:rsid w:val="00A6161E"/>
    <w:pPr>
      <w:pBdr>
        <w:top w:val="single" w:sz="12" w:space="0" w:color="800000"/>
        <w:left w:val="double" w:sz="6" w:space="0" w:color="auto"/>
        <w:bottom w:val="double" w:sz="6" w:space="0" w:color="auto"/>
        <w:right w:val="double" w:sz="6" w:space="0" w:color="auto"/>
      </w:pBdr>
      <w:shd w:val="clear" w:color="auto" w:fill="FF9900"/>
      <w:suppressAutoHyphens w:val="0"/>
      <w:spacing w:before="100" w:beforeAutospacing="1" w:after="100" w:afterAutospacing="1"/>
      <w:jc w:val="right"/>
      <w:textAlignment w:val="center"/>
    </w:pPr>
    <w:rPr>
      <w:rFonts w:ascii="Arial" w:eastAsia="Arial Unicode MS" w:hAnsi="Arial" w:cs="Arial Unicode MS"/>
      <w:b/>
      <w:bCs/>
      <w:kern w:val="0"/>
      <w:szCs w:val="22"/>
    </w:rPr>
  </w:style>
  <w:style w:type="paragraph" w:customStyle="1" w:styleId="xl58">
    <w:name w:val="xl58"/>
    <w:basedOn w:val="Norml"/>
    <w:semiHidden/>
    <w:rsid w:val="00A6161E"/>
    <w:pPr>
      <w:pBdr>
        <w:top w:val="single" w:sz="12" w:space="0" w:color="800000"/>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9">
    <w:name w:val="xl59"/>
    <w:basedOn w:val="Norml"/>
    <w:semiHidden/>
    <w:rsid w:val="00A6161E"/>
    <w:pPr>
      <w:pBdr>
        <w:left w:val="double" w:sz="6" w:space="0" w:color="auto"/>
        <w:bottom w:val="single" w:sz="4" w:space="0" w:color="auto"/>
        <w:right w:val="double" w:sz="6"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Cs w:val="22"/>
      <w:u w:val="single"/>
    </w:rPr>
  </w:style>
  <w:style w:type="paragraph" w:customStyle="1" w:styleId="xl60">
    <w:name w:val="xl60"/>
    <w:basedOn w:val="Norml"/>
    <w:semiHidden/>
    <w:rsid w:val="00A6161E"/>
    <w:pPr>
      <w:pBdr>
        <w:top w:val="single" w:sz="8" w:space="0" w:color="auto"/>
        <w:left w:val="single" w:sz="8" w:space="0" w:color="auto"/>
        <w:bottom w:val="single" w:sz="4" w:space="0" w:color="auto"/>
        <w:right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1">
    <w:name w:val="xl61"/>
    <w:basedOn w:val="Norml"/>
    <w:semiHidden/>
    <w:rsid w:val="00A6161E"/>
    <w:pPr>
      <w:pBdr>
        <w:top w:val="single" w:sz="8"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2">
    <w:name w:val="xl62"/>
    <w:basedOn w:val="Norml"/>
    <w:semiHidden/>
    <w:rsid w:val="00A6161E"/>
    <w:pPr>
      <w:pBdr>
        <w:top w:val="single" w:sz="8" w:space="0" w:color="auto"/>
        <w:left w:val="single" w:sz="4" w:space="0" w:color="auto"/>
        <w:bottom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3">
    <w:name w:val="xl63"/>
    <w:basedOn w:val="Norml"/>
    <w:semiHidden/>
    <w:rsid w:val="00A6161E"/>
    <w:pPr>
      <w:pBdr>
        <w:top w:val="single" w:sz="8" w:space="0" w:color="auto"/>
        <w:left w:val="single" w:sz="4" w:space="0" w:color="auto"/>
        <w:bottom w:val="single" w:sz="4" w:space="0" w:color="auto"/>
        <w:right w:val="single" w:sz="8"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4">
    <w:name w:val="xl64"/>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5">
    <w:name w:val="xl65"/>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6">
    <w:name w:val="xl66"/>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7">
    <w:name w:val="xl67"/>
    <w:basedOn w:val="Norml"/>
    <w:semiHidden/>
    <w:rsid w:val="00A6161E"/>
    <w:pPr>
      <w:pBdr>
        <w:top w:val="single" w:sz="4" w:space="0" w:color="auto"/>
        <w:left w:val="single" w:sz="8" w:space="0" w:color="auto"/>
        <w:bottom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68">
    <w:name w:val="xl68"/>
    <w:basedOn w:val="Norml"/>
    <w:semiHidden/>
    <w:rsid w:val="00A6161E"/>
    <w:pPr>
      <w:pBdr>
        <w:top w:val="single" w:sz="4" w:space="0" w:color="auto"/>
        <w:bottom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69">
    <w:name w:val="xl69"/>
    <w:basedOn w:val="Norml"/>
    <w:semiHidden/>
    <w:rsid w:val="00A6161E"/>
    <w:pPr>
      <w:pBdr>
        <w:top w:val="single" w:sz="4" w:space="0" w:color="auto"/>
        <w:bottom w:val="single" w:sz="8" w:space="0" w:color="auto"/>
        <w:right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70">
    <w:name w:val="xl70"/>
    <w:basedOn w:val="Norml"/>
    <w:semiHidden/>
    <w:rsid w:val="00A6161E"/>
    <w:pPr>
      <w:pBdr>
        <w:top w:val="single" w:sz="4" w:space="0" w:color="auto"/>
        <w:left w:val="single" w:sz="4" w:space="0" w:color="auto"/>
        <w:right w:val="double" w:sz="6"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1">
    <w:name w:val="xl71"/>
    <w:basedOn w:val="Norml"/>
    <w:semiHidden/>
    <w:rsid w:val="00A6161E"/>
    <w:pPr>
      <w:pBdr>
        <w:left w:val="single" w:sz="4" w:space="0" w:color="auto"/>
        <w:bottom w:val="single" w:sz="4" w:space="0" w:color="auto"/>
        <w:right w:val="double" w:sz="6"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2">
    <w:name w:val="xl72"/>
    <w:basedOn w:val="Norml"/>
    <w:semiHidden/>
    <w:rsid w:val="00A6161E"/>
    <w:pPr>
      <w:pBdr>
        <w:top w:val="single" w:sz="4" w:space="0" w:color="auto"/>
        <w:left w:val="single" w:sz="4" w:space="0" w:color="auto"/>
        <w:right w:val="single" w:sz="8"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3">
    <w:name w:val="xl73"/>
    <w:basedOn w:val="Norml"/>
    <w:semiHidden/>
    <w:rsid w:val="00A6161E"/>
    <w:pPr>
      <w:pBdr>
        <w:left w:val="single" w:sz="4" w:space="0" w:color="auto"/>
        <w:bottom w:val="single" w:sz="4" w:space="0" w:color="auto"/>
        <w:right w:val="single" w:sz="8"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4">
    <w:name w:val="xl74"/>
    <w:basedOn w:val="Norml"/>
    <w:rsid w:val="00A6161E"/>
    <w:pPr>
      <w:pBdr>
        <w:top w:val="single" w:sz="4" w:space="0" w:color="auto"/>
        <w:left w:val="single" w:sz="8"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75">
    <w:name w:val="xl75"/>
    <w:basedOn w:val="Norml"/>
    <w:rsid w:val="00A6161E"/>
    <w:pPr>
      <w:pBdr>
        <w:top w:val="single" w:sz="4"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76">
    <w:name w:val="xl76"/>
    <w:basedOn w:val="Norml"/>
    <w:rsid w:val="00A6161E"/>
    <w:pPr>
      <w:pBdr>
        <w:top w:val="single" w:sz="4" w:space="0" w:color="auto"/>
        <w:left w:val="double" w:sz="6"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7">
    <w:name w:val="xl77"/>
    <w:basedOn w:val="Norml"/>
    <w:rsid w:val="00A6161E"/>
    <w:pPr>
      <w:pBdr>
        <w:left w:val="double" w:sz="6"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8">
    <w:name w:val="xl78"/>
    <w:basedOn w:val="Norml"/>
    <w:rsid w:val="00A6161E"/>
    <w:pPr>
      <w:pBdr>
        <w:left w:val="double" w:sz="6" w:space="0" w:color="auto"/>
        <w:bottom w:val="single" w:sz="4"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9">
    <w:name w:val="xl79"/>
    <w:basedOn w:val="Norml"/>
    <w:rsid w:val="00A6161E"/>
    <w:pPr>
      <w:pBdr>
        <w:top w:val="single" w:sz="4" w:space="0" w:color="auto"/>
        <w:left w:val="single" w:sz="8" w:space="0" w:color="auto"/>
        <w:bottom w:val="single" w:sz="8" w:space="0" w:color="auto"/>
        <w:right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80">
    <w:name w:val="xl80"/>
    <w:basedOn w:val="Norml"/>
    <w:rsid w:val="00A6161E"/>
    <w:pPr>
      <w:pBdr>
        <w:top w:val="single" w:sz="8" w:space="0" w:color="auto"/>
        <w:left w:val="single" w:sz="8" w:space="0" w:color="auto"/>
      </w:pBdr>
      <w:shd w:val="clear" w:color="auto" w:fill="CCFFFF"/>
      <w:suppressAutoHyphens w:val="0"/>
      <w:spacing w:before="100" w:beforeAutospacing="1" w:after="100" w:afterAutospacing="1"/>
      <w:textAlignment w:val="center"/>
    </w:pPr>
    <w:rPr>
      <w:rFonts w:ascii="Arial" w:eastAsia="Arial Unicode MS" w:hAnsi="Arial" w:cs="Arial Unicode MS"/>
      <w:b/>
      <w:bCs/>
      <w:kern w:val="0"/>
      <w:sz w:val="24"/>
    </w:rPr>
  </w:style>
  <w:style w:type="paragraph" w:customStyle="1" w:styleId="xl81">
    <w:name w:val="xl81"/>
    <w:basedOn w:val="Norml"/>
    <w:rsid w:val="00A6161E"/>
    <w:pPr>
      <w:pBdr>
        <w:left w:val="single" w:sz="8" w:space="0" w:color="auto"/>
        <w:bottom w:val="single" w:sz="8" w:space="0" w:color="auto"/>
      </w:pBdr>
      <w:shd w:val="clear" w:color="auto" w:fill="CCFFFF"/>
      <w:suppressAutoHyphens w:val="0"/>
      <w:spacing w:before="100" w:beforeAutospacing="1" w:after="100" w:afterAutospacing="1"/>
      <w:textAlignment w:val="center"/>
    </w:pPr>
    <w:rPr>
      <w:rFonts w:ascii="Arial" w:eastAsia="Arial Unicode MS" w:hAnsi="Arial" w:cs="Arial Unicode MS"/>
      <w:b/>
      <w:bCs/>
      <w:kern w:val="0"/>
      <w:sz w:val="24"/>
    </w:rPr>
  </w:style>
  <w:style w:type="paragraph" w:customStyle="1" w:styleId="xl82">
    <w:name w:val="xl82"/>
    <w:basedOn w:val="Norml"/>
    <w:rsid w:val="00A6161E"/>
    <w:pPr>
      <w:pBdr>
        <w:top w:val="single" w:sz="4" w:space="0" w:color="auto"/>
        <w:left w:val="single" w:sz="8" w:space="0" w:color="auto"/>
        <w:bottom w:val="single" w:sz="4" w:space="0" w:color="auto"/>
        <w:right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83">
    <w:name w:val="xl83"/>
    <w:basedOn w:val="Norml"/>
    <w:rsid w:val="00A6161E"/>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84">
    <w:name w:val="xl84"/>
    <w:basedOn w:val="Norml"/>
    <w:rsid w:val="00A6161E"/>
    <w:pPr>
      <w:pBdr>
        <w:top w:val="single" w:sz="4" w:space="0" w:color="auto"/>
        <w:left w:val="single" w:sz="4"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StlusCmsor1TimesNewRoman13ptNemFlkvrAlhzs">
    <w:name w:val="Stílus Címsor 1 + Times New Roman 13 pt Nem Félkövér Aláhúzás"/>
    <w:basedOn w:val="Cmsor1"/>
    <w:semiHidden/>
    <w:rsid w:val="00A6161E"/>
    <w:pPr>
      <w:numPr>
        <w:numId w:val="0"/>
      </w:numPr>
      <w:spacing w:before="0" w:after="0"/>
    </w:pPr>
    <w:rPr>
      <w:rFonts w:eastAsia="Times New Roman" w:cs="Times New Roman"/>
      <w:caps/>
      <w:noProof/>
      <w:snapToGrid w:val="0"/>
      <w:sz w:val="26"/>
      <w:szCs w:val="26"/>
    </w:rPr>
  </w:style>
  <w:style w:type="paragraph" w:customStyle="1" w:styleId="Point0">
    <w:name w:val="Point 0"/>
    <w:basedOn w:val="Norml"/>
    <w:semiHidden/>
    <w:rsid w:val="00A6161E"/>
    <w:pPr>
      <w:suppressAutoHyphens w:val="0"/>
      <w:spacing w:before="120"/>
      <w:ind w:left="850" w:hanging="850"/>
    </w:pPr>
    <w:rPr>
      <w:rFonts w:eastAsia="Times New Roman"/>
      <w:kern w:val="0"/>
      <w:sz w:val="24"/>
      <w:szCs w:val="20"/>
      <w:lang w:val="en-GB" w:eastAsia="en-GB"/>
    </w:rPr>
  </w:style>
  <w:style w:type="paragraph" w:customStyle="1" w:styleId="felsorolsszmozott0">
    <w:name w:val="felsorolás (számozott)"/>
    <w:basedOn w:val="felsorols00"/>
    <w:semiHidden/>
    <w:rsid w:val="00A6161E"/>
    <w:pPr>
      <w:ind w:hanging="432"/>
    </w:pPr>
  </w:style>
  <w:style w:type="character" w:customStyle="1" w:styleId="BulletindentspacedCharChar1Char">
    <w:name w:val="Bullet indent spaced Char Char1 Char"/>
    <w:semiHidden/>
    <w:rsid w:val="00A6161E"/>
    <w:rPr>
      <w:sz w:val="26"/>
      <w:lang w:val="hu-HU" w:eastAsia="ar-SA" w:bidi="ar-SA"/>
    </w:rPr>
  </w:style>
  <w:style w:type="paragraph" w:customStyle="1" w:styleId="2bullets2">
    <w:name w:val="2_bullets_2"/>
    <w:basedOn w:val="Norml"/>
    <w:semiHidden/>
    <w:rsid w:val="00D90F4C"/>
    <w:pPr>
      <w:suppressAutoHyphens w:val="0"/>
      <w:overflowPunct w:val="0"/>
      <w:autoSpaceDE w:val="0"/>
      <w:autoSpaceDN w:val="0"/>
      <w:adjustRightInd w:val="0"/>
      <w:spacing w:before="60" w:after="60" w:line="320" w:lineRule="atLeast"/>
      <w:ind w:left="504" w:hanging="504"/>
      <w:textAlignment w:val="baseline"/>
    </w:pPr>
    <w:rPr>
      <w:rFonts w:eastAsia="MS Mincho"/>
      <w:kern w:val="0"/>
      <w:sz w:val="26"/>
      <w:szCs w:val="20"/>
    </w:rPr>
  </w:style>
  <w:style w:type="paragraph" w:customStyle="1" w:styleId="xl29">
    <w:name w:val="xl29"/>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styleId="Felsorols4">
    <w:name w:val="List Bullet 4"/>
    <w:basedOn w:val="Norml"/>
    <w:autoRedefine/>
    <w:semiHidden/>
    <w:rsid w:val="00A6161E"/>
    <w:pPr>
      <w:tabs>
        <w:tab w:val="num" w:pos="1077"/>
      </w:tabs>
      <w:suppressAutoHyphens w:val="0"/>
      <w:spacing w:before="40" w:after="40" w:line="280" w:lineRule="exact"/>
      <w:ind w:left="1077" w:hanging="360"/>
    </w:pPr>
    <w:rPr>
      <w:rFonts w:ascii="Arial" w:eastAsia="Times New Roman" w:hAnsi="Arial"/>
      <w:kern w:val="0"/>
      <w:sz w:val="20"/>
    </w:rPr>
  </w:style>
  <w:style w:type="paragraph" w:customStyle="1" w:styleId="bra-cmetbla">
    <w:name w:val="ábra-címe(tábla)"/>
    <w:basedOn w:val="Norml"/>
    <w:rsid w:val="00FE0173"/>
    <w:pPr>
      <w:keepNext/>
      <w:spacing w:before="240"/>
      <w:jc w:val="center"/>
    </w:pPr>
    <w:rPr>
      <w:b/>
    </w:rPr>
  </w:style>
  <w:style w:type="paragraph" w:customStyle="1" w:styleId="felsorolsbeljebb02">
    <w:name w:val="felsorolás (beljebb02)"/>
    <w:basedOn w:val="felsorolsbeljebb01"/>
    <w:autoRedefine/>
    <w:semiHidden/>
    <w:rsid w:val="00A6161E"/>
    <w:pPr>
      <w:tabs>
        <w:tab w:val="clear" w:pos="1440"/>
        <w:tab w:val="num" w:pos="1077"/>
        <w:tab w:val="num" w:pos="1800"/>
      </w:tabs>
      <w:ind w:left="1800"/>
    </w:pPr>
    <w:rPr>
      <w:lang w:val="en-US"/>
    </w:rPr>
  </w:style>
  <w:style w:type="character" w:customStyle="1" w:styleId="normtext">
    <w:name w:val="normtext"/>
    <w:basedOn w:val="Bekezdsalapbettpusa"/>
    <w:semiHidden/>
    <w:rsid w:val="00A6161E"/>
  </w:style>
  <w:style w:type="character" w:customStyle="1" w:styleId="felsorols00Char">
    <w:name w:val="felsorolás (00) Char"/>
    <w:semiHidden/>
    <w:rsid w:val="00A6161E"/>
    <w:rPr>
      <w:sz w:val="26"/>
      <w:szCs w:val="24"/>
      <w:lang w:val="hu-HU" w:eastAsia="ar-SA" w:bidi="ar-SA"/>
    </w:rPr>
  </w:style>
  <w:style w:type="paragraph" w:customStyle="1" w:styleId="StlusTJ1Sorkizrt">
    <w:name w:val="Stílus TJ 1 + Sorkizárt"/>
    <w:basedOn w:val="TJ1"/>
    <w:autoRedefine/>
    <w:semiHidden/>
    <w:rsid w:val="00A6161E"/>
    <w:pPr>
      <w:suppressLineNumbers w:val="0"/>
      <w:tabs>
        <w:tab w:val="right" w:pos="7920"/>
        <w:tab w:val="right" w:leader="dot" w:pos="9062"/>
      </w:tabs>
      <w:spacing w:before="360"/>
      <w:ind w:left="360" w:hanging="360"/>
    </w:pPr>
    <w:rPr>
      <w:rFonts w:eastAsia="Times New Roman" w:cs="Times New Roman"/>
      <w:bCs/>
      <w:caps/>
      <w:noProof/>
      <w:kern w:val="0"/>
      <w:sz w:val="26"/>
      <w:lang w:eastAsia="ar-SA"/>
    </w:rPr>
  </w:style>
  <w:style w:type="paragraph" w:customStyle="1" w:styleId="1CpCont">
    <w:name w:val="1C p_Cont"/>
    <w:basedOn w:val="Norml"/>
    <w:semiHidden/>
    <w:rsid w:val="00A6161E"/>
    <w:pPr>
      <w:suppressAutoHyphens w:val="0"/>
      <w:overflowPunct w:val="0"/>
      <w:autoSpaceDE w:val="0"/>
      <w:autoSpaceDN w:val="0"/>
      <w:adjustRightInd w:val="0"/>
      <w:spacing w:before="240"/>
      <w:textAlignment w:val="baseline"/>
    </w:pPr>
    <w:rPr>
      <w:rFonts w:eastAsia="Times New Roman"/>
      <w:kern w:val="0"/>
      <w:sz w:val="24"/>
      <w:szCs w:val="20"/>
    </w:rPr>
  </w:style>
  <w:style w:type="paragraph" w:customStyle="1" w:styleId="Heading1blind">
    <w:name w:val="Heading 1 (blind)"/>
    <w:basedOn w:val="Norml"/>
    <w:next w:val="Szvegtrzs"/>
    <w:semiHidden/>
    <w:rsid w:val="00A6161E"/>
    <w:pPr>
      <w:suppressAutoHyphens w:val="0"/>
    </w:pPr>
    <w:rPr>
      <w:rFonts w:eastAsia="Times New Roman"/>
      <w:b/>
      <w:kern w:val="0"/>
      <w:sz w:val="32"/>
      <w:szCs w:val="22"/>
      <w:lang w:val="en-GB"/>
    </w:rPr>
  </w:style>
  <w:style w:type="paragraph" w:styleId="Szvegtrzs3">
    <w:name w:val="Body Text 3"/>
    <w:basedOn w:val="Norml"/>
    <w:link w:val="Szvegtrzs3Char"/>
    <w:semiHidden/>
    <w:rsid w:val="00A6161E"/>
    <w:pPr>
      <w:suppressAutoHyphens w:val="0"/>
    </w:pPr>
    <w:rPr>
      <w:rFonts w:eastAsia="Times New Roman"/>
      <w:kern w:val="0"/>
      <w:sz w:val="16"/>
      <w:szCs w:val="16"/>
      <w:lang w:val="en-GB"/>
    </w:rPr>
  </w:style>
  <w:style w:type="character" w:customStyle="1" w:styleId="Szvegtrzs3Char">
    <w:name w:val="Szövegtörzs 3 Char"/>
    <w:link w:val="Szvegtrzs3"/>
    <w:rsid w:val="00A6161E"/>
    <w:rPr>
      <w:rFonts w:eastAsia="Times New Roman"/>
      <w:sz w:val="16"/>
      <w:szCs w:val="16"/>
      <w:lang w:val="en-GB"/>
    </w:rPr>
  </w:style>
  <w:style w:type="paragraph" w:styleId="Szvegtrzsbehzssal3">
    <w:name w:val="Body Text Indent 3"/>
    <w:basedOn w:val="Norml"/>
    <w:link w:val="Szvegtrzsbehzssal3Char"/>
    <w:semiHidden/>
    <w:rsid w:val="00A6161E"/>
    <w:pPr>
      <w:suppressAutoHyphens w:val="0"/>
      <w:ind w:left="720" w:hanging="360"/>
    </w:pPr>
    <w:rPr>
      <w:rFonts w:eastAsia="Times New Roman"/>
      <w:kern w:val="0"/>
      <w:szCs w:val="22"/>
      <w:lang w:val="en-GB"/>
    </w:rPr>
  </w:style>
  <w:style w:type="character" w:customStyle="1" w:styleId="Szvegtrzsbehzssal3Char">
    <w:name w:val="Szövegtörzs behúzással 3 Char"/>
    <w:link w:val="Szvegtrzsbehzssal3"/>
    <w:rsid w:val="00A6161E"/>
    <w:rPr>
      <w:rFonts w:eastAsia="Times New Roman"/>
      <w:sz w:val="22"/>
      <w:szCs w:val="22"/>
      <w:lang w:val="en-GB"/>
    </w:rPr>
  </w:style>
  <w:style w:type="paragraph" w:customStyle="1" w:styleId="ListNumberLevel3">
    <w:name w:val="List Number (Level 3)"/>
    <w:basedOn w:val="Norml"/>
    <w:semiHidden/>
    <w:rsid w:val="00A6161E"/>
    <w:pPr>
      <w:tabs>
        <w:tab w:val="num" w:pos="2126"/>
      </w:tabs>
      <w:suppressAutoHyphens w:val="0"/>
      <w:spacing w:before="120"/>
      <w:ind w:left="2126" w:hanging="709"/>
    </w:pPr>
    <w:rPr>
      <w:rFonts w:eastAsia="Times New Roman"/>
      <w:kern w:val="0"/>
      <w:sz w:val="24"/>
      <w:szCs w:val="20"/>
      <w:lang w:val="en-GB" w:eastAsia="zh-CN"/>
    </w:rPr>
  </w:style>
  <w:style w:type="paragraph" w:customStyle="1" w:styleId="ListNumberLevel4">
    <w:name w:val="List Number (Level 4)"/>
    <w:basedOn w:val="Norml"/>
    <w:semiHidden/>
    <w:rsid w:val="00A6161E"/>
    <w:pPr>
      <w:tabs>
        <w:tab w:val="num" w:pos="2835"/>
      </w:tabs>
      <w:suppressAutoHyphens w:val="0"/>
      <w:spacing w:before="120"/>
      <w:ind w:left="2835" w:hanging="709"/>
    </w:pPr>
    <w:rPr>
      <w:rFonts w:eastAsia="Times New Roman"/>
      <w:kern w:val="0"/>
      <w:sz w:val="24"/>
      <w:szCs w:val="20"/>
      <w:lang w:val="en-GB" w:eastAsia="zh-CN"/>
    </w:rPr>
  </w:style>
  <w:style w:type="paragraph" w:customStyle="1" w:styleId="felsorolas">
    <w:name w:val="felsorolas"/>
    <w:basedOn w:val="Norml"/>
    <w:semiHidden/>
    <w:rsid w:val="00A6161E"/>
    <w:pPr>
      <w:tabs>
        <w:tab w:val="num" w:pos="397"/>
      </w:tabs>
      <w:adjustRightInd w:val="0"/>
      <w:spacing w:line="360" w:lineRule="atLeast"/>
      <w:ind w:left="397" w:hanging="397"/>
      <w:textAlignment w:val="baseline"/>
    </w:pPr>
    <w:rPr>
      <w:rFonts w:eastAsia="Times New Roman"/>
      <w:snapToGrid w:val="0"/>
      <w:kern w:val="0"/>
      <w:sz w:val="26"/>
      <w:lang w:val="en-GB"/>
    </w:rPr>
  </w:style>
  <w:style w:type="paragraph" w:customStyle="1" w:styleId="felsorols0">
    <w:name w:val="felsorolás"/>
    <w:basedOn w:val="Norml"/>
    <w:semiHidden/>
    <w:rsid w:val="00A6161E"/>
    <w:pPr>
      <w:suppressAutoHyphens w:val="0"/>
      <w:spacing w:before="120"/>
    </w:pPr>
    <w:rPr>
      <w:rFonts w:eastAsia="Times New Roman"/>
      <w:snapToGrid w:val="0"/>
      <w:kern w:val="0"/>
      <w:szCs w:val="20"/>
      <w:lang w:val="en-US"/>
    </w:rPr>
  </w:style>
  <w:style w:type="paragraph" w:customStyle="1" w:styleId="Szvegtrzs31">
    <w:name w:val="Szövegtörzs 31"/>
    <w:basedOn w:val="Norml"/>
    <w:semiHidden/>
    <w:rsid w:val="00A6161E"/>
    <w:pPr>
      <w:suppressAutoHyphens w:val="0"/>
    </w:pPr>
    <w:rPr>
      <w:rFonts w:eastAsia="Times New Roman"/>
      <w:b/>
      <w:i/>
      <w:iCs/>
      <w:kern w:val="0"/>
      <w:sz w:val="24"/>
      <w:szCs w:val="26"/>
      <w:lang w:val="en-GB" w:eastAsia="ar-SA"/>
    </w:rPr>
  </w:style>
  <w:style w:type="paragraph" w:customStyle="1" w:styleId="Felsorols000">
    <w:name w:val="Felsorolás 00"/>
    <w:basedOn w:val="Norml"/>
    <w:semiHidden/>
    <w:rsid w:val="00A35D13"/>
    <w:pPr>
      <w:tabs>
        <w:tab w:val="left" w:pos="0"/>
      </w:tabs>
      <w:suppressAutoHyphens w:val="0"/>
      <w:spacing w:after="0"/>
      <w:ind w:left="1077" w:hanging="360"/>
    </w:pPr>
    <w:rPr>
      <w:rFonts w:eastAsia="MS Mincho" w:cs="Times New Roman"/>
      <w:snapToGrid w:val="0"/>
      <w:kern w:val="0"/>
      <w:sz w:val="24"/>
      <w:lang w:val="en-GB"/>
    </w:rPr>
  </w:style>
  <w:style w:type="character" w:styleId="Finomkiemels">
    <w:name w:val="Subtle Emphasis"/>
    <w:qFormat/>
    <w:rsid w:val="009646AC"/>
    <w:rPr>
      <w:rFonts w:ascii="Times New Roman" w:hAnsi="Times New Roman"/>
      <w:i/>
      <w:iCs/>
      <w:color w:val="auto"/>
      <w:sz w:val="22"/>
    </w:rPr>
  </w:style>
  <w:style w:type="paragraph" w:customStyle="1" w:styleId="Sajtbekezds">
    <w:name w:val="Sajátbekezdés"/>
    <w:basedOn w:val="felsorols00"/>
    <w:link w:val="SajtbekezdsChar"/>
    <w:semiHidden/>
    <w:qFormat/>
    <w:rsid w:val="00415ECA"/>
    <w:pPr>
      <w:numPr>
        <w:numId w:val="0"/>
      </w:numPr>
    </w:pPr>
    <w:rPr>
      <w:sz w:val="24"/>
      <w:lang w:bidi="sa-IN"/>
    </w:rPr>
  </w:style>
  <w:style w:type="paragraph" w:customStyle="1" w:styleId="Sajtfelsorols">
    <w:name w:val="Sajátfelsorolás"/>
    <w:basedOn w:val="felsorols00"/>
    <w:link w:val="SajtfelsorolsChar"/>
    <w:semiHidden/>
    <w:qFormat/>
    <w:rsid w:val="00DC1E46"/>
    <w:pPr>
      <w:numPr>
        <w:numId w:val="12"/>
      </w:numPr>
    </w:pPr>
    <w:rPr>
      <w:sz w:val="22"/>
      <w:szCs w:val="22"/>
      <w:lang w:bidi="sa-IN"/>
    </w:rPr>
  </w:style>
  <w:style w:type="character" w:customStyle="1" w:styleId="felsorols00Char1">
    <w:name w:val="felsorolás (00) Char1"/>
    <w:link w:val="felsorols00"/>
    <w:semiHidden/>
    <w:rsid w:val="00415ECA"/>
    <w:rPr>
      <w:rFonts w:eastAsia="Times New Roman" w:cs="Arial"/>
      <w:sz w:val="26"/>
      <w:szCs w:val="24"/>
      <w:lang w:eastAsia="ar-SA"/>
    </w:rPr>
  </w:style>
  <w:style w:type="character" w:customStyle="1" w:styleId="SajtbekezdsChar">
    <w:name w:val="Sajátbekezdés Char"/>
    <w:link w:val="Sajtbekezds"/>
    <w:rsid w:val="00415ECA"/>
    <w:rPr>
      <w:rFonts w:cs="Arial"/>
      <w:sz w:val="24"/>
      <w:szCs w:val="24"/>
      <w:lang w:val="hu-HU" w:eastAsia="ar-SA" w:bidi="sa-IN"/>
    </w:rPr>
  </w:style>
  <w:style w:type="paragraph" w:customStyle="1" w:styleId="NormalFVM">
    <w:name w:val="Normal_FVM"/>
    <w:basedOn w:val="Norml"/>
    <w:semiHidden/>
    <w:rsid w:val="00924368"/>
    <w:pPr>
      <w:suppressAutoHyphens w:val="0"/>
      <w:ind w:firstLine="357"/>
    </w:pPr>
    <w:rPr>
      <w:rFonts w:eastAsia="Times New Roman" w:cs="Times New Roman"/>
      <w:color w:val="000000"/>
      <w:kern w:val="0"/>
      <w:sz w:val="26"/>
      <w:szCs w:val="20"/>
    </w:rPr>
  </w:style>
  <w:style w:type="character" w:customStyle="1" w:styleId="SajtfelsorolsChar">
    <w:name w:val="Sajátfelsorolás Char"/>
    <w:link w:val="Sajtfelsorols"/>
    <w:semiHidden/>
    <w:rsid w:val="00DC1E46"/>
    <w:rPr>
      <w:rFonts w:eastAsia="Times New Roman" w:cs="Arial"/>
      <w:sz w:val="22"/>
      <w:szCs w:val="22"/>
      <w:lang w:eastAsia="ar-SA" w:bidi="sa-IN"/>
    </w:rPr>
  </w:style>
  <w:style w:type="character" w:customStyle="1" w:styleId="CharChar16">
    <w:name w:val="Char Char16"/>
    <w:semiHidden/>
    <w:rsid w:val="00545BD5"/>
    <w:rPr>
      <w:rFonts w:eastAsia="Times New Roman" w:cs="Times New Roman"/>
      <w:b/>
      <w:bCs/>
      <w:sz w:val="36"/>
      <w:szCs w:val="36"/>
    </w:rPr>
  </w:style>
  <w:style w:type="character" w:customStyle="1" w:styleId="CharChar21">
    <w:name w:val="Char Char21"/>
    <w:semiHidden/>
    <w:rsid w:val="00545BD5"/>
    <w:rPr>
      <w:i/>
      <w:sz w:val="22"/>
    </w:rPr>
  </w:style>
  <w:style w:type="character" w:customStyle="1" w:styleId="CharChar20">
    <w:name w:val="Char Char20"/>
    <w:semiHidden/>
    <w:rsid w:val="00545BD5"/>
    <w:rPr>
      <w:b/>
      <w:sz w:val="22"/>
      <w:szCs w:val="22"/>
      <w:lang w:val="en-GB"/>
    </w:rPr>
  </w:style>
  <w:style w:type="character" w:customStyle="1" w:styleId="CharChar19">
    <w:name w:val="Char Char19"/>
    <w:semiHidden/>
    <w:rsid w:val="00545BD5"/>
    <w:rPr>
      <w:i/>
      <w:sz w:val="22"/>
    </w:rPr>
  </w:style>
  <w:style w:type="character" w:customStyle="1" w:styleId="CharChar18">
    <w:name w:val="Char Char18"/>
    <w:semiHidden/>
    <w:rsid w:val="00545BD5"/>
    <w:rPr>
      <w:b/>
      <w:i/>
      <w:sz w:val="18"/>
    </w:rPr>
  </w:style>
  <w:style w:type="character" w:customStyle="1" w:styleId="CharChar15">
    <w:name w:val="Char Char15"/>
    <w:semiHidden/>
    <w:rsid w:val="00545BD5"/>
    <w:rPr>
      <w:rFonts w:ascii="Cambria" w:eastAsia="Times New Roman" w:hAnsi="Cambria" w:cs="Times New Roman"/>
      <w:i/>
      <w:iCs/>
      <w:color w:val="4F81BD"/>
      <w:spacing w:val="15"/>
      <w:kern w:val="1"/>
      <w:sz w:val="24"/>
      <w:szCs w:val="24"/>
      <w:lang w:val="en-US"/>
    </w:rPr>
  </w:style>
  <w:style w:type="character" w:customStyle="1" w:styleId="CharChar14">
    <w:name w:val="Char Char14"/>
    <w:semiHidden/>
    <w:rsid w:val="00545BD5"/>
    <w:rPr>
      <w:kern w:val="1"/>
      <w:sz w:val="24"/>
      <w:szCs w:val="24"/>
    </w:rPr>
  </w:style>
  <w:style w:type="character" w:customStyle="1" w:styleId="CharChar12">
    <w:name w:val="Char Char12"/>
    <w:semiHidden/>
    <w:rsid w:val="00545BD5"/>
    <w:rPr>
      <w:kern w:val="1"/>
    </w:rPr>
  </w:style>
  <w:style w:type="character" w:customStyle="1" w:styleId="CharChar11">
    <w:name w:val="Char Char11"/>
    <w:semiHidden/>
    <w:rsid w:val="00545BD5"/>
    <w:rPr>
      <w:rFonts w:ascii="Tahoma" w:hAnsi="Tahoma" w:cs="Tahoma"/>
      <w:kern w:val="1"/>
      <w:sz w:val="16"/>
      <w:szCs w:val="16"/>
    </w:rPr>
  </w:style>
  <w:style w:type="character" w:customStyle="1" w:styleId="CharChar17">
    <w:name w:val="Char Char17"/>
    <w:semiHidden/>
    <w:rsid w:val="00545BD5"/>
    <w:rPr>
      <w:rFonts w:ascii="Arial" w:hAnsi="Arial" w:cs="Arial"/>
      <w:b/>
      <w:bCs/>
      <w:kern w:val="28"/>
      <w:lang w:eastAsia="en-US"/>
    </w:rPr>
  </w:style>
  <w:style w:type="character" w:customStyle="1" w:styleId="CharChar10">
    <w:name w:val="Char Char10"/>
    <w:semiHidden/>
    <w:rsid w:val="00545BD5"/>
    <w:rPr>
      <w:rFonts w:ascii="Tahoma" w:eastAsia="Times New Roman" w:hAnsi="Tahoma" w:cs="Tahoma"/>
      <w:sz w:val="16"/>
      <w:szCs w:val="16"/>
    </w:rPr>
  </w:style>
  <w:style w:type="character" w:customStyle="1" w:styleId="StlusBekezdsFlkvrChar">
    <w:name w:val="Stílus Bekezdés + Félkövér Char"/>
    <w:semiHidden/>
    <w:rsid w:val="00E548D5"/>
    <w:rPr>
      <w:b/>
      <w:bCs/>
      <w:lang w:val="hu-HU" w:eastAsia="hu-HU" w:bidi="ar-SA"/>
    </w:rPr>
  </w:style>
  <w:style w:type="paragraph" w:styleId="Listaszerbekezds">
    <w:name w:val="List Paragraph"/>
    <w:basedOn w:val="Norml"/>
    <w:uiPriority w:val="34"/>
    <w:qFormat/>
    <w:rsid w:val="00A34530"/>
    <w:pPr>
      <w:ind w:left="720"/>
      <w:contextualSpacing/>
    </w:pPr>
  </w:style>
  <w:style w:type="character" w:customStyle="1" w:styleId="Stlus12pt">
    <w:name w:val="Stílus 12 pt"/>
    <w:semiHidden/>
    <w:rsid w:val="00E05EF9"/>
    <w:rPr>
      <w:rFonts w:ascii="Times New Roman" w:hAnsi="Times New Roman"/>
      <w:sz w:val="22"/>
    </w:rPr>
  </w:style>
  <w:style w:type="character" w:customStyle="1" w:styleId="Stlus8ptMintzatres25-osszrke">
    <w:name w:val="Stílus 8 pt Mintázat: Üres (25%-os szürke)"/>
    <w:semiHidden/>
    <w:rsid w:val="00E82480"/>
    <w:rPr>
      <w:sz w:val="16"/>
      <w:bdr w:val="none" w:sz="0" w:space="0" w:color="auto"/>
      <w:shd w:val="clear" w:color="auto" w:fill="auto"/>
    </w:rPr>
  </w:style>
  <w:style w:type="character" w:customStyle="1" w:styleId="StlusKpalrsNemFlkvrBalrazrtBal127cmEltteChar">
    <w:name w:val="Stílus Képaláírás + Nem Félkövér Balra zárt Bal:  127 cm Előtte:... Char"/>
    <w:link w:val="StlusKpalrsNemFlkvrBalrazrtBal127cmEltte"/>
    <w:rsid w:val="00A71620"/>
    <w:rPr>
      <w:rFonts w:ascii="Verdana" w:eastAsia="Times New Roman" w:hAnsi="Verdana"/>
      <w:sz w:val="16"/>
    </w:rPr>
  </w:style>
  <w:style w:type="paragraph" w:customStyle="1" w:styleId="frbekezds">
    <w:name w:val="fr bekezdés"/>
    <w:basedOn w:val="Norml"/>
    <w:link w:val="frbekezdsChar"/>
    <w:autoRedefine/>
    <w:semiHidden/>
    <w:rsid w:val="00FA3F65"/>
    <w:pPr>
      <w:numPr>
        <w:numId w:val="17"/>
      </w:numPr>
      <w:tabs>
        <w:tab w:val="left" w:pos="550"/>
      </w:tabs>
      <w:ind w:left="550" w:hanging="193"/>
    </w:pPr>
  </w:style>
  <w:style w:type="character" w:customStyle="1" w:styleId="frbekezdsChar">
    <w:name w:val="fr bekezdés Char"/>
    <w:link w:val="frbekezds"/>
    <w:semiHidden/>
    <w:rsid w:val="00FA3F65"/>
    <w:rPr>
      <w:rFonts w:cs="Arial"/>
      <w:kern w:val="1"/>
      <w:sz w:val="22"/>
      <w:szCs w:val="24"/>
    </w:rPr>
  </w:style>
  <w:style w:type="character" w:customStyle="1" w:styleId="StlusFinomkiemels">
    <w:name w:val="Stílus Finom kiemelés +"/>
    <w:basedOn w:val="Finomkiemels"/>
    <w:semiHidden/>
    <w:rsid w:val="00FC346E"/>
    <w:rPr>
      <w:rFonts w:ascii="Times New Roman" w:hAnsi="Times New Roman"/>
      <w:i/>
      <w:iCs/>
      <w:color w:val="auto"/>
      <w:sz w:val="22"/>
    </w:rPr>
  </w:style>
  <w:style w:type="paragraph" w:customStyle="1" w:styleId="brasorszma">
    <w:name w:val="ábra sorszáma"/>
    <w:basedOn w:val="Norml"/>
    <w:autoRedefine/>
    <w:rsid w:val="00E2553B"/>
    <w:pPr>
      <w:keepNext/>
      <w:keepLines/>
      <w:numPr>
        <w:numId w:val="21"/>
      </w:numPr>
      <w:tabs>
        <w:tab w:val="right" w:pos="8800"/>
      </w:tabs>
      <w:suppressAutoHyphens w:val="0"/>
      <w:spacing w:before="120" w:after="0"/>
      <w:jc w:val="right"/>
    </w:pPr>
    <w:rPr>
      <w:rFonts w:eastAsia="Times New Roman" w:cs="Times New Roman"/>
      <w:kern w:val="0"/>
      <w:szCs w:val="22"/>
    </w:rPr>
  </w:style>
  <w:style w:type="paragraph" w:customStyle="1" w:styleId="Listaszerbekezds1">
    <w:name w:val="Listaszerű bekezdés1"/>
    <w:basedOn w:val="Norml"/>
    <w:rsid w:val="00FA4E7F"/>
    <w:pPr>
      <w:suppressAutoHyphens w:val="0"/>
      <w:spacing w:after="200" w:line="276" w:lineRule="auto"/>
      <w:ind w:left="720" w:firstLine="0"/>
      <w:contextualSpacing/>
      <w:jc w:val="left"/>
    </w:pPr>
    <w:rPr>
      <w:rFonts w:ascii="Calibri" w:eastAsia="Times New Roman" w:hAnsi="Calibri" w:cs="Times New Roman"/>
      <w:kern w:val="0"/>
      <w:szCs w:val="22"/>
      <w:lang w:eastAsia="en-US"/>
    </w:rPr>
  </w:style>
  <w:style w:type="table" w:styleId="Egyszertblzat2">
    <w:name w:val="Table Simple 2"/>
    <w:basedOn w:val="Normltblzat"/>
    <w:rsid w:val="00A84FA0"/>
    <w:pPr>
      <w:suppressAutoHyphens/>
      <w:spacing w:after="120"/>
      <w:ind w:firstLine="284"/>
      <w:jc w:val="both"/>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Nemlista1">
    <w:name w:val="Nem lista1"/>
    <w:next w:val="Nemlista"/>
    <w:semiHidden/>
    <w:rsid w:val="004676EA"/>
  </w:style>
  <w:style w:type="character" w:customStyle="1" w:styleId="Footer2CharChar">
    <w:name w:val="Footer 2 Char Char"/>
    <w:rsid w:val="00C45507"/>
    <w:rPr>
      <w:sz w:val="24"/>
      <w:szCs w:val="24"/>
      <w:lang w:val="fr-FR" w:eastAsia="fr-FR" w:bidi="ar-SA"/>
    </w:rPr>
  </w:style>
  <w:style w:type="paragraph" w:customStyle="1" w:styleId="frbekezds0">
    <w:name w:val="frbekezds"/>
    <w:basedOn w:val="Norml"/>
    <w:rsid w:val="009D14FD"/>
    <w:pPr>
      <w:suppressAutoHyphens w:val="0"/>
      <w:spacing w:before="100" w:beforeAutospacing="1" w:after="100" w:afterAutospacing="1"/>
      <w:ind w:firstLine="0"/>
      <w:jc w:val="left"/>
    </w:pPr>
    <w:rPr>
      <w:rFonts w:eastAsia="Times New Roman" w:cs="Times New Roman"/>
      <w:kern w:val="0"/>
      <w:sz w:val="24"/>
    </w:rPr>
  </w:style>
  <w:style w:type="character" w:customStyle="1" w:styleId="KpalrsChar">
    <w:name w:val="Képaláírás Char"/>
    <w:rsid w:val="00421549"/>
    <w:rPr>
      <w:rFonts w:ascii="Verdana" w:hAnsi="Verdana"/>
      <w:b/>
      <w:bCs/>
      <w:sz w:val="18"/>
      <w:lang w:val="hu-HU" w:eastAsia="hu-HU" w:bidi="ar-SA"/>
    </w:rPr>
  </w:style>
  <w:style w:type="paragraph" w:customStyle="1" w:styleId="norml0">
    <w:name w:val="norml"/>
    <w:basedOn w:val="Norml"/>
    <w:rsid w:val="00607931"/>
    <w:pPr>
      <w:suppressAutoHyphens w:val="0"/>
      <w:spacing w:after="0"/>
      <w:ind w:firstLine="0"/>
    </w:pPr>
    <w:rPr>
      <w:rFonts w:ascii="MS Sans Serif" w:eastAsia="Times New Roman" w:hAnsi="MS Sans Serif" w:cs="Times New Roman"/>
      <w:kern w:val="0"/>
      <w:sz w:val="24"/>
    </w:rPr>
  </w:style>
  <w:style w:type="paragraph" w:customStyle="1" w:styleId="Forrs">
    <w:name w:val="Forrás"/>
    <w:basedOn w:val="Norml"/>
    <w:next w:val="Norml"/>
    <w:rsid w:val="00D13A65"/>
    <w:pPr>
      <w:suppressAutoHyphens w:val="0"/>
      <w:spacing w:after="0"/>
      <w:ind w:firstLine="0"/>
      <w:jc w:val="center"/>
    </w:pPr>
    <w:rPr>
      <w:rFonts w:eastAsia="Times New Roman" w:cs="Times New Roman"/>
      <w:kern w:val="0"/>
      <w:sz w:val="20"/>
      <w:szCs w:val="20"/>
    </w:rPr>
  </w:style>
  <w:style w:type="paragraph" w:customStyle="1" w:styleId="j-cmsor5">
    <w:name w:val="j-cmsor5"/>
    <w:basedOn w:val="Norml"/>
    <w:rsid w:val="007717B1"/>
    <w:pPr>
      <w:suppressAutoHyphens w:val="0"/>
      <w:spacing w:before="100" w:beforeAutospacing="1" w:after="100" w:afterAutospacing="1"/>
      <w:ind w:firstLine="0"/>
      <w:jc w:val="left"/>
    </w:pPr>
    <w:rPr>
      <w:rFonts w:eastAsia="Times New Roman" w:cs="Times New Roman"/>
      <w:kern w:val="0"/>
      <w:sz w:val="24"/>
    </w:rPr>
  </w:style>
  <w:style w:type="character" w:customStyle="1" w:styleId="CaptionChar">
    <w:name w:val="Caption Char"/>
    <w:aliases w:val="Char Char Char Char1 Char1"/>
    <w:locked/>
    <w:rsid w:val="002322DA"/>
    <w:rPr>
      <w:rFonts w:ascii="Verdana" w:hAnsi="Verdana" w:cs="Times New Roman"/>
      <w:b/>
      <w:bCs/>
      <w:sz w:val="18"/>
      <w:lang w:val="hu-HU" w:eastAsia="hu-HU" w:bidi="ar-SA"/>
    </w:rPr>
  </w:style>
  <w:style w:type="character" w:customStyle="1" w:styleId="Bodytext4">
    <w:name w:val="Body text (4)"/>
    <w:link w:val="Bodytext41"/>
    <w:rsid w:val="002E49E2"/>
    <w:rPr>
      <w:rFonts w:ascii="Arial" w:hAnsi="Arial"/>
      <w:sz w:val="24"/>
      <w:szCs w:val="24"/>
      <w:lang w:bidi="ar-SA"/>
    </w:rPr>
  </w:style>
  <w:style w:type="character" w:customStyle="1" w:styleId="Bodytext43">
    <w:name w:val="Body text (4)3"/>
    <w:basedOn w:val="Bodytext4"/>
    <w:rsid w:val="002E49E2"/>
    <w:rPr>
      <w:rFonts w:ascii="Arial" w:hAnsi="Arial"/>
      <w:sz w:val="24"/>
      <w:szCs w:val="24"/>
      <w:lang w:bidi="ar-SA"/>
    </w:rPr>
  </w:style>
  <w:style w:type="character" w:customStyle="1" w:styleId="Picturecaption5">
    <w:name w:val="Picture caption (5)"/>
    <w:link w:val="Picturecaption51"/>
    <w:rsid w:val="002E49E2"/>
    <w:rPr>
      <w:rFonts w:ascii="Arial" w:hAnsi="Arial"/>
      <w:b/>
      <w:bCs/>
      <w:sz w:val="24"/>
      <w:szCs w:val="24"/>
      <w:lang w:bidi="ar-SA"/>
    </w:rPr>
  </w:style>
  <w:style w:type="character" w:customStyle="1" w:styleId="Picturecaption52">
    <w:name w:val="Picture caption (5)2"/>
    <w:basedOn w:val="Picturecaption5"/>
    <w:rsid w:val="002E49E2"/>
    <w:rPr>
      <w:rFonts w:ascii="Arial" w:hAnsi="Arial"/>
      <w:b/>
      <w:bCs/>
      <w:sz w:val="24"/>
      <w:szCs w:val="24"/>
      <w:lang w:bidi="ar-SA"/>
    </w:rPr>
  </w:style>
  <w:style w:type="character" w:customStyle="1" w:styleId="Szvegtrzs1">
    <w:name w:val="Szövegtörzs1"/>
    <w:link w:val="Bodytext1"/>
    <w:rsid w:val="002E49E2"/>
    <w:rPr>
      <w:rFonts w:ascii="Arial" w:hAnsi="Arial"/>
      <w:sz w:val="24"/>
      <w:szCs w:val="24"/>
      <w:lang w:bidi="ar-SA"/>
    </w:rPr>
  </w:style>
  <w:style w:type="character" w:customStyle="1" w:styleId="BodytextBold">
    <w:name w:val="Body text + Bold"/>
    <w:rsid w:val="002E49E2"/>
    <w:rPr>
      <w:rFonts w:ascii="Arial" w:hAnsi="Arial"/>
      <w:b/>
      <w:bCs/>
      <w:sz w:val="24"/>
      <w:szCs w:val="24"/>
      <w:lang w:bidi="ar-SA"/>
    </w:rPr>
  </w:style>
  <w:style w:type="character" w:customStyle="1" w:styleId="Heading24">
    <w:name w:val="Heading #2 (4)"/>
    <w:link w:val="Heading241"/>
    <w:rsid w:val="002E49E2"/>
    <w:rPr>
      <w:rFonts w:ascii="Arial" w:hAnsi="Arial"/>
      <w:b/>
      <w:bCs/>
      <w:sz w:val="24"/>
      <w:szCs w:val="24"/>
      <w:lang w:bidi="ar-SA"/>
    </w:rPr>
  </w:style>
  <w:style w:type="character" w:customStyle="1" w:styleId="Bodytext13">
    <w:name w:val="Body text (13)"/>
    <w:link w:val="Bodytext131"/>
    <w:rsid w:val="002E49E2"/>
    <w:rPr>
      <w:rFonts w:ascii="Arial" w:hAnsi="Arial"/>
      <w:i/>
      <w:iCs/>
      <w:sz w:val="24"/>
      <w:szCs w:val="24"/>
      <w:lang w:bidi="ar-SA"/>
    </w:rPr>
  </w:style>
  <w:style w:type="character" w:customStyle="1" w:styleId="Bodytext132">
    <w:name w:val="Body text (13)2"/>
    <w:basedOn w:val="Bodytext13"/>
    <w:rsid w:val="002E49E2"/>
    <w:rPr>
      <w:rFonts w:ascii="Arial" w:hAnsi="Arial"/>
      <w:i/>
      <w:iCs/>
      <w:sz w:val="24"/>
      <w:szCs w:val="24"/>
      <w:lang w:bidi="ar-SA"/>
    </w:rPr>
  </w:style>
  <w:style w:type="character" w:customStyle="1" w:styleId="Bodytext13Bold">
    <w:name w:val="Body text (13) + Bold"/>
    <w:rsid w:val="002E49E2"/>
    <w:rPr>
      <w:rFonts w:ascii="Arial" w:hAnsi="Arial"/>
      <w:b/>
      <w:bCs/>
      <w:i/>
      <w:iCs/>
      <w:sz w:val="24"/>
      <w:szCs w:val="24"/>
      <w:lang w:bidi="ar-SA"/>
    </w:rPr>
  </w:style>
  <w:style w:type="character" w:customStyle="1" w:styleId="Heading2414">
    <w:name w:val="Heading #2 (4)14"/>
    <w:basedOn w:val="Heading24"/>
    <w:rsid w:val="002E49E2"/>
    <w:rPr>
      <w:rFonts w:ascii="Arial" w:hAnsi="Arial"/>
      <w:b/>
      <w:bCs/>
      <w:sz w:val="24"/>
      <w:szCs w:val="24"/>
      <w:lang w:bidi="ar-SA"/>
    </w:rPr>
  </w:style>
  <w:style w:type="character" w:customStyle="1" w:styleId="Picturecaption1612pt">
    <w:name w:val="Picture caption (16) + 12 pt"/>
    <w:aliases w:val="Not Bold"/>
    <w:rsid w:val="002E49E2"/>
    <w:rPr>
      <w:rFonts w:ascii="Arial" w:hAnsi="Arial"/>
      <w:b/>
      <w:bCs/>
      <w:sz w:val="24"/>
      <w:szCs w:val="24"/>
      <w:lang w:bidi="ar-SA"/>
    </w:rPr>
  </w:style>
  <w:style w:type="paragraph" w:customStyle="1" w:styleId="Bodytext41">
    <w:name w:val="Body text (4)1"/>
    <w:basedOn w:val="Norml"/>
    <w:link w:val="Bodytext4"/>
    <w:rsid w:val="002E49E2"/>
    <w:pPr>
      <w:shd w:val="clear" w:color="auto" w:fill="FFFFFF"/>
      <w:suppressAutoHyphens w:val="0"/>
      <w:spacing w:before="360" w:after="360" w:line="403" w:lineRule="exact"/>
      <w:ind w:firstLine="0"/>
      <w:jc w:val="left"/>
    </w:pPr>
    <w:rPr>
      <w:rFonts w:ascii="Arial" w:eastAsia="Times New Roman" w:hAnsi="Arial" w:cs="Times New Roman"/>
      <w:kern w:val="0"/>
      <w:sz w:val="24"/>
    </w:rPr>
  </w:style>
  <w:style w:type="paragraph" w:customStyle="1" w:styleId="Picturecaption51">
    <w:name w:val="Picture caption (5)1"/>
    <w:basedOn w:val="Norml"/>
    <w:link w:val="Picturecaption5"/>
    <w:rsid w:val="002E49E2"/>
    <w:pPr>
      <w:shd w:val="clear" w:color="auto" w:fill="FFFFFF"/>
      <w:suppressAutoHyphens w:val="0"/>
      <w:spacing w:after="0" w:line="240" w:lineRule="atLeast"/>
      <w:ind w:firstLine="0"/>
      <w:jc w:val="left"/>
    </w:pPr>
    <w:rPr>
      <w:rFonts w:ascii="Arial" w:eastAsia="Times New Roman" w:hAnsi="Arial" w:cs="Times New Roman"/>
      <w:b/>
      <w:bCs/>
      <w:kern w:val="0"/>
      <w:sz w:val="24"/>
    </w:rPr>
  </w:style>
  <w:style w:type="paragraph" w:customStyle="1" w:styleId="Bodytext1">
    <w:name w:val="Body text1"/>
    <w:basedOn w:val="Norml"/>
    <w:link w:val="Szvegtrzs1"/>
    <w:rsid w:val="002E49E2"/>
    <w:pPr>
      <w:shd w:val="clear" w:color="auto" w:fill="FFFFFF"/>
      <w:suppressAutoHyphens w:val="0"/>
      <w:spacing w:before="300" w:after="0" w:line="278" w:lineRule="exact"/>
      <w:ind w:firstLine="280"/>
    </w:pPr>
    <w:rPr>
      <w:rFonts w:ascii="Arial" w:eastAsia="Times New Roman" w:hAnsi="Arial" w:cs="Times New Roman"/>
      <w:kern w:val="0"/>
      <w:sz w:val="24"/>
    </w:rPr>
  </w:style>
  <w:style w:type="paragraph" w:customStyle="1" w:styleId="Heading241">
    <w:name w:val="Heading #2 (4)1"/>
    <w:basedOn w:val="Norml"/>
    <w:link w:val="Heading24"/>
    <w:rsid w:val="002E49E2"/>
    <w:pPr>
      <w:shd w:val="clear" w:color="auto" w:fill="FFFFFF"/>
      <w:suppressAutoHyphens w:val="0"/>
      <w:spacing w:before="120" w:after="240" w:line="240" w:lineRule="atLeast"/>
      <w:ind w:firstLine="0"/>
      <w:jc w:val="left"/>
      <w:outlineLvl w:val="1"/>
    </w:pPr>
    <w:rPr>
      <w:rFonts w:ascii="Arial" w:eastAsia="Times New Roman" w:hAnsi="Arial" w:cs="Times New Roman"/>
      <w:b/>
      <w:bCs/>
      <w:kern w:val="0"/>
      <w:sz w:val="24"/>
    </w:rPr>
  </w:style>
  <w:style w:type="paragraph" w:customStyle="1" w:styleId="Bodytext131">
    <w:name w:val="Body text (13)1"/>
    <w:basedOn w:val="Norml"/>
    <w:link w:val="Bodytext13"/>
    <w:rsid w:val="002E49E2"/>
    <w:pPr>
      <w:shd w:val="clear" w:color="auto" w:fill="FFFFFF"/>
      <w:suppressAutoHyphens w:val="0"/>
      <w:spacing w:before="480" w:after="660" w:line="278" w:lineRule="exact"/>
      <w:ind w:firstLine="0"/>
    </w:pPr>
    <w:rPr>
      <w:rFonts w:ascii="Arial" w:eastAsia="Times New Roman" w:hAnsi="Arial" w:cs="Times New Roman"/>
      <w:i/>
      <w:iCs/>
      <w:kern w:val="0"/>
      <w:sz w:val="24"/>
    </w:rPr>
  </w:style>
  <w:style w:type="character" w:customStyle="1" w:styleId="Bodytext6">
    <w:name w:val="Body text (6)"/>
    <w:link w:val="Bodytext61"/>
    <w:rsid w:val="002E49E2"/>
    <w:rPr>
      <w:rFonts w:ascii="Arial" w:hAnsi="Arial"/>
      <w:sz w:val="18"/>
      <w:szCs w:val="18"/>
      <w:lang w:bidi="ar-SA"/>
    </w:rPr>
  </w:style>
  <w:style w:type="character" w:customStyle="1" w:styleId="Bodytext7">
    <w:name w:val="Body text (7)"/>
    <w:link w:val="Bodytext71"/>
    <w:rsid w:val="002E49E2"/>
    <w:rPr>
      <w:rFonts w:ascii="Arial" w:hAnsi="Arial"/>
      <w:sz w:val="18"/>
      <w:szCs w:val="18"/>
      <w:lang w:bidi="ar-SA"/>
    </w:rPr>
  </w:style>
  <w:style w:type="character" w:customStyle="1" w:styleId="Heading2413">
    <w:name w:val="Heading #2 (4)13"/>
    <w:rsid w:val="002E49E2"/>
    <w:rPr>
      <w:rFonts w:ascii="Arial" w:hAnsi="Arial" w:cs="Arial"/>
      <w:b w:val="0"/>
      <w:bCs w:val="0"/>
      <w:sz w:val="24"/>
      <w:szCs w:val="24"/>
      <w:lang w:bidi="ar-SA"/>
    </w:rPr>
  </w:style>
  <w:style w:type="paragraph" w:customStyle="1" w:styleId="Bodytext61">
    <w:name w:val="Body text (6)1"/>
    <w:basedOn w:val="Norml"/>
    <w:link w:val="Bodytext6"/>
    <w:rsid w:val="002E49E2"/>
    <w:pPr>
      <w:shd w:val="clear" w:color="auto" w:fill="FFFFFF"/>
      <w:suppressAutoHyphens w:val="0"/>
      <w:spacing w:after="0" w:line="240" w:lineRule="atLeast"/>
      <w:ind w:firstLine="0"/>
      <w:jc w:val="left"/>
    </w:pPr>
    <w:rPr>
      <w:rFonts w:ascii="Arial" w:eastAsia="Times New Roman" w:hAnsi="Arial" w:cs="Times New Roman"/>
      <w:kern w:val="0"/>
      <w:sz w:val="18"/>
      <w:szCs w:val="18"/>
    </w:rPr>
  </w:style>
  <w:style w:type="paragraph" w:customStyle="1" w:styleId="Bodytext71">
    <w:name w:val="Body text (7)1"/>
    <w:basedOn w:val="Norml"/>
    <w:link w:val="Bodytext7"/>
    <w:rsid w:val="002E49E2"/>
    <w:pPr>
      <w:shd w:val="clear" w:color="auto" w:fill="FFFFFF"/>
      <w:suppressAutoHyphens w:val="0"/>
      <w:spacing w:after="0" w:line="216" w:lineRule="exact"/>
      <w:ind w:firstLine="0"/>
      <w:jc w:val="right"/>
    </w:pPr>
    <w:rPr>
      <w:rFonts w:ascii="Arial" w:eastAsia="Times New Roman" w:hAnsi="Arial" w:cs="Times New Roman"/>
      <w:kern w:val="0"/>
      <w:sz w:val="18"/>
      <w:szCs w:val="18"/>
    </w:rPr>
  </w:style>
  <w:style w:type="character" w:customStyle="1" w:styleId="Heading2416">
    <w:name w:val="Heading #2 (4)16"/>
    <w:rsid w:val="00DE1394"/>
    <w:rPr>
      <w:rFonts w:ascii="Arial" w:hAnsi="Arial" w:cs="Arial"/>
      <w:b w:val="0"/>
      <w:bCs w:val="0"/>
      <w:sz w:val="24"/>
      <w:szCs w:val="24"/>
      <w:lang w:bidi="ar-SA"/>
    </w:rPr>
  </w:style>
  <w:style w:type="character" w:customStyle="1" w:styleId="Bodytext122">
    <w:name w:val="Body text (12)2"/>
    <w:basedOn w:val="Bekezdsalapbettpusa"/>
    <w:rsid w:val="00A35D13"/>
    <w:rPr>
      <w:rFonts w:ascii="Arial" w:hAnsi="Arial"/>
      <w:b/>
      <w:bCs/>
      <w:sz w:val="18"/>
      <w:szCs w:val="18"/>
      <w:lang w:bidi="ar-SA"/>
    </w:rPr>
  </w:style>
  <w:style w:type="character" w:customStyle="1" w:styleId="Heading25">
    <w:name w:val="Heading #2 (5)"/>
    <w:link w:val="Heading251"/>
    <w:rsid w:val="00055AFA"/>
    <w:rPr>
      <w:rFonts w:ascii="Arial" w:hAnsi="Arial"/>
      <w:b/>
      <w:bCs/>
      <w:i/>
      <w:iCs/>
      <w:sz w:val="24"/>
      <w:szCs w:val="24"/>
      <w:lang w:bidi="ar-SA"/>
    </w:rPr>
  </w:style>
  <w:style w:type="character" w:customStyle="1" w:styleId="Heading252">
    <w:name w:val="Heading #2 (5)2"/>
    <w:basedOn w:val="Heading25"/>
    <w:rsid w:val="00055AFA"/>
    <w:rPr>
      <w:rFonts w:ascii="Arial" w:hAnsi="Arial"/>
      <w:b/>
      <w:bCs/>
      <w:i/>
      <w:iCs/>
      <w:sz w:val="24"/>
      <w:szCs w:val="24"/>
      <w:lang w:bidi="ar-SA"/>
    </w:rPr>
  </w:style>
  <w:style w:type="paragraph" w:customStyle="1" w:styleId="Heading251">
    <w:name w:val="Heading #2 (5)1"/>
    <w:basedOn w:val="Norml"/>
    <w:link w:val="Heading25"/>
    <w:rsid w:val="00055AFA"/>
    <w:pPr>
      <w:shd w:val="clear" w:color="auto" w:fill="FFFFFF"/>
      <w:suppressAutoHyphens w:val="0"/>
      <w:spacing w:before="660" w:after="240" w:line="240" w:lineRule="atLeast"/>
      <w:ind w:firstLine="0"/>
      <w:jc w:val="left"/>
      <w:outlineLvl w:val="1"/>
    </w:pPr>
    <w:rPr>
      <w:rFonts w:ascii="Arial" w:eastAsia="Times New Roman" w:hAnsi="Arial" w:cs="Times New Roman"/>
      <w:b/>
      <w:bCs/>
      <w:i/>
      <w:iCs/>
      <w:kern w:val="0"/>
      <w:sz w:val="24"/>
    </w:rPr>
  </w:style>
  <w:style w:type="paragraph" w:customStyle="1" w:styleId="j-szmozottfelsorols">
    <w:name w:val="j- számozott felsorolás"/>
    <w:basedOn w:val="Norml"/>
    <w:autoRedefine/>
    <w:rsid w:val="00434B01"/>
    <w:pPr>
      <w:suppressAutoHyphens w:val="0"/>
      <w:spacing w:after="0"/>
      <w:ind w:firstLine="0"/>
    </w:pPr>
    <w:rPr>
      <w:rFonts w:eastAsia="Times New Roman" w:cs="Times New Roman"/>
      <w:kern w:val="0"/>
      <w:szCs w:val="22"/>
    </w:rPr>
  </w:style>
  <w:style w:type="paragraph" w:customStyle="1" w:styleId="5Normal">
    <w:name w:val="5 Normal"/>
    <w:uiPriority w:val="99"/>
    <w:rsid w:val="00D16AD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styleId="Tartalomjegyzkcmsora">
    <w:name w:val="TOC Heading"/>
    <w:basedOn w:val="Cmsor1"/>
    <w:next w:val="Norml"/>
    <w:uiPriority w:val="39"/>
    <w:unhideWhenUsed/>
    <w:qFormat/>
    <w:rsid w:val="00011C3B"/>
    <w:pPr>
      <w:keepLines/>
      <w:pageBreakBefore w:val="0"/>
      <w:numPr>
        <w:numId w:val="0"/>
      </w:numPr>
      <w:suppressAutoHyphens w:val="0"/>
      <w:spacing w:before="480" w:after="0" w:line="276" w:lineRule="auto"/>
      <w:jc w:val="left"/>
      <w:outlineLvl w:val="9"/>
    </w:pPr>
    <w:rPr>
      <w:rFonts w:ascii="Cambria" w:eastAsia="Times New Roman" w:hAnsi="Cambria" w:cs="Times New Roman"/>
      <w:color w:val="365F91"/>
      <w:sz w:val="28"/>
      <w:szCs w:val="28"/>
    </w:rPr>
  </w:style>
  <w:style w:type="character" w:customStyle="1" w:styleId="Kpalrs10">
    <w:name w:val="Képaláírás1"/>
    <w:semiHidden/>
    <w:rsid w:val="00011C3B"/>
    <w:rPr>
      <w:b/>
      <w:bCs/>
      <w:sz w:val="20"/>
    </w:rPr>
  </w:style>
  <w:style w:type="character" w:customStyle="1" w:styleId="CharChar22">
    <w:name w:val="Char Char2"/>
    <w:semiHidden/>
    <w:rsid w:val="00011C3B"/>
    <w:rPr>
      <w:rFonts w:cs="Arial"/>
      <w:bCs/>
      <w:i/>
      <w:sz w:val="22"/>
      <w:szCs w:val="26"/>
      <w:lang w:val="en-GB" w:eastAsia="hu-HU" w:bidi="ar-SA"/>
    </w:rPr>
  </w:style>
  <w:style w:type="character" w:customStyle="1" w:styleId="CharChar160">
    <w:name w:val="Char Char16"/>
    <w:semiHidden/>
    <w:rsid w:val="00011C3B"/>
    <w:rPr>
      <w:rFonts w:eastAsia="Times New Roman" w:cs="Times New Roman"/>
      <w:b/>
      <w:bCs/>
      <w:sz w:val="36"/>
      <w:szCs w:val="36"/>
    </w:rPr>
  </w:style>
  <w:style w:type="character" w:customStyle="1" w:styleId="CharChar220">
    <w:name w:val="Char Char22"/>
    <w:semiHidden/>
    <w:rsid w:val="00011C3B"/>
    <w:rPr>
      <w:b/>
      <w:sz w:val="22"/>
    </w:rPr>
  </w:style>
  <w:style w:type="character" w:customStyle="1" w:styleId="CharChar210">
    <w:name w:val="Char Char21"/>
    <w:semiHidden/>
    <w:rsid w:val="00011C3B"/>
    <w:rPr>
      <w:i/>
      <w:sz w:val="22"/>
    </w:rPr>
  </w:style>
  <w:style w:type="character" w:customStyle="1" w:styleId="CharChar200">
    <w:name w:val="Char Char20"/>
    <w:semiHidden/>
    <w:rsid w:val="00011C3B"/>
    <w:rPr>
      <w:b/>
      <w:sz w:val="22"/>
      <w:szCs w:val="22"/>
      <w:lang w:val="en-GB"/>
    </w:rPr>
  </w:style>
  <w:style w:type="character" w:customStyle="1" w:styleId="CharChar190">
    <w:name w:val="Char Char19"/>
    <w:semiHidden/>
    <w:rsid w:val="00011C3B"/>
    <w:rPr>
      <w:i/>
      <w:sz w:val="22"/>
    </w:rPr>
  </w:style>
  <w:style w:type="character" w:customStyle="1" w:styleId="CharChar180">
    <w:name w:val="Char Char18"/>
    <w:semiHidden/>
    <w:rsid w:val="00011C3B"/>
    <w:rPr>
      <w:b/>
      <w:i/>
      <w:sz w:val="18"/>
    </w:rPr>
  </w:style>
  <w:style w:type="character" w:customStyle="1" w:styleId="CharChar150">
    <w:name w:val="Char Char15"/>
    <w:semiHidden/>
    <w:rsid w:val="00011C3B"/>
    <w:rPr>
      <w:rFonts w:ascii="Cambria" w:eastAsia="Times New Roman" w:hAnsi="Cambria" w:cs="Times New Roman"/>
      <w:i/>
      <w:iCs/>
      <w:color w:val="4F81BD"/>
      <w:spacing w:val="15"/>
      <w:kern w:val="1"/>
      <w:sz w:val="24"/>
      <w:szCs w:val="24"/>
      <w:lang w:val="en-US"/>
    </w:rPr>
  </w:style>
  <w:style w:type="character" w:customStyle="1" w:styleId="CharChar140">
    <w:name w:val="Char Char14"/>
    <w:semiHidden/>
    <w:rsid w:val="00011C3B"/>
    <w:rPr>
      <w:kern w:val="1"/>
      <w:sz w:val="24"/>
      <w:szCs w:val="24"/>
    </w:rPr>
  </w:style>
  <w:style w:type="character" w:customStyle="1" w:styleId="CharChar13">
    <w:name w:val="Char Char13"/>
    <w:semiHidden/>
    <w:rsid w:val="00011C3B"/>
    <w:rPr>
      <w:kern w:val="1"/>
      <w:sz w:val="24"/>
      <w:szCs w:val="24"/>
    </w:rPr>
  </w:style>
  <w:style w:type="character" w:customStyle="1" w:styleId="CharChar120">
    <w:name w:val="Char Char12"/>
    <w:semiHidden/>
    <w:rsid w:val="00011C3B"/>
    <w:rPr>
      <w:kern w:val="1"/>
    </w:rPr>
  </w:style>
  <w:style w:type="character" w:customStyle="1" w:styleId="CharChar110">
    <w:name w:val="Char Char11"/>
    <w:semiHidden/>
    <w:rsid w:val="00011C3B"/>
    <w:rPr>
      <w:rFonts w:ascii="Tahoma" w:hAnsi="Tahoma" w:cs="Tahoma"/>
      <w:kern w:val="1"/>
      <w:sz w:val="16"/>
      <w:szCs w:val="16"/>
    </w:rPr>
  </w:style>
  <w:style w:type="character" w:customStyle="1" w:styleId="CharChar170">
    <w:name w:val="Char Char17"/>
    <w:semiHidden/>
    <w:rsid w:val="00011C3B"/>
    <w:rPr>
      <w:rFonts w:ascii="Arial" w:hAnsi="Arial" w:cs="Arial"/>
      <w:b/>
      <w:bCs/>
      <w:kern w:val="28"/>
      <w:lang w:eastAsia="en-US"/>
    </w:rPr>
  </w:style>
  <w:style w:type="character" w:customStyle="1" w:styleId="CharChar6">
    <w:name w:val="Char Char6"/>
    <w:semiHidden/>
    <w:rsid w:val="00011C3B"/>
    <w:rPr>
      <w:rFonts w:eastAsia="Times New Roman"/>
      <w:sz w:val="26"/>
      <w:szCs w:val="24"/>
      <w:lang w:val="en-GB" w:eastAsia="ar-SA"/>
    </w:rPr>
  </w:style>
  <w:style w:type="character" w:customStyle="1" w:styleId="CharChar5">
    <w:name w:val="Char Char5"/>
    <w:semiHidden/>
    <w:rsid w:val="00011C3B"/>
    <w:rPr>
      <w:rFonts w:eastAsia="Times New Roman"/>
      <w:sz w:val="16"/>
      <w:szCs w:val="16"/>
      <w:lang w:val="en-GB"/>
    </w:rPr>
  </w:style>
  <w:style w:type="paragraph" w:customStyle="1" w:styleId="j-cmsor4">
    <w:name w:val="j- címsor4"/>
    <w:basedOn w:val="Cmsor4"/>
    <w:next w:val="Norml"/>
    <w:autoRedefine/>
    <w:rsid w:val="00011C3B"/>
    <w:pPr>
      <w:numPr>
        <w:numId w:val="17"/>
      </w:numPr>
      <w:tabs>
        <w:tab w:val="num" w:pos="284"/>
      </w:tabs>
      <w:spacing w:before="360"/>
      <w:ind w:left="990" w:hanging="990"/>
      <w:jc w:val="left"/>
    </w:pPr>
    <w:rPr>
      <w:iCs/>
      <w:kern w:val="0"/>
    </w:rPr>
  </w:style>
  <w:style w:type="numbering" w:customStyle="1" w:styleId="Nemlista2">
    <w:name w:val="Nem lista2"/>
    <w:next w:val="Nemlista"/>
    <w:semiHidden/>
    <w:rsid w:val="00011C3B"/>
  </w:style>
  <w:style w:type="character" w:customStyle="1" w:styleId="j-bracmChar">
    <w:name w:val="j- ábracím Char"/>
    <w:link w:val="j-bracm"/>
    <w:rsid w:val="00011C3B"/>
    <w:rPr>
      <w:b/>
    </w:rPr>
  </w:style>
  <w:style w:type="paragraph" w:customStyle="1" w:styleId="HUNNormal">
    <w:name w:val="HUN_Normal"/>
    <w:basedOn w:val="Norml"/>
    <w:semiHidden/>
    <w:rsid w:val="00011C3B"/>
    <w:pPr>
      <w:suppressAutoHyphens w:val="0"/>
      <w:spacing w:before="60" w:line="280" w:lineRule="atLeast"/>
      <w:ind w:firstLine="0"/>
    </w:pPr>
    <w:rPr>
      <w:rFonts w:ascii="Franklin Gothic Book" w:eastAsia="Times New Roman" w:hAnsi="Franklin Gothic Book" w:cs="Times New Roman"/>
      <w:kern w:val="0"/>
      <w:sz w:val="20"/>
      <w:szCs w:val="20"/>
    </w:rPr>
  </w:style>
  <w:style w:type="paragraph" w:customStyle="1" w:styleId="j-cmsor3">
    <w:name w:val="j- címsor3"/>
    <w:basedOn w:val="Cmsor3"/>
    <w:next w:val="Norml"/>
    <w:autoRedefine/>
    <w:rsid w:val="00011C3B"/>
    <w:pPr>
      <w:numPr>
        <w:numId w:val="17"/>
      </w:numPr>
      <w:spacing w:after="120"/>
    </w:pPr>
    <w:rPr>
      <w:szCs w:val="22"/>
      <w:lang w:bidi="sa-IN"/>
    </w:rPr>
  </w:style>
  <w:style w:type="paragraph" w:customStyle="1" w:styleId="Normlforrs">
    <w:name w:val="Normál forrás"/>
    <w:basedOn w:val="Norml"/>
    <w:rsid w:val="00380857"/>
    <w:pPr>
      <w:spacing w:after="240"/>
      <w:ind w:firstLine="0"/>
      <w:jc w:val="right"/>
    </w:pPr>
    <w:rPr>
      <w:i/>
      <w:kern w:val="22"/>
      <w:szCs w:val="20"/>
    </w:rPr>
  </w:style>
  <w:style w:type="paragraph" w:customStyle="1" w:styleId="j-braszm">
    <w:name w:val="j- ábraszám"/>
    <w:basedOn w:val="Kpalrs"/>
    <w:autoRedefine/>
    <w:rsid w:val="00011C3B"/>
    <w:pPr>
      <w:numPr>
        <w:numId w:val="35"/>
      </w:numPr>
      <w:tabs>
        <w:tab w:val="clear" w:pos="1068"/>
        <w:tab w:val="num" w:pos="440"/>
      </w:tabs>
      <w:spacing w:before="360"/>
      <w:ind w:left="0" w:firstLine="0"/>
      <w:jc w:val="right"/>
    </w:pPr>
    <w:rPr>
      <w:b w:val="0"/>
    </w:rPr>
  </w:style>
  <w:style w:type="paragraph" w:customStyle="1" w:styleId="j-bracm">
    <w:name w:val="j- ábracím"/>
    <w:basedOn w:val="Norml"/>
    <w:link w:val="j-bracmChar"/>
    <w:rsid w:val="00011C3B"/>
    <w:pPr>
      <w:keepNext/>
      <w:suppressAutoHyphens w:val="0"/>
      <w:ind w:firstLine="0"/>
      <w:jc w:val="center"/>
    </w:pPr>
    <w:rPr>
      <w:rFonts w:cs="Times New Roman"/>
      <w:b/>
      <w:kern w:val="0"/>
      <w:sz w:val="20"/>
      <w:szCs w:val="20"/>
    </w:rPr>
  </w:style>
  <w:style w:type="paragraph" w:customStyle="1" w:styleId="j-tblzat-fcm">
    <w:name w:val="j- táblázat-főcím"/>
    <w:basedOn w:val="Norml"/>
    <w:rsid w:val="00011C3B"/>
    <w:pPr>
      <w:keepNext/>
      <w:suppressAutoHyphens w:val="0"/>
      <w:ind w:firstLine="0"/>
      <w:jc w:val="center"/>
    </w:pPr>
    <w:rPr>
      <w:rFonts w:eastAsia="Times New Roman" w:cs="Times New Roman"/>
      <w:b/>
      <w:kern w:val="0"/>
      <w:szCs w:val="22"/>
    </w:rPr>
  </w:style>
  <w:style w:type="paragraph" w:customStyle="1" w:styleId="j-tblzat-alcm">
    <w:name w:val="j- táblázat-alcím"/>
    <w:basedOn w:val="Norml"/>
    <w:autoRedefine/>
    <w:rsid w:val="00011C3B"/>
    <w:pPr>
      <w:keepNext/>
      <w:spacing w:before="120"/>
      <w:ind w:firstLine="0"/>
      <w:jc w:val="center"/>
    </w:pPr>
    <w:rPr>
      <w:b/>
      <w:bCs/>
      <w:i/>
      <w:kern w:val="22"/>
      <w:lang w:bidi="sa-IN"/>
    </w:rPr>
  </w:style>
  <w:style w:type="paragraph" w:customStyle="1" w:styleId="j-tblzatszm">
    <w:name w:val="j- táblázatszám"/>
    <w:basedOn w:val="Kpalrs"/>
    <w:autoRedefine/>
    <w:rsid w:val="00FE0173"/>
    <w:pPr>
      <w:widowControl w:val="0"/>
      <w:numPr>
        <w:numId w:val="0"/>
      </w:numPr>
      <w:suppressAutoHyphens w:val="0"/>
      <w:spacing w:before="360"/>
      <w:ind w:left="9020"/>
      <w:jc w:val="right"/>
    </w:pPr>
    <w:rPr>
      <w:b w:val="0"/>
      <w:bCs w:val="0"/>
    </w:rPr>
  </w:style>
  <w:style w:type="paragraph" w:customStyle="1" w:styleId="j-felsorols1">
    <w:name w:val="j- felsorolás1"/>
    <w:basedOn w:val="Norml"/>
    <w:link w:val="j-felsorols1Char"/>
    <w:rsid w:val="00011C3B"/>
    <w:pPr>
      <w:numPr>
        <w:numId w:val="34"/>
      </w:numPr>
      <w:suppressAutoHyphens w:val="0"/>
      <w:spacing w:after="0"/>
    </w:pPr>
    <w:rPr>
      <w:rFonts w:eastAsia="Times New Roman" w:cs="Times New Roman"/>
      <w:kern w:val="0"/>
      <w:szCs w:val="22"/>
    </w:rPr>
  </w:style>
  <w:style w:type="paragraph" w:customStyle="1" w:styleId="j-cmsor50">
    <w:name w:val="j- címsor5"/>
    <w:basedOn w:val="Norml"/>
    <w:link w:val="j-cmsor5Char"/>
    <w:autoRedefine/>
    <w:rsid w:val="00C96F79"/>
    <w:pPr>
      <w:keepNext/>
      <w:suppressAutoHyphens w:val="0"/>
      <w:spacing w:before="360" w:line="276" w:lineRule="auto"/>
      <w:ind w:firstLine="0"/>
    </w:pPr>
    <w:rPr>
      <w:rFonts w:eastAsia="Times New Roman" w:cs="Times New Roman"/>
      <w:b/>
      <w:bCs/>
      <w:i/>
      <w:kern w:val="0"/>
      <w:sz w:val="24"/>
    </w:rPr>
  </w:style>
  <w:style w:type="paragraph" w:customStyle="1" w:styleId="j-felsorols2">
    <w:name w:val="j- felsorolás2"/>
    <w:basedOn w:val="Norml"/>
    <w:autoRedefine/>
    <w:rsid w:val="00011C3B"/>
    <w:pPr>
      <w:tabs>
        <w:tab w:val="left" w:pos="1540"/>
        <w:tab w:val="right" w:pos="8800"/>
      </w:tabs>
      <w:suppressAutoHyphens w:val="0"/>
      <w:spacing w:after="0"/>
      <w:ind w:left="1540" w:hanging="360"/>
      <w:jc w:val="left"/>
    </w:pPr>
    <w:rPr>
      <w:rFonts w:eastAsia="Times New Roman" w:cs="Times New Roman"/>
      <w:kern w:val="0"/>
      <w:szCs w:val="22"/>
    </w:rPr>
  </w:style>
  <w:style w:type="paragraph" w:customStyle="1" w:styleId="StlusChkList">
    <w:name w:val="Stílus Chk List"/>
    <w:basedOn w:val="Norml"/>
    <w:semiHidden/>
    <w:rsid w:val="00BD037E"/>
    <w:pPr>
      <w:suppressAutoHyphens w:val="0"/>
      <w:spacing w:after="0"/>
      <w:ind w:left="567" w:firstLine="0"/>
    </w:pPr>
    <w:rPr>
      <w:rFonts w:eastAsia="Times New Roman" w:cs="Times New Roman"/>
      <w:b/>
      <w:bCs/>
      <w:kern w:val="0"/>
      <w:sz w:val="24"/>
    </w:rPr>
  </w:style>
  <w:style w:type="paragraph" w:customStyle="1" w:styleId="heading">
    <w:name w:val="heading"/>
    <w:aliases w:val="6,4,7"/>
    <w:basedOn w:val="Norml"/>
    <w:next w:val="Norml"/>
    <w:autoRedefine/>
    <w:semiHidden/>
    <w:rsid w:val="00011C3B"/>
    <w:pPr>
      <w:keepNext/>
      <w:spacing w:after="0"/>
      <w:ind w:firstLine="0"/>
      <w:outlineLvl w:val="5"/>
    </w:pPr>
    <w:rPr>
      <w:rFonts w:eastAsia="Times New Roman" w:cs="Times New Roman"/>
      <w:b/>
      <w:bCs/>
      <w:snapToGrid w:val="0"/>
      <w:kern w:val="0"/>
      <w:sz w:val="24"/>
      <w:lang w:val="en-GB"/>
    </w:rPr>
  </w:style>
  <w:style w:type="character" w:customStyle="1" w:styleId="j-felsorols1Char">
    <w:name w:val="j- felsorolás1 Char"/>
    <w:link w:val="j-felsorols1"/>
    <w:rsid w:val="00011C3B"/>
    <w:rPr>
      <w:rFonts w:eastAsia="Times New Roman"/>
      <w:sz w:val="22"/>
      <w:szCs w:val="22"/>
    </w:rPr>
  </w:style>
  <w:style w:type="character" w:customStyle="1" w:styleId="Heading4Char">
    <w:name w:val="Heading 4 Char"/>
    <w:semiHidden/>
    <w:locked/>
    <w:rsid w:val="00011C3B"/>
    <w:rPr>
      <w:rFonts w:cs="Arial"/>
      <w:b/>
      <w:bCs/>
      <w:i/>
      <w:kern w:val="22"/>
      <w:sz w:val="22"/>
      <w:szCs w:val="28"/>
      <w:lang w:val="hu-HU" w:eastAsia="hu-HU" w:bidi="ar-SA"/>
    </w:rPr>
  </w:style>
  <w:style w:type="character" w:customStyle="1" w:styleId="Heading6Char">
    <w:name w:val="Heading 6 Char"/>
    <w:semiHidden/>
    <w:locked/>
    <w:rsid w:val="00011C3B"/>
    <w:rPr>
      <w:rFonts w:cs="Arial"/>
      <w:i/>
      <w:sz w:val="22"/>
      <w:lang w:val="hu-HU" w:eastAsia="hu-HU" w:bidi="ar-SA"/>
    </w:rPr>
  </w:style>
  <w:style w:type="character" w:customStyle="1" w:styleId="Heading8Char">
    <w:name w:val="Heading 8 Char"/>
    <w:semiHidden/>
    <w:locked/>
    <w:rsid w:val="00011C3B"/>
    <w:rPr>
      <w:rFonts w:cs="Arial"/>
      <w:i/>
      <w:sz w:val="22"/>
      <w:lang w:val="hu-HU" w:eastAsia="hu-HU" w:bidi="ar-SA"/>
    </w:rPr>
  </w:style>
  <w:style w:type="character" w:customStyle="1" w:styleId="Heading9Char">
    <w:name w:val="Heading 9 Char"/>
    <w:semiHidden/>
    <w:locked/>
    <w:rsid w:val="00011C3B"/>
    <w:rPr>
      <w:rFonts w:cs="Arial"/>
      <w:b/>
      <w:i/>
      <w:sz w:val="18"/>
      <w:lang w:val="hu-HU" w:eastAsia="hu-HU" w:bidi="ar-SA"/>
    </w:rPr>
  </w:style>
  <w:style w:type="character" w:customStyle="1" w:styleId="SubtitleChar">
    <w:name w:val="Subtitle Char"/>
    <w:semiHidden/>
    <w:locked/>
    <w:rsid w:val="00011C3B"/>
    <w:rPr>
      <w:rFonts w:ascii="Cambria" w:hAnsi="Cambria" w:cs="Times New Roman"/>
      <w:i/>
      <w:iCs/>
      <w:color w:val="4F81BD"/>
      <w:spacing w:val="15"/>
      <w:kern w:val="22"/>
      <w:sz w:val="24"/>
      <w:szCs w:val="24"/>
      <w:lang w:val="en-US" w:eastAsia="hu-HU" w:bidi="ar-SA"/>
    </w:rPr>
  </w:style>
  <w:style w:type="character" w:customStyle="1" w:styleId="HeaderChar">
    <w:name w:val="Header Char"/>
    <w:semiHidden/>
    <w:locked/>
    <w:rsid w:val="00011C3B"/>
    <w:rPr>
      <w:rFonts w:eastAsia="Times New Roman" w:cs="Arial"/>
      <w:kern w:val="22"/>
      <w:sz w:val="24"/>
      <w:szCs w:val="24"/>
      <w:lang w:val="hu-HU" w:eastAsia="hu-HU" w:bidi="ar-SA"/>
    </w:rPr>
  </w:style>
  <w:style w:type="character" w:customStyle="1" w:styleId="BalloonTextChar">
    <w:name w:val="Balloon Text Char"/>
    <w:semiHidden/>
    <w:locked/>
    <w:rsid w:val="00011C3B"/>
    <w:rPr>
      <w:rFonts w:ascii="Tahoma" w:eastAsia="Times New Roman" w:hAnsi="Tahoma" w:cs="Tahoma"/>
      <w:kern w:val="22"/>
      <w:sz w:val="16"/>
      <w:szCs w:val="16"/>
      <w:lang w:val="hu-HU" w:eastAsia="hu-HU" w:bidi="ar-SA"/>
    </w:rPr>
  </w:style>
  <w:style w:type="character" w:customStyle="1" w:styleId="BodyTextIndentChar1">
    <w:name w:val="Body Text Indent Char1"/>
    <w:semiHidden/>
    <w:locked/>
    <w:rsid w:val="00011C3B"/>
    <w:rPr>
      <w:rFonts w:cs="Arial"/>
      <w:snapToGrid w:val="0"/>
      <w:sz w:val="22"/>
      <w:szCs w:val="22"/>
      <w:lang w:val="en-GB" w:eastAsia="hu-HU" w:bidi="ar-SA"/>
    </w:rPr>
  </w:style>
  <w:style w:type="character" w:customStyle="1" w:styleId="CharChar1100">
    <w:name w:val="Char Char110"/>
    <w:semiHidden/>
    <w:rsid w:val="00011C3B"/>
    <w:rPr>
      <w:rFonts w:cs="Times New Roman"/>
      <w:b/>
      <w:i/>
      <w:sz w:val="26"/>
      <w:szCs w:val="26"/>
      <w:lang w:val="en-GB" w:eastAsia="hu-HU" w:bidi="ar-SA"/>
    </w:rPr>
  </w:style>
  <w:style w:type="character" w:customStyle="1" w:styleId="BodyText3Char">
    <w:name w:val="Body Text 3 Char"/>
    <w:semiHidden/>
    <w:locked/>
    <w:rsid w:val="00011C3B"/>
    <w:rPr>
      <w:rFonts w:cs="Arial"/>
      <w:sz w:val="16"/>
      <w:szCs w:val="16"/>
      <w:lang w:val="en-GB" w:eastAsia="hu-HU" w:bidi="ar-SA"/>
    </w:rPr>
  </w:style>
  <w:style w:type="character" w:customStyle="1" w:styleId="BodyTextIndent3Char">
    <w:name w:val="Body Text Indent 3 Char"/>
    <w:semiHidden/>
    <w:locked/>
    <w:rsid w:val="00011C3B"/>
    <w:rPr>
      <w:rFonts w:cs="Arial"/>
      <w:sz w:val="22"/>
      <w:szCs w:val="22"/>
      <w:lang w:val="en-GB" w:eastAsia="hu-HU" w:bidi="ar-SA"/>
    </w:rPr>
  </w:style>
  <w:style w:type="character" w:customStyle="1" w:styleId="PlainTextChar">
    <w:name w:val="Plain Text Char"/>
    <w:semiHidden/>
    <w:locked/>
    <w:rsid w:val="00011C3B"/>
    <w:rPr>
      <w:rFonts w:ascii="Consolas" w:eastAsia="Times New Roman" w:hAnsi="Consolas" w:cs="Times New Roman"/>
      <w:sz w:val="21"/>
      <w:szCs w:val="21"/>
      <w:lang w:val="hu-HU" w:eastAsia="en-US" w:bidi="ar-SA"/>
    </w:rPr>
  </w:style>
  <w:style w:type="paragraph" w:customStyle="1" w:styleId="Listaszerbekezds10">
    <w:name w:val="Listaszerű bekezdés1"/>
    <w:basedOn w:val="Norml"/>
    <w:semiHidden/>
    <w:rsid w:val="00011C3B"/>
    <w:pPr>
      <w:ind w:left="720" w:firstLine="0"/>
      <w:contextualSpacing/>
    </w:pPr>
    <w:rPr>
      <w:rFonts w:eastAsia="Times New Roman"/>
      <w:kern w:val="22"/>
    </w:rPr>
  </w:style>
  <w:style w:type="character" w:customStyle="1" w:styleId="Footer2CharChar1">
    <w:name w:val="Footer 2 Char Char1"/>
    <w:semiHidden/>
    <w:rsid w:val="00011C3B"/>
    <w:rPr>
      <w:rFonts w:ascii="Arial" w:hAnsi="Arial" w:cs="Arial"/>
      <w:noProof/>
      <w:color w:val="333333"/>
      <w:sz w:val="22"/>
      <w:szCs w:val="22"/>
      <w:lang w:val="hu-HU" w:eastAsia="hu-HU" w:bidi="ar-SA"/>
    </w:rPr>
  </w:style>
  <w:style w:type="character" w:customStyle="1" w:styleId="j-cmsor5Char">
    <w:name w:val="j- címsor5 Char"/>
    <w:link w:val="j-cmsor50"/>
    <w:rsid w:val="00727249"/>
    <w:rPr>
      <w:rFonts w:eastAsia="Times New Roman"/>
      <w:b/>
      <w:bCs/>
      <w:i/>
      <w:sz w:val="24"/>
      <w:szCs w:val="24"/>
    </w:rPr>
  </w:style>
  <w:style w:type="numbering" w:styleId="111111">
    <w:name w:val="Outline List 2"/>
    <w:basedOn w:val="Nemlista"/>
    <w:semiHidden/>
    <w:rsid w:val="00011C3B"/>
    <w:pPr>
      <w:numPr>
        <w:numId w:val="39"/>
      </w:numPr>
    </w:pPr>
  </w:style>
  <w:style w:type="numbering" w:styleId="1ai">
    <w:name w:val="Outline List 1"/>
    <w:basedOn w:val="Nemlista"/>
    <w:semiHidden/>
    <w:rsid w:val="00011C3B"/>
    <w:pPr>
      <w:numPr>
        <w:numId w:val="40"/>
      </w:numPr>
    </w:pPr>
  </w:style>
  <w:style w:type="paragraph" w:styleId="Alrs">
    <w:name w:val="Signature"/>
    <w:basedOn w:val="Norml"/>
    <w:link w:val="AlrsChar"/>
    <w:semiHidden/>
    <w:rsid w:val="00011C3B"/>
    <w:pPr>
      <w:ind w:left="4252" w:firstLine="0"/>
    </w:pPr>
    <w:rPr>
      <w:kern w:val="22"/>
    </w:rPr>
  </w:style>
  <w:style w:type="character" w:customStyle="1" w:styleId="AlrsChar">
    <w:name w:val="Aláírás Char"/>
    <w:link w:val="Alrs"/>
    <w:semiHidden/>
    <w:rsid w:val="00011C3B"/>
    <w:rPr>
      <w:rFonts w:cs="Arial"/>
      <w:kern w:val="22"/>
      <w:sz w:val="22"/>
      <w:szCs w:val="24"/>
    </w:rPr>
  </w:style>
  <w:style w:type="paragraph" w:styleId="Befejezs">
    <w:name w:val="Closing"/>
    <w:basedOn w:val="Norml"/>
    <w:link w:val="BefejezsChar"/>
    <w:semiHidden/>
    <w:rsid w:val="00011C3B"/>
    <w:pPr>
      <w:ind w:left="4252" w:firstLine="0"/>
    </w:pPr>
    <w:rPr>
      <w:kern w:val="22"/>
    </w:rPr>
  </w:style>
  <w:style w:type="character" w:customStyle="1" w:styleId="BefejezsChar">
    <w:name w:val="Befejezés Char"/>
    <w:link w:val="Befejezs"/>
    <w:semiHidden/>
    <w:rsid w:val="00011C3B"/>
    <w:rPr>
      <w:rFonts w:cs="Arial"/>
      <w:kern w:val="22"/>
      <w:sz w:val="22"/>
      <w:szCs w:val="24"/>
    </w:rPr>
  </w:style>
  <w:style w:type="paragraph" w:styleId="Bortkcm">
    <w:name w:val="envelope address"/>
    <w:basedOn w:val="Norml"/>
    <w:semiHidden/>
    <w:rsid w:val="00011C3B"/>
    <w:pPr>
      <w:framePr w:w="7920" w:h="1980" w:hRule="exact" w:hSpace="141" w:wrap="auto" w:hAnchor="page" w:xAlign="center" w:yAlign="bottom"/>
      <w:ind w:left="2880" w:firstLine="0"/>
    </w:pPr>
    <w:rPr>
      <w:rFonts w:ascii="Arial" w:hAnsi="Arial"/>
      <w:kern w:val="22"/>
      <w:sz w:val="24"/>
    </w:rPr>
  </w:style>
  <w:style w:type="numbering" w:styleId="Cikkelyrsz">
    <w:name w:val="Outline List 3"/>
    <w:basedOn w:val="Nemlista"/>
    <w:semiHidden/>
    <w:rsid w:val="00011C3B"/>
    <w:pPr>
      <w:numPr>
        <w:numId w:val="41"/>
      </w:numPr>
    </w:pPr>
  </w:style>
  <w:style w:type="table" w:styleId="Egyszertblzat1">
    <w:name w:val="Table Simple 1"/>
    <w:basedOn w:val="Normltblzat"/>
    <w:semiHidden/>
    <w:rsid w:val="00011C3B"/>
    <w:pPr>
      <w:suppressAutoHyphens/>
      <w:spacing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3">
    <w:name w:val="Table Simple 3"/>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nstblzat">
    <w:name w:val="Table Elegant"/>
    <w:basedOn w:val="Normltblzat"/>
    <w:semiHidden/>
    <w:rsid w:val="00011C3B"/>
    <w:pPr>
      <w:suppressAutoHyphens/>
      <w:spacing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eladcmebortkon">
    <w:name w:val="envelope return"/>
    <w:basedOn w:val="Norml"/>
    <w:semiHidden/>
    <w:rsid w:val="00011C3B"/>
    <w:pPr>
      <w:ind w:firstLine="0"/>
    </w:pPr>
    <w:rPr>
      <w:rFonts w:ascii="Arial" w:hAnsi="Arial"/>
      <w:kern w:val="22"/>
      <w:sz w:val="20"/>
      <w:szCs w:val="20"/>
    </w:rPr>
  </w:style>
  <w:style w:type="paragraph" w:styleId="Felsorols3">
    <w:name w:val="List Bullet 3"/>
    <w:basedOn w:val="Norml"/>
    <w:semiHidden/>
    <w:rsid w:val="00011C3B"/>
    <w:pPr>
      <w:numPr>
        <w:numId w:val="37"/>
      </w:numPr>
    </w:pPr>
    <w:rPr>
      <w:kern w:val="22"/>
    </w:rPr>
  </w:style>
  <w:style w:type="paragraph" w:styleId="Felsorols5">
    <w:name w:val="List Bullet 5"/>
    <w:basedOn w:val="Norml"/>
    <w:semiHidden/>
    <w:rsid w:val="00011C3B"/>
    <w:pPr>
      <w:numPr>
        <w:numId w:val="38"/>
      </w:numPr>
    </w:pPr>
    <w:rPr>
      <w:kern w:val="22"/>
    </w:rPr>
  </w:style>
  <w:style w:type="table" w:styleId="Finomtblzat1">
    <w:name w:val="Table Subtle 1"/>
    <w:basedOn w:val="Normltblzat"/>
    <w:semiHidden/>
    <w:rsid w:val="00011C3B"/>
    <w:pPr>
      <w:suppressAutoHyphens/>
      <w:spacing w:after="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semiHidden/>
    <w:rsid w:val="00011C3B"/>
    <w:pPr>
      <w:suppressAutoHyphens/>
      <w:spacing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billentyzet">
    <w:name w:val="HTML Keyboard"/>
    <w:semiHidden/>
    <w:rsid w:val="00011C3B"/>
    <w:rPr>
      <w:rFonts w:ascii="Courier New" w:hAnsi="Courier New"/>
      <w:sz w:val="20"/>
      <w:szCs w:val="20"/>
    </w:rPr>
  </w:style>
  <w:style w:type="paragraph" w:styleId="HTML-cm">
    <w:name w:val="HTML Address"/>
    <w:basedOn w:val="Norml"/>
    <w:link w:val="HTML-cmChar"/>
    <w:semiHidden/>
    <w:rsid w:val="00011C3B"/>
    <w:pPr>
      <w:ind w:firstLine="0"/>
    </w:pPr>
    <w:rPr>
      <w:i/>
      <w:iCs/>
      <w:kern w:val="22"/>
    </w:rPr>
  </w:style>
  <w:style w:type="character" w:customStyle="1" w:styleId="HTML-cmChar">
    <w:name w:val="HTML-cím Char"/>
    <w:link w:val="HTML-cm"/>
    <w:semiHidden/>
    <w:rsid w:val="00011C3B"/>
    <w:rPr>
      <w:rFonts w:cs="Arial"/>
      <w:i/>
      <w:iCs/>
      <w:kern w:val="22"/>
      <w:sz w:val="22"/>
      <w:szCs w:val="24"/>
    </w:rPr>
  </w:style>
  <w:style w:type="character" w:styleId="HTML-definci">
    <w:name w:val="HTML Definition"/>
    <w:semiHidden/>
    <w:rsid w:val="00011C3B"/>
    <w:rPr>
      <w:i/>
      <w:iCs/>
    </w:rPr>
  </w:style>
  <w:style w:type="character" w:styleId="HTML-idzet">
    <w:name w:val="HTML Cite"/>
    <w:semiHidden/>
    <w:rsid w:val="00011C3B"/>
    <w:rPr>
      <w:i/>
      <w:iCs/>
    </w:rPr>
  </w:style>
  <w:style w:type="character" w:styleId="HTML-rgp">
    <w:name w:val="HTML Typewriter"/>
    <w:semiHidden/>
    <w:rsid w:val="00011C3B"/>
    <w:rPr>
      <w:rFonts w:ascii="Courier New" w:hAnsi="Courier New"/>
      <w:sz w:val="20"/>
      <w:szCs w:val="20"/>
    </w:rPr>
  </w:style>
  <w:style w:type="paragraph" w:styleId="HTML-kntformzott">
    <w:name w:val="HTML Preformatted"/>
    <w:basedOn w:val="Norml"/>
    <w:link w:val="HTML-kntformzottChar"/>
    <w:semiHidden/>
    <w:rsid w:val="00011C3B"/>
    <w:pPr>
      <w:ind w:firstLine="0"/>
    </w:pPr>
    <w:rPr>
      <w:rFonts w:ascii="Courier New" w:hAnsi="Courier New"/>
      <w:kern w:val="22"/>
      <w:sz w:val="20"/>
      <w:szCs w:val="20"/>
    </w:rPr>
  </w:style>
  <w:style w:type="character" w:customStyle="1" w:styleId="HTML-kntformzottChar">
    <w:name w:val="HTML-ként formázott Char"/>
    <w:link w:val="HTML-kntformzott"/>
    <w:semiHidden/>
    <w:rsid w:val="00011C3B"/>
    <w:rPr>
      <w:rFonts w:ascii="Courier New" w:hAnsi="Courier New" w:cs="Arial"/>
      <w:kern w:val="22"/>
    </w:rPr>
  </w:style>
  <w:style w:type="character" w:styleId="HTML-kd">
    <w:name w:val="HTML Code"/>
    <w:semiHidden/>
    <w:rsid w:val="00011C3B"/>
    <w:rPr>
      <w:rFonts w:ascii="Courier New" w:hAnsi="Courier New"/>
      <w:sz w:val="20"/>
      <w:szCs w:val="20"/>
    </w:rPr>
  </w:style>
  <w:style w:type="character" w:styleId="HTML-minta">
    <w:name w:val="HTML Sample"/>
    <w:semiHidden/>
    <w:rsid w:val="00011C3B"/>
    <w:rPr>
      <w:rFonts w:ascii="Courier New" w:hAnsi="Courier New"/>
    </w:rPr>
  </w:style>
  <w:style w:type="character" w:styleId="HTML-mozaiksz">
    <w:name w:val="HTML Acronym"/>
    <w:semiHidden/>
    <w:rsid w:val="00011C3B"/>
  </w:style>
  <w:style w:type="character" w:styleId="HTML-vltoz">
    <w:name w:val="HTML Variable"/>
    <w:semiHidden/>
    <w:rsid w:val="00011C3B"/>
    <w:rPr>
      <w:i/>
      <w:iCs/>
    </w:rPr>
  </w:style>
  <w:style w:type="table" w:styleId="Klasszikustblzat1">
    <w:name w:val="Table Classic 1"/>
    <w:basedOn w:val="Normltblzat"/>
    <w:semiHidden/>
    <w:rsid w:val="00011C3B"/>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semiHidden/>
    <w:rsid w:val="00011C3B"/>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semiHidden/>
    <w:rsid w:val="00011C3B"/>
    <w:pPr>
      <w:suppressAutoHyphens/>
      <w:spacing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semiHidden/>
    <w:rsid w:val="00011C3B"/>
    <w:pPr>
      <w:suppressAutoHyphens/>
      <w:spacing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a3">
    <w:name w:val="List 3"/>
    <w:basedOn w:val="Norml"/>
    <w:semiHidden/>
    <w:rsid w:val="00011C3B"/>
    <w:pPr>
      <w:ind w:left="849" w:hanging="283"/>
    </w:pPr>
    <w:rPr>
      <w:kern w:val="22"/>
    </w:rPr>
  </w:style>
  <w:style w:type="paragraph" w:styleId="Lista4">
    <w:name w:val="List 4"/>
    <w:basedOn w:val="Norml"/>
    <w:semiHidden/>
    <w:rsid w:val="00011C3B"/>
    <w:pPr>
      <w:ind w:left="1132" w:hanging="283"/>
    </w:pPr>
    <w:rPr>
      <w:kern w:val="22"/>
    </w:rPr>
  </w:style>
  <w:style w:type="paragraph" w:styleId="Lista5">
    <w:name w:val="List 5"/>
    <w:basedOn w:val="Norml"/>
    <w:semiHidden/>
    <w:rsid w:val="00011C3B"/>
    <w:pPr>
      <w:ind w:left="1415" w:hanging="283"/>
    </w:pPr>
    <w:rPr>
      <w:kern w:val="22"/>
    </w:rPr>
  </w:style>
  <w:style w:type="paragraph" w:styleId="Listafolytatsa">
    <w:name w:val="List Continue"/>
    <w:basedOn w:val="Norml"/>
    <w:semiHidden/>
    <w:rsid w:val="00011C3B"/>
    <w:pPr>
      <w:ind w:left="283" w:firstLine="0"/>
    </w:pPr>
    <w:rPr>
      <w:kern w:val="22"/>
    </w:rPr>
  </w:style>
  <w:style w:type="paragraph" w:styleId="Listafolytatsa2">
    <w:name w:val="List Continue 2"/>
    <w:basedOn w:val="Norml"/>
    <w:semiHidden/>
    <w:rsid w:val="00011C3B"/>
    <w:pPr>
      <w:ind w:left="566" w:firstLine="0"/>
    </w:pPr>
    <w:rPr>
      <w:kern w:val="22"/>
    </w:rPr>
  </w:style>
  <w:style w:type="paragraph" w:styleId="Listafolytatsa3">
    <w:name w:val="List Continue 3"/>
    <w:basedOn w:val="Norml"/>
    <w:semiHidden/>
    <w:rsid w:val="00011C3B"/>
    <w:pPr>
      <w:ind w:left="849" w:firstLine="0"/>
    </w:pPr>
    <w:rPr>
      <w:kern w:val="22"/>
    </w:rPr>
  </w:style>
  <w:style w:type="paragraph" w:styleId="Listafolytatsa4">
    <w:name w:val="List Continue 4"/>
    <w:basedOn w:val="Norml"/>
    <w:semiHidden/>
    <w:rsid w:val="00011C3B"/>
    <w:pPr>
      <w:ind w:left="1132" w:firstLine="0"/>
    </w:pPr>
    <w:rPr>
      <w:kern w:val="22"/>
    </w:rPr>
  </w:style>
  <w:style w:type="paragraph" w:styleId="Listafolytatsa5">
    <w:name w:val="List Continue 5"/>
    <w:basedOn w:val="Norml"/>
    <w:semiHidden/>
    <w:rsid w:val="00011C3B"/>
    <w:pPr>
      <w:ind w:left="1415" w:firstLine="0"/>
    </w:pPr>
    <w:rPr>
      <w:kern w:val="22"/>
    </w:rPr>
  </w:style>
  <w:style w:type="table" w:styleId="Listaszertblzat1">
    <w:name w:val="Table List 1"/>
    <w:basedOn w:val="Normltblzat"/>
    <w:semiHidden/>
    <w:rsid w:val="00011C3B"/>
    <w:pPr>
      <w:suppressAutoHyphens/>
      <w:spacing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semiHidden/>
    <w:rsid w:val="00011C3B"/>
    <w:pPr>
      <w:suppressAutoHyphens/>
      <w:spacing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semiHidden/>
    <w:rsid w:val="00011C3B"/>
    <w:pPr>
      <w:suppressAutoHyphens/>
      <w:spacing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semiHidden/>
    <w:rsid w:val="00011C3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semiHidden/>
    <w:rsid w:val="00011C3B"/>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semiHidden/>
    <w:rsid w:val="00011C3B"/>
    <w:pPr>
      <w:suppressAutoHyphens/>
      <w:spacing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semiHidden/>
    <w:rsid w:val="00011C3B"/>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Megjegyzsfej">
    <w:name w:val="Note Heading"/>
    <w:basedOn w:val="Norml"/>
    <w:next w:val="Norml"/>
    <w:link w:val="MegjegyzsfejChar"/>
    <w:semiHidden/>
    <w:rsid w:val="00011C3B"/>
    <w:pPr>
      <w:ind w:firstLine="0"/>
    </w:pPr>
    <w:rPr>
      <w:kern w:val="22"/>
    </w:rPr>
  </w:style>
  <w:style w:type="character" w:customStyle="1" w:styleId="MegjegyzsfejChar">
    <w:name w:val="Megjegyzésfej Char"/>
    <w:link w:val="Megjegyzsfej"/>
    <w:semiHidden/>
    <w:rsid w:val="00011C3B"/>
    <w:rPr>
      <w:rFonts w:cs="Arial"/>
      <w:kern w:val="22"/>
      <w:sz w:val="22"/>
      <w:szCs w:val="24"/>
    </w:rPr>
  </w:style>
  <w:style w:type="table" w:styleId="Moderntblzat">
    <w:name w:val="Table Contemporary"/>
    <w:basedOn w:val="Normltblzat"/>
    <w:semiHidden/>
    <w:rsid w:val="00011C3B"/>
    <w:pPr>
      <w:suppressAutoHyphens/>
      <w:spacing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Oszlopostblzat1">
    <w:name w:val="Table Columns 1"/>
    <w:basedOn w:val="Normltblzat"/>
    <w:semiHidden/>
    <w:rsid w:val="00011C3B"/>
    <w:pPr>
      <w:suppressAutoHyphens/>
      <w:spacing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2">
    <w:name w:val="Table Columns 2"/>
    <w:basedOn w:val="Normltblzat"/>
    <w:semiHidden/>
    <w:rsid w:val="00011C3B"/>
    <w:pPr>
      <w:suppressAutoHyphens/>
      <w:spacing w:after="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3">
    <w:name w:val="Table Columns 3"/>
    <w:basedOn w:val="Normltblzat"/>
    <w:semiHidden/>
    <w:rsid w:val="00011C3B"/>
    <w:pPr>
      <w:suppressAutoHyphens/>
      <w:spacing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szlopostblzat4">
    <w:name w:val="Table Columns 4"/>
    <w:basedOn w:val="Normltblzat"/>
    <w:semiHidden/>
    <w:rsid w:val="00011C3B"/>
    <w:pPr>
      <w:suppressAutoHyphens/>
      <w:spacing w:after="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Oszlopostblzat5">
    <w:name w:val="Table Columns 5"/>
    <w:basedOn w:val="Normltblzat"/>
    <w:semiHidden/>
    <w:rsid w:val="00011C3B"/>
    <w:pPr>
      <w:suppressAutoHyphens/>
      <w:spacing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Profitblzat">
    <w:name w:val="Table Professional"/>
    <w:basedOn w:val="Normltblzat"/>
    <w:semiHidden/>
    <w:rsid w:val="00011C3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csostblzat1">
    <w:name w:val="Table Grid 1"/>
    <w:basedOn w:val="Normltblzat"/>
    <w:semiHidden/>
    <w:rsid w:val="00011C3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
    <w:name w:val="Table Grid 2"/>
    <w:basedOn w:val="Normltblzat"/>
    <w:semiHidden/>
    <w:rsid w:val="00011C3B"/>
    <w:pPr>
      <w:suppressAutoHyphens/>
      <w:spacing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
    <w:name w:val="Table Grid 3"/>
    <w:basedOn w:val="Normltblzat"/>
    <w:semiHidden/>
    <w:rsid w:val="00011C3B"/>
    <w:pPr>
      <w:suppressAutoHyphens/>
      <w:spacing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
    <w:name w:val="Table Grid 4"/>
    <w:basedOn w:val="Normltblzat"/>
    <w:semiHidden/>
    <w:rsid w:val="00011C3B"/>
    <w:pPr>
      <w:suppressAutoHyphens/>
      <w:spacing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semiHidden/>
    <w:rsid w:val="00011C3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semiHidden/>
    <w:rsid w:val="00011C3B"/>
    <w:pPr>
      <w:suppressAutoHyphens/>
      <w:spacing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semiHidden/>
    <w:rsid w:val="00011C3B"/>
    <w:pPr>
      <w:suppressAutoHyphens/>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orszma">
    <w:name w:val="line number"/>
    <w:semiHidden/>
    <w:rsid w:val="00011C3B"/>
  </w:style>
  <w:style w:type="paragraph" w:styleId="Szmozottlista2">
    <w:name w:val="List Number 2"/>
    <w:basedOn w:val="Norml"/>
    <w:semiHidden/>
    <w:rsid w:val="00011C3B"/>
    <w:pPr>
      <w:numPr>
        <w:numId w:val="42"/>
      </w:numPr>
    </w:pPr>
    <w:rPr>
      <w:kern w:val="22"/>
    </w:rPr>
  </w:style>
  <w:style w:type="paragraph" w:styleId="Szmozottlista3">
    <w:name w:val="List Number 3"/>
    <w:basedOn w:val="Norml"/>
    <w:semiHidden/>
    <w:rsid w:val="00011C3B"/>
    <w:pPr>
      <w:numPr>
        <w:numId w:val="43"/>
      </w:numPr>
    </w:pPr>
    <w:rPr>
      <w:kern w:val="22"/>
    </w:rPr>
  </w:style>
  <w:style w:type="paragraph" w:styleId="Szvegblokk">
    <w:name w:val="Block Text"/>
    <w:basedOn w:val="Norml"/>
    <w:semiHidden/>
    <w:rsid w:val="00011C3B"/>
    <w:pPr>
      <w:ind w:left="1440" w:right="1440" w:firstLine="0"/>
    </w:pPr>
    <w:rPr>
      <w:kern w:val="22"/>
    </w:rPr>
  </w:style>
  <w:style w:type="paragraph" w:styleId="Szvegtrzselssora">
    <w:name w:val="Body Text First Indent"/>
    <w:basedOn w:val="Szvegtrzs"/>
    <w:link w:val="SzvegtrzselssoraChar"/>
    <w:semiHidden/>
    <w:rsid w:val="00011C3B"/>
    <w:pPr>
      <w:ind w:firstLine="210"/>
    </w:pPr>
    <w:rPr>
      <w:kern w:val="22"/>
    </w:rPr>
  </w:style>
  <w:style w:type="character" w:customStyle="1" w:styleId="SzvegtrzselssoraChar">
    <w:name w:val="Szövegtörzs első sora Char"/>
    <w:link w:val="Szvegtrzselssora"/>
    <w:semiHidden/>
    <w:rsid w:val="00011C3B"/>
    <w:rPr>
      <w:rFonts w:eastAsia="Lucida Sans Unicode" w:cs="Arial"/>
      <w:kern w:val="22"/>
      <w:sz w:val="22"/>
      <w:szCs w:val="24"/>
      <w:lang w:val="en-US"/>
    </w:rPr>
  </w:style>
  <w:style w:type="paragraph" w:styleId="Szvegtrzselssora2">
    <w:name w:val="Body Text First Indent 2"/>
    <w:basedOn w:val="Norml"/>
    <w:link w:val="Szvegtrzselssora2Char"/>
    <w:semiHidden/>
    <w:rsid w:val="00BD037E"/>
    <w:pPr>
      <w:ind w:left="283" w:firstLine="210"/>
    </w:pPr>
    <w:rPr>
      <w:kern w:val="22"/>
    </w:rPr>
  </w:style>
  <w:style w:type="character" w:customStyle="1" w:styleId="Szvegtrzselssora2Char">
    <w:name w:val="Szövegtörzs első sora 2 Char"/>
    <w:link w:val="Szvegtrzselssora2"/>
    <w:semiHidden/>
    <w:rsid w:val="00011C3B"/>
    <w:rPr>
      <w:rFonts w:eastAsia="Times New Roman" w:cs="Arial"/>
      <w:snapToGrid/>
      <w:kern w:val="22"/>
      <w:sz w:val="22"/>
      <w:szCs w:val="24"/>
      <w:lang w:val="en-GB"/>
    </w:rPr>
  </w:style>
  <w:style w:type="table" w:styleId="Tarkatblzat1">
    <w:name w:val="Table Colorful 1"/>
    <w:basedOn w:val="Normltblzat"/>
    <w:semiHidden/>
    <w:rsid w:val="00011C3B"/>
    <w:pPr>
      <w:suppressAutoHyphens/>
      <w:spacing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semiHidden/>
    <w:rsid w:val="00011C3B"/>
    <w:pPr>
      <w:suppressAutoHyphens/>
      <w:spacing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semiHidden/>
    <w:rsid w:val="00011C3B"/>
    <w:pPr>
      <w:suppressAutoHyphens/>
      <w:spacing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mrapltblzat">
    <w:name w:val="Table Theme"/>
    <w:basedOn w:val="Normltblzat"/>
    <w:semiHidden/>
    <w:rsid w:val="00011C3B"/>
    <w:pPr>
      <w:suppressAutoHyphens/>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hatstblzat1">
    <w:name w:val="Table 3D effects 1"/>
    <w:basedOn w:val="Normltblzat"/>
    <w:semiHidden/>
    <w:rsid w:val="00011C3B"/>
    <w:pPr>
      <w:suppressAutoHyphens/>
      <w:spacing w:after="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semiHidden/>
    <w:rsid w:val="00011C3B"/>
    <w:pPr>
      <w:suppressAutoHyphens/>
      <w:spacing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semiHidden/>
    <w:rsid w:val="00011C3B"/>
    <w:pPr>
      <w:suppressAutoHyphens/>
      <w:spacing w:after="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enetfej">
    <w:name w:val="Message Header"/>
    <w:basedOn w:val="Norml"/>
    <w:link w:val="zenetfejChar"/>
    <w:semiHidden/>
    <w:rsid w:val="00011C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kern w:val="22"/>
      <w:sz w:val="24"/>
    </w:rPr>
  </w:style>
  <w:style w:type="character" w:customStyle="1" w:styleId="zenetfejChar">
    <w:name w:val="Üzenetfej Char"/>
    <w:link w:val="zenetfej"/>
    <w:semiHidden/>
    <w:rsid w:val="00011C3B"/>
    <w:rPr>
      <w:rFonts w:ascii="Arial" w:hAnsi="Arial" w:cs="Arial"/>
      <w:kern w:val="22"/>
      <w:sz w:val="24"/>
      <w:szCs w:val="24"/>
      <w:shd w:val="pct20" w:color="auto" w:fill="auto"/>
    </w:rPr>
  </w:style>
  <w:style w:type="table" w:styleId="Webestblzat1">
    <w:name w:val="Table Web 1"/>
    <w:basedOn w:val="Normltblzat"/>
    <w:semiHidden/>
    <w:rsid w:val="00011C3B"/>
    <w:pPr>
      <w:suppressAutoHyphens/>
      <w:spacing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semiHidden/>
    <w:rsid w:val="00011C3B"/>
    <w:pPr>
      <w:suppressAutoHyphens/>
      <w:spacing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semiHidden/>
    <w:rsid w:val="00011C3B"/>
    <w:pPr>
      <w:suppressAutoHyphens/>
      <w:spacing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l2">
    <w:name w:val="Normál2"/>
    <w:basedOn w:val="Bekezds"/>
    <w:autoRedefine/>
    <w:semiHidden/>
    <w:rsid w:val="00011C3B"/>
    <w:pPr>
      <w:spacing w:before="0"/>
      <w:ind w:firstLine="0"/>
    </w:pPr>
    <w:rPr>
      <w:sz w:val="24"/>
      <w:szCs w:val="24"/>
    </w:rPr>
  </w:style>
  <w:style w:type="character" w:customStyle="1" w:styleId="BalloonTextChar1">
    <w:name w:val="Balloon Text Char1"/>
    <w:locked/>
    <w:rsid w:val="00011C3B"/>
    <w:rPr>
      <w:rFonts w:ascii="Tahoma" w:hAnsi="Tahoma" w:cs="Tahoma"/>
      <w:kern w:val="1"/>
      <w:sz w:val="16"/>
      <w:szCs w:val="16"/>
    </w:rPr>
  </w:style>
  <w:style w:type="paragraph" w:customStyle="1" w:styleId="body0020text">
    <w:name w:val="body_0020text"/>
    <w:basedOn w:val="Norml"/>
    <w:rsid w:val="007928C3"/>
    <w:pPr>
      <w:suppressAutoHyphens w:val="0"/>
      <w:spacing w:before="100" w:beforeAutospacing="1" w:after="100" w:afterAutospacing="1"/>
      <w:ind w:firstLine="0"/>
      <w:jc w:val="left"/>
    </w:pPr>
    <w:rPr>
      <w:rFonts w:eastAsia="Times New Roman" w:cs="Times New Roman"/>
      <w:kern w:val="0"/>
      <w:sz w:val="24"/>
    </w:rPr>
  </w:style>
  <w:style w:type="paragraph" w:customStyle="1" w:styleId="xxs5">
    <w:name w:val="x_x_s5"/>
    <w:basedOn w:val="Norml"/>
    <w:uiPriority w:val="99"/>
    <w:rsid w:val="007928C3"/>
    <w:pPr>
      <w:suppressAutoHyphens w:val="0"/>
      <w:spacing w:before="100" w:beforeAutospacing="1" w:after="100" w:afterAutospacing="1"/>
      <w:ind w:firstLine="0"/>
      <w:jc w:val="left"/>
    </w:pPr>
    <w:rPr>
      <w:rFonts w:eastAsia="Times New Roman" w:cs="Times New Roman"/>
      <w:kern w:val="0"/>
      <w:sz w:val="24"/>
    </w:rPr>
  </w:style>
  <w:style w:type="paragraph" w:customStyle="1" w:styleId="Textbody">
    <w:name w:val="Text body"/>
    <w:basedOn w:val="Norml"/>
    <w:uiPriority w:val="99"/>
    <w:rsid w:val="007928C3"/>
    <w:pPr>
      <w:widowControl w:val="0"/>
      <w:autoSpaceDN w:val="0"/>
      <w:ind w:firstLine="0"/>
      <w:jc w:val="left"/>
      <w:textAlignment w:val="baseline"/>
    </w:pPr>
    <w:rPr>
      <w:rFonts w:eastAsia="Times New Roman" w:cs="Tahoma"/>
      <w:kern w:val="3"/>
      <w:sz w:val="24"/>
    </w:rPr>
  </w:style>
  <w:style w:type="paragraph" w:customStyle="1" w:styleId="xl85">
    <w:name w:val="xl85"/>
    <w:basedOn w:val="Norml"/>
    <w:rsid w:val="00CF7C1C"/>
    <w:pPr>
      <w:pBdr>
        <w:top w:val="single" w:sz="4" w:space="0" w:color="auto"/>
        <w:bottom w:val="single" w:sz="4"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86">
    <w:name w:val="xl86"/>
    <w:basedOn w:val="Norml"/>
    <w:rsid w:val="00CF7C1C"/>
    <w:pPr>
      <w:pBdr>
        <w:top w:val="single" w:sz="4"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87">
    <w:name w:val="xl87"/>
    <w:basedOn w:val="Norml"/>
    <w:rsid w:val="00CF7C1C"/>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88">
    <w:name w:val="xl88"/>
    <w:basedOn w:val="Norml"/>
    <w:rsid w:val="00CF7C1C"/>
    <w:pPr>
      <w:pBdr>
        <w:top w:val="single" w:sz="8" w:space="0" w:color="auto"/>
        <w:left w:val="single" w:sz="8" w:space="0" w:color="auto"/>
        <w:bottom w:val="single" w:sz="8" w:space="0" w:color="auto"/>
        <w:right w:val="single" w:sz="4" w:space="0" w:color="auto"/>
      </w:pBdr>
      <w:shd w:val="clear" w:color="000000" w:fill="CCCCFF"/>
      <w:suppressAutoHyphens w:val="0"/>
      <w:spacing w:before="100" w:beforeAutospacing="1" w:after="100" w:afterAutospacing="1"/>
      <w:ind w:firstLine="0"/>
      <w:jc w:val="right"/>
      <w:textAlignment w:val="center"/>
    </w:pPr>
    <w:rPr>
      <w:rFonts w:eastAsia="Times New Roman" w:cs="Times New Roman"/>
      <w:b/>
      <w:bCs/>
      <w:color w:val="000000"/>
      <w:kern w:val="0"/>
      <w:sz w:val="12"/>
      <w:szCs w:val="12"/>
    </w:rPr>
  </w:style>
  <w:style w:type="paragraph" w:customStyle="1" w:styleId="xl89">
    <w:name w:val="xl89"/>
    <w:basedOn w:val="Norml"/>
    <w:rsid w:val="00CF7C1C"/>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ind w:firstLine="0"/>
      <w:jc w:val="right"/>
      <w:textAlignment w:val="center"/>
    </w:pPr>
    <w:rPr>
      <w:rFonts w:eastAsia="Times New Roman" w:cs="Times New Roman"/>
      <w:kern w:val="0"/>
      <w:sz w:val="12"/>
      <w:szCs w:val="12"/>
    </w:rPr>
  </w:style>
  <w:style w:type="paragraph" w:customStyle="1" w:styleId="xl90">
    <w:name w:val="xl90"/>
    <w:basedOn w:val="Norml"/>
    <w:rsid w:val="00CF7C1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right"/>
      <w:textAlignment w:val="center"/>
    </w:pPr>
    <w:rPr>
      <w:rFonts w:eastAsia="Times New Roman" w:cs="Times New Roman"/>
      <w:kern w:val="0"/>
      <w:sz w:val="12"/>
      <w:szCs w:val="12"/>
    </w:rPr>
  </w:style>
  <w:style w:type="paragraph" w:customStyle="1" w:styleId="xl91">
    <w:name w:val="xl91"/>
    <w:basedOn w:val="Norml"/>
    <w:rsid w:val="00CF7C1C"/>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2">
    <w:name w:val="xl92"/>
    <w:basedOn w:val="Norml"/>
    <w:rsid w:val="00CF7C1C"/>
    <w:pPr>
      <w:pBdr>
        <w:top w:val="single" w:sz="4" w:space="0" w:color="auto"/>
        <w:left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3">
    <w:name w:val="xl93"/>
    <w:basedOn w:val="Norml"/>
    <w:rsid w:val="00CF7C1C"/>
    <w:pPr>
      <w:pBdr>
        <w:top w:val="single" w:sz="4"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94">
    <w:name w:val="xl94"/>
    <w:basedOn w:val="Norml"/>
    <w:rsid w:val="00CF7C1C"/>
    <w:pPr>
      <w:pBdr>
        <w:top w:val="single" w:sz="4"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5">
    <w:name w:val="xl95"/>
    <w:basedOn w:val="Norml"/>
    <w:rsid w:val="00CF7C1C"/>
    <w:pPr>
      <w:pBdr>
        <w:top w:val="single" w:sz="4"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6">
    <w:name w:val="xl96"/>
    <w:basedOn w:val="Norml"/>
    <w:rsid w:val="00CF7C1C"/>
    <w:pPr>
      <w:pBdr>
        <w:top w:val="single" w:sz="8" w:space="0" w:color="auto"/>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7">
    <w:name w:val="xl97"/>
    <w:basedOn w:val="Norml"/>
    <w:rsid w:val="00CF7C1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98">
    <w:name w:val="xl98"/>
    <w:basedOn w:val="Norml"/>
    <w:rsid w:val="00CF7C1C"/>
    <w:pPr>
      <w:pBdr>
        <w:top w:val="single" w:sz="8" w:space="0" w:color="auto"/>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99">
    <w:name w:val="xl99"/>
    <w:basedOn w:val="Norml"/>
    <w:rsid w:val="00CF7C1C"/>
    <w:pPr>
      <w:pBdr>
        <w:top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0">
    <w:name w:val="xl100"/>
    <w:basedOn w:val="Norml"/>
    <w:rsid w:val="00CF7C1C"/>
    <w:pPr>
      <w:pBdr>
        <w:top w:val="single" w:sz="4"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1">
    <w:name w:val="xl101"/>
    <w:basedOn w:val="Norml"/>
    <w:rsid w:val="00CF7C1C"/>
    <w:pPr>
      <w:pBdr>
        <w:top w:val="single" w:sz="4" w:space="0" w:color="auto"/>
        <w:bottom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2">
    <w:name w:val="xl102"/>
    <w:basedOn w:val="Norml"/>
    <w:rsid w:val="00CF7C1C"/>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3">
    <w:name w:val="xl103"/>
    <w:basedOn w:val="Norml"/>
    <w:rsid w:val="00CF7C1C"/>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4">
    <w:name w:val="xl104"/>
    <w:basedOn w:val="Norml"/>
    <w:rsid w:val="00CF7C1C"/>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ind w:firstLine="0"/>
      <w:jc w:val="right"/>
      <w:textAlignment w:val="center"/>
    </w:pPr>
    <w:rPr>
      <w:rFonts w:eastAsia="Times New Roman" w:cs="Times New Roman"/>
      <w:b/>
      <w:bCs/>
      <w:kern w:val="0"/>
      <w:sz w:val="12"/>
      <w:szCs w:val="12"/>
    </w:rPr>
  </w:style>
  <w:style w:type="paragraph" w:customStyle="1" w:styleId="xl105">
    <w:name w:val="xl105"/>
    <w:basedOn w:val="Norml"/>
    <w:rsid w:val="00CF7C1C"/>
    <w:pP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06">
    <w:name w:val="xl106"/>
    <w:basedOn w:val="Norml"/>
    <w:rsid w:val="00CF7C1C"/>
    <w:pPr>
      <w:pBdr>
        <w:top w:val="single" w:sz="8" w:space="0" w:color="auto"/>
        <w:left w:val="single" w:sz="8" w:space="0" w:color="auto"/>
        <w:bottom w:val="single" w:sz="8" w:space="0" w:color="auto"/>
        <w:right w:val="single" w:sz="4" w:space="0" w:color="auto"/>
      </w:pBdr>
      <w:shd w:val="clear" w:color="000000" w:fill="CCCCFF"/>
      <w:suppressAutoHyphens w:val="0"/>
      <w:spacing w:before="100" w:beforeAutospacing="1" w:after="100" w:afterAutospacing="1"/>
      <w:ind w:firstLine="0"/>
      <w:jc w:val="left"/>
      <w:textAlignment w:val="center"/>
    </w:pPr>
    <w:rPr>
      <w:rFonts w:eastAsia="Times New Roman" w:cs="Times New Roman"/>
      <w:b/>
      <w:bCs/>
      <w:color w:val="000000"/>
      <w:kern w:val="0"/>
      <w:sz w:val="12"/>
      <w:szCs w:val="12"/>
    </w:rPr>
  </w:style>
  <w:style w:type="paragraph" w:customStyle="1" w:styleId="xl107">
    <w:name w:val="xl107"/>
    <w:basedOn w:val="Norml"/>
    <w:rsid w:val="00CF7C1C"/>
    <w:pPr>
      <w:pBdr>
        <w:top w:val="single" w:sz="8" w:space="0" w:color="auto"/>
        <w:bottom w:val="single" w:sz="8" w:space="0" w:color="auto"/>
      </w:pBdr>
      <w:shd w:val="clear" w:color="000000" w:fill="CCCCFF"/>
      <w:suppressAutoHyphens w:val="0"/>
      <w:spacing w:before="100" w:beforeAutospacing="1" w:after="100" w:afterAutospacing="1"/>
      <w:ind w:firstLine="0"/>
      <w:jc w:val="left"/>
      <w:textAlignment w:val="center"/>
    </w:pPr>
    <w:rPr>
      <w:rFonts w:eastAsia="Times New Roman" w:cs="Times New Roman"/>
      <w:b/>
      <w:bCs/>
      <w:color w:val="000000"/>
      <w:kern w:val="0"/>
      <w:sz w:val="12"/>
      <w:szCs w:val="12"/>
    </w:rPr>
  </w:style>
  <w:style w:type="paragraph" w:customStyle="1" w:styleId="xl108">
    <w:name w:val="xl108"/>
    <w:basedOn w:val="Norml"/>
    <w:rsid w:val="00CF7C1C"/>
    <w:pPr>
      <w:pBdr>
        <w:top w:val="single" w:sz="8" w:space="0" w:color="auto"/>
        <w:left w:val="single" w:sz="4" w:space="0" w:color="auto"/>
        <w:bottom w:val="single" w:sz="8" w:space="0" w:color="auto"/>
      </w:pBdr>
      <w:shd w:val="clear" w:color="000000" w:fill="CCCCFF"/>
      <w:suppressAutoHyphens w:val="0"/>
      <w:spacing w:before="100" w:beforeAutospacing="1" w:after="100" w:afterAutospacing="1"/>
      <w:ind w:firstLine="0"/>
      <w:jc w:val="left"/>
      <w:textAlignment w:val="center"/>
    </w:pPr>
    <w:rPr>
      <w:rFonts w:eastAsia="Times New Roman" w:cs="Times New Roman"/>
      <w:b/>
      <w:bCs/>
      <w:color w:val="000000"/>
      <w:kern w:val="0"/>
      <w:sz w:val="12"/>
      <w:szCs w:val="12"/>
    </w:rPr>
  </w:style>
  <w:style w:type="paragraph" w:customStyle="1" w:styleId="xl109">
    <w:name w:val="xl109"/>
    <w:basedOn w:val="Norml"/>
    <w:rsid w:val="00CF7C1C"/>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ind w:firstLine="0"/>
      <w:jc w:val="left"/>
      <w:textAlignment w:val="center"/>
    </w:pPr>
    <w:rPr>
      <w:rFonts w:eastAsia="Times New Roman" w:cs="Times New Roman"/>
      <w:b/>
      <w:bCs/>
      <w:kern w:val="0"/>
      <w:sz w:val="12"/>
      <w:szCs w:val="12"/>
    </w:rPr>
  </w:style>
  <w:style w:type="paragraph" w:customStyle="1" w:styleId="xl110">
    <w:name w:val="xl110"/>
    <w:basedOn w:val="Norml"/>
    <w:rsid w:val="00CF7C1C"/>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ind w:firstLine="0"/>
      <w:jc w:val="left"/>
      <w:textAlignment w:val="center"/>
    </w:pPr>
    <w:rPr>
      <w:rFonts w:eastAsia="Times New Roman" w:cs="Times New Roman"/>
      <w:b/>
      <w:bCs/>
      <w:kern w:val="0"/>
      <w:sz w:val="12"/>
      <w:szCs w:val="12"/>
    </w:rPr>
  </w:style>
  <w:style w:type="paragraph" w:customStyle="1" w:styleId="xl111">
    <w:name w:val="xl111"/>
    <w:basedOn w:val="Norml"/>
    <w:rsid w:val="00CF7C1C"/>
    <w:pPr>
      <w:pBdr>
        <w:top w:val="single" w:sz="8" w:space="0" w:color="auto"/>
        <w:left w:val="single" w:sz="4" w:space="0" w:color="auto"/>
        <w:bottom w:val="single" w:sz="8" w:space="0" w:color="auto"/>
      </w:pBdr>
      <w:shd w:val="clear" w:color="000000" w:fill="C0C0C0"/>
      <w:suppressAutoHyphens w:val="0"/>
      <w:spacing w:before="100" w:beforeAutospacing="1" w:after="100" w:afterAutospacing="1"/>
      <w:ind w:firstLine="0"/>
      <w:jc w:val="left"/>
      <w:textAlignment w:val="center"/>
    </w:pPr>
    <w:rPr>
      <w:rFonts w:eastAsia="Times New Roman" w:cs="Times New Roman"/>
      <w:b/>
      <w:bCs/>
      <w:kern w:val="0"/>
      <w:sz w:val="12"/>
      <w:szCs w:val="12"/>
    </w:rPr>
  </w:style>
  <w:style w:type="paragraph" w:customStyle="1" w:styleId="xl112">
    <w:name w:val="xl112"/>
    <w:basedOn w:val="Norml"/>
    <w:rsid w:val="00CF7C1C"/>
    <w:pPr>
      <w:pBdr>
        <w:top w:val="single" w:sz="4" w:space="0" w:color="auto"/>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3">
    <w:name w:val="xl113"/>
    <w:basedOn w:val="Norml"/>
    <w:rsid w:val="00CF7C1C"/>
    <w:pPr>
      <w:pBdr>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4">
    <w:name w:val="xl114"/>
    <w:basedOn w:val="Norml"/>
    <w:rsid w:val="00CF7C1C"/>
    <w:pPr>
      <w:pBdr>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5">
    <w:name w:val="xl115"/>
    <w:basedOn w:val="Norml"/>
    <w:rsid w:val="00CF7C1C"/>
    <w:pPr>
      <w:pBdr>
        <w:top w:val="single" w:sz="4" w:space="0" w:color="auto"/>
        <w:left w:val="single" w:sz="8" w:space="0" w:color="auto"/>
        <w:right w:val="single" w:sz="8" w:space="0" w:color="auto"/>
      </w:pBdr>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6">
    <w:name w:val="xl116"/>
    <w:basedOn w:val="Norml"/>
    <w:rsid w:val="00CF7C1C"/>
    <w:pPr>
      <w:pBdr>
        <w:left w:val="single" w:sz="8" w:space="0" w:color="auto"/>
        <w:right w:val="single" w:sz="8" w:space="0" w:color="auto"/>
      </w:pBdr>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7">
    <w:name w:val="xl117"/>
    <w:basedOn w:val="Norml"/>
    <w:rsid w:val="00CF7C1C"/>
    <w:pPr>
      <w:pBdr>
        <w:left w:val="single" w:sz="8" w:space="0" w:color="auto"/>
        <w:bottom w:val="single" w:sz="4" w:space="0" w:color="auto"/>
        <w:right w:val="single" w:sz="8" w:space="0" w:color="auto"/>
      </w:pBdr>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8">
    <w:name w:val="xl118"/>
    <w:basedOn w:val="Norml"/>
    <w:rsid w:val="00CF7C1C"/>
    <w:pPr>
      <w:pBdr>
        <w:top w:val="single" w:sz="8" w:space="0" w:color="auto"/>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19">
    <w:name w:val="xl119"/>
    <w:basedOn w:val="Norml"/>
    <w:rsid w:val="00CF7C1C"/>
    <w:pPr>
      <w:pBdr>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0">
    <w:name w:val="xl120"/>
    <w:basedOn w:val="Norml"/>
    <w:rsid w:val="00CF7C1C"/>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1">
    <w:name w:val="xl121"/>
    <w:basedOn w:val="Norml"/>
    <w:rsid w:val="00CF7C1C"/>
    <w:pPr>
      <w:pBdr>
        <w:top w:val="single" w:sz="8" w:space="0" w:color="auto"/>
        <w:left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2">
    <w:name w:val="xl122"/>
    <w:basedOn w:val="Norml"/>
    <w:rsid w:val="00CF7C1C"/>
    <w:pPr>
      <w:pBdr>
        <w:left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3">
    <w:name w:val="xl123"/>
    <w:basedOn w:val="Norml"/>
    <w:rsid w:val="00CF7C1C"/>
    <w:pPr>
      <w:pBdr>
        <w:left w:val="single" w:sz="8" w:space="0" w:color="auto"/>
        <w:bottom w:val="single" w:sz="4"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4">
    <w:name w:val="xl124"/>
    <w:basedOn w:val="Norml"/>
    <w:rsid w:val="00CF7C1C"/>
    <w:pPr>
      <w:pBdr>
        <w:top w:val="single" w:sz="8" w:space="0" w:color="auto"/>
        <w:left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5">
    <w:name w:val="xl125"/>
    <w:basedOn w:val="Norml"/>
    <w:rsid w:val="00CF7C1C"/>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rFonts w:eastAsia="Times New Roman" w:cs="Times New Roman"/>
      <w:kern w:val="0"/>
      <w:sz w:val="12"/>
      <w:szCs w:val="12"/>
    </w:rPr>
  </w:style>
  <w:style w:type="paragraph" w:customStyle="1" w:styleId="xl126">
    <w:name w:val="xl126"/>
    <w:basedOn w:val="Norml"/>
    <w:rsid w:val="00CF7C1C"/>
    <w:pPr>
      <w:pBdr>
        <w:top w:val="single" w:sz="4" w:space="0" w:color="auto"/>
        <w:left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7">
    <w:name w:val="xl127"/>
    <w:basedOn w:val="Norml"/>
    <w:rsid w:val="00CF7C1C"/>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8">
    <w:name w:val="xl128"/>
    <w:basedOn w:val="Norml"/>
    <w:rsid w:val="00CF7C1C"/>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29">
    <w:name w:val="xl129"/>
    <w:basedOn w:val="Norml"/>
    <w:rsid w:val="00CF7C1C"/>
    <w:pPr>
      <w:pBdr>
        <w:left w:val="single" w:sz="8" w:space="0" w:color="auto"/>
        <w:bottom w:val="single" w:sz="4"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30">
    <w:name w:val="xl130"/>
    <w:basedOn w:val="Norml"/>
    <w:rsid w:val="00CF7C1C"/>
    <w:pPr>
      <w:pBdr>
        <w:top w:val="single" w:sz="4" w:space="0" w:color="auto"/>
        <w:left w:val="single" w:sz="8" w:space="0" w:color="auto"/>
        <w:right w:val="single" w:sz="8" w:space="0" w:color="auto"/>
      </w:pBdr>
      <w:suppressAutoHyphens w:val="0"/>
      <w:spacing w:before="100" w:beforeAutospacing="1" w:after="100" w:afterAutospacing="1"/>
      <w:ind w:firstLine="0"/>
      <w:jc w:val="left"/>
      <w:textAlignment w:val="center"/>
    </w:pPr>
    <w:rPr>
      <w:rFonts w:eastAsia="Times New Roman" w:cs="Times New Roman"/>
      <w:kern w:val="0"/>
      <w:sz w:val="12"/>
      <w:szCs w:val="12"/>
    </w:rPr>
  </w:style>
  <w:style w:type="paragraph" w:customStyle="1" w:styleId="xl131">
    <w:name w:val="xl131"/>
    <w:basedOn w:val="Norml"/>
    <w:rsid w:val="00CF7C1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2">
    <w:name w:val="xl132"/>
    <w:basedOn w:val="Norml"/>
    <w:rsid w:val="00CF7C1C"/>
    <w:pPr>
      <w:pBdr>
        <w:top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3">
    <w:name w:val="xl133"/>
    <w:basedOn w:val="Norml"/>
    <w:rsid w:val="00CF7C1C"/>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4">
    <w:name w:val="xl134"/>
    <w:basedOn w:val="Norml"/>
    <w:rsid w:val="00CF7C1C"/>
    <w:pPr>
      <w:pBdr>
        <w:left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5">
    <w:name w:val="xl135"/>
    <w:basedOn w:val="Norml"/>
    <w:rsid w:val="00CF7C1C"/>
    <w:pPr>
      <w:pBdr>
        <w:top w:val="single" w:sz="8" w:space="0" w:color="auto"/>
        <w:left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6">
    <w:name w:val="xl136"/>
    <w:basedOn w:val="Norml"/>
    <w:rsid w:val="00CF7C1C"/>
    <w:pPr>
      <w:pBdr>
        <w:left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7">
    <w:name w:val="xl137"/>
    <w:basedOn w:val="Norml"/>
    <w:rsid w:val="00CF7C1C"/>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8">
    <w:name w:val="xl138"/>
    <w:basedOn w:val="Norml"/>
    <w:rsid w:val="00CF7C1C"/>
    <w:pPr>
      <w:pBdr>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39">
    <w:name w:val="xl139"/>
    <w:basedOn w:val="Norml"/>
    <w:rsid w:val="00CF7C1C"/>
    <w:pPr>
      <w:pBdr>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0">
    <w:name w:val="xl140"/>
    <w:basedOn w:val="Norml"/>
    <w:rsid w:val="00CF7C1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1">
    <w:name w:val="xl141"/>
    <w:basedOn w:val="Norml"/>
    <w:rsid w:val="00CF7C1C"/>
    <w:pPr>
      <w:pBdr>
        <w:top w:val="single" w:sz="8" w:space="0" w:color="auto"/>
        <w:bottom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2">
    <w:name w:val="xl142"/>
    <w:basedOn w:val="Norml"/>
    <w:rsid w:val="00CF7C1C"/>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3">
    <w:name w:val="xl143"/>
    <w:basedOn w:val="Norml"/>
    <w:rsid w:val="00CF7C1C"/>
    <w:pPr>
      <w:pBdr>
        <w:left w:val="single" w:sz="8"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4">
    <w:name w:val="xl144"/>
    <w:basedOn w:val="Norml"/>
    <w:rsid w:val="00CF7C1C"/>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5">
    <w:name w:val="xl145"/>
    <w:basedOn w:val="Norml"/>
    <w:rsid w:val="00CF7C1C"/>
    <w:pPr>
      <w:pBdr>
        <w:left w:val="single" w:sz="4" w:space="0" w:color="auto"/>
        <w:bottom w:val="single" w:sz="4"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6">
    <w:name w:val="xl146"/>
    <w:basedOn w:val="Norml"/>
    <w:rsid w:val="00CF7C1C"/>
    <w:pPr>
      <w:pBdr>
        <w:left w:val="single" w:sz="8"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7">
    <w:name w:val="xl147"/>
    <w:basedOn w:val="Norml"/>
    <w:rsid w:val="00CF7C1C"/>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8">
    <w:name w:val="xl148"/>
    <w:basedOn w:val="Norml"/>
    <w:rsid w:val="00CF7C1C"/>
    <w:pPr>
      <w:pBdr>
        <w:left w:val="single" w:sz="4" w:space="0" w:color="auto"/>
        <w:bottom w:val="single" w:sz="4"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xl149">
    <w:name w:val="xl149"/>
    <w:basedOn w:val="Norml"/>
    <w:rsid w:val="00CF7C1C"/>
    <w:pPr>
      <w:pBdr>
        <w:left w:val="single" w:sz="8" w:space="0" w:color="auto"/>
        <w:bottom w:val="single" w:sz="4" w:space="0" w:color="auto"/>
        <w:right w:val="single" w:sz="8" w:space="0" w:color="auto"/>
      </w:pBdr>
      <w:shd w:val="clear" w:color="000000" w:fill="C0C0C0"/>
      <w:suppressAutoHyphens w:val="0"/>
      <w:spacing w:before="100" w:beforeAutospacing="1" w:after="100" w:afterAutospacing="1"/>
      <w:ind w:firstLine="0"/>
      <w:jc w:val="center"/>
      <w:textAlignment w:val="center"/>
    </w:pPr>
    <w:rPr>
      <w:rFonts w:eastAsia="Times New Roman" w:cs="Times New Roman"/>
      <w:b/>
      <w:bCs/>
      <w:kern w:val="0"/>
      <w:sz w:val="12"/>
      <w:szCs w:val="12"/>
    </w:rPr>
  </w:style>
  <w:style w:type="paragraph" w:customStyle="1" w:styleId="Normltblabal2">
    <w:name w:val="Normál.tábla.bal.2"/>
    <w:basedOn w:val="Normltblabal"/>
    <w:rsid w:val="0054518E"/>
    <w:pPr>
      <w:ind w:left="593" w:hanging="284"/>
    </w:pPr>
  </w:style>
  <w:style w:type="paragraph" w:customStyle="1" w:styleId="Normltblabal3pckkel">
    <w:name w:val="Normál.tábla.bal.3(pöcökkel)"/>
    <w:basedOn w:val="Norml"/>
    <w:rsid w:val="000B51B8"/>
    <w:pPr>
      <w:numPr>
        <w:numId w:val="36"/>
      </w:numPr>
      <w:spacing w:after="0"/>
      <w:jc w:val="left"/>
    </w:pPr>
    <w:rPr>
      <w:rFonts w:cs="Times New Roman"/>
      <w:sz w:val="20"/>
      <w:szCs w:val="20"/>
    </w:rPr>
  </w:style>
  <w:style w:type="paragraph" w:customStyle="1" w:styleId="Normltblajobb">
    <w:name w:val="Normál.tábla.jobb"/>
    <w:basedOn w:val="Norml"/>
    <w:rsid w:val="000B51B8"/>
    <w:pPr>
      <w:spacing w:after="0"/>
      <w:ind w:firstLine="0"/>
      <w:jc w:val="right"/>
    </w:pPr>
    <w:rPr>
      <w:rFonts w:cs="Times New Roman"/>
      <w:sz w:val="20"/>
      <w:szCs w:val="20"/>
      <w:lang w:val="en-GB"/>
    </w:rPr>
  </w:style>
  <w:style w:type="paragraph" w:customStyle="1" w:styleId="Normltblakzp">
    <w:name w:val="Normál.tábla.közép"/>
    <w:basedOn w:val="Normltblabal"/>
    <w:rsid w:val="00BB58EE"/>
    <w:pPr>
      <w:ind w:left="0" w:firstLine="0"/>
      <w:jc w:val="center"/>
    </w:pPr>
  </w:style>
  <w:style w:type="paragraph" w:styleId="Vltozat">
    <w:name w:val="Revision"/>
    <w:hidden/>
    <w:uiPriority w:val="99"/>
    <w:semiHidden/>
    <w:rsid w:val="00CC7190"/>
    <w:rPr>
      <w:rFonts w:cs="Arial"/>
      <w:kern w:val="1"/>
      <w:sz w:val="22"/>
      <w:szCs w:val="24"/>
    </w:rPr>
  </w:style>
  <w:style w:type="paragraph" w:customStyle="1" w:styleId="Tbla-cm">
    <w:name w:val="Tábla-cím"/>
    <w:basedOn w:val="Norml"/>
    <w:rsid w:val="006C2767"/>
    <w:pPr>
      <w:keepNext/>
      <w:spacing w:after="0"/>
      <w:ind w:firstLine="0"/>
      <w:jc w:val="center"/>
    </w:pPr>
    <w:rPr>
      <w:b/>
      <w:sz w:val="20"/>
      <w:szCs w:val="20"/>
    </w:rPr>
  </w:style>
  <w:style w:type="paragraph" w:customStyle="1" w:styleId="Tbla-bal">
    <w:name w:val="Tábla-bal"/>
    <w:basedOn w:val="Tbla-cm"/>
    <w:rsid w:val="00896E03"/>
    <w:pPr>
      <w:jc w:val="left"/>
    </w:pPr>
    <w:rPr>
      <w:b w:val="0"/>
    </w:rPr>
  </w:style>
  <w:style w:type="paragraph" w:customStyle="1" w:styleId="Tbla-kzp">
    <w:name w:val="Tábla-közép"/>
    <w:basedOn w:val="Tbla-cm"/>
    <w:rsid w:val="00234D35"/>
    <w:rPr>
      <w:b w:val="0"/>
      <w:lang w:bidi="sa-IN"/>
    </w:rPr>
  </w:style>
  <w:style w:type="paragraph" w:customStyle="1" w:styleId="Tbla-jobb">
    <w:name w:val="Tábla-jobb"/>
    <w:basedOn w:val="Tbla-bal"/>
    <w:rsid w:val="00234D35"/>
    <w:pPr>
      <w:jc w:val="right"/>
    </w:pPr>
  </w:style>
  <w:style w:type="paragraph" w:customStyle="1" w:styleId="Normllista1">
    <w:name w:val="Normál lista1"/>
    <w:basedOn w:val="Norml"/>
    <w:rsid w:val="00264DB1"/>
    <w:pPr>
      <w:ind w:left="284" w:hanging="284"/>
    </w:pPr>
  </w:style>
  <w:style w:type="paragraph" w:customStyle="1" w:styleId="j-nomlszveg">
    <w:name w:val="j- nomálszöveg"/>
    <w:basedOn w:val="Norml"/>
    <w:link w:val="j-nomlszvegChar"/>
    <w:rsid w:val="00E81CFE"/>
    <w:pPr>
      <w:suppressAutoHyphens w:val="0"/>
      <w:spacing w:before="120"/>
      <w:ind w:firstLine="0"/>
    </w:pPr>
    <w:rPr>
      <w:kern w:val="22"/>
      <w:szCs w:val="20"/>
    </w:rPr>
  </w:style>
  <w:style w:type="character" w:customStyle="1" w:styleId="j-nomlszvegChar">
    <w:name w:val="j- nomálszöveg Char"/>
    <w:link w:val="j-nomlszveg"/>
    <w:rsid w:val="00E81CFE"/>
    <w:rPr>
      <w:rFonts w:cs="Arial"/>
      <w:kern w:val="22"/>
      <w:sz w:val="22"/>
    </w:rPr>
  </w:style>
  <w:style w:type="character" w:styleId="Hiperhivatkozs">
    <w:name w:val="Hyperlink"/>
    <w:uiPriority w:val="99"/>
    <w:rsid w:val="00B921B3"/>
    <w:rPr>
      <w:color w:val="0000FF"/>
      <w:u w:val="single"/>
    </w:rPr>
  </w:style>
  <w:style w:type="paragraph" w:customStyle="1" w:styleId="j-forrs">
    <w:name w:val="j- forrás"/>
    <w:basedOn w:val="Norml"/>
    <w:rsid w:val="00B921B3"/>
    <w:pPr>
      <w:ind w:firstLine="0"/>
    </w:pPr>
    <w:rPr>
      <w:kern w:val="22"/>
      <w:sz w:val="20"/>
      <w:szCs w:val="20"/>
    </w:rPr>
  </w:style>
  <w:style w:type="paragraph" w:styleId="Megjegyzstrgya">
    <w:name w:val="annotation subject"/>
    <w:basedOn w:val="Jegyzetszveg"/>
    <w:next w:val="Jegyzetszveg"/>
    <w:link w:val="MegjegyzstrgyaChar"/>
    <w:semiHidden/>
    <w:unhideWhenUsed/>
    <w:rsid w:val="00126F94"/>
    <w:rPr>
      <w:b/>
      <w:bCs/>
    </w:rPr>
  </w:style>
  <w:style w:type="character" w:customStyle="1" w:styleId="MegjegyzstrgyaChar">
    <w:name w:val="Megjegyzés tárgya Char"/>
    <w:basedOn w:val="JegyzetszvegChar"/>
    <w:link w:val="Megjegyzstrgya"/>
    <w:semiHidden/>
    <w:rsid w:val="00126F94"/>
    <w:rPr>
      <w:rFonts w:cs="Arial"/>
      <w:b/>
      <w:bCs/>
      <w:kern w:val="1"/>
    </w:rPr>
  </w:style>
  <w:style w:type="numbering" w:customStyle="1" w:styleId="Nemlista3">
    <w:name w:val="Nem lista3"/>
    <w:next w:val="Nemlista"/>
    <w:uiPriority w:val="99"/>
    <w:semiHidden/>
    <w:unhideWhenUsed/>
    <w:rsid w:val="006E6B08"/>
  </w:style>
  <w:style w:type="paragraph" w:styleId="Cm">
    <w:name w:val="Title"/>
    <w:basedOn w:val="Norml"/>
    <w:link w:val="CmChar"/>
    <w:qFormat/>
    <w:rsid w:val="006E6B08"/>
    <w:pPr>
      <w:autoSpaceDE w:val="0"/>
      <w:autoSpaceDN w:val="0"/>
      <w:adjustRightInd w:val="0"/>
      <w:ind w:left="1094" w:right="737" w:hanging="737"/>
      <w:jc w:val="center"/>
    </w:pPr>
    <w:rPr>
      <w:rFonts w:eastAsia="Times New Roman" w:cs="Times New Roman"/>
      <w:b/>
      <w:bCs/>
      <w:kern w:val="0"/>
      <w:sz w:val="36"/>
      <w:szCs w:val="36"/>
    </w:rPr>
  </w:style>
  <w:style w:type="character" w:customStyle="1" w:styleId="CmChar">
    <w:name w:val="Cím Char"/>
    <w:basedOn w:val="Bekezdsalapbettpusa"/>
    <w:link w:val="Cm"/>
    <w:rsid w:val="006E6B08"/>
    <w:rPr>
      <w:rFonts w:eastAsia="Times New Roman"/>
      <w:b/>
      <w:bCs/>
      <w:sz w:val="36"/>
      <w:szCs w:val="36"/>
    </w:rPr>
  </w:style>
  <w:style w:type="paragraph" w:customStyle="1" w:styleId="Bullet">
    <w:name w:val="Bullet"/>
    <w:basedOn w:val="Szvegtrzs"/>
    <w:link w:val="BulletCharChar"/>
    <w:semiHidden/>
    <w:rsid w:val="006E6B08"/>
    <w:pPr>
      <w:widowControl w:val="0"/>
      <w:tabs>
        <w:tab w:val="num" w:pos="1440"/>
      </w:tabs>
      <w:ind w:left="-2160" w:firstLine="0"/>
    </w:pPr>
    <w:rPr>
      <w:rFonts w:cs="Times New Roman"/>
    </w:rPr>
  </w:style>
  <w:style w:type="numbering" w:customStyle="1" w:styleId="StlusFelsorols11pt1">
    <w:name w:val="Stílus Felsorolás 11 pt1"/>
    <w:basedOn w:val="Nemlista"/>
    <w:semiHidden/>
    <w:rsid w:val="006E6B08"/>
  </w:style>
  <w:style w:type="paragraph" w:customStyle="1" w:styleId="TableHeadingWhite">
    <w:name w:val="Table Heading White"/>
    <w:basedOn w:val="TableHeading"/>
    <w:semiHidden/>
    <w:rsid w:val="006E6B08"/>
    <w:pPr>
      <w:ind w:firstLine="0"/>
      <w:jc w:val="left"/>
    </w:pPr>
    <w:rPr>
      <w:bCs/>
      <w:color w:val="FFFFFF"/>
      <w:kern w:val="22"/>
      <w:sz w:val="20"/>
    </w:rPr>
  </w:style>
  <w:style w:type="character" w:customStyle="1" w:styleId="Absatz-Standardschriftart">
    <w:name w:val="Absatz-Standardschriftart"/>
    <w:semiHidden/>
    <w:rsid w:val="006E6B08"/>
  </w:style>
  <w:style w:type="paragraph" w:customStyle="1" w:styleId="Cmsor">
    <w:name w:val="Címsor"/>
    <w:basedOn w:val="Norml"/>
    <w:next w:val="Szvegtrzs"/>
    <w:semiHidden/>
    <w:rsid w:val="006E6B08"/>
    <w:pPr>
      <w:keepNext/>
      <w:spacing w:before="240"/>
      <w:ind w:firstLine="0"/>
    </w:pPr>
    <w:rPr>
      <w:rFonts w:ascii="Arial" w:hAnsi="Arial" w:cs="Tahoma"/>
      <w:kern w:val="22"/>
      <w:sz w:val="28"/>
      <w:szCs w:val="28"/>
    </w:rPr>
  </w:style>
  <w:style w:type="paragraph" w:styleId="Lista">
    <w:name w:val="List"/>
    <w:basedOn w:val="Szvegtrzs"/>
    <w:semiHidden/>
    <w:rsid w:val="006E6B08"/>
    <w:pPr>
      <w:widowControl w:val="0"/>
      <w:ind w:firstLine="0"/>
    </w:pPr>
    <w:rPr>
      <w:rFonts w:cs="Tahoma"/>
    </w:rPr>
  </w:style>
  <w:style w:type="paragraph" w:customStyle="1" w:styleId="Tblzatfejlc">
    <w:name w:val="Táblázatfejléc"/>
    <w:basedOn w:val="Tblzattartalom"/>
    <w:semiHidden/>
    <w:rsid w:val="006E6B08"/>
    <w:pPr>
      <w:ind w:firstLine="0"/>
      <w:jc w:val="center"/>
    </w:pPr>
    <w:rPr>
      <w:b/>
      <w:bCs/>
      <w:kern w:val="22"/>
    </w:rPr>
  </w:style>
  <w:style w:type="paragraph" w:customStyle="1" w:styleId="tabtext">
    <w:name w:val="tabtext"/>
    <w:basedOn w:val="Norml"/>
    <w:semiHidden/>
    <w:rsid w:val="006E6B08"/>
    <w:pPr>
      <w:spacing w:before="20" w:after="20"/>
      <w:ind w:firstLine="0"/>
    </w:pPr>
    <w:rPr>
      <w:kern w:val="22"/>
      <w:sz w:val="18"/>
      <w:szCs w:val="18"/>
      <w:lang w:val="cs-CZ"/>
    </w:rPr>
  </w:style>
  <w:style w:type="paragraph" w:customStyle="1" w:styleId="TableContents">
    <w:name w:val="Table Contents"/>
    <w:basedOn w:val="Norml"/>
    <w:semiHidden/>
    <w:rsid w:val="006E6B08"/>
    <w:pPr>
      <w:ind w:firstLine="0"/>
    </w:pPr>
    <w:rPr>
      <w:kern w:val="22"/>
      <w:sz w:val="24"/>
    </w:rPr>
  </w:style>
  <w:style w:type="character" w:customStyle="1" w:styleId="BulletCharChar">
    <w:name w:val="Bullet Char Char"/>
    <w:link w:val="Bullet"/>
    <w:semiHidden/>
    <w:rsid w:val="006E6B08"/>
    <w:rPr>
      <w:kern w:val="1"/>
      <w:sz w:val="22"/>
      <w:szCs w:val="24"/>
    </w:rPr>
  </w:style>
  <w:style w:type="table" w:customStyle="1" w:styleId="Rcsostblzat10">
    <w:name w:val="Rácsos táblázat1"/>
    <w:basedOn w:val="Normltblzat"/>
    <w:next w:val="Rcsostblzat"/>
    <w:rsid w:val="006E6B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1">
    <w:name w:val="Stílus1"/>
    <w:basedOn w:val="Norml"/>
    <w:next w:val="Norml"/>
    <w:semiHidden/>
    <w:rsid w:val="006E6B08"/>
    <w:pPr>
      <w:suppressAutoHyphens w:val="0"/>
      <w:ind w:firstLine="0"/>
    </w:pPr>
    <w:rPr>
      <w:rFonts w:eastAsia="Times New Roman"/>
      <w:kern w:val="0"/>
      <w:sz w:val="24"/>
    </w:rPr>
  </w:style>
  <w:style w:type="paragraph" w:customStyle="1" w:styleId="Norml3">
    <w:name w:val="Norml"/>
    <w:semiHidden/>
    <w:rsid w:val="006E6B08"/>
    <w:pPr>
      <w:autoSpaceDE w:val="0"/>
      <w:autoSpaceDN w:val="0"/>
      <w:adjustRightInd w:val="0"/>
    </w:pPr>
    <w:rPr>
      <w:rFonts w:ascii="MS Sans Serif" w:eastAsia="Times New Roman" w:hAnsi="MS Sans Serif"/>
      <w:szCs w:val="24"/>
    </w:rPr>
  </w:style>
  <w:style w:type="paragraph" w:customStyle="1" w:styleId="Normltblzatban-jobbra">
    <w:name w:val="Normál (táblázatban-jobbra)"/>
    <w:basedOn w:val="Norml"/>
    <w:semiHidden/>
    <w:rsid w:val="006E6B08"/>
    <w:pPr>
      <w:ind w:firstLine="0"/>
      <w:jc w:val="right"/>
    </w:pPr>
    <w:rPr>
      <w:rFonts w:eastAsia="Times New Roman"/>
      <w:kern w:val="0"/>
      <w:szCs w:val="22"/>
      <w:lang w:val="en-GB" w:eastAsia="ar-SA"/>
    </w:rPr>
  </w:style>
  <w:style w:type="paragraph" w:customStyle="1" w:styleId="braszm">
    <w:name w:val="Ábraszám"/>
    <w:basedOn w:val="Norml"/>
    <w:next w:val="Norml"/>
    <w:semiHidden/>
    <w:rsid w:val="006E6B08"/>
    <w:pPr>
      <w:keepNext/>
      <w:suppressAutoHyphens w:val="0"/>
      <w:spacing w:before="240"/>
      <w:ind w:left="360" w:hanging="360"/>
      <w:jc w:val="right"/>
    </w:pPr>
    <w:rPr>
      <w:rFonts w:eastAsia="Times New Roman"/>
      <w:kern w:val="0"/>
      <w:sz w:val="26"/>
      <w:szCs w:val="20"/>
    </w:rPr>
  </w:style>
  <w:style w:type="paragraph" w:customStyle="1" w:styleId="TblzatcmJobbrazrtUtna0pt">
    <w:name w:val="Táblázat cím +Jobbra zárt Utána:  0 pt"/>
    <w:basedOn w:val="Norml"/>
    <w:autoRedefine/>
    <w:semiHidden/>
    <w:rsid w:val="006E6B08"/>
    <w:pPr>
      <w:suppressAutoHyphens w:val="0"/>
      <w:ind w:firstLine="0"/>
      <w:jc w:val="right"/>
    </w:pPr>
    <w:rPr>
      <w:rFonts w:eastAsia="Times New Roman"/>
      <w:b/>
      <w:bCs/>
      <w:i/>
      <w:iCs/>
      <w:kern w:val="0"/>
      <w:sz w:val="24"/>
      <w:szCs w:val="20"/>
    </w:rPr>
  </w:style>
  <w:style w:type="paragraph" w:customStyle="1" w:styleId="Tbraszm">
    <w:name w:val="T. ábraszám"/>
    <w:basedOn w:val="Norml"/>
    <w:autoRedefine/>
    <w:semiHidden/>
    <w:rsid w:val="006E6B08"/>
    <w:pPr>
      <w:tabs>
        <w:tab w:val="num" w:pos="720"/>
      </w:tabs>
      <w:suppressAutoHyphens w:val="0"/>
      <w:spacing w:before="120"/>
      <w:ind w:left="720" w:hanging="360"/>
      <w:jc w:val="right"/>
    </w:pPr>
    <w:rPr>
      <w:rFonts w:eastAsia="Times New Roman"/>
      <w:b/>
      <w:i/>
      <w:kern w:val="0"/>
      <w:sz w:val="24"/>
      <w:szCs w:val="22"/>
    </w:rPr>
  </w:style>
  <w:style w:type="paragraph" w:customStyle="1" w:styleId="braszm0">
    <w:name w:val="ábraszám"/>
    <w:basedOn w:val="Norml"/>
    <w:autoRedefine/>
    <w:semiHidden/>
    <w:rsid w:val="006E6B08"/>
    <w:pPr>
      <w:tabs>
        <w:tab w:val="num" w:pos="1080"/>
      </w:tabs>
      <w:suppressAutoHyphens w:val="0"/>
      <w:spacing w:before="120"/>
      <w:ind w:left="1080" w:hanging="360"/>
      <w:jc w:val="right"/>
    </w:pPr>
    <w:rPr>
      <w:rFonts w:eastAsia="Times New Roman"/>
      <w:b/>
      <w:i/>
      <w:kern w:val="0"/>
      <w:sz w:val="24"/>
    </w:rPr>
  </w:style>
  <w:style w:type="paragraph" w:styleId="Dokumentumtrkp">
    <w:name w:val="Document Map"/>
    <w:basedOn w:val="Norml"/>
    <w:link w:val="DokumentumtrkpChar"/>
    <w:semiHidden/>
    <w:unhideWhenUsed/>
    <w:rsid w:val="006E6B08"/>
    <w:pPr>
      <w:suppressAutoHyphens w:val="0"/>
      <w:ind w:firstLine="0"/>
    </w:pPr>
    <w:rPr>
      <w:rFonts w:ascii="Tahoma" w:eastAsia="Times New Roman" w:hAnsi="Tahoma" w:cs="Tahoma"/>
      <w:kern w:val="0"/>
      <w:sz w:val="16"/>
      <w:szCs w:val="16"/>
    </w:rPr>
  </w:style>
  <w:style w:type="character" w:customStyle="1" w:styleId="DokumentumtrkpChar">
    <w:name w:val="Dokumentumtérkép Char"/>
    <w:basedOn w:val="Bekezdsalapbettpusa"/>
    <w:link w:val="Dokumentumtrkp"/>
    <w:semiHidden/>
    <w:rsid w:val="006E6B08"/>
    <w:rPr>
      <w:rFonts w:ascii="Tahoma" w:eastAsia="Times New Roman" w:hAnsi="Tahoma" w:cs="Tahoma"/>
      <w:sz w:val="16"/>
      <w:szCs w:val="16"/>
    </w:rPr>
  </w:style>
  <w:style w:type="character" w:customStyle="1" w:styleId="NormltblzatbanChar">
    <w:name w:val="Normál (táblázatban) Char"/>
    <w:semiHidden/>
    <w:rsid w:val="006E6B08"/>
    <w:rPr>
      <w:sz w:val="22"/>
      <w:szCs w:val="22"/>
      <w:lang w:val="hu-HU" w:eastAsia="ar-SA" w:bidi="ar-SA"/>
    </w:rPr>
  </w:style>
  <w:style w:type="paragraph" w:styleId="Szvegtrzsbehzssal">
    <w:name w:val="Body Text Indent"/>
    <w:basedOn w:val="Szvegtrzs"/>
    <w:link w:val="SzvegtrzsbehzssalChar"/>
    <w:semiHidden/>
    <w:rsid w:val="006E6B08"/>
    <w:pPr>
      <w:ind w:left="357" w:firstLine="357"/>
    </w:pPr>
    <w:rPr>
      <w:rFonts w:eastAsia="Times New Roman"/>
      <w:snapToGrid w:val="0"/>
      <w:kern w:val="0"/>
      <w:szCs w:val="22"/>
      <w:lang w:val="en-GB"/>
    </w:rPr>
  </w:style>
  <w:style w:type="character" w:customStyle="1" w:styleId="SzvegtrzsbehzssalChar">
    <w:name w:val="Szövegtörzs behúzással Char"/>
    <w:basedOn w:val="Bekezdsalapbettpusa"/>
    <w:link w:val="Szvegtrzsbehzssal"/>
    <w:semiHidden/>
    <w:rsid w:val="006E6B08"/>
    <w:rPr>
      <w:rFonts w:eastAsia="Times New Roman" w:cs="Arial"/>
      <w:snapToGrid w:val="0"/>
      <w:sz w:val="22"/>
      <w:szCs w:val="22"/>
      <w:lang w:val="en-GB"/>
    </w:rPr>
  </w:style>
  <w:style w:type="paragraph" w:customStyle="1" w:styleId="ListLettered">
    <w:name w:val="List Lettered"/>
    <w:basedOn w:val="Norml"/>
    <w:semiHidden/>
    <w:rsid w:val="006E6B08"/>
    <w:pPr>
      <w:tabs>
        <w:tab w:val="num" w:pos="1097"/>
      </w:tabs>
      <w:suppressAutoHyphens w:val="0"/>
      <w:ind w:left="964" w:hanging="227"/>
    </w:pPr>
    <w:rPr>
      <w:rFonts w:eastAsia="Times New Roman"/>
      <w:kern w:val="0"/>
      <w:szCs w:val="22"/>
    </w:rPr>
  </w:style>
  <w:style w:type="paragraph" w:customStyle="1" w:styleId="Bullet2">
    <w:name w:val="Bullet 2"/>
    <w:basedOn w:val="Bullet"/>
    <w:semiHidden/>
    <w:rsid w:val="006E6B08"/>
    <w:pPr>
      <w:widowControl/>
      <w:tabs>
        <w:tab w:val="clear" w:pos="1440"/>
        <w:tab w:val="num" w:pos="360"/>
      </w:tabs>
      <w:suppressAutoHyphens w:val="0"/>
      <w:spacing w:line="240" w:lineRule="atLeast"/>
      <w:ind w:left="360" w:hanging="360"/>
    </w:pPr>
    <w:rPr>
      <w:rFonts w:eastAsia="MS Mincho"/>
      <w:kern w:val="0"/>
      <w:szCs w:val="20"/>
      <w:lang w:val="en-GB" w:eastAsia="ja-JP"/>
    </w:rPr>
  </w:style>
  <w:style w:type="paragraph" w:customStyle="1" w:styleId="ListDash1">
    <w:name w:val="List Dash 1"/>
    <w:basedOn w:val="Text1"/>
    <w:semiHidden/>
    <w:rsid w:val="006E6B08"/>
    <w:pPr>
      <w:ind w:firstLine="0"/>
    </w:pPr>
  </w:style>
  <w:style w:type="character" w:customStyle="1" w:styleId="BekezdsCharCharChar">
    <w:name w:val="Bekezdés Char Char Char"/>
    <w:semiHidden/>
    <w:rsid w:val="006E6B08"/>
    <w:rPr>
      <w:sz w:val="26"/>
      <w:szCs w:val="26"/>
      <w:lang w:val="hu-HU"/>
    </w:rPr>
  </w:style>
  <w:style w:type="paragraph" w:customStyle="1" w:styleId="1txtbody">
    <w:name w:val="1_txtbody"/>
    <w:semiHidden/>
    <w:rsid w:val="006E6B08"/>
    <w:pPr>
      <w:overflowPunct w:val="0"/>
      <w:autoSpaceDE w:val="0"/>
      <w:autoSpaceDN w:val="0"/>
      <w:adjustRightInd w:val="0"/>
      <w:spacing w:before="120" w:after="120" w:line="320" w:lineRule="atLeast"/>
      <w:ind w:firstLine="363"/>
      <w:jc w:val="both"/>
      <w:textAlignment w:val="baseline"/>
    </w:pPr>
    <w:rPr>
      <w:rFonts w:ascii="Arial" w:eastAsia="MS Mincho" w:hAnsi="Arial"/>
      <w:sz w:val="22"/>
    </w:rPr>
  </w:style>
  <w:style w:type="paragraph" w:customStyle="1" w:styleId="mellkletcm">
    <w:name w:val="melléklet cím"/>
    <w:basedOn w:val="Norml"/>
    <w:next w:val="Norml"/>
    <w:semiHidden/>
    <w:rsid w:val="006E6B08"/>
    <w:pPr>
      <w:keepNext/>
      <w:suppressAutoHyphens w:val="0"/>
      <w:spacing w:after="240"/>
      <w:ind w:firstLine="0"/>
      <w:jc w:val="center"/>
    </w:pPr>
    <w:rPr>
      <w:rFonts w:eastAsia="Times New Roman"/>
      <w:b/>
      <w:bCs/>
      <w:snapToGrid w:val="0"/>
      <w:kern w:val="0"/>
      <w:sz w:val="26"/>
      <w:szCs w:val="26"/>
    </w:rPr>
  </w:style>
  <w:style w:type="paragraph" w:customStyle="1" w:styleId="Mellkletszm">
    <w:name w:val="Melléklet szám"/>
    <w:basedOn w:val="Norml"/>
    <w:next w:val="mellkletcm"/>
    <w:semiHidden/>
    <w:rsid w:val="006E6B08"/>
    <w:pPr>
      <w:keepNext/>
      <w:tabs>
        <w:tab w:val="num" w:pos="360"/>
      </w:tabs>
      <w:suppressAutoHyphens w:val="0"/>
      <w:spacing w:before="240"/>
      <w:ind w:left="357" w:hanging="357"/>
      <w:jc w:val="right"/>
    </w:pPr>
    <w:rPr>
      <w:rFonts w:eastAsia="Times New Roman"/>
      <w:snapToGrid w:val="0"/>
      <w:kern w:val="0"/>
      <w:sz w:val="26"/>
      <w:szCs w:val="26"/>
    </w:rPr>
  </w:style>
  <w:style w:type="paragraph" w:customStyle="1" w:styleId="Tblacm">
    <w:name w:val="Táblacím"/>
    <w:basedOn w:val="Norml"/>
    <w:next w:val="Norml"/>
    <w:semiHidden/>
    <w:rsid w:val="006E6B08"/>
    <w:pPr>
      <w:keepNext/>
      <w:suppressAutoHyphens w:val="0"/>
      <w:spacing w:after="240"/>
      <w:ind w:firstLine="0"/>
      <w:jc w:val="center"/>
    </w:pPr>
    <w:rPr>
      <w:rFonts w:eastAsia="Times New Roman"/>
      <w:b/>
      <w:snapToGrid w:val="0"/>
      <w:kern w:val="0"/>
      <w:sz w:val="26"/>
      <w:szCs w:val="20"/>
      <w:lang w:val="en-US"/>
    </w:rPr>
  </w:style>
  <w:style w:type="character" w:customStyle="1" w:styleId="tw4winTerm">
    <w:name w:val="tw4winTerm"/>
    <w:semiHidden/>
    <w:rsid w:val="006E6B08"/>
    <w:rPr>
      <w:color w:val="0000FF"/>
    </w:rPr>
  </w:style>
  <w:style w:type="paragraph" w:customStyle="1" w:styleId="ListDash">
    <w:name w:val="List Dash"/>
    <w:basedOn w:val="Norml"/>
    <w:semiHidden/>
    <w:rsid w:val="006E6B08"/>
    <w:pPr>
      <w:tabs>
        <w:tab w:val="num" w:pos="720"/>
      </w:tabs>
      <w:suppressAutoHyphens w:val="0"/>
      <w:spacing w:after="240"/>
      <w:ind w:left="720" w:hanging="360"/>
    </w:pPr>
    <w:rPr>
      <w:rFonts w:eastAsia="Times New Roman"/>
      <w:kern w:val="0"/>
      <w:sz w:val="24"/>
      <w:szCs w:val="20"/>
      <w:lang w:val="en-GB" w:eastAsia="en-GB"/>
    </w:rPr>
  </w:style>
  <w:style w:type="character" w:customStyle="1" w:styleId="BulletChar">
    <w:name w:val="Bullet Char"/>
    <w:semiHidden/>
    <w:rsid w:val="006E6B08"/>
    <w:rPr>
      <w:sz w:val="22"/>
      <w:szCs w:val="24"/>
      <w:lang w:val="en-GB" w:eastAsia="hu-HU" w:bidi="ar-SA"/>
    </w:rPr>
  </w:style>
  <w:style w:type="paragraph" w:customStyle="1" w:styleId="CommentSubject1">
    <w:name w:val="Comment Subject1"/>
    <w:basedOn w:val="Jegyzetszveg"/>
    <w:next w:val="Jegyzetszveg"/>
    <w:semiHidden/>
    <w:rsid w:val="006E6B08"/>
    <w:pPr>
      <w:tabs>
        <w:tab w:val="num" w:pos="1304"/>
      </w:tabs>
      <w:suppressAutoHyphens w:val="0"/>
      <w:ind w:firstLine="0"/>
    </w:pPr>
    <w:rPr>
      <w:rFonts w:eastAsia="Times New Roman"/>
      <w:b/>
      <w:bCs/>
      <w:kern w:val="0"/>
    </w:rPr>
  </w:style>
  <w:style w:type="paragraph" w:customStyle="1" w:styleId="bracm">
    <w:name w:val="Ábracím"/>
    <w:basedOn w:val="Norml"/>
    <w:next w:val="Norml"/>
    <w:semiHidden/>
    <w:rsid w:val="006E6B08"/>
    <w:pPr>
      <w:keepNext/>
      <w:suppressAutoHyphens w:val="0"/>
      <w:spacing w:after="240"/>
      <w:ind w:firstLine="0"/>
      <w:jc w:val="center"/>
    </w:pPr>
    <w:rPr>
      <w:rFonts w:eastAsia="Times New Roman"/>
      <w:b/>
      <w:bCs/>
      <w:snapToGrid w:val="0"/>
      <w:kern w:val="0"/>
      <w:sz w:val="26"/>
      <w:szCs w:val="26"/>
      <w:lang w:val="en-GB"/>
    </w:rPr>
  </w:style>
  <w:style w:type="paragraph" w:customStyle="1" w:styleId="Szvegtrzsbullet">
    <w:name w:val="Szövegtörzs_bullet"/>
    <w:basedOn w:val="Szvegtrzs"/>
    <w:semiHidden/>
    <w:rsid w:val="006E6B08"/>
    <w:pPr>
      <w:ind w:firstLine="357"/>
    </w:pPr>
    <w:rPr>
      <w:rFonts w:eastAsia="Times New Roman"/>
      <w:kern w:val="0"/>
      <w:sz w:val="26"/>
      <w:lang w:eastAsia="ar-SA"/>
    </w:rPr>
  </w:style>
  <w:style w:type="paragraph" w:customStyle="1" w:styleId="Normlvastag">
    <w:name w:val="Normál (vastag)"/>
    <w:basedOn w:val="Norml"/>
    <w:semiHidden/>
    <w:rsid w:val="006E6B08"/>
    <w:pPr>
      <w:ind w:firstLine="357"/>
    </w:pPr>
    <w:rPr>
      <w:rFonts w:eastAsia="Times New Roman"/>
      <w:b/>
      <w:kern w:val="0"/>
      <w:sz w:val="26"/>
      <w:lang w:eastAsia="ar-SA"/>
    </w:rPr>
  </w:style>
  <w:style w:type="character" w:customStyle="1" w:styleId="style5">
    <w:name w:val="style5"/>
    <w:basedOn w:val="Bekezdsalapbettpusa"/>
    <w:semiHidden/>
    <w:rsid w:val="006E6B08"/>
  </w:style>
  <w:style w:type="character" w:customStyle="1" w:styleId="CmsorszvegbenChar">
    <w:name w:val="Címsor szövegben Char"/>
    <w:semiHidden/>
    <w:rsid w:val="006E6B08"/>
    <w:rPr>
      <w:b/>
      <w:bCs/>
      <w:sz w:val="26"/>
      <w:szCs w:val="22"/>
      <w:lang w:val="en-GB" w:eastAsia="ar-SA" w:bidi="ar-SA"/>
    </w:rPr>
  </w:style>
  <w:style w:type="paragraph" w:customStyle="1" w:styleId="Cmsorszvegben">
    <w:name w:val="Címsor szövegben"/>
    <w:basedOn w:val="Norml1"/>
    <w:autoRedefine/>
    <w:semiHidden/>
    <w:rsid w:val="006E6B08"/>
    <w:pPr>
      <w:keepNext/>
      <w:keepLines/>
      <w:spacing w:before="240" w:after="240"/>
      <w:ind w:firstLine="0"/>
    </w:pPr>
    <w:rPr>
      <w:b/>
      <w:bCs/>
      <w:sz w:val="26"/>
      <w:lang w:eastAsia="ar-SA"/>
    </w:rPr>
  </w:style>
  <w:style w:type="character" w:customStyle="1" w:styleId="MegjegyzstrgyaChar1">
    <w:name w:val="Megjegyzés tárgya Char1"/>
    <w:basedOn w:val="JegyzetszvegChar"/>
    <w:semiHidden/>
    <w:rsid w:val="006E6B08"/>
    <w:rPr>
      <w:rFonts w:ascii="Times New Roman" w:eastAsia="Lucida Sans Unicode" w:hAnsi="Times New Roman" w:cs="Arial"/>
      <w:b/>
      <w:bCs/>
      <w:kern w:val="22"/>
      <w:sz w:val="20"/>
      <w:szCs w:val="20"/>
      <w:lang w:eastAsia="hu-HU"/>
    </w:rPr>
  </w:style>
  <w:style w:type="paragraph" w:customStyle="1" w:styleId="Normlsr">
    <w:name w:val="Normál (sürü)"/>
    <w:basedOn w:val="Norml"/>
    <w:autoRedefine/>
    <w:semiHidden/>
    <w:rsid w:val="006E6B08"/>
    <w:pPr>
      <w:ind w:firstLine="0"/>
    </w:pPr>
    <w:rPr>
      <w:rFonts w:eastAsia="Times New Roman"/>
      <w:w w:val="90"/>
      <w:kern w:val="0"/>
      <w:sz w:val="26"/>
      <w:szCs w:val="26"/>
      <w:lang w:eastAsia="ar-SA"/>
    </w:rPr>
  </w:style>
  <w:style w:type="paragraph" w:customStyle="1" w:styleId="Szvegtrzsbehzssal21">
    <w:name w:val="Szövegtörzs behúzással 21"/>
    <w:basedOn w:val="Norml"/>
    <w:semiHidden/>
    <w:rsid w:val="006E6B08"/>
    <w:pPr>
      <w:spacing w:line="480" w:lineRule="auto"/>
      <w:ind w:left="283" w:firstLine="360"/>
    </w:pPr>
    <w:rPr>
      <w:rFonts w:eastAsia="Times New Roman"/>
      <w:kern w:val="0"/>
      <w:sz w:val="26"/>
      <w:lang w:eastAsia="ar-SA"/>
    </w:rPr>
  </w:style>
  <w:style w:type="paragraph" w:customStyle="1" w:styleId="bekezds0">
    <w:name w:val="bekezds"/>
    <w:basedOn w:val="Norml"/>
    <w:semiHidden/>
    <w:rsid w:val="006E6B08"/>
    <w:pPr>
      <w:suppressAutoHyphens w:val="0"/>
      <w:spacing w:before="240"/>
      <w:ind w:firstLine="709"/>
    </w:pPr>
    <w:rPr>
      <w:rFonts w:eastAsia="Times New Roman"/>
      <w:kern w:val="0"/>
      <w:sz w:val="26"/>
      <w:szCs w:val="26"/>
    </w:rPr>
  </w:style>
  <w:style w:type="paragraph" w:customStyle="1" w:styleId="Norm">
    <w:name w:val="Norm"/>
    <w:semiHidden/>
    <w:rsid w:val="006E6B08"/>
    <w:pPr>
      <w:widowControl w:val="0"/>
      <w:tabs>
        <w:tab w:val="left" w:pos="567"/>
        <w:tab w:val="left" w:pos="1134"/>
        <w:tab w:val="left" w:pos="1418"/>
        <w:tab w:val="left" w:pos="1701"/>
      </w:tabs>
      <w:spacing w:before="120" w:after="120"/>
      <w:ind w:left="567" w:hanging="567"/>
      <w:jc w:val="both"/>
    </w:pPr>
    <w:rPr>
      <w:rFonts w:eastAsia="Times New Roman"/>
      <w:sz w:val="24"/>
      <w:lang w:val="en-GB"/>
    </w:rPr>
  </w:style>
  <w:style w:type="paragraph" w:styleId="Szvegtrzsbehzssal2">
    <w:name w:val="Body Text Indent 2"/>
    <w:basedOn w:val="Norml"/>
    <w:link w:val="Szvegtrzsbehzssal2Char"/>
    <w:semiHidden/>
    <w:rsid w:val="006E6B08"/>
    <w:pPr>
      <w:spacing w:line="480" w:lineRule="auto"/>
      <w:ind w:left="283" w:firstLine="357"/>
    </w:pPr>
    <w:rPr>
      <w:rFonts w:eastAsia="Times New Roman"/>
      <w:kern w:val="0"/>
      <w:sz w:val="26"/>
      <w:lang w:val="en-GB" w:eastAsia="ar-SA"/>
    </w:rPr>
  </w:style>
  <w:style w:type="character" w:customStyle="1" w:styleId="Szvegtrzsbehzssal2Char">
    <w:name w:val="Szövegtörzs behúzással 2 Char"/>
    <w:basedOn w:val="Bekezdsalapbettpusa"/>
    <w:link w:val="Szvegtrzsbehzssal2"/>
    <w:semiHidden/>
    <w:rsid w:val="006E6B08"/>
    <w:rPr>
      <w:rFonts w:eastAsia="Times New Roman" w:cs="Arial"/>
      <w:sz w:val="26"/>
      <w:szCs w:val="24"/>
      <w:lang w:val="en-GB" w:eastAsia="ar-SA"/>
    </w:rPr>
  </w:style>
  <w:style w:type="paragraph" w:customStyle="1" w:styleId="ListNumber4Level2">
    <w:name w:val="List Number 4 (Level 2)"/>
    <w:basedOn w:val="Norml"/>
    <w:semiHidden/>
    <w:rsid w:val="006E6B08"/>
    <w:pPr>
      <w:tabs>
        <w:tab w:val="num" w:pos="360"/>
      </w:tabs>
      <w:suppressAutoHyphens w:val="0"/>
      <w:spacing w:before="120"/>
      <w:ind w:firstLine="0"/>
    </w:pPr>
    <w:rPr>
      <w:rFonts w:eastAsia="Times New Roman"/>
      <w:kern w:val="0"/>
      <w:sz w:val="24"/>
      <w:szCs w:val="20"/>
      <w:lang w:val="en-GB" w:eastAsia="ar-SA"/>
    </w:rPr>
  </w:style>
  <w:style w:type="paragraph" w:customStyle="1" w:styleId="ListNumberLevel2">
    <w:name w:val="List Number (Level 2)"/>
    <w:basedOn w:val="Norml"/>
    <w:semiHidden/>
    <w:rsid w:val="006E6B08"/>
    <w:pPr>
      <w:tabs>
        <w:tab w:val="num" w:pos="1417"/>
      </w:tabs>
      <w:suppressAutoHyphens w:val="0"/>
      <w:spacing w:before="120"/>
      <w:ind w:left="1417" w:hanging="708"/>
    </w:pPr>
    <w:rPr>
      <w:rFonts w:eastAsia="Times New Roman"/>
      <w:kern w:val="0"/>
      <w:sz w:val="24"/>
      <w:lang w:val="en-GB"/>
    </w:rPr>
  </w:style>
  <w:style w:type="paragraph" w:customStyle="1" w:styleId="Cmso6">
    <w:name w:val="Címso 6"/>
    <w:basedOn w:val="Norml"/>
    <w:semiHidden/>
    <w:rsid w:val="006E6B08"/>
    <w:pPr>
      <w:ind w:firstLine="0"/>
    </w:pPr>
    <w:rPr>
      <w:rFonts w:eastAsia="Times New Roman"/>
      <w:kern w:val="0"/>
      <w:sz w:val="26"/>
      <w:lang w:val="en-GB" w:eastAsia="ar-SA"/>
    </w:rPr>
  </w:style>
  <w:style w:type="paragraph" w:customStyle="1" w:styleId="Char3">
    <w:name w:val="Char3"/>
    <w:basedOn w:val="Norml"/>
    <w:semiHidden/>
    <w:rsid w:val="006E6B08"/>
    <w:pPr>
      <w:suppressAutoHyphens w:val="0"/>
      <w:spacing w:after="160" w:line="240" w:lineRule="exact"/>
      <w:ind w:firstLine="0"/>
    </w:pPr>
    <w:rPr>
      <w:rFonts w:ascii="Tahoma" w:eastAsia="Times New Roman" w:hAnsi="Tahoma"/>
      <w:kern w:val="0"/>
      <w:sz w:val="20"/>
      <w:szCs w:val="20"/>
      <w:lang w:val="en-US" w:eastAsia="en-US"/>
    </w:rPr>
  </w:style>
  <w:style w:type="paragraph" w:styleId="NormlWeb">
    <w:name w:val="Normal (Web)"/>
    <w:basedOn w:val="Norml"/>
    <w:semiHidden/>
    <w:rsid w:val="006E6B08"/>
    <w:pPr>
      <w:suppressAutoHyphens w:val="0"/>
      <w:spacing w:before="100" w:beforeAutospacing="1" w:after="100" w:afterAutospacing="1"/>
      <w:ind w:firstLine="0"/>
    </w:pPr>
    <w:rPr>
      <w:rFonts w:ascii="Arial Unicode MS" w:eastAsia="Arial Unicode MS" w:hAnsi="Arial Unicode MS" w:cs="Arial Unicode MS"/>
      <w:kern w:val="0"/>
      <w:sz w:val="24"/>
    </w:rPr>
  </w:style>
  <w:style w:type="character" w:customStyle="1" w:styleId="CharChar23">
    <w:name w:val="Char Char23"/>
    <w:semiHidden/>
    <w:rsid w:val="006E6B08"/>
    <w:rPr>
      <w:b/>
      <w:bCs/>
      <w:i/>
      <w:kern w:val="1"/>
      <w:sz w:val="22"/>
      <w:szCs w:val="28"/>
    </w:rPr>
  </w:style>
  <w:style w:type="character" w:customStyle="1" w:styleId="CharChar9">
    <w:name w:val="Char Char9"/>
    <w:semiHidden/>
    <w:rsid w:val="006E6B08"/>
    <w:rPr>
      <w:rFonts w:eastAsia="Times New Roman"/>
      <w:snapToGrid w:val="0"/>
      <w:sz w:val="22"/>
      <w:szCs w:val="22"/>
      <w:lang w:val="en-GB"/>
    </w:rPr>
  </w:style>
  <w:style w:type="character" w:customStyle="1" w:styleId="CharChar8">
    <w:name w:val="Char Char8"/>
    <w:semiHidden/>
    <w:rsid w:val="006E6B08"/>
    <w:rPr>
      <w:rFonts w:eastAsia="Times New Roman"/>
      <w:sz w:val="22"/>
      <w:szCs w:val="22"/>
    </w:rPr>
  </w:style>
  <w:style w:type="character" w:customStyle="1" w:styleId="CharChar7">
    <w:name w:val="Char Char7"/>
    <w:semiHidden/>
    <w:rsid w:val="006E6B08"/>
    <w:rPr>
      <w:rFonts w:eastAsia="Times New Roman"/>
      <w:b/>
      <w:bCs/>
      <w:kern w:val="1"/>
      <w:lang w:eastAsia="ar-SA"/>
    </w:rPr>
  </w:style>
  <w:style w:type="character" w:customStyle="1" w:styleId="CharChar4">
    <w:name w:val="Char Char4"/>
    <w:semiHidden/>
    <w:rsid w:val="006E6B08"/>
    <w:rPr>
      <w:rFonts w:eastAsia="Times New Roman"/>
      <w:sz w:val="22"/>
      <w:szCs w:val="22"/>
      <w:lang w:val="en-GB"/>
    </w:rPr>
  </w:style>
  <w:style w:type="paragraph" w:styleId="Csakszveg">
    <w:name w:val="Plain Text"/>
    <w:basedOn w:val="Norml"/>
    <w:link w:val="CsakszvegChar"/>
    <w:uiPriority w:val="99"/>
    <w:semiHidden/>
    <w:unhideWhenUsed/>
    <w:rsid w:val="006E6B08"/>
    <w:pPr>
      <w:suppressAutoHyphens w:val="0"/>
      <w:ind w:firstLine="0"/>
    </w:pPr>
    <w:rPr>
      <w:rFonts w:ascii="Consolas" w:eastAsia="Calibri" w:hAnsi="Consolas" w:cs="Times New Roman"/>
      <w:kern w:val="0"/>
      <w:sz w:val="21"/>
      <w:szCs w:val="21"/>
      <w:lang w:eastAsia="en-US"/>
    </w:rPr>
  </w:style>
  <w:style w:type="character" w:customStyle="1" w:styleId="CsakszvegChar">
    <w:name w:val="Csak szöveg Char"/>
    <w:basedOn w:val="Bekezdsalapbettpusa"/>
    <w:link w:val="Csakszveg"/>
    <w:uiPriority w:val="99"/>
    <w:semiHidden/>
    <w:rsid w:val="006E6B08"/>
    <w:rPr>
      <w:rFonts w:ascii="Consolas" w:eastAsia="Calibri" w:hAnsi="Consolas"/>
      <w:sz w:val="21"/>
      <w:szCs w:val="21"/>
      <w:lang w:eastAsia="en-US"/>
    </w:rPr>
  </w:style>
  <w:style w:type="paragraph" w:styleId="Szmozottlista5">
    <w:name w:val="List Number 5"/>
    <w:basedOn w:val="Norml"/>
    <w:semiHidden/>
    <w:rsid w:val="006E6B08"/>
    <w:pPr>
      <w:suppressAutoHyphens w:val="0"/>
      <w:ind w:left="2932" w:hanging="360"/>
    </w:pPr>
    <w:rPr>
      <w:rFonts w:ascii="Arial Narrow" w:eastAsia="Times New Roman" w:hAnsi="Arial Narrow" w:cs="Times New Roman"/>
      <w:kern w:val="0"/>
      <w:sz w:val="24"/>
    </w:rPr>
  </w:style>
  <w:style w:type="paragraph" w:customStyle="1" w:styleId="StlusStlusKpalrsNemFlkvrBalrazrtBal127cmElt">
    <w:name w:val="Stílus Stílus Képaláírás + Nem Félkövér Balra zárt Bal:  127 cm Előt..."/>
    <w:basedOn w:val="StlusKpalrsNemFlkvrBalrazrtBal127cmEltte"/>
    <w:semiHidden/>
    <w:rsid w:val="006E6B08"/>
    <w:pPr>
      <w:numPr>
        <w:numId w:val="0"/>
      </w:numPr>
      <w:spacing w:after="0"/>
    </w:pPr>
  </w:style>
  <w:style w:type="paragraph" w:styleId="brajegyzk">
    <w:name w:val="table of figures"/>
    <w:basedOn w:val="Norml"/>
    <w:next w:val="Norml"/>
    <w:uiPriority w:val="99"/>
    <w:semiHidden/>
    <w:unhideWhenUsed/>
    <w:rsid w:val="006E6B08"/>
    <w:pPr>
      <w:ind w:firstLine="0"/>
    </w:pPr>
    <w:rPr>
      <w:kern w:val="22"/>
    </w:rPr>
  </w:style>
  <w:style w:type="paragraph" w:customStyle="1" w:styleId="tblaforrs">
    <w:name w:val="táblaforrás"/>
    <w:basedOn w:val="StlusKpalrsNemFlkvrBalrazrtBal127cmEltte"/>
    <w:link w:val="tblaforrsCharChar"/>
    <w:autoRedefine/>
    <w:semiHidden/>
    <w:rsid w:val="006E6B08"/>
    <w:pPr>
      <w:keepNext w:val="0"/>
      <w:numPr>
        <w:numId w:val="0"/>
      </w:numPr>
      <w:spacing w:after="0"/>
    </w:pPr>
  </w:style>
  <w:style w:type="character" w:customStyle="1" w:styleId="tblaforrsCharChar">
    <w:name w:val="táblaforrás Char Char"/>
    <w:basedOn w:val="StlusKpalrsNemFlkvrBalrazrtBal127cmEltteChar"/>
    <w:link w:val="tblaforrs"/>
    <w:semiHidden/>
    <w:rsid w:val="006E6B08"/>
    <w:rPr>
      <w:rFonts w:ascii="Verdana" w:eastAsia="Times New Roman" w:hAnsi="Verdana"/>
      <w:sz w:val="16"/>
    </w:rPr>
  </w:style>
  <w:style w:type="character" w:customStyle="1" w:styleId="StlusFinomkiemels12ptAutomatikus">
    <w:name w:val="Stílus Finom kiemelés + 12 pt Automatikus"/>
    <w:semiHidden/>
    <w:rsid w:val="006E6B08"/>
    <w:rPr>
      <w:rFonts w:ascii="Times New Roman" w:hAnsi="Times New Roman"/>
      <w:i/>
      <w:iCs/>
      <w:color w:val="auto"/>
      <w:kern w:val="0"/>
      <w:sz w:val="22"/>
    </w:rPr>
  </w:style>
  <w:style w:type="paragraph" w:customStyle="1" w:styleId="finomkiemels0">
    <w:name w:val="finom kiemelés"/>
    <w:basedOn w:val="Norml"/>
    <w:semiHidden/>
    <w:rsid w:val="006E6B08"/>
    <w:pPr>
      <w:spacing w:before="240"/>
      <w:ind w:firstLine="0"/>
    </w:pPr>
    <w:rPr>
      <w:rFonts w:eastAsia="Times New Roman" w:cs="Times New Roman"/>
      <w:i/>
      <w:iCs/>
      <w:kern w:val="22"/>
      <w:szCs w:val="20"/>
    </w:rPr>
  </w:style>
  <w:style w:type="paragraph" w:customStyle="1" w:styleId="Cmsorbold">
    <w:name w:val="Címsor bold"/>
    <w:basedOn w:val="Norml"/>
    <w:semiHidden/>
    <w:rsid w:val="006E6B08"/>
    <w:pPr>
      <w:keepNext/>
      <w:suppressAutoHyphens w:val="0"/>
      <w:spacing w:before="240"/>
      <w:ind w:firstLine="567"/>
    </w:pPr>
    <w:rPr>
      <w:rFonts w:eastAsia="Times New Roman" w:cs="Times New Roman"/>
      <w:b/>
      <w:kern w:val="0"/>
      <w:sz w:val="20"/>
      <w:szCs w:val="20"/>
    </w:rPr>
  </w:style>
  <w:style w:type="paragraph" w:customStyle="1" w:styleId="tblzatsorszma">
    <w:name w:val="táblázat sorszáma"/>
    <w:basedOn w:val="Norml"/>
    <w:autoRedefine/>
    <w:semiHidden/>
    <w:rsid w:val="006E6B08"/>
    <w:pPr>
      <w:keepNext/>
      <w:tabs>
        <w:tab w:val="num" w:pos="720"/>
      </w:tabs>
      <w:suppressAutoHyphens w:val="0"/>
      <w:spacing w:before="120" w:after="0"/>
      <w:ind w:left="720" w:hanging="360"/>
      <w:jc w:val="right"/>
    </w:pPr>
    <w:rPr>
      <w:rFonts w:eastAsia="Times New Roman" w:cs="Times New Roman"/>
      <w:kern w:val="0"/>
      <w:sz w:val="24"/>
    </w:rPr>
  </w:style>
  <w:style w:type="numbering" w:customStyle="1" w:styleId="Nemlista21">
    <w:name w:val="Nem lista21"/>
    <w:next w:val="Nemlista"/>
    <w:semiHidden/>
    <w:rsid w:val="006E6B08"/>
  </w:style>
  <w:style w:type="paragraph" w:customStyle="1" w:styleId="j-braszm1">
    <w:name w:val="j- ábraszám1"/>
    <w:basedOn w:val="Kpalrs"/>
    <w:next w:val="j-braszm"/>
    <w:autoRedefine/>
    <w:rsid w:val="006E6B08"/>
    <w:pPr>
      <w:numPr>
        <w:numId w:val="0"/>
      </w:numPr>
      <w:tabs>
        <w:tab w:val="num" w:pos="440"/>
      </w:tabs>
      <w:spacing w:before="360"/>
      <w:jc w:val="left"/>
    </w:pPr>
    <w:rPr>
      <w:b w:val="0"/>
    </w:rPr>
  </w:style>
  <w:style w:type="numbering" w:customStyle="1" w:styleId="Nemlista11">
    <w:name w:val="Nem lista11"/>
    <w:next w:val="Nemlista"/>
    <w:semiHidden/>
    <w:rsid w:val="006E6B08"/>
  </w:style>
  <w:style w:type="character" w:customStyle="1" w:styleId="CommentTextChar">
    <w:name w:val="Comment Text Char"/>
    <w:semiHidden/>
    <w:locked/>
    <w:rsid w:val="006E6B08"/>
    <w:rPr>
      <w:rFonts w:eastAsia="Times New Roman" w:cs="Arial"/>
      <w:kern w:val="22"/>
      <w:lang w:val="hu-HU" w:eastAsia="hu-HU" w:bidi="ar-SA"/>
    </w:rPr>
  </w:style>
  <w:style w:type="paragraph" w:customStyle="1" w:styleId="j-cmsor1">
    <w:name w:val="j- címsor1"/>
    <w:basedOn w:val="Cmsor1"/>
    <w:next w:val="j-cmsor2"/>
    <w:rsid w:val="006E6B08"/>
    <w:pPr>
      <w:numPr>
        <w:numId w:val="0"/>
      </w:numPr>
      <w:tabs>
        <w:tab w:val="num" w:pos="0"/>
      </w:tabs>
      <w:spacing w:before="0" w:after="120"/>
      <w:ind w:left="432" w:hanging="432"/>
    </w:pPr>
    <w:rPr>
      <w:sz w:val="32"/>
    </w:rPr>
  </w:style>
  <w:style w:type="paragraph" w:customStyle="1" w:styleId="j-cmsor2">
    <w:name w:val="j- címsor2"/>
    <w:basedOn w:val="Cmsor2"/>
    <w:next w:val="j-cmsor3"/>
    <w:rsid w:val="006E6B08"/>
    <w:pPr>
      <w:numPr>
        <w:ilvl w:val="0"/>
        <w:numId w:val="0"/>
      </w:numPr>
      <w:tabs>
        <w:tab w:val="num" w:pos="660"/>
      </w:tabs>
      <w:spacing w:before="240"/>
      <w:ind w:left="660" w:hanging="660"/>
    </w:pPr>
    <w:rPr>
      <w:kern w:val="0"/>
    </w:rPr>
  </w:style>
  <w:style w:type="character" w:customStyle="1" w:styleId="SzvegtrzsStandardparagraphSzvegtrzsChar1SzvegtrzsCharCharCharCharCharCharChar">
    <w:name w:val="Szövegtörzs;Standard paragraph;Szövegtörzs Char1;Szövegtörzs Char Char;Char Char Char Char Char"/>
    <w:semiHidden/>
    <w:locked/>
    <w:rsid w:val="006E6B08"/>
    <w:rPr>
      <w:rFonts w:eastAsia="Times New Roman" w:cs="Arial"/>
      <w:kern w:val="22"/>
      <w:sz w:val="24"/>
      <w:szCs w:val="24"/>
      <w:lang w:val="hu-HU" w:eastAsia="hu-HU" w:bidi="ar-SA"/>
    </w:rPr>
  </w:style>
  <w:style w:type="character" w:customStyle="1" w:styleId="TitleChar">
    <w:name w:val="Title Char"/>
    <w:semiHidden/>
    <w:locked/>
    <w:rsid w:val="006E6B08"/>
    <w:rPr>
      <w:rFonts w:cs="Times New Roman"/>
      <w:b/>
      <w:bCs/>
      <w:sz w:val="36"/>
      <w:szCs w:val="36"/>
      <w:lang w:val="hu-HU" w:eastAsia="hu-HU" w:bidi="ar-SA"/>
    </w:rPr>
  </w:style>
  <w:style w:type="character" w:customStyle="1" w:styleId="Heading5Char">
    <w:name w:val="Heading 5 Char"/>
    <w:semiHidden/>
    <w:locked/>
    <w:rsid w:val="006E6B08"/>
    <w:rPr>
      <w:rFonts w:cs="Arial"/>
      <w:b/>
      <w:sz w:val="22"/>
      <w:lang w:val="hu-HU" w:eastAsia="hu-HU" w:bidi="ar-SA"/>
    </w:rPr>
  </w:style>
  <w:style w:type="character" w:customStyle="1" w:styleId="Heading7Char">
    <w:name w:val="Heading 7 Char"/>
    <w:semiHidden/>
    <w:locked/>
    <w:rsid w:val="006E6B08"/>
    <w:rPr>
      <w:rFonts w:cs="Arial"/>
      <w:b/>
      <w:sz w:val="22"/>
      <w:szCs w:val="22"/>
      <w:lang w:val="en-GB" w:eastAsia="hu-HU" w:bidi="ar-SA"/>
    </w:rPr>
  </w:style>
  <w:style w:type="character" w:customStyle="1" w:styleId="Caption1">
    <w:name w:val="Caption1"/>
    <w:semiHidden/>
    <w:rsid w:val="006E6B08"/>
    <w:rPr>
      <w:rFonts w:cs="Times New Roman"/>
      <w:b/>
      <w:bCs/>
      <w:sz w:val="20"/>
    </w:rPr>
  </w:style>
  <w:style w:type="character" w:customStyle="1" w:styleId="FooterChar">
    <w:name w:val="Footer Char"/>
    <w:aliases w:val="Footer 2 Char"/>
    <w:semiHidden/>
    <w:locked/>
    <w:rsid w:val="006E6B08"/>
    <w:rPr>
      <w:rFonts w:ascii="Arial" w:hAnsi="Arial" w:cs="Arial"/>
      <w:noProof/>
      <w:color w:val="333333"/>
      <w:sz w:val="22"/>
      <w:szCs w:val="22"/>
      <w:lang w:val="hu-HU" w:eastAsia="hu-HU" w:bidi="ar-SA"/>
    </w:rPr>
  </w:style>
  <w:style w:type="character" w:customStyle="1" w:styleId="DocumentMapChar">
    <w:name w:val="Document Map Char"/>
    <w:semiHidden/>
    <w:locked/>
    <w:rsid w:val="006E6B08"/>
    <w:rPr>
      <w:rFonts w:ascii="Tahoma" w:hAnsi="Tahoma" w:cs="Tahoma"/>
      <w:sz w:val="16"/>
      <w:szCs w:val="16"/>
      <w:lang w:val="hu-HU" w:eastAsia="hu-HU" w:bidi="ar-SA"/>
    </w:rPr>
  </w:style>
  <w:style w:type="character" w:customStyle="1" w:styleId="BodyText2Char">
    <w:name w:val="Body Text 2 Char"/>
    <w:semiHidden/>
    <w:locked/>
    <w:rsid w:val="006E6B08"/>
    <w:rPr>
      <w:rFonts w:cs="Arial"/>
      <w:sz w:val="22"/>
      <w:szCs w:val="22"/>
      <w:lang w:val="hu-HU" w:eastAsia="hu-HU" w:bidi="ar-SA"/>
    </w:rPr>
  </w:style>
  <w:style w:type="character" w:customStyle="1" w:styleId="CommentSubjectChar">
    <w:name w:val="Comment Subject Char"/>
    <w:semiHidden/>
    <w:locked/>
    <w:rsid w:val="006E6B08"/>
    <w:rPr>
      <w:rFonts w:eastAsia="Times New Roman" w:cs="Arial"/>
      <w:b/>
      <w:bCs/>
      <w:kern w:val="22"/>
      <w:lang w:val="hu-HU" w:eastAsia="ar-SA" w:bidi="ar-SA"/>
    </w:rPr>
  </w:style>
  <w:style w:type="character" w:customStyle="1" w:styleId="BodyTextIndent2Char">
    <w:name w:val="Body Text Indent 2 Char"/>
    <w:semiHidden/>
    <w:locked/>
    <w:rsid w:val="006E6B08"/>
    <w:rPr>
      <w:rFonts w:cs="Arial"/>
      <w:sz w:val="24"/>
      <w:szCs w:val="24"/>
      <w:lang w:val="en-GB" w:eastAsia="ar-SA" w:bidi="ar-SA"/>
    </w:rPr>
  </w:style>
  <w:style w:type="character" w:customStyle="1" w:styleId="Finomkiemels1">
    <w:name w:val="Finom kiemelés1"/>
    <w:semiHidden/>
    <w:rsid w:val="006E6B08"/>
    <w:rPr>
      <w:rFonts w:ascii="Times New Roman" w:hAnsi="Times New Roman" w:cs="Times New Roman"/>
      <w:i/>
      <w:iCs/>
      <w:color w:val="auto"/>
      <w:sz w:val="22"/>
    </w:rPr>
  </w:style>
  <w:style w:type="paragraph" w:customStyle="1" w:styleId="j-cmsor6">
    <w:name w:val="j- címsor 6"/>
    <w:basedOn w:val="j-cmsor50"/>
    <w:next w:val="j-nomlszveg"/>
    <w:autoRedefine/>
    <w:rsid w:val="006E6B08"/>
    <w:rPr>
      <w:sz w:val="22"/>
      <w:szCs w:val="22"/>
    </w:rPr>
  </w:style>
  <w:style w:type="paragraph" w:customStyle="1" w:styleId="j-cmsor60">
    <w:name w:val="j- címsor6"/>
    <w:basedOn w:val="j-cmsor6"/>
    <w:next w:val="j-nomlszveg"/>
    <w:autoRedefine/>
    <w:rsid w:val="006E6B08"/>
    <w:rPr>
      <w:i w:val="0"/>
    </w:rPr>
  </w:style>
  <w:style w:type="numbering" w:customStyle="1" w:styleId="1111111">
    <w:name w:val="1 / 1.1 / 1.1.11"/>
    <w:basedOn w:val="Nemlista"/>
    <w:next w:val="111111"/>
    <w:semiHidden/>
    <w:rsid w:val="006E6B08"/>
  </w:style>
  <w:style w:type="numbering" w:customStyle="1" w:styleId="1ai1">
    <w:name w:val="1 / a / i1"/>
    <w:basedOn w:val="Nemlista"/>
    <w:next w:val="1ai"/>
    <w:semiHidden/>
    <w:rsid w:val="006E6B08"/>
  </w:style>
  <w:style w:type="numbering" w:customStyle="1" w:styleId="Cikkelyrsz1">
    <w:name w:val="Cikkely / rész1"/>
    <w:basedOn w:val="Nemlista"/>
    <w:next w:val="Cikkelyrsz"/>
    <w:semiHidden/>
    <w:rsid w:val="006E6B08"/>
  </w:style>
  <w:style w:type="paragraph" w:styleId="Dtum">
    <w:name w:val="Date"/>
    <w:basedOn w:val="Norml"/>
    <w:next w:val="Norml"/>
    <w:link w:val="DtumChar"/>
    <w:semiHidden/>
    <w:rsid w:val="006E6B08"/>
    <w:pPr>
      <w:ind w:firstLine="0"/>
    </w:pPr>
    <w:rPr>
      <w:kern w:val="22"/>
    </w:rPr>
  </w:style>
  <w:style w:type="character" w:customStyle="1" w:styleId="DtumChar">
    <w:name w:val="Dátum Char"/>
    <w:basedOn w:val="Bekezdsalapbettpusa"/>
    <w:link w:val="Dtum"/>
    <w:semiHidden/>
    <w:rsid w:val="006E6B08"/>
    <w:rPr>
      <w:rFonts w:cs="Arial"/>
      <w:kern w:val="22"/>
      <w:sz w:val="22"/>
      <w:szCs w:val="24"/>
    </w:rPr>
  </w:style>
  <w:style w:type="table" w:customStyle="1" w:styleId="Egyszertblzat11">
    <w:name w:val="Egyszerű táblázat 11"/>
    <w:basedOn w:val="Normltblzat"/>
    <w:next w:val="Egyszertblzat1"/>
    <w:semiHidden/>
    <w:rsid w:val="006E6B08"/>
    <w:pPr>
      <w:suppressAutoHyphens/>
      <w:spacing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gyszertblzat21">
    <w:name w:val="Egyszerű táblázat 21"/>
    <w:basedOn w:val="Normltblzat"/>
    <w:next w:val="Egyszertblzat2"/>
    <w:semiHidden/>
    <w:rsid w:val="006E6B08"/>
    <w:pPr>
      <w:suppressAutoHyphens/>
      <w:spacing w:after="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gyszertblzat31">
    <w:name w:val="Egyszerű táblázat 31"/>
    <w:basedOn w:val="Normltblzat"/>
    <w:next w:val="Egyszertblzat3"/>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Elegnstblzat1">
    <w:name w:val="Elegáns táblázat1"/>
    <w:basedOn w:val="Normltblzat"/>
    <w:next w:val="Elegnstblzat"/>
    <w:semiHidden/>
    <w:rsid w:val="006E6B08"/>
    <w:pPr>
      <w:suppressAutoHyphens/>
      <w:spacing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alrsa">
    <w:name w:val="E-mail Signature"/>
    <w:basedOn w:val="Norml"/>
    <w:link w:val="E-mailalrsaChar"/>
    <w:semiHidden/>
    <w:rsid w:val="006E6B08"/>
    <w:pPr>
      <w:ind w:firstLine="0"/>
    </w:pPr>
    <w:rPr>
      <w:kern w:val="22"/>
    </w:rPr>
  </w:style>
  <w:style w:type="character" w:customStyle="1" w:styleId="E-mailalrsaChar">
    <w:name w:val="E-mail aláírása Char"/>
    <w:basedOn w:val="Bekezdsalapbettpusa"/>
    <w:link w:val="E-mailalrsa"/>
    <w:semiHidden/>
    <w:rsid w:val="006E6B08"/>
    <w:rPr>
      <w:rFonts w:cs="Arial"/>
      <w:kern w:val="22"/>
      <w:sz w:val="22"/>
      <w:szCs w:val="24"/>
    </w:rPr>
  </w:style>
  <w:style w:type="table" w:customStyle="1" w:styleId="Finomtblzat11">
    <w:name w:val="Finom táblázat 11"/>
    <w:basedOn w:val="Normltblzat"/>
    <w:next w:val="Finomtblzat1"/>
    <w:semiHidden/>
    <w:rsid w:val="006E6B08"/>
    <w:pPr>
      <w:suppressAutoHyphens/>
      <w:spacing w:after="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Finomtblzat21">
    <w:name w:val="Finom táblázat 21"/>
    <w:basedOn w:val="Normltblzat"/>
    <w:next w:val="Finomtblzat2"/>
    <w:semiHidden/>
    <w:rsid w:val="006E6B08"/>
    <w:pPr>
      <w:suppressAutoHyphens/>
      <w:spacing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zikustblzat11">
    <w:name w:val="Klasszikus táblázat 11"/>
    <w:basedOn w:val="Normltblzat"/>
    <w:next w:val="Klasszikustblzat1"/>
    <w:semiHidden/>
    <w:rsid w:val="006E6B08"/>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zikustblzat21">
    <w:name w:val="Klasszikus táblázat 21"/>
    <w:basedOn w:val="Normltblzat"/>
    <w:next w:val="Klasszikustblzat2"/>
    <w:semiHidden/>
    <w:rsid w:val="006E6B08"/>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szikustblzat31">
    <w:name w:val="Klasszikus táblázat 31"/>
    <w:basedOn w:val="Normltblzat"/>
    <w:next w:val="Klasszikustblzat3"/>
    <w:semiHidden/>
    <w:rsid w:val="006E6B08"/>
    <w:pPr>
      <w:suppressAutoHyphens/>
      <w:spacing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szikustblzat41">
    <w:name w:val="Klasszikus táblázat 41"/>
    <w:basedOn w:val="Normltblzat"/>
    <w:next w:val="Klasszikustblzat4"/>
    <w:semiHidden/>
    <w:rsid w:val="006E6B08"/>
    <w:pPr>
      <w:suppressAutoHyphens/>
      <w:spacing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a2">
    <w:name w:val="List 2"/>
    <w:basedOn w:val="Norml"/>
    <w:semiHidden/>
    <w:rsid w:val="006E6B08"/>
    <w:pPr>
      <w:ind w:left="566" w:hanging="283"/>
    </w:pPr>
    <w:rPr>
      <w:kern w:val="22"/>
    </w:rPr>
  </w:style>
  <w:style w:type="table" w:customStyle="1" w:styleId="Listaszertblzat11">
    <w:name w:val="Listaszerű táblázat 11"/>
    <w:basedOn w:val="Normltblzat"/>
    <w:next w:val="Listaszertblzat1"/>
    <w:semiHidden/>
    <w:rsid w:val="006E6B08"/>
    <w:pPr>
      <w:suppressAutoHyphens/>
      <w:spacing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szertblzat21">
    <w:name w:val="Listaszerű táblázat 21"/>
    <w:basedOn w:val="Normltblzat"/>
    <w:next w:val="Listaszertblzat2"/>
    <w:semiHidden/>
    <w:rsid w:val="006E6B08"/>
    <w:pPr>
      <w:suppressAutoHyphens/>
      <w:spacing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szertblzat31">
    <w:name w:val="Listaszerű táblázat 31"/>
    <w:basedOn w:val="Normltblzat"/>
    <w:next w:val="Listaszertblzat3"/>
    <w:semiHidden/>
    <w:rsid w:val="006E6B08"/>
    <w:pPr>
      <w:suppressAutoHyphens/>
      <w:spacing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aszertblzat41">
    <w:name w:val="Listaszerű táblázat 41"/>
    <w:basedOn w:val="Normltblzat"/>
    <w:next w:val="Listaszertblzat4"/>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szertblzat51">
    <w:name w:val="Listaszerű táblázat 51"/>
    <w:basedOn w:val="Normltblzat"/>
    <w:next w:val="Listaszertblzat5"/>
    <w:semiHidden/>
    <w:rsid w:val="006E6B08"/>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Listaszertblzat61">
    <w:name w:val="Listaszerű táblázat 61"/>
    <w:basedOn w:val="Normltblzat"/>
    <w:next w:val="Listaszertblzat6"/>
    <w:semiHidden/>
    <w:rsid w:val="006E6B08"/>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Listaszertblzat71">
    <w:name w:val="Listaszerű táblázat 71"/>
    <w:basedOn w:val="Normltblzat"/>
    <w:next w:val="Listaszertblzat7"/>
    <w:semiHidden/>
    <w:rsid w:val="006E6B08"/>
    <w:pPr>
      <w:suppressAutoHyphens/>
      <w:spacing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staszertblzat81">
    <w:name w:val="Listaszerű táblázat 81"/>
    <w:basedOn w:val="Normltblzat"/>
    <w:next w:val="Listaszertblzat8"/>
    <w:semiHidden/>
    <w:rsid w:val="006E6B08"/>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Megszlts">
    <w:name w:val="Salutation"/>
    <w:basedOn w:val="Norml"/>
    <w:next w:val="Norml"/>
    <w:link w:val="MegszltsChar"/>
    <w:semiHidden/>
    <w:rsid w:val="006E6B08"/>
    <w:pPr>
      <w:ind w:firstLine="0"/>
    </w:pPr>
    <w:rPr>
      <w:kern w:val="22"/>
    </w:rPr>
  </w:style>
  <w:style w:type="character" w:customStyle="1" w:styleId="MegszltsChar">
    <w:name w:val="Megszólítás Char"/>
    <w:basedOn w:val="Bekezdsalapbettpusa"/>
    <w:link w:val="Megszlts"/>
    <w:semiHidden/>
    <w:rsid w:val="006E6B08"/>
    <w:rPr>
      <w:rFonts w:cs="Arial"/>
      <w:kern w:val="22"/>
      <w:sz w:val="22"/>
      <w:szCs w:val="24"/>
    </w:rPr>
  </w:style>
  <w:style w:type="table" w:customStyle="1" w:styleId="Moderntblzat1">
    <w:name w:val="Modern táblázat1"/>
    <w:basedOn w:val="Normltblzat"/>
    <w:next w:val="Moderntblzat"/>
    <w:semiHidden/>
    <w:rsid w:val="006E6B08"/>
    <w:pPr>
      <w:suppressAutoHyphens/>
      <w:spacing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lbehzs">
    <w:name w:val="Normal Indent"/>
    <w:basedOn w:val="Norml"/>
    <w:semiHidden/>
    <w:rsid w:val="006E6B08"/>
    <w:pPr>
      <w:ind w:left="708" w:firstLine="0"/>
    </w:pPr>
    <w:rPr>
      <w:kern w:val="22"/>
    </w:rPr>
  </w:style>
  <w:style w:type="table" w:customStyle="1" w:styleId="Oszlopostblzat11">
    <w:name w:val="Oszlopos táblázat 11"/>
    <w:basedOn w:val="Normltblzat"/>
    <w:next w:val="Oszlopostblzat1"/>
    <w:semiHidden/>
    <w:rsid w:val="006E6B08"/>
    <w:pPr>
      <w:suppressAutoHyphens/>
      <w:spacing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szlopostblzat21">
    <w:name w:val="Oszlopos táblázat 21"/>
    <w:basedOn w:val="Normltblzat"/>
    <w:next w:val="Oszlopostblzat2"/>
    <w:semiHidden/>
    <w:rsid w:val="006E6B08"/>
    <w:pPr>
      <w:suppressAutoHyphens/>
      <w:spacing w:after="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szlopostblzat31">
    <w:name w:val="Oszlopos táblázat 31"/>
    <w:basedOn w:val="Normltblzat"/>
    <w:next w:val="Oszlopostblzat3"/>
    <w:semiHidden/>
    <w:rsid w:val="006E6B08"/>
    <w:pPr>
      <w:suppressAutoHyphens/>
      <w:spacing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Oszlopostblzat41">
    <w:name w:val="Oszlopos táblázat 41"/>
    <w:basedOn w:val="Normltblzat"/>
    <w:next w:val="Oszlopostblzat4"/>
    <w:semiHidden/>
    <w:rsid w:val="006E6B08"/>
    <w:pPr>
      <w:suppressAutoHyphens/>
      <w:spacing w:after="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Oszlopostblzat51">
    <w:name w:val="Oszlopos táblázat 51"/>
    <w:basedOn w:val="Normltblzat"/>
    <w:next w:val="Oszlopostblzat5"/>
    <w:semiHidden/>
    <w:rsid w:val="006E6B08"/>
    <w:pPr>
      <w:suppressAutoHyphens/>
      <w:spacing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Profitblzat1">
    <w:name w:val="Profi táblázat1"/>
    <w:basedOn w:val="Normltblzat"/>
    <w:next w:val="Profitblzat"/>
    <w:semiHidden/>
    <w:rsid w:val="006E6B08"/>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Rcsostblzat11">
    <w:name w:val="Rácsos táblázat 11"/>
    <w:basedOn w:val="Normltblzat"/>
    <w:next w:val="Rcsostblzat1"/>
    <w:semiHidden/>
    <w:rsid w:val="006E6B08"/>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csostblzat21">
    <w:name w:val="Rácsos táblázat 21"/>
    <w:basedOn w:val="Normltblzat"/>
    <w:next w:val="Rcsostblzat2"/>
    <w:semiHidden/>
    <w:rsid w:val="006E6B08"/>
    <w:pPr>
      <w:suppressAutoHyphens/>
      <w:spacing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Rcsostblzat31">
    <w:name w:val="Rácsos táblázat 31"/>
    <w:basedOn w:val="Normltblzat"/>
    <w:next w:val="Rcsostblzat3"/>
    <w:semiHidden/>
    <w:rsid w:val="006E6B08"/>
    <w:pPr>
      <w:suppressAutoHyphens/>
      <w:spacing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Rcsostblzat41">
    <w:name w:val="Rácsos táblázat 41"/>
    <w:basedOn w:val="Normltblzat"/>
    <w:next w:val="Rcsostblzat4"/>
    <w:semiHidden/>
    <w:rsid w:val="006E6B08"/>
    <w:pPr>
      <w:suppressAutoHyphens/>
      <w:spacing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Rcsostblzat51">
    <w:name w:val="Rácsos táblázat 51"/>
    <w:basedOn w:val="Normltblzat"/>
    <w:next w:val="Rcsostblzat5"/>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sostblzat61">
    <w:name w:val="Rácsos táblázat 61"/>
    <w:basedOn w:val="Normltblzat"/>
    <w:next w:val="Rcsostblzat6"/>
    <w:semiHidden/>
    <w:rsid w:val="006E6B08"/>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sostblzat71">
    <w:name w:val="Rácsos táblázat 71"/>
    <w:basedOn w:val="Normltblzat"/>
    <w:next w:val="Rcsostblzat7"/>
    <w:semiHidden/>
    <w:rsid w:val="006E6B08"/>
    <w:pPr>
      <w:suppressAutoHyphens/>
      <w:spacing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sostblzat81">
    <w:name w:val="Rácsos táblázat 81"/>
    <w:basedOn w:val="Normltblzat"/>
    <w:next w:val="Rcsostblzat8"/>
    <w:semiHidden/>
    <w:rsid w:val="006E6B08"/>
    <w:pPr>
      <w:suppressAutoHyphens/>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zmozottlista4">
    <w:name w:val="List Number 4"/>
    <w:basedOn w:val="Norml"/>
    <w:semiHidden/>
    <w:rsid w:val="006E6B08"/>
    <w:pPr>
      <w:tabs>
        <w:tab w:val="num" w:pos="1209"/>
      </w:tabs>
      <w:ind w:left="1209" w:hanging="360"/>
    </w:pPr>
    <w:rPr>
      <w:kern w:val="22"/>
    </w:rPr>
  </w:style>
  <w:style w:type="table" w:customStyle="1" w:styleId="Tarkatblzat11">
    <w:name w:val="Tarka táblázat 11"/>
    <w:basedOn w:val="Normltblzat"/>
    <w:next w:val="Tarkatblzat1"/>
    <w:semiHidden/>
    <w:rsid w:val="006E6B08"/>
    <w:pPr>
      <w:suppressAutoHyphens/>
      <w:spacing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rkatblzat21">
    <w:name w:val="Tarka táblázat 21"/>
    <w:basedOn w:val="Normltblzat"/>
    <w:next w:val="Tarkatblzat2"/>
    <w:semiHidden/>
    <w:rsid w:val="006E6B08"/>
    <w:pPr>
      <w:suppressAutoHyphens/>
      <w:spacing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rkatblzat31">
    <w:name w:val="Tarka táblázat 31"/>
    <w:basedOn w:val="Normltblzat"/>
    <w:next w:val="Tarkatblzat3"/>
    <w:semiHidden/>
    <w:rsid w:val="006E6B08"/>
    <w:pPr>
      <w:suppressAutoHyphens/>
      <w:spacing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mrapltblzat1">
    <w:name w:val="Témára épülő táblázat1"/>
    <w:basedOn w:val="Normltblzat"/>
    <w:next w:val="Tmrapltblzat"/>
    <w:semiHidden/>
    <w:rsid w:val="006E6B08"/>
    <w:pPr>
      <w:suppressAutoHyphens/>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hatstblzat11">
    <w:name w:val="Térhatású táblázat 11"/>
    <w:basedOn w:val="Normltblzat"/>
    <w:next w:val="Trhatstblzat1"/>
    <w:semiHidden/>
    <w:rsid w:val="006E6B08"/>
    <w:pPr>
      <w:suppressAutoHyphens/>
      <w:spacing w:after="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rhatstblzat21">
    <w:name w:val="Térhatású táblázat 21"/>
    <w:basedOn w:val="Normltblzat"/>
    <w:next w:val="Trhatstblzat2"/>
    <w:semiHidden/>
    <w:rsid w:val="006E6B08"/>
    <w:pPr>
      <w:suppressAutoHyphens/>
      <w:spacing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hatstblzat31">
    <w:name w:val="Térhatású táblázat 31"/>
    <w:basedOn w:val="Normltblzat"/>
    <w:next w:val="Trhatstblzat3"/>
    <w:semiHidden/>
    <w:rsid w:val="006E6B08"/>
    <w:pPr>
      <w:suppressAutoHyphens/>
      <w:spacing w:after="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Webestblzat11">
    <w:name w:val="Webes táblázat 11"/>
    <w:basedOn w:val="Normltblzat"/>
    <w:next w:val="Webestblzat1"/>
    <w:semiHidden/>
    <w:rsid w:val="006E6B08"/>
    <w:pPr>
      <w:suppressAutoHyphens/>
      <w:spacing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estblzat21">
    <w:name w:val="Webes táblázat 21"/>
    <w:basedOn w:val="Normltblzat"/>
    <w:next w:val="Webestblzat2"/>
    <w:semiHidden/>
    <w:rsid w:val="006E6B08"/>
    <w:pPr>
      <w:suppressAutoHyphens/>
      <w:spacing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estblzat31">
    <w:name w:val="Webes táblázat 31"/>
    <w:basedOn w:val="Normltblzat"/>
    <w:next w:val="Webestblzat3"/>
    <w:semiHidden/>
    <w:rsid w:val="006E6B08"/>
    <w:pPr>
      <w:suppressAutoHyphens/>
      <w:spacing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lushj">
    <w:name w:val="Stílus hj"/>
    <w:basedOn w:val="Norml"/>
    <w:link w:val="StlushjChar"/>
    <w:semiHidden/>
    <w:qFormat/>
    <w:rsid w:val="006E6B08"/>
    <w:pPr>
      <w:suppressAutoHyphens w:val="0"/>
      <w:spacing w:after="0"/>
      <w:ind w:firstLine="360"/>
    </w:pPr>
    <w:rPr>
      <w:rFonts w:ascii="Arial" w:eastAsia="Times New Roman" w:hAnsi="Arial"/>
      <w:kern w:val="0"/>
      <w:sz w:val="20"/>
      <w:szCs w:val="20"/>
      <w:lang w:eastAsia="en-US" w:bidi="en-US"/>
    </w:rPr>
  </w:style>
  <w:style w:type="character" w:customStyle="1" w:styleId="StlushjChar">
    <w:name w:val="Stílus hj Char"/>
    <w:link w:val="Stlushj"/>
    <w:semiHidden/>
    <w:rsid w:val="006E6B08"/>
    <w:rPr>
      <w:rFonts w:ascii="Arial" w:eastAsia="Times New Roman" w:hAnsi="Arial" w:cs="Arial"/>
      <w:lang w:eastAsia="en-US" w:bidi="en-US"/>
    </w:rPr>
  </w:style>
  <w:style w:type="paragraph" w:customStyle="1" w:styleId="Szunet">
    <w:name w:val="Szunet"/>
    <w:basedOn w:val="Norml"/>
    <w:semiHidden/>
    <w:rsid w:val="006E6B08"/>
    <w:pPr>
      <w:tabs>
        <w:tab w:val="left" w:pos="568"/>
      </w:tabs>
      <w:suppressAutoHyphens w:val="0"/>
      <w:spacing w:before="720" w:after="0"/>
      <w:ind w:firstLine="0"/>
      <w:jc w:val="left"/>
    </w:pPr>
    <w:rPr>
      <w:rFonts w:eastAsia="Times New Roman" w:cs="Times New Roman"/>
      <w:kern w:val="0"/>
      <w:sz w:val="24"/>
    </w:rPr>
  </w:style>
  <w:style w:type="paragraph" w:customStyle="1" w:styleId="Default">
    <w:name w:val="Default"/>
    <w:semiHidden/>
    <w:rsid w:val="006E6B08"/>
    <w:pPr>
      <w:autoSpaceDE w:val="0"/>
      <w:autoSpaceDN w:val="0"/>
      <w:adjustRightInd w:val="0"/>
    </w:pPr>
    <w:rPr>
      <w:rFonts w:eastAsia="Times New Roman"/>
      <w:color w:val="000000"/>
      <w:sz w:val="24"/>
      <w:szCs w:val="24"/>
    </w:rPr>
  </w:style>
  <w:style w:type="paragraph" w:customStyle="1" w:styleId="CM4">
    <w:name w:val="CM4"/>
    <w:basedOn w:val="Default"/>
    <w:next w:val="Default"/>
    <w:semiHidden/>
    <w:rsid w:val="006E6B08"/>
    <w:rPr>
      <w:rFonts w:ascii="EUAlbertina" w:hAnsi="EUAlbertina"/>
      <w:color w:val="auto"/>
    </w:rPr>
  </w:style>
  <w:style w:type="paragraph" w:customStyle="1" w:styleId="MTCmsor2">
    <w:name w:val="MT Címsor 2"/>
    <w:basedOn w:val="Norml"/>
    <w:semiHidden/>
    <w:rsid w:val="006E6B08"/>
    <w:pPr>
      <w:keepNext/>
      <w:spacing w:before="240"/>
      <w:ind w:left="851" w:hanging="851"/>
      <w:outlineLvl w:val="1"/>
    </w:pPr>
    <w:rPr>
      <w:rFonts w:ascii="Verdana" w:eastAsia="Calibri" w:hAnsi="Verdana" w:cs="Times New Roman"/>
      <w:b/>
      <w:kern w:val="0"/>
      <w:sz w:val="24"/>
      <w:szCs w:val="20"/>
      <w:lang w:eastAsia="ar-SA"/>
    </w:rPr>
  </w:style>
  <w:style w:type="paragraph" w:customStyle="1" w:styleId="MTCmsor5">
    <w:name w:val="MT Címsor 5"/>
    <w:basedOn w:val="Norml"/>
    <w:semiHidden/>
    <w:rsid w:val="006E6B08"/>
    <w:pPr>
      <w:keepNext/>
      <w:suppressAutoHyphens w:val="0"/>
      <w:autoSpaceDE w:val="0"/>
      <w:autoSpaceDN w:val="0"/>
      <w:adjustRightInd w:val="0"/>
      <w:spacing w:before="120" w:after="0"/>
      <w:ind w:firstLine="0"/>
    </w:pPr>
    <w:rPr>
      <w:rFonts w:ascii="Verdana" w:eastAsia="Calibri" w:hAnsi="Verdana" w:cs="Verdana-Italic"/>
      <w:b/>
      <w:iCs/>
      <w:kern w:val="0"/>
      <w:sz w:val="20"/>
      <w:szCs w:val="20"/>
    </w:rPr>
  </w:style>
  <w:style w:type="paragraph" w:customStyle="1" w:styleId="Style1">
    <w:name w:val="Style 1"/>
    <w:semiHidden/>
    <w:rsid w:val="006E6B08"/>
    <w:pPr>
      <w:widowControl w:val="0"/>
      <w:autoSpaceDE w:val="0"/>
      <w:autoSpaceDN w:val="0"/>
      <w:adjustRightInd w:val="0"/>
    </w:pPr>
    <w:rPr>
      <w:rFonts w:eastAsia="Times New Roman"/>
      <w:lang w:val="en-US"/>
    </w:rPr>
  </w:style>
  <w:style w:type="paragraph" w:customStyle="1" w:styleId="Style2">
    <w:name w:val="Style 2"/>
    <w:semiHidden/>
    <w:rsid w:val="006E6B08"/>
    <w:pPr>
      <w:widowControl w:val="0"/>
      <w:autoSpaceDE w:val="0"/>
      <w:autoSpaceDN w:val="0"/>
      <w:ind w:left="1368"/>
      <w:jc w:val="both"/>
    </w:pPr>
    <w:rPr>
      <w:rFonts w:eastAsia="Times New Roman"/>
      <w:sz w:val="26"/>
      <w:szCs w:val="26"/>
      <w:lang w:val="en-US"/>
    </w:rPr>
  </w:style>
  <w:style w:type="character" w:customStyle="1" w:styleId="CharacterStyle1">
    <w:name w:val="Character Style 1"/>
    <w:semiHidden/>
    <w:rsid w:val="006E6B08"/>
    <w:rPr>
      <w:sz w:val="26"/>
      <w:szCs w:val="26"/>
    </w:rPr>
  </w:style>
  <w:style w:type="paragraph" w:customStyle="1" w:styleId="Nincstrkz1">
    <w:name w:val="Nincs térköz1"/>
    <w:link w:val="NoSpacingChar"/>
    <w:semiHidden/>
    <w:rsid w:val="006E6B08"/>
    <w:rPr>
      <w:rFonts w:ascii="Calibri" w:eastAsia="Times New Roman" w:hAnsi="Calibri"/>
      <w:sz w:val="22"/>
      <w:szCs w:val="22"/>
      <w:lang w:val="en-US" w:eastAsia="en-US"/>
    </w:rPr>
  </w:style>
  <w:style w:type="character" w:customStyle="1" w:styleId="NoSpacingChar">
    <w:name w:val="No Spacing Char"/>
    <w:link w:val="Nincstrkz1"/>
    <w:semiHidden/>
    <w:locked/>
    <w:rsid w:val="006E6B08"/>
    <w:rPr>
      <w:rFonts w:ascii="Calibri" w:eastAsia="Times New Roman" w:hAnsi="Calibri"/>
      <w:sz w:val="22"/>
      <w:szCs w:val="22"/>
      <w:lang w:val="en-US" w:eastAsia="en-US"/>
    </w:rPr>
  </w:style>
  <w:style w:type="character" w:customStyle="1" w:styleId="Bodytext2">
    <w:name w:val="Body text2"/>
    <w:basedOn w:val="Szvegtrzs1"/>
    <w:semiHidden/>
    <w:rsid w:val="006E6B08"/>
    <w:rPr>
      <w:rFonts w:ascii="Arial" w:hAnsi="Arial"/>
      <w:sz w:val="24"/>
      <w:szCs w:val="24"/>
      <w:shd w:val="clear" w:color="auto" w:fill="FFFFFF"/>
      <w:lang w:bidi="ar-SA"/>
    </w:rPr>
  </w:style>
  <w:style w:type="character" w:customStyle="1" w:styleId="Picturecaption16">
    <w:name w:val="Picture caption (16)"/>
    <w:link w:val="Picturecaption161"/>
    <w:semiHidden/>
    <w:rsid w:val="006E6B08"/>
    <w:rPr>
      <w:rFonts w:ascii="Arial" w:hAnsi="Arial"/>
      <w:b/>
      <w:bCs/>
      <w:shd w:val="clear" w:color="auto" w:fill="FFFFFF"/>
    </w:rPr>
  </w:style>
  <w:style w:type="paragraph" w:customStyle="1" w:styleId="Picturecaption161">
    <w:name w:val="Picture caption (16)1"/>
    <w:basedOn w:val="Norml"/>
    <w:link w:val="Picturecaption16"/>
    <w:semiHidden/>
    <w:rsid w:val="006E6B08"/>
    <w:pPr>
      <w:shd w:val="clear" w:color="auto" w:fill="FFFFFF"/>
      <w:suppressAutoHyphens w:val="0"/>
      <w:spacing w:after="0" w:line="240" w:lineRule="atLeast"/>
      <w:ind w:firstLine="0"/>
      <w:jc w:val="left"/>
    </w:pPr>
    <w:rPr>
      <w:rFonts w:ascii="Arial" w:hAnsi="Arial" w:cs="Times New Roman"/>
      <w:b/>
      <w:bCs/>
      <w:kern w:val="0"/>
      <w:sz w:val="20"/>
      <w:szCs w:val="20"/>
    </w:rPr>
  </w:style>
  <w:style w:type="character" w:customStyle="1" w:styleId="Bodytext62">
    <w:name w:val="Body text (6)2"/>
    <w:basedOn w:val="Bodytext6"/>
    <w:semiHidden/>
    <w:rsid w:val="006E6B08"/>
    <w:rPr>
      <w:rFonts w:ascii="Arial" w:hAnsi="Arial"/>
      <w:sz w:val="18"/>
      <w:szCs w:val="18"/>
      <w:shd w:val="clear" w:color="auto" w:fill="FFFFFF"/>
      <w:lang w:bidi="ar-SA"/>
    </w:rPr>
  </w:style>
  <w:style w:type="character" w:customStyle="1" w:styleId="Bodytext72">
    <w:name w:val="Body text (7)2"/>
    <w:basedOn w:val="Bodytext7"/>
    <w:semiHidden/>
    <w:rsid w:val="006E6B08"/>
    <w:rPr>
      <w:rFonts w:ascii="Arial" w:hAnsi="Arial"/>
      <w:sz w:val="18"/>
      <w:szCs w:val="18"/>
      <w:shd w:val="clear" w:color="auto" w:fill="FFFFFF"/>
      <w:lang w:bidi="ar-SA"/>
    </w:rPr>
  </w:style>
  <w:style w:type="character" w:customStyle="1" w:styleId="Tablecaption3">
    <w:name w:val="Table caption (3)"/>
    <w:link w:val="Tablecaption31"/>
    <w:semiHidden/>
    <w:rsid w:val="006E6B08"/>
    <w:rPr>
      <w:rFonts w:ascii="Arial" w:hAnsi="Arial"/>
      <w:sz w:val="18"/>
      <w:szCs w:val="18"/>
      <w:shd w:val="clear" w:color="auto" w:fill="FFFFFF"/>
    </w:rPr>
  </w:style>
  <w:style w:type="character" w:customStyle="1" w:styleId="Tablecaption32">
    <w:name w:val="Table caption (3)2"/>
    <w:basedOn w:val="Tablecaption3"/>
    <w:semiHidden/>
    <w:rsid w:val="006E6B08"/>
    <w:rPr>
      <w:rFonts w:ascii="Arial" w:hAnsi="Arial"/>
      <w:sz w:val="18"/>
      <w:szCs w:val="18"/>
      <w:shd w:val="clear" w:color="auto" w:fill="FFFFFF"/>
    </w:rPr>
  </w:style>
  <w:style w:type="character" w:customStyle="1" w:styleId="Bodytext12">
    <w:name w:val="Body text (12)"/>
    <w:link w:val="Bodytext121"/>
    <w:semiHidden/>
    <w:rsid w:val="006E6B08"/>
    <w:rPr>
      <w:rFonts w:ascii="Arial" w:hAnsi="Arial"/>
      <w:b/>
      <w:bCs/>
      <w:sz w:val="18"/>
      <w:szCs w:val="18"/>
      <w:shd w:val="clear" w:color="auto" w:fill="FFFFFF"/>
    </w:rPr>
  </w:style>
  <w:style w:type="paragraph" w:customStyle="1" w:styleId="Tablecaption31">
    <w:name w:val="Table caption (3)1"/>
    <w:basedOn w:val="Norml"/>
    <w:link w:val="Tablecaption3"/>
    <w:semiHidden/>
    <w:rsid w:val="006E6B08"/>
    <w:pPr>
      <w:shd w:val="clear" w:color="auto" w:fill="FFFFFF"/>
      <w:suppressAutoHyphens w:val="0"/>
      <w:spacing w:after="0" w:line="355" w:lineRule="exact"/>
      <w:ind w:firstLine="0"/>
      <w:jc w:val="left"/>
    </w:pPr>
    <w:rPr>
      <w:rFonts w:ascii="Arial" w:hAnsi="Arial" w:cs="Times New Roman"/>
      <w:kern w:val="0"/>
      <w:sz w:val="18"/>
      <w:szCs w:val="18"/>
    </w:rPr>
  </w:style>
  <w:style w:type="paragraph" w:customStyle="1" w:styleId="Bodytext121">
    <w:name w:val="Body text (12)1"/>
    <w:basedOn w:val="Norml"/>
    <w:link w:val="Bodytext12"/>
    <w:semiHidden/>
    <w:rsid w:val="006E6B08"/>
    <w:pPr>
      <w:shd w:val="clear" w:color="auto" w:fill="FFFFFF"/>
      <w:suppressAutoHyphens w:val="0"/>
      <w:spacing w:after="0" w:line="240" w:lineRule="atLeast"/>
      <w:ind w:firstLine="0"/>
      <w:jc w:val="left"/>
    </w:pPr>
    <w:rPr>
      <w:rFonts w:ascii="Arial" w:hAnsi="Arial" w:cs="Times New Roman"/>
      <w:b/>
      <w:bCs/>
      <w:kern w:val="0"/>
      <w:sz w:val="18"/>
      <w:szCs w:val="18"/>
    </w:rPr>
  </w:style>
  <w:style w:type="paragraph" w:customStyle="1" w:styleId="MTCmsor1">
    <w:name w:val="MT Címsor 1"/>
    <w:basedOn w:val="Cmsor1"/>
    <w:semiHidden/>
    <w:rsid w:val="006E6B08"/>
    <w:pPr>
      <w:numPr>
        <w:numId w:val="0"/>
      </w:numPr>
      <w:spacing w:before="240" w:after="120"/>
      <w:jc w:val="center"/>
    </w:pPr>
    <w:rPr>
      <w:rFonts w:ascii="Verdana" w:eastAsia="Calibri" w:hAnsi="Verdana" w:cs="Arial"/>
      <w:kern w:val="32"/>
      <w:sz w:val="32"/>
      <w:lang w:eastAsia="ar-SA"/>
    </w:rPr>
  </w:style>
  <w:style w:type="character" w:customStyle="1" w:styleId="CommentTextChar1">
    <w:name w:val="Comment Text Char1"/>
    <w:locked/>
    <w:rsid w:val="006E6B08"/>
    <w:rPr>
      <w:rFonts w:cs="Times New Roman"/>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230">
      <w:bodyDiv w:val="1"/>
      <w:marLeft w:val="0"/>
      <w:marRight w:val="0"/>
      <w:marTop w:val="0"/>
      <w:marBottom w:val="0"/>
      <w:divBdr>
        <w:top w:val="none" w:sz="0" w:space="0" w:color="auto"/>
        <w:left w:val="none" w:sz="0" w:space="0" w:color="auto"/>
        <w:bottom w:val="none" w:sz="0" w:space="0" w:color="auto"/>
        <w:right w:val="none" w:sz="0" w:space="0" w:color="auto"/>
      </w:divBdr>
    </w:div>
    <w:div w:id="20059121">
      <w:bodyDiv w:val="1"/>
      <w:marLeft w:val="0"/>
      <w:marRight w:val="0"/>
      <w:marTop w:val="0"/>
      <w:marBottom w:val="0"/>
      <w:divBdr>
        <w:top w:val="none" w:sz="0" w:space="0" w:color="auto"/>
        <w:left w:val="none" w:sz="0" w:space="0" w:color="auto"/>
        <w:bottom w:val="none" w:sz="0" w:space="0" w:color="auto"/>
        <w:right w:val="none" w:sz="0" w:space="0" w:color="auto"/>
      </w:divBdr>
    </w:div>
    <w:div w:id="43139053">
      <w:bodyDiv w:val="1"/>
      <w:marLeft w:val="0"/>
      <w:marRight w:val="0"/>
      <w:marTop w:val="0"/>
      <w:marBottom w:val="0"/>
      <w:divBdr>
        <w:top w:val="none" w:sz="0" w:space="0" w:color="auto"/>
        <w:left w:val="none" w:sz="0" w:space="0" w:color="auto"/>
        <w:bottom w:val="none" w:sz="0" w:space="0" w:color="auto"/>
        <w:right w:val="none" w:sz="0" w:space="0" w:color="auto"/>
      </w:divBdr>
    </w:div>
    <w:div w:id="57752484">
      <w:bodyDiv w:val="1"/>
      <w:marLeft w:val="0"/>
      <w:marRight w:val="0"/>
      <w:marTop w:val="0"/>
      <w:marBottom w:val="0"/>
      <w:divBdr>
        <w:top w:val="none" w:sz="0" w:space="0" w:color="auto"/>
        <w:left w:val="none" w:sz="0" w:space="0" w:color="auto"/>
        <w:bottom w:val="none" w:sz="0" w:space="0" w:color="auto"/>
        <w:right w:val="none" w:sz="0" w:space="0" w:color="auto"/>
      </w:divBdr>
    </w:div>
    <w:div w:id="60252926">
      <w:bodyDiv w:val="1"/>
      <w:marLeft w:val="0"/>
      <w:marRight w:val="0"/>
      <w:marTop w:val="0"/>
      <w:marBottom w:val="0"/>
      <w:divBdr>
        <w:top w:val="none" w:sz="0" w:space="0" w:color="auto"/>
        <w:left w:val="none" w:sz="0" w:space="0" w:color="auto"/>
        <w:bottom w:val="none" w:sz="0" w:space="0" w:color="auto"/>
        <w:right w:val="none" w:sz="0" w:space="0" w:color="auto"/>
      </w:divBdr>
    </w:div>
    <w:div w:id="100422934">
      <w:bodyDiv w:val="1"/>
      <w:marLeft w:val="0"/>
      <w:marRight w:val="0"/>
      <w:marTop w:val="0"/>
      <w:marBottom w:val="0"/>
      <w:divBdr>
        <w:top w:val="none" w:sz="0" w:space="0" w:color="auto"/>
        <w:left w:val="none" w:sz="0" w:space="0" w:color="auto"/>
        <w:bottom w:val="none" w:sz="0" w:space="0" w:color="auto"/>
        <w:right w:val="none" w:sz="0" w:space="0" w:color="auto"/>
      </w:divBdr>
    </w:div>
    <w:div w:id="105513367">
      <w:bodyDiv w:val="1"/>
      <w:marLeft w:val="0"/>
      <w:marRight w:val="0"/>
      <w:marTop w:val="0"/>
      <w:marBottom w:val="0"/>
      <w:divBdr>
        <w:top w:val="none" w:sz="0" w:space="0" w:color="auto"/>
        <w:left w:val="none" w:sz="0" w:space="0" w:color="auto"/>
        <w:bottom w:val="none" w:sz="0" w:space="0" w:color="auto"/>
        <w:right w:val="none" w:sz="0" w:space="0" w:color="auto"/>
      </w:divBdr>
    </w:div>
    <w:div w:id="114570020">
      <w:bodyDiv w:val="1"/>
      <w:marLeft w:val="0"/>
      <w:marRight w:val="0"/>
      <w:marTop w:val="0"/>
      <w:marBottom w:val="0"/>
      <w:divBdr>
        <w:top w:val="none" w:sz="0" w:space="0" w:color="auto"/>
        <w:left w:val="none" w:sz="0" w:space="0" w:color="auto"/>
        <w:bottom w:val="none" w:sz="0" w:space="0" w:color="auto"/>
        <w:right w:val="none" w:sz="0" w:space="0" w:color="auto"/>
      </w:divBdr>
    </w:div>
    <w:div w:id="119996835">
      <w:bodyDiv w:val="1"/>
      <w:marLeft w:val="0"/>
      <w:marRight w:val="0"/>
      <w:marTop w:val="0"/>
      <w:marBottom w:val="0"/>
      <w:divBdr>
        <w:top w:val="none" w:sz="0" w:space="0" w:color="auto"/>
        <w:left w:val="none" w:sz="0" w:space="0" w:color="auto"/>
        <w:bottom w:val="none" w:sz="0" w:space="0" w:color="auto"/>
        <w:right w:val="none" w:sz="0" w:space="0" w:color="auto"/>
      </w:divBdr>
    </w:div>
    <w:div w:id="126818778">
      <w:bodyDiv w:val="1"/>
      <w:marLeft w:val="0"/>
      <w:marRight w:val="0"/>
      <w:marTop w:val="0"/>
      <w:marBottom w:val="0"/>
      <w:divBdr>
        <w:top w:val="none" w:sz="0" w:space="0" w:color="auto"/>
        <w:left w:val="none" w:sz="0" w:space="0" w:color="auto"/>
        <w:bottom w:val="none" w:sz="0" w:space="0" w:color="auto"/>
        <w:right w:val="none" w:sz="0" w:space="0" w:color="auto"/>
      </w:divBdr>
    </w:div>
    <w:div w:id="156919761">
      <w:bodyDiv w:val="1"/>
      <w:marLeft w:val="0"/>
      <w:marRight w:val="0"/>
      <w:marTop w:val="0"/>
      <w:marBottom w:val="0"/>
      <w:divBdr>
        <w:top w:val="none" w:sz="0" w:space="0" w:color="auto"/>
        <w:left w:val="none" w:sz="0" w:space="0" w:color="auto"/>
        <w:bottom w:val="none" w:sz="0" w:space="0" w:color="auto"/>
        <w:right w:val="none" w:sz="0" w:space="0" w:color="auto"/>
      </w:divBdr>
    </w:div>
    <w:div w:id="159587921">
      <w:bodyDiv w:val="1"/>
      <w:marLeft w:val="0"/>
      <w:marRight w:val="0"/>
      <w:marTop w:val="0"/>
      <w:marBottom w:val="0"/>
      <w:divBdr>
        <w:top w:val="none" w:sz="0" w:space="0" w:color="auto"/>
        <w:left w:val="none" w:sz="0" w:space="0" w:color="auto"/>
        <w:bottom w:val="none" w:sz="0" w:space="0" w:color="auto"/>
        <w:right w:val="none" w:sz="0" w:space="0" w:color="auto"/>
      </w:divBdr>
    </w:div>
    <w:div w:id="162471626">
      <w:bodyDiv w:val="1"/>
      <w:marLeft w:val="0"/>
      <w:marRight w:val="0"/>
      <w:marTop w:val="0"/>
      <w:marBottom w:val="0"/>
      <w:divBdr>
        <w:top w:val="none" w:sz="0" w:space="0" w:color="auto"/>
        <w:left w:val="none" w:sz="0" w:space="0" w:color="auto"/>
        <w:bottom w:val="none" w:sz="0" w:space="0" w:color="auto"/>
        <w:right w:val="none" w:sz="0" w:space="0" w:color="auto"/>
      </w:divBdr>
    </w:div>
    <w:div w:id="168451372">
      <w:bodyDiv w:val="1"/>
      <w:marLeft w:val="0"/>
      <w:marRight w:val="0"/>
      <w:marTop w:val="0"/>
      <w:marBottom w:val="0"/>
      <w:divBdr>
        <w:top w:val="none" w:sz="0" w:space="0" w:color="auto"/>
        <w:left w:val="none" w:sz="0" w:space="0" w:color="auto"/>
        <w:bottom w:val="none" w:sz="0" w:space="0" w:color="auto"/>
        <w:right w:val="none" w:sz="0" w:space="0" w:color="auto"/>
      </w:divBdr>
    </w:div>
    <w:div w:id="177081758">
      <w:bodyDiv w:val="1"/>
      <w:marLeft w:val="0"/>
      <w:marRight w:val="0"/>
      <w:marTop w:val="0"/>
      <w:marBottom w:val="0"/>
      <w:divBdr>
        <w:top w:val="none" w:sz="0" w:space="0" w:color="auto"/>
        <w:left w:val="none" w:sz="0" w:space="0" w:color="auto"/>
        <w:bottom w:val="none" w:sz="0" w:space="0" w:color="auto"/>
        <w:right w:val="none" w:sz="0" w:space="0" w:color="auto"/>
      </w:divBdr>
    </w:div>
    <w:div w:id="181013182">
      <w:bodyDiv w:val="1"/>
      <w:marLeft w:val="0"/>
      <w:marRight w:val="0"/>
      <w:marTop w:val="0"/>
      <w:marBottom w:val="0"/>
      <w:divBdr>
        <w:top w:val="none" w:sz="0" w:space="0" w:color="auto"/>
        <w:left w:val="none" w:sz="0" w:space="0" w:color="auto"/>
        <w:bottom w:val="none" w:sz="0" w:space="0" w:color="auto"/>
        <w:right w:val="none" w:sz="0" w:space="0" w:color="auto"/>
      </w:divBdr>
    </w:div>
    <w:div w:id="181475703">
      <w:bodyDiv w:val="1"/>
      <w:marLeft w:val="0"/>
      <w:marRight w:val="0"/>
      <w:marTop w:val="0"/>
      <w:marBottom w:val="0"/>
      <w:divBdr>
        <w:top w:val="none" w:sz="0" w:space="0" w:color="auto"/>
        <w:left w:val="none" w:sz="0" w:space="0" w:color="auto"/>
        <w:bottom w:val="none" w:sz="0" w:space="0" w:color="auto"/>
        <w:right w:val="none" w:sz="0" w:space="0" w:color="auto"/>
      </w:divBdr>
    </w:div>
    <w:div w:id="182018389">
      <w:bodyDiv w:val="1"/>
      <w:marLeft w:val="0"/>
      <w:marRight w:val="0"/>
      <w:marTop w:val="0"/>
      <w:marBottom w:val="0"/>
      <w:divBdr>
        <w:top w:val="none" w:sz="0" w:space="0" w:color="auto"/>
        <w:left w:val="none" w:sz="0" w:space="0" w:color="auto"/>
        <w:bottom w:val="none" w:sz="0" w:space="0" w:color="auto"/>
        <w:right w:val="none" w:sz="0" w:space="0" w:color="auto"/>
      </w:divBdr>
    </w:div>
    <w:div w:id="197623720">
      <w:bodyDiv w:val="1"/>
      <w:marLeft w:val="0"/>
      <w:marRight w:val="0"/>
      <w:marTop w:val="0"/>
      <w:marBottom w:val="0"/>
      <w:divBdr>
        <w:top w:val="none" w:sz="0" w:space="0" w:color="auto"/>
        <w:left w:val="none" w:sz="0" w:space="0" w:color="auto"/>
        <w:bottom w:val="none" w:sz="0" w:space="0" w:color="auto"/>
        <w:right w:val="none" w:sz="0" w:space="0" w:color="auto"/>
      </w:divBdr>
    </w:div>
    <w:div w:id="219442520">
      <w:bodyDiv w:val="1"/>
      <w:marLeft w:val="0"/>
      <w:marRight w:val="0"/>
      <w:marTop w:val="0"/>
      <w:marBottom w:val="0"/>
      <w:divBdr>
        <w:top w:val="none" w:sz="0" w:space="0" w:color="auto"/>
        <w:left w:val="none" w:sz="0" w:space="0" w:color="auto"/>
        <w:bottom w:val="none" w:sz="0" w:space="0" w:color="auto"/>
        <w:right w:val="none" w:sz="0" w:space="0" w:color="auto"/>
      </w:divBdr>
    </w:div>
    <w:div w:id="233004567">
      <w:bodyDiv w:val="1"/>
      <w:marLeft w:val="0"/>
      <w:marRight w:val="0"/>
      <w:marTop w:val="0"/>
      <w:marBottom w:val="0"/>
      <w:divBdr>
        <w:top w:val="none" w:sz="0" w:space="0" w:color="auto"/>
        <w:left w:val="none" w:sz="0" w:space="0" w:color="auto"/>
        <w:bottom w:val="none" w:sz="0" w:space="0" w:color="auto"/>
        <w:right w:val="none" w:sz="0" w:space="0" w:color="auto"/>
      </w:divBdr>
    </w:div>
    <w:div w:id="237714860">
      <w:bodyDiv w:val="1"/>
      <w:marLeft w:val="0"/>
      <w:marRight w:val="0"/>
      <w:marTop w:val="0"/>
      <w:marBottom w:val="0"/>
      <w:divBdr>
        <w:top w:val="none" w:sz="0" w:space="0" w:color="auto"/>
        <w:left w:val="none" w:sz="0" w:space="0" w:color="auto"/>
        <w:bottom w:val="none" w:sz="0" w:space="0" w:color="auto"/>
        <w:right w:val="none" w:sz="0" w:space="0" w:color="auto"/>
      </w:divBdr>
    </w:div>
    <w:div w:id="258830969">
      <w:bodyDiv w:val="1"/>
      <w:marLeft w:val="0"/>
      <w:marRight w:val="0"/>
      <w:marTop w:val="0"/>
      <w:marBottom w:val="0"/>
      <w:divBdr>
        <w:top w:val="none" w:sz="0" w:space="0" w:color="auto"/>
        <w:left w:val="none" w:sz="0" w:space="0" w:color="auto"/>
        <w:bottom w:val="none" w:sz="0" w:space="0" w:color="auto"/>
        <w:right w:val="none" w:sz="0" w:space="0" w:color="auto"/>
      </w:divBdr>
    </w:div>
    <w:div w:id="285504768">
      <w:bodyDiv w:val="1"/>
      <w:marLeft w:val="0"/>
      <w:marRight w:val="0"/>
      <w:marTop w:val="0"/>
      <w:marBottom w:val="0"/>
      <w:divBdr>
        <w:top w:val="none" w:sz="0" w:space="0" w:color="auto"/>
        <w:left w:val="none" w:sz="0" w:space="0" w:color="auto"/>
        <w:bottom w:val="none" w:sz="0" w:space="0" w:color="auto"/>
        <w:right w:val="none" w:sz="0" w:space="0" w:color="auto"/>
      </w:divBdr>
      <w:divsChild>
        <w:div w:id="192158532">
          <w:marLeft w:val="0"/>
          <w:marRight w:val="0"/>
          <w:marTop w:val="150"/>
          <w:marBottom w:val="0"/>
          <w:divBdr>
            <w:top w:val="none" w:sz="0" w:space="0" w:color="auto"/>
            <w:left w:val="none" w:sz="0" w:space="0" w:color="auto"/>
            <w:bottom w:val="none" w:sz="0" w:space="0" w:color="auto"/>
            <w:right w:val="none" w:sz="0" w:space="0" w:color="auto"/>
          </w:divBdr>
          <w:divsChild>
            <w:div w:id="1576434750">
              <w:marLeft w:val="0"/>
              <w:marRight w:val="0"/>
              <w:marTop w:val="0"/>
              <w:marBottom w:val="0"/>
              <w:divBdr>
                <w:top w:val="none" w:sz="0" w:space="0" w:color="auto"/>
                <w:left w:val="none" w:sz="0" w:space="0" w:color="auto"/>
                <w:bottom w:val="none" w:sz="0" w:space="0" w:color="auto"/>
                <w:right w:val="none" w:sz="0" w:space="0" w:color="auto"/>
              </w:divBdr>
              <w:divsChild>
                <w:div w:id="229192266">
                  <w:marLeft w:val="0"/>
                  <w:marRight w:val="0"/>
                  <w:marTop w:val="0"/>
                  <w:marBottom w:val="0"/>
                  <w:divBdr>
                    <w:top w:val="none" w:sz="0" w:space="0" w:color="auto"/>
                    <w:left w:val="none" w:sz="0" w:space="0" w:color="auto"/>
                    <w:bottom w:val="none" w:sz="0" w:space="0" w:color="auto"/>
                    <w:right w:val="none" w:sz="0" w:space="0" w:color="auto"/>
                  </w:divBdr>
                  <w:divsChild>
                    <w:div w:id="572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865264">
      <w:bodyDiv w:val="1"/>
      <w:marLeft w:val="0"/>
      <w:marRight w:val="0"/>
      <w:marTop w:val="0"/>
      <w:marBottom w:val="0"/>
      <w:divBdr>
        <w:top w:val="none" w:sz="0" w:space="0" w:color="auto"/>
        <w:left w:val="none" w:sz="0" w:space="0" w:color="auto"/>
        <w:bottom w:val="none" w:sz="0" w:space="0" w:color="auto"/>
        <w:right w:val="none" w:sz="0" w:space="0" w:color="auto"/>
      </w:divBdr>
    </w:div>
    <w:div w:id="363989840">
      <w:bodyDiv w:val="1"/>
      <w:marLeft w:val="0"/>
      <w:marRight w:val="0"/>
      <w:marTop w:val="0"/>
      <w:marBottom w:val="0"/>
      <w:divBdr>
        <w:top w:val="none" w:sz="0" w:space="0" w:color="auto"/>
        <w:left w:val="none" w:sz="0" w:space="0" w:color="auto"/>
        <w:bottom w:val="none" w:sz="0" w:space="0" w:color="auto"/>
        <w:right w:val="none" w:sz="0" w:space="0" w:color="auto"/>
      </w:divBdr>
    </w:div>
    <w:div w:id="365831852">
      <w:bodyDiv w:val="1"/>
      <w:marLeft w:val="0"/>
      <w:marRight w:val="0"/>
      <w:marTop w:val="0"/>
      <w:marBottom w:val="0"/>
      <w:divBdr>
        <w:top w:val="none" w:sz="0" w:space="0" w:color="auto"/>
        <w:left w:val="none" w:sz="0" w:space="0" w:color="auto"/>
        <w:bottom w:val="none" w:sz="0" w:space="0" w:color="auto"/>
        <w:right w:val="none" w:sz="0" w:space="0" w:color="auto"/>
      </w:divBdr>
    </w:div>
    <w:div w:id="367678753">
      <w:bodyDiv w:val="1"/>
      <w:marLeft w:val="0"/>
      <w:marRight w:val="0"/>
      <w:marTop w:val="0"/>
      <w:marBottom w:val="0"/>
      <w:divBdr>
        <w:top w:val="none" w:sz="0" w:space="0" w:color="auto"/>
        <w:left w:val="none" w:sz="0" w:space="0" w:color="auto"/>
        <w:bottom w:val="none" w:sz="0" w:space="0" w:color="auto"/>
        <w:right w:val="none" w:sz="0" w:space="0" w:color="auto"/>
      </w:divBdr>
    </w:div>
    <w:div w:id="402340576">
      <w:bodyDiv w:val="1"/>
      <w:marLeft w:val="0"/>
      <w:marRight w:val="0"/>
      <w:marTop w:val="0"/>
      <w:marBottom w:val="0"/>
      <w:divBdr>
        <w:top w:val="none" w:sz="0" w:space="0" w:color="auto"/>
        <w:left w:val="none" w:sz="0" w:space="0" w:color="auto"/>
        <w:bottom w:val="none" w:sz="0" w:space="0" w:color="auto"/>
        <w:right w:val="none" w:sz="0" w:space="0" w:color="auto"/>
      </w:divBdr>
    </w:div>
    <w:div w:id="421800272">
      <w:bodyDiv w:val="1"/>
      <w:marLeft w:val="0"/>
      <w:marRight w:val="0"/>
      <w:marTop w:val="0"/>
      <w:marBottom w:val="0"/>
      <w:divBdr>
        <w:top w:val="none" w:sz="0" w:space="0" w:color="auto"/>
        <w:left w:val="none" w:sz="0" w:space="0" w:color="auto"/>
        <w:bottom w:val="none" w:sz="0" w:space="0" w:color="auto"/>
        <w:right w:val="none" w:sz="0" w:space="0" w:color="auto"/>
      </w:divBdr>
    </w:div>
    <w:div w:id="436798475">
      <w:bodyDiv w:val="1"/>
      <w:marLeft w:val="0"/>
      <w:marRight w:val="0"/>
      <w:marTop w:val="0"/>
      <w:marBottom w:val="0"/>
      <w:divBdr>
        <w:top w:val="none" w:sz="0" w:space="0" w:color="auto"/>
        <w:left w:val="none" w:sz="0" w:space="0" w:color="auto"/>
        <w:bottom w:val="none" w:sz="0" w:space="0" w:color="auto"/>
        <w:right w:val="none" w:sz="0" w:space="0" w:color="auto"/>
      </w:divBdr>
    </w:div>
    <w:div w:id="442696230">
      <w:bodyDiv w:val="1"/>
      <w:marLeft w:val="0"/>
      <w:marRight w:val="0"/>
      <w:marTop w:val="0"/>
      <w:marBottom w:val="0"/>
      <w:divBdr>
        <w:top w:val="none" w:sz="0" w:space="0" w:color="auto"/>
        <w:left w:val="none" w:sz="0" w:space="0" w:color="auto"/>
        <w:bottom w:val="none" w:sz="0" w:space="0" w:color="auto"/>
        <w:right w:val="none" w:sz="0" w:space="0" w:color="auto"/>
      </w:divBdr>
    </w:div>
    <w:div w:id="465704013">
      <w:bodyDiv w:val="1"/>
      <w:marLeft w:val="0"/>
      <w:marRight w:val="0"/>
      <w:marTop w:val="0"/>
      <w:marBottom w:val="0"/>
      <w:divBdr>
        <w:top w:val="none" w:sz="0" w:space="0" w:color="auto"/>
        <w:left w:val="none" w:sz="0" w:space="0" w:color="auto"/>
        <w:bottom w:val="none" w:sz="0" w:space="0" w:color="auto"/>
        <w:right w:val="none" w:sz="0" w:space="0" w:color="auto"/>
      </w:divBdr>
    </w:div>
    <w:div w:id="502473030">
      <w:bodyDiv w:val="1"/>
      <w:marLeft w:val="0"/>
      <w:marRight w:val="0"/>
      <w:marTop w:val="0"/>
      <w:marBottom w:val="0"/>
      <w:divBdr>
        <w:top w:val="none" w:sz="0" w:space="0" w:color="auto"/>
        <w:left w:val="none" w:sz="0" w:space="0" w:color="auto"/>
        <w:bottom w:val="none" w:sz="0" w:space="0" w:color="auto"/>
        <w:right w:val="none" w:sz="0" w:space="0" w:color="auto"/>
      </w:divBdr>
    </w:div>
    <w:div w:id="508106744">
      <w:bodyDiv w:val="1"/>
      <w:marLeft w:val="0"/>
      <w:marRight w:val="0"/>
      <w:marTop w:val="0"/>
      <w:marBottom w:val="0"/>
      <w:divBdr>
        <w:top w:val="none" w:sz="0" w:space="0" w:color="auto"/>
        <w:left w:val="none" w:sz="0" w:space="0" w:color="auto"/>
        <w:bottom w:val="none" w:sz="0" w:space="0" w:color="auto"/>
        <w:right w:val="none" w:sz="0" w:space="0" w:color="auto"/>
      </w:divBdr>
      <w:divsChild>
        <w:div w:id="1710108209">
          <w:marLeft w:val="0"/>
          <w:marRight w:val="0"/>
          <w:marTop w:val="0"/>
          <w:marBottom w:val="0"/>
          <w:divBdr>
            <w:top w:val="none" w:sz="0" w:space="0" w:color="auto"/>
            <w:left w:val="none" w:sz="0" w:space="0" w:color="auto"/>
            <w:bottom w:val="none" w:sz="0" w:space="0" w:color="auto"/>
            <w:right w:val="none" w:sz="0" w:space="0" w:color="auto"/>
          </w:divBdr>
          <w:divsChild>
            <w:div w:id="971060404">
              <w:marLeft w:val="0"/>
              <w:marRight w:val="0"/>
              <w:marTop w:val="0"/>
              <w:marBottom w:val="0"/>
              <w:divBdr>
                <w:top w:val="none" w:sz="0" w:space="0" w:color="auto"/>
                <w:left w:val="none" w:sz="0" w:space="0" w:color="auto"/>
                <w:bottom w:val="none" w:sz="0" w:space="0" w:color="auto"/>
                <w:right w:val="none" w:sz="0" w:space="0" w:color="auto"/>
              </w:divBdr>
              <w:divsChild>
                <w:div w:id="415595153">
                  <w:marLeft w:val="0"/>
                  <w:marRight w:val="0"/>
                  <w:marTop w:val="0"/>
                  <w:marBottom w:val="0"/>
                  <w:divBdr>
                    <w:top w:val="none" w:sz="0" w:space="0" w:color="auto"/>
                    <w:left w:val="none" w:sz="0" w:space="0" w:color="auto"/>
                    <w:bottom w:val="none" w:sz="0" w:space="0" w:color="auto"/>
                    <w:right w:val="none" w:sz="0" w:space="0" w:color="auto"/>
                  </w:divBdr>
                  <w:divsChild>
                    <w:div w:id="15004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71288">
      <w:bodyDiv w:val="1"/>
      <w:marLeft w:val="0"/>
      <w:marRight w:val="0"/>
      <w:marTop w:val="0"/>
      <w:marBottom w:val="0"/>
      <w:divBdr>
        <w:top w:val="none" w:sz="0" w:space="0" w:color="auto"/>
        <w:left w:val="none" w:sz="0" w:space="0" w:color="auto"/>
        <w:bottom w:val="none" w:sz="0" w:space="0" w:color="auto"/>
        <w:right w:val="none" w:sz="0" w:space="0" w:color="auto"/>
      </w:divBdr>
    </w:div>
    <w:div w:id="533811532">
      <w:bodyDiv w:val="1"/>
      <w:marLeft w:val="0"/>
      <w:marRight w:val="0"/>
      <w:marTop w:val="0"/>
      <w:marBottom w:val="0"/>
      <w:divBdr>
        <w:top w:val="none" w:sz="0" w:space="0" w:color="auto"/>
        <w:left w:val="none" w:sz="0" w:space="0" w:color="auto"/>
        <w:bottom w:val="none" w:sz="0" w:space="0" w:color="auto"/>
        <w:right w:val="none" w:sz="0" w:space="0" w:color="auto"/>
      </w:divBdr>
      <w:divsChild>
        <w:div w:id="2132821051">
          <w:marLeft w:val="0"/>
          <w:marRight w:val="0"/>
          <w:marTop w:val="150"/>
          <w:marBottom w:val="0"/>
          <w:divBdr>
            <w:top w:val="none" w:sz="0" w:space="0" w:color="auto"/>
            <w:left w:val="none" w:sz="0" w:space="0" w:color="auto"/>
            <w:bottom w:val="none" w:sz="0" w:space="0" w:color="auto"/>
            <w:right w:val="none" w:sz="0" w:space="0" w:color="auto"/>
          </w:divBdr>
          <w:divsChild>
            <w:div w:id="256334801">
              <w:marLeft w:val="0"/>
              <w:marRight w:val="0"/>
              <w:marTop w:val="0"/>
              <w:marBottom w:val="0"/>
              <w:divBdr>
                <w:top w:val="none" w:sz="0" w:space="0" w:color="auto"/>
                <w:left w:val="none" w:sz="0" w:space="0" w:color="auto"/>
                <w:bottom w:val="none" w:sz="0" w:space="0" w:color="auto"/>
                <w:right w:val="none" w:sz="0" w:space="0" w:color="auto"/>
              </w:divBdr>
              <w:divsChild>
                <w:div w:id="1145976936">
                  <w:marLeft w:val="0"/>
                  <w:marRight w:val="0"/>
                  <w:marTop w:val="0"/>
                  <w:marBottom w:val="0"/>
                  <w:divBdr>
                    <w:top w:val="none" w:sz="0" w:space="0" w:color="auto"/>
                    <w:left w:val="none" w:sz="0" w:space="0" w:color="auto"/>
                    <w:bottom w:val="none" w:sz="0" w:space="0" w:color="auto"/>
                    <w:right w:val="none" w:sz="0" w:space="0" w:color="auto"/>
                  </w:divBdr>
                  <w:divsChild>
                    <w:div w:id="17006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70177">
      <w:bodyDiv w:val="1"/>
      <w:marLeft w:val="0"/>
      <w:marRight w:val="0"/>
      <w:marTop w:val="0"/>
      <w:marBottom w:val="0"/>
      <w:divBdr>
        <w:top w:val="none" w:sz="0" w:space="0" w:color="auto"/>
        <w:left w:val="none" w:sz="0" w:space="0" w:color="auto"/>
        <w:bottom w:val="none" w:sz="0" w:space="0" w:color="auto"/>
        <w:right w:val="none" w:sz="0" w:space="0" w:color="auto"/>
      </w:divBdr>
    </w:div>
    <w:div w:id="579564703">
      <w:bodyDiv w:val="1"/>
      <w:marLeft w:val="0"/>
      <w:marRight w:val="0"/>
      <w:marTop w:val="0"/>
      <w:marBottom w:val="0"/>
      <w:divBdr>
        <w:top w:val="none" w:sz="0" w:space="0" w:color="auto"/>
        <w:left w:val="none" w:sz="0" w:space="0" w:color="auto"/>
        <w:bottom w:val="none" w:sz="0" w:space="0" w:color="auto"/>
        <w:right w:val="none" w:sz="0" w:space="0" w:color="auto"/>
      </w:divBdr>
    </w:div>
    <w:div w:id="581109154">
      <w:bodyDiv w:val="1"/>
      <w:marLeft w:val="0"/>
      <w:marRight w:val="0"/>
      <w:marTop w:val="0"/>
      <w:marBottom w:val="0"/>
      <w:divBdr>
        <w:top w:val="none" w:sz="0" w:space="0" w:color="auto"/>
        <w:left w:val="none" w:sz="0" w:space="0" w:color="auto"/>
        <w:bottom w:val="none" w:sz="0" w:space="0" w:color="auto"/>
        <w:right w:val="none" w:sz="0" w:space="0" w:color="auto"/>
      </w:divBdr>
      <w:divsChild>
        <w:div w:id="60761989">
          <w:marLeft w:val="0"/>
          <w:marRight w:val="0"/>
          <w:marTop w:val="0"/>
          <w:marBottom w:val="0"/>
          <w:divBdr>
            <w:top w:val="none" w:sz="0" w:space="0" w:color="auto"/>
            <w:left w:val="none" w:sz="0" w:space="0" w:color="auto"/>
            <w:bottom w:val="none" w:sz="0" w:space="0" w:color="auto"/>
            <w:right w:val="none" w:sz="0" w:space="0" w:color="auto"/>
          </w:divBdr>
          <w:divsChild>
            <w:div w:id="1962416597">
              <w:marLeft w:val="0"/>
              <w:marRight w:val="0"/>
              <w:marTop w:val="0"/>
              <w:marBottom w:val="0"/>
              <w:divBdr>
                <w:top w:val="none" w:sz="0" w:space="0" w:color="auto"/>
                <w:left w:val="none" w:sz="0" w:space="0" w:color="auto"/>
                <w:bottom w:val="none" w:sz="0" w:space="0" w:color="auto"/>
                <w:right w:val="none" w:sz="0" w:space="0" w:color="auto"/>
              </w:divBdr>
              <w:divsChild>
                <w:div w:id="1551335066">
                  <w:marLeft w:val="0"/>
                  <w:marRight w:val="0"/>
                  <w:marTop w:val="0"/>
                  <w:marBottom w:val="0"/>
                  <w:divBdr>
                    <w:top w:val="none" w:sz="0" w:space="0" w:color="auto"/>
                    <w:left w:val="none" w:sz="0" w:space="0" w:color="auto"/>
                    <w:bottom w:val="none" w:sz="0" w:space="0" w:color="auto"/>
                    <w:right w:val="none" w:sz="0" w:space="0" w:color="auto"/>
                  </w:divBdr>
                  <w:divsChild>
                    <w:div w:id="14696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944078">
      <w:bodyDiv w:val="1"/>
      <w:marLeft w:val="0"/>
      <w:marRight w:val="0"/>
      <w:marTop w:val="0"/>
      <w:marBottom w:val="0"/>
      <w:divBdr>
        <w:top w:val="none" w:sz="0" w:space="0" w:color="auto"/>
        <w:left w:val="none" w:sz="0" w:space="0" w:color="auto"/>
        <w:bottom w:val="none" w:sz="0" w:space="0" w:color="auto"/>
        <w:right w:val="none" w:sz="0" w:space="0" w:color="auto"/>
      </w:divBdr>
      <w:divsChild>
        <w:div w:id="1116218675">
          <w:marLeft w:val="0"/>
          <w:marRight w:val="0"/>
          <w:marTop w:val="0"/>
          <w:marBottom w:val="0"/>
          <w:divBdr>
            <w:top w:val="none" w:sz="0" w:space="0" w:color="auto"/>
            <w:left w:val="none" w:sz="0" w:space="0" w:color="auto"/>
            <w:bottom w:val="none" w:sz="0" w:space="0" w:color="auto"/>
            <w:right w:val="none" w:sz="0" w:space="0" w:color="auto"/>
          </w:divBdr>
          <w:divsChild>
            <w:div w:id="173959047">
              <w:marLeft w:val="0"/>
              <w:marRight w:val="0"/>
              <w:marTop w:val="0"/>
              <w:marBottom w:val="0"/>
              <w:divBdr>
                <w:top w:val="none" w:sz="0" w:space="0" w:color="auto"/>
                <w:left w:val="none" w:sz="0" w:space="0" w:color="auto"/>
                <w:bottom w:val="none" w:sz="0" w:space="0" w:color="auto"/>
                <w:right w:val="none" w:sz="0" w:space="0" w:color="auto"/>
              </w:divBdr>
              <w:divsChild>
                <w:div w:id="47531380">
                  <w:marLeft w:val="0"/>
                  <w:marRight w:val="0"/>
                  <w:marTop w:val="0"/>
                  <w:marBottom w:val="0"/>
                  <w:divBdr>
                    <w:top w:val="none" w:sz="0" w:space="0" w:color="auto"/>
                    <w:left w:val="none" w:sz="0" w:space="0" w:color="auto"/>
                    <w:bottom w:val="none" w:sz="0" w:space="0" w:color="auto"/>
                    <w:right w:val="none" w:sz="0" w:space="0" w:color="auto"/>
                  </w:divBdr>
                  <w:divsChild>
                    <w:div w:id="1399012159">
                      <w:marLeft w:val="0"/>
                      <w:marRight w:val="0"/>
                      <w:marTop w:val="0"/>
                      <w:marBottom w:val="0"/>
                      <w:divBdr>
                        <w:top w:val="none" w:sz="0" w:space="0" w:color="auto"/>
                        <w:left w:val="none" w:sz="0" w:space="0" w:color="auto"/>
                        <w:bottom w:val="none" w:sz="0" w:space="0" w:color="auto"/>
                        <w:right w:val="none" w:sz="0" w:space="0" w:color="auto"/>
                      </w:divBdr>
                      <w:divsChild>
                        <w:div w:id="1813054710">
                          <w:marLeft w:val="0"/>
                          <w:marRight w:val="0"/>
                          <w:marTop w:val="0"/>
                          <w:marBottom w:val="0"/>
                          <w:divBdr>
                            <w:top w:val="none" w:sz="0" w:space="0" w:color="auto"/>
                            <w:left w:val="none" w:sz="0" w:space="0" w:color="auto"/>
                            <w:bottom w:val="none" w:sz="0" w:space="0" w:color="auto"/>
                            <w:right w:val="none" w:sz="0" w:space="0" w:color="auto"/>
                          </w:divBdr>
                          <w:divsChild>
                            <w:div w:id="363020969">
                              <w:marLeft w:val="0"/>
                              <w:marRight w:val="0"/>
                              <w:marTop w:val="0"/>
                              <w:marBottom w:val="0"/>
                              <w:divBdr>
                                <w:top w:val="none" w:sz="0" w:space="0" w:color="auto"/>
                                <w:left w:val="none" w:sz="0" w:space="0" w:color="auto"/>
                                <w:bottom w:val="none" w:sz="0" w:space="0" w:color="auto"/>
                                <w:right w:val="none" w:sz="0" w:space="0" w:color="auto"/>
                              </w:divBdr>
                              <w:divsChild>
                                <w:div w:id="924607537">
                                  <w:marLeft w:val="0"/>
                                  <w:marRight w:val="0"/>
                                  <w:marTop w:val="0"/>
                                  <w:marBottom w:val="0"/>
                                  <w:divBdr>
                                    <w:top w:val="none" w:sz="0" w:space="0" w:color="auto"/>
                                    <w:left w:val="none" w:sz="0" w:space="0" w:color="auto"/>
                                    <w:bottom w:val="none" w:sz="0" w:space="0" w:color="auto"/>
                                    <w:right w:val="none" w:sz="0" w:space="0" w:color="auto"/>
                                  </w:divBdr>
                                </w:div>
                                <w:div w:id="1631479312">
                                  <w:marLeft w:val="0"/>
                                  <w:marRight w:val="0"/>
                                  <w:marTop w:val="0"/>
                                  <w:marBottom w:val="0"/>
                                  <w:divBdr>
                                    <w:top w:val="none" w:sz="0" w:space="0" w:color="auto"/>
                                    <w:left w:val="none" w:sz="0" w:space="0" w:color="auto"/>
                                    <w:bottom w:val="none" w:sz="0" w:space="0" w:color="auto"/>
                                    <w:right w:val="none" w:sz="0" w:space="0" w:color="auto"/>
                                  </w:divBdr>
                                  <w:divsChild>
                                    <w:div w:id="216481356">
                                      <w:marLeft w:val="0"/>
                                      <w:marRight w:val="0"/>
                                      <w:marTop w:val="0"/>
                                      <w:marBottom w:val="0"/>
                                      <w:divBdr>
                                        <w:top w:val="none" w:sz="0" w:space="0" w:color="auto"/>
                                        <w:left w:val="none" w:sz="0" w:space="0" w:color="auto"/>
                                        <w:bottom w:val="none" w:sz="0" w:space="0" w:color="auto"/>
                                        <w:right w:val="none" w:sz="0" w:space="0" w:color="auto"/>
                                      </w:divBdr>
                                    </w:div>
                                    <w:div w:id="337387196">
                                      <w:marLeft w:val="0"/>
                                      <w:marRight w:val="0"/>
                                      <w:marTop w:val="0"/>
                                      <w:marBottom w:val="0"/>
                                      <w:divBdr>
                                        <w:top w:val="none" w:sz="0" w:space="0" w:color="auto"/>
                                        <w:left w:val="none" w:sz="0" w:space="0" w:color="auto"/>
                                        <w:bottom w:val="none" w:sz="0" w:space="0" w:color="auto"/>
                                        <w:right w:val="none" w:sz="0" w:space="0" w:color="auto"/>
                                      </w:divBdr>
                                    </w:div>
                                    <w:div w:id="360055578">
                                      <w:marLeft w:val="0"/>
                                      <w:marRight w:val="0"/>
                                      <w:marTop w:val="0"/>
                                      <w:marBottom w:val="0"/>
                                      <w:divBdr>
                                        <w:top w:val="none" w:sz="0" w:space="0" w:color="auto"/>
                                        <w:left w:val="none" w:sz="0" w:space="0" w:color="auto"/>
                                        <w:bottom w:val="none" w:sz="0" w:space="0" w:color="auto"/>
                                        <w:right w:val="none" w:sz="0" w:space="0" w:color="auto"/>
                                      </w:divBdr>
                                    </w:div>
                                    <w:div w:id="387808099">
                                      <w:marLeft w:val="0"/>
                                      <w:marRight w:val="0"/>
                                      <w:marTop w:val="0"/>
                                      <w:marBottom w:val="0"/>
                                      <w:divBdr>
                                        <w:top w:val="none" w:sz="0" w:space="0" w:color="auto"/>
                                        <w:left w:val="none" w:sz="0" w:space="0" w:color="auto"/>
                                        <w:bottom w:val="none" w:sz="0" w:space="0" w:color="auto"/>
                                        <w:right w:val="none" w:sz="0" w:space="0" w:color="auto"/>
                                      </w:divBdr>
                                    </w:div>
                                    <w:div w:id="412631974">
                                      <w:marLeft w:val="0"/>
                                      <w:marRight w:val="0"/>
                                      <w:marTop w:val="0"/>
                                      <w:marBottom w:val="0"/>
                                      <w:divBdr>
                                        <w:top w:val="none" w:sz="0" w:space="0" w:color="auto"/>
                                        <w:left w:val="none" w:sz="0" w:space="0" w:color="auto"/>
                                        <w:bottom w:val="none" w:sz="0" w:space="0" w:color="auto"/>
                                        <w:right w:val="none" w:sz="0" w:space="0" w:color="auto"/>
                                      </w:divBdr>
                                    </w:div>
                                    <w:div w:id="578758115">
                                      <w:marLeft w:val="0"/>
                                      <w:marRight w:val="0"/>
                                      <w:marTop w:val="0"/>
                                      <w:marBottom w:val="0"/>
                                      <w:divBdr>
                                        <w:top w:val="none" w:sz="0" w:space="0" w:color="auto"/>
                                        <w:left w:val="none" w:sz="0" w:space="0" w:color="auto"/>
                                        <w:bottom w:val="none" w:sz="0" w:space="0" w:color="auto"/>
                                        <w:right w:val="none" w:sz="0" w:space="0" w:color="auto"/>
                                      </w:divBdr>
                                    </w:div>
                                    <w:div w:id="1574243313">
                                      <w:marLeft w:val="0"/>
                                      <w:marRight w:val="0"/>
                                      <w:marTop w:val="0"/>
                                      <w:marBottom w:val="0"/>
                                      <w:divBdr>
                                        <w:top w:val="none" w:sz="0" w:space="0" w:color="auto"/>
                                        <w:left w:val="none" w:sz="0" w:space="0" w:color="auto"/>
                                        <w:bottom w:val="none" w:sz="0" w:space="0" w:color="auto"/>
                                        <w:right w:val="none" w:sz="0" w:space="0" w:color="auto"/>
                                      </w:divBdr>
                                    </w:div>
                                    <w:div w:id="1600019666">
                                      <w:marLeft w:val="0"/>
                                      <w:marRight w:val="0"/>
                                      <w:marTop w:val="0"/>
                                      <w:marBottom w:val="0"/>
                                      <w:divBdr>
                                        <w:top w:val="none" w:sz="0" w:space="0" w:color="auto"/>
                                        <w:left w:val="none" w:sz="0" w:space="0" w:color="auto"/>
                                        <w:bottom w:val="none" w:sz="0" w:space="0" w:color="auto"/>
                                        <w:right w:val="none" w:sz="0" w:space="0" w:color="auto"/>
                                      </w:divBdr>
                                    </w:div>
                                    <w:div w:id="20386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673691">
      <w:bodyDiv w:val="1"/>
      <w:marLeft w:val="0"/>
      <w:marRight w:val="0"/>
      <w:marTop w:val="0"/>
      <w:marBottom w:val="0"/>
      <w:divBdr>
        <w:top w:val="none" w:sz="0" w:space="0" w:color="auto"/>
        <w:left w:val="none" w:sz="0" w:space="0" w:color="auto"/>
        <w:bottom w:val="none" w:sz="0" w:space="0" w:color="auto"/>
        <w:right w:val="none" w:sz="0" w:space="0" w:color="auto"/>
      </w:divBdr>
    </w:div>
    <w:div w:id="708605639">
      <w:bodyDiv w:val="1"/>
      <w:marLeft w:val="0"/>
      <w:marRight w:val="0"/>
      <w:marTop w:val="0"/>
      <w:marBottom w:val="0"/>
      <w:divBdr>
        <w:top w:val="none" w:sz="0" w:space="0" w:color="auto"/>
        <w:left w:val="none" w:sz="0" w:space="0" w:color="auto"/>
        <w:bottom w:val="none" w:sz="0" w:space="0" w:color="auto"/>
        <w:right w:val="none" w:sz="0" w:space="0" w:color="auto"/>
      </w:divBdr>
    </w:div>
    <w:div w:id="744690652">
      <w:bodyDiv w:val="1"/>
      <w:marLeft w:val="0"/>
      <w:marRight w:val="0"/>
      <w:marTop w:val="0"/>
      <w:marBottom w:val="0"/>
      <w:divBdr>
        <w:top w:val="none" w:sz="0" w:space="0" w:color="auto"/>
        <w:left w:val="none" w:sz="0" w:space="0" w:color="auto"/>
        <w:bottom w:val="none" w:sz="0" w:space="0" w:color="auto"/>
        <w:right w:val="none" w:sz="0" w:space="0" w:color="auto"/>
      </w:divBdr>
    </w:div>
    <w:div w:id="751007113">
      <w:bodyDiv w:val="1"/>
      <w:marLeft w:val="0"/>
      <w:marRight w:val="0"/>
      <w:marTop w:val="0"/>
      <w:marBottom w:val="0"/>
      <w:divBdr>
        <w:top w:val="none" w:sz="0" w:space="0" w:color="auto"/>
        <w:left w:val="none" w:sz="0" w:space="0" w:color="auto"/>
        <w:bottom w:val="none" w:sz="0" w:space="0" w:color="auto"/>
        <w:right w:val="none" w:sz="0" w:space="0" w:color="auto"/>
      </w:divBdr>
    </w:div>
    <w:div w:id="756482866">
      <w:bodyDiv w:val="1"/>
      <w:marLeft w:val="0"/>
      <w:marRight w:val="0"/>
      <w:marTop w:val="0"/>
      <w:marBottom w:val="0"/>
      <w:divBdr>
        <w:top w:val="none" w:sz="0" w:space="0" w:color="auto"/>
        <w:left w:val="none" w:sz="0" w:space="0" w:color="auto"/>
        <w:bottom w:val="none" w:sz="0" w:space="0" w:color="auto"/>
        <w:right w:val="none" w:sz="0" w:space="0" w:color="auto"/>
      </w:divBdr>
    </w:div>
    <w:div w:id="765419647">
      <w:bodyDiv w:val="1"/>
      <w:marLeft w:val="0"/>
      <w:marRight w:val="0"/>
      <w:marTop w:val="0"/>
      <w:marBottom w:val="0"/>
      <w:divBdr>
        <w:top w:val="none" w:sz="0" w:space="0" w:color="auto"/>
        <w:left w:val="none" w:sz="0" w:space="0" w:color="auto"/>
        <w:bottom w:val="none" w:sz="0" w:space="0" w:color="auto"/>
        <w:right w:val="none" w:sz="0" w:space="0" w:color="auto"/>
      </w:divBdr>
    </w:div>
    <w:div w:id="806168447">
      <w:bodyDiv w:val="1"/>
      <w:marLeft w:val="0"/>
      <w:marRight w:val="0"/>
      <w:marTop w:val="0"/>
      <w:marBottom w:val="0"/>
      <w:divBdr>
        <w:top w:val="none" w:sz="0" w:space="0" w:color="auto"/>
        <w:left w:val="none" w:sz="0" w:space="0" w:color="auto"/>
        <w:bottom w:val="none" w:sz="0" w:space="0" w:color="auto"/>
        <w:right w:val="none" w:sz="0" w:space="0" w:color="auto"/>
      </w:divBdr>
    </w:div>
    <w:div w:id="806975015">
      <w:bodyDiv w:val="1"/>
      <w:marLeft w:val="0"/>
      <w:marRight w:val="0"/>
      <w:marTop w:val="0"/>
      <w:marBottom w:val="0"/>
      <w:divBdr>
        <w:top w:val="none" w:sz="0" w:space="0" w:color="auto"/>
        <w:left w:val="none" w:sz="0" w:space="0" w:color="auto"/>
        <w:bottom w:val="none" w:sz="0" w:space="0" w:color="auto"/>
        <w:right w:val="none" w:sz="0" w:space="0" w:color="auto"/>
      </w:divBdr>
    </w:div>
    <w:div w:id="830408151">
      <w:bodyDiv w:val="1"/>
      <w:marLeft w:val="0"/>
      <w:marRight w:val="0"/>
      <w:marTop w:val="0"/>
      <w:marBottom w:val="0"/>
      <w:divBdr>
        <w:top w:val="none" w:sz="0" w:space="0" w:color="auto"/>
        <w:left w:val="none" w:sz="0" w:space="0" w:color="auto"/>
        <w:bottom w:val="none" w:sz="0" w:space="0" w:color="auto"/>
        <w:right w:val="none" w:sz="0" w:space="0" w:color="auto"/>
      </w:divBdr>
    </w:div>
    <w:div w:id="855653054">
      <w:bodyDiv w:val="1"/>
      <w:marLeft w:val="0"/>
      <w:marRight w:val="0"/>
      <w:marTop w:val="0"/>
      <w:marBottom w:val="0"/>
      <w:divBdr>
        <w:top w:val="none" w:sz="0" w:space="0" w:color="auto"/>
        <w:left w:val="none" w:sz="0" w:space="0" w:color="auto"/>
        <w:bottom w:val="none" w:sz="0" w:space="0" w:color="auto"/>
        <w:right w:val="none" w:sz="0" w:space="0" w:color="auto"/>
      </w:divBdr>
    </w:div>
    <w:div w:id="862549733">
      <w:bodyDiv w:val="1"/>
      <w:marLeft w:val="0"/>
      <w:marRight w:val="0"/>
      <w:marTop w:val="0"/>
      <w:marBottom w:val="0"/>
      <w:divBdr>
        <w:top w:val="none" w:sz="0" w:space="0" w:color="auto"/>
        <w:left w:val="none" w:sz="0" w:space="0" w:color="auto"/>
        <w:bottom w:val="none" w:sz="0" w:space="0" w:color="auto"/>
        <w:right w:val="none" w:sz="0" w:space="0" w:color="auto"/>
      </w:divBdr>
    </w:div>
    <w:div w:id="891110812">
      <w:bodyDiv w:val="1"/>
      <w:marLeft w:val="0"/>
      <w:marRight w:val="0"/>
      <w:marTop w:val="0"/>
      <w:marBottom w:val="0"/>
      <w:divBdr>
        <w:top w:val="none" w:sz="0" w:space="0" w:color="auto"/>
        <w:left w:val="none" w:sz="0" w:space="0" w:color="auto"/>
        <w:bottom w:val="none" w:sz="0" w:space="0" w:color="auto"/>
        <w:right w:val="none" w:sz="0" w:space="0" w:color="auto"/>
      </w:divBdr>
    </w:div>
    <w:div w:id="972901447">
      <w:bodyDiv w:val="1"/>
      <w:marLeft w:val="0"/>
      <w:marRight w:val="0"/>
      <w:marTop w:val="0"/>
      <w:marBottom w:val="0"/>
      <w:divBdr>
        <w:top w:val="none" w:sz="0" w:space="0" w:color="auto"/>
        <w:left w:val="none" w:sz="0" w:space="0" w:color="auto"/>
        <w:bottom w:val="none" w:sz="0" w:space="0" w:color="auto"/>
        <w:right w:val="none" w:sz="0" w:space="0" w:color="auto"/>
      </w:divBdr>
    </w:div>
    <w:div w:id="1017734802">
      <w:bodyDiv w:val="1"/>
      <w:marLeft w:val="0"/>
      <w:marRight w:val="0"/>
      <w:marTop w:val="0"/>
      <w:marBottom w:val="0"/>
      <w:divBdr>
        <w:top w:val="none" w:sz="0" w:space="0" w:color="auto"/>
        <w:left w:val="none" w:sz="0" w:space="0" w:color="auto"/>
        <w:bottom w:val="none" w:sz="0" w:space="0" w:color="auto"/>
        <w:right w:val="none" w:sz="0" w:space="0" w:color="auto"/>
      </w:divBdr>
    </w:div>
    <w:div w:id="1034112589">
      <w:bodyDiv w:val="1"/>
      <w:marLeft w:val="0"/>
      <w:marRight w:val="0"/>
      <w:marTop w:val="0"/>
      <w:marBottom w:val="0"/>
      <w:divBdr>
        <w:top w:val="none" w:sz="0" w:space="0" w:color="auto"/>
        <w:left w:val="none" w:sz="0" w:space="0" w:color="auto"/>
        <w:bottom w:val="none" w:sz="0" w:space="0" w:color="auto"/>
        <w:right w:val="none" w:sz="0" w:space="0" w:color="auto"/>
      </w:divBdr>
    </w:div>
    <w:div w:id="1048645995">
      <w:bodyDiv w:val="1"/>
      <w:marLeft w:val="0"/>
      <w:marRight w:val="0"/>
      <w:marTop w:val="0"/>
      <w:marBottom w:val="0"/>
      <w:divBdr>
        <w:top w:val="none" w:sz="0" w:space="0" w:color="auto"/>
        <w:left w:val="none" w:sz="0" w:space="0" w:color="auto"/>
        <w:bottom w:val="none" w:sz="0" w:space="0" w:color="auto"/>
        <w:right w:val="none" w:sz="0" w:space="0" w:color="auto"/>
      </w:divBdr>
    </w:div>
    <w:div w:id="1086146185">
      <w:bodyDiv w:val="1"/>
      <w:marLeft w:val="0"/>
      <w:marRight w:val="0"/>
      <w:marTop w:val="0"/>
      <w:marBottom w:val="0"/>
      <w:divBdr>
        <w:top w:val="none" w:sz="0" w:space="0" w:color="auto"/>
        <w:left w:val="none" w:sz="0" w:space="0" w:color="auto"/>
        <w:bottom w:val="none" w:sz="0" w:space="0" w:color="auto"/>
        <w:right w:val="none" w:sz="0" w:space="0" w:color="auto"/>
      </w:divBdr>
    </w:div>
    <w:div w:id="1121537667">
      <w:bodyDiv w:val="1"/>
      <w:marLeft w:val="0"/>
      <w:marRight w:val="0"/>
      <w:marTop w:val="0"/>
      <w:marBottom w:val="0"/>
      <w:divBdr>
        <w:top w:val="none" w:sz="0" w:space="0" w:color="auto"/>
        <w:left w:val="none" w:sz="0" w:space="0" w:color="auto"/>
        <w:bottom w:val="none" w:sz="0" w:space="0" w:color="auto"/>
        <w:right w:val="none" w:sz="0" w:space="0" w:color="auto"/>
      </w:divBdr>
    </w:div>
    <w:div w:id="1161044700">
      <w:bodyDiv w:val="1"/>
      <w:marLeft w:val="0"/>
      <w:marRight w:val="0"/>
      <w:marTop w:val="0"/>
      <w:marBottom w:val="0"/>
      <w:divBdr>
        <w:top w:val="none" w:sz="0" w:space="0" w:color="auto"/>
        <w:left w:val="none" w:sz="0" w:space="0" w:color="auto"/>
        <w:bottom w:val="none" w:sz="0" w:space="0" w:color="auto"/>
        <w:right w:val="none" w:sz="0" w:space="0" w:color="auto"/>
      </w:divBdr>
    </w:div>
    <w:div w:id="1162235056">
      <w:bodyDiv w:val="1"/>
      <w:marLeft w:val="0"/>
      <w:marRight w:val="0"/>
      <w:marTop w:val="0"/>
      <w:marBottom w:val="0"/>
      <w:divBdr>
        <w:top w:val="none" w:sz="0" w:space="0" w:color="auto"/>
        <w:left w:val="none" w:sz="0" w:space="0" w:color="auto"/>
        <w:bottom w:val="none" w:sz="0" w:space="0" w:color="auto"/>
        <w:right w:val="none" w:sz="0" w:space="0" w:color="auto"/>
      </w:divBdr>
      <w:divsChild>
        <w:div w:id="684598633">
          <w:marLeft w:val="0"/>
          <w:marRight w:val="0"/>
          <w:marTop w:val="0"/>
          <w:marBottom w:val="0"/>
          <w:divBdr>
            <w:top w:val="none" w:sz="0" w:space="0" w:color="auto"/>
            <w:left w:val="none" w:sz="0" w:space="0" w:color="auto"/>
            <w:bottom w:val="none" w:sz="0" w:space="0" w:color="auto"/>
            <w:right w:val="none" w:sz="0" w:space="0" w:color="auto"/>
          </w:divBdr>
          <w:divsChild>
            <w:div w:id="1761827040">
              <w:marLeft w:val="0"/>
              <w:marRight w:val="0"/>
              <w:marTop w:val="0"/>
              <w:marBottom w:val="0"/>
              <w:divBdr>
                <w:top w:val="none" w:sz="0" w:space="0" w:color="auto"/>
                <w:left w:val="none" w:sz="0" w:space="0" w:color="auto"/>
                <w:bottom w:val="none" w:sz="0" w:space="0" w:color="auto"/>
                <w:right w:val="none" w:sz="0" w:space="0" w:color="auto"/>
              </w:divBdr>
              <w:divsChild>
                <w:div w:id="1949045741">
                  <w:marLeft w:val="0"/>
                  <w:marRight w:val="0"/>
                  <w:marTop w:val="0"/>
                  <w:marBottom w:val="0"/>
                  <w:divBdr>
                    <w:top w:val="single" w:sz="18" w:space="0" w:color="C4BF9E"/>
                    <w:left w:val="single" w:sz="18" w:space="0" w:color="C4BF9E"/>
                    <w:bottom w:val="single" w:sz="18" w:space="0" w:color="655347"/>
                    <w:right w:val="single" w:sz="18" w:space="0" w:color="C4BF9E"/>
                  </w:divBdr>
                  <w:divsChild>
                    <w:div w:id="1918054730">
                      <w:marLeft w:val="0"/>
                      <w:marRight w:val="0"/>
                      <w:marTop w:val="0"/>
                      <w:marBottom w:val="0"/>
                      <w:divBdr>
                        <w:top w:val="single" w:sz="6" w:space="0" w:color="A29F8A"/>
                        <w:left w:val="single" w:sz="6" w:space="0" w:color="A29F8A"/>
                        <w:bottom w:val="single" w:sz="6" w:space="0" w:color="A29F8A"/>
                        <w:right w:val="single" w:sz="6" w:space="0" w:color="A29F8A"/>
                      </w:divBdr>
                      <w:divsChild>
                        <w:div w:id="1115979514">
                          <w:marLeft w:val="0"/>
                          <w:marRight w:val="0"/>
                          <w:marTop w:val="0"/>
                          <w:marBottom w:val="0"/>
                          <w:divBdr>
                            <w:top w:val="none" w:sz="0" w:space="0" w:color="auto"/>
                            <w:left w:val="none" w:sz="0" w:space="0" w:color="auto"/>
                            <w:bottom w:val="none" w:sz="0" w:space="0" w:color="auto"/>
                            <w:right w:val="none" w:sz="0" w:space="0" w:color="auto"/>
                          </w:divBdr>
                          <w:divsChild>
                            <w:div w:id="9724843">
                              <w:marLeft w:val="0"/>
                              <w:marRight w:val="150"/>
                              <w:marTop w:val="0"/>
                              <w:marBottom w:val="0"/>
                              <w:divBdr>
                                <w:top w:val="single" w:sz="6" w:space="0" w:color="E8E8D2"/>
                                <w:left w:val="single" w:sz="6" w:space="4" w:color="E8E8D2"/>
                                <w:bottom w:val="single" w:sz="6" w:space="11" w:color="E8E8D2"/>
                                <w:right w:val="single" w:sz="6" w:space="4" w:color="E8E8D2"/>
                              </w:divBdr>
                              <w:divsChild>
                                <w:div w:id="532883420">
                                  <w:marLeft w:val="0"/>
                                  <w:marRight w:val="0"/>
                                  <w:marTop w:val="0"/>
                                  <w:marBottom w:val="0"/>
                                  <w:divBdr>
                                    <w:top w:val="none" w:sz="0" w:space="0" w:color="auto"/>
                                    <w:left w:val="none" w:sz="0" w:space="0" w:color="auto"/>
                                    <w:bottom w:val="none" w:sz="0" w:space="0" w:color="auto"/>
                                    <w:right w:val="none" w:sz="0" w:space="0" w:color="auto"/>
                                  </w:divBdr>
                                  <w:divsChild>
                                    <w:div w:id="2126581722">
                                      <w:marLeft w:val="0"/>
                                      <w:marRight w:val="0"/>
                                      <w:marTop w:val="0"/>
                                      <w:marBottom w:val="0"/>
                                      <w:divBdr>
                                        <w:top w:val="none" w:sz="0" w:space="0" w:color="auto"/>
                                        <w:left w:val="none" w:sz="0" w:space="0" w:color="auto"/>
                                        <w:bottom w:val="none" w:sz="0" w:space="0" w:color="auto"/>
                                        <w:right w:val="none" w:sz="0" w:space="0" w:color="auto"/>
                                      </w:divBdr>
                                      <w:divsChild>
                                        <w:div w:id="1669862895">
                                          <w:marLeft w:val="0"/>
                                          <w:marRight w:val="0"/>
                                          <w:marTop w:val="0"/>
                                          <w:marBottom w:val="0"/>
                                          <w:divBdr>
                                            <w:top w:val="none" w:sz="0" w:space="0" w:color="auto"/>
                                            <w:left w:val="none" w:sz="0" w:space="0" w:color="auto"/>
                                            <w:bottom w:val="none" w:sz="0" w:space="0" w:color="auto"/>
                                            <w:right w:val="none" w:sz="0" w:space="0" w:color="auto"/>
                                          </w:divBdr>
                                          <w:divsChild>
                                            <w:div w:id="60596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8983067">
      <w:bodyDiv w:val="1"/>
      <w:marLeft w:val="0"/>
      <w:marRight w:val="0"/>
      <w:marTop w:val="0"/>
      <w:marBottom w:val="0"/>
      <w:divBdr>
        <w:top w:val="none" w:sz="0" w:space="0" w:color="auto"/>
        <w:left w:val="none" w:sz="0" w:space="0" w:color="auto"/>
        <w:bottom w:val="none" w:sz="0" w:space="0" w:color="auto"/>
        <w:right w:val="none" w:sz="0" w:space="0" w:color="auto"/>
      </w:divBdr>
      <w:divsChild>
        <w:div w:id="1759473817">
          <w:marLeft w:val="0"/>
          <w:marRight w:val="0"/>
          <w:marTop w:val="0"/>
          <w:marBottom w:val="0"/>
          <w:divBdr>
            <w:top w:val="none" w:sz="0" w:space="0" w:color="auto"/>
            <w:left w:val="none" w:sz="0" w:space="0" w:color="auto"/>
            <w:bottom w:val="none" w:sz="0" w:space="0" w:color="auto"/>
            <w:right w:val="none" w:sz="0" w:space="0" w:color="auto"/>
          </w:divBdr>
          <w:divsChild>
            <w:div w:id="1149323318">
              <w:marLeft w:val="0"/>
              <w:marRight w:val="0"/>
              <w:marTop w:val="0"/>
              <w:marBottom w:val="0"/>
              <w:divBdr>
                <w:top w:val="none" w:sz="0" w:space="0" w:color="auto"/>
                <w:left w:val="none" w:sz="0" w:space="0" w:color="auto"/>
                <w:bottom w:val="none" w:sz="0" w:space="0" w:color="auto"/>
                <w:right w:val="none" w:sz="0" w:space="0" w:color="auto"/>
              </w:divBdr>
              <w:divsChild>
                <w:div w:id="1894465192">
                  <w:marLeft w:val="0"/>
                  <w:marRight w:val="0"/>
                  <w:marTop w:val="0"/>
                  <w:marBottom w:val="0"/>
                  <w:divBdr>
                    <w:top w:val="none" w:sz="0" w:space="0" w:color="auto"/>
                    <w:left w:val="none" w:sz="0" w:space="0" w:color="auto"/>
                    <w:bottom w:val="none" w:sz="0" w:space="0" w:color="auto"/>
                    <w:right w:val="none" w:sz="0" w:space="0" w:color="auto"/>
                  </w:divBdr>
                  <w:divsChild>
                    <w:div w:id="837310813">
                      <w:marLeft w:val="0"/>
                      <w:marRight w:val="0"/>
                      <w:marTop w:val="0"/>
                      <w:marBottom w:val="0"/>
                      <w:divBdr>
                        <w:top w:val="none" w:sz="0" w:space="0" w:color="auto"/>
                        <w:left w:val="none" w:sz="0" w:space="0" w:color="auto"/>
                        <w:bottom w:val="none" w:sz="0" w:space="0" w:color="auto"/>
                        <w:right w:val="none" w:sz="0" w:space="0" w:color="auto"/>
                      </w:divBdr>
                      <w:divsChild>
                        <w:div w:id="1146778443">
                          <w:marLeft w:val="0"/>
                          <w:marRight w:val="0"/>
                          <w:marTop w:val="0"/>
                          <w:marBottom w:val="0"/>
                          <w:divBdr>
                            <w:top w:val="none" w:sz="0" w:space="0" w:color="auto"/>
                            <w:left w:val="none" w:sz="0" w:space="0" w:color="auto"/>
                            <w:bottom w:val="none" w:sz="0" w:space="0" w:color="auto"/>
                            <w:right w:val="none" w:sz="0" w:space="0" w:color="auto"/>
                          </w:divBdr>
                          <w:divsChild>
                            <w:div w:id="1498764052">
                              <w:marLeft w:val="0"/>
                              <w:marRight w:val="0"/>
                              <w:marTop w:val="0"/>
                              <w:marBottom w:val="0"/>
                              <w:divBdr>
                                <w:top w:val="none" w:sz="0" w:space="0" w:color="auto"/>
                                <w:left w:val="none" w:sz="0" w:space="0" w:color="auto"/>
                                <w:bottom w:val="none" w:sz="0" w:space="0" w:color="auto"/>
                                <w:right w:val="none" w:sz="0" w:space="0" w:color="auto"/>
                              </w:divBdr>
                              <w:divsChild>
                                <w:div w:id="14774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831192">
      <w:bodyDiv w:val="1"/>
      <w:marLeft w:val="0"/>
      <w:marRight w:val="0"/>
      <w:marTop w:val="0"/>
      <w:marBottom w:val="0"/>
      <w:divBdr>
        <w:top w:val="none" w:sz="0" w:space="0" w:color="auto"/>
        <w:left w:val="none" w:sz="0" w:space="0" w:color="auto"/>
        <w:bottom w:val="none" w:sz="0" w:space="0" w:color="auto"/>
        <w:right w:val="none" w:sz="0" w:space="0" w:color="auto"/>
      </w:divBdr>
    </w:div>
    <w:div w:id="1177425172">
      <w:bodyDiv w:val="1"/>
      <w:marLeft w:val="0"/>
      <w:marRight w:val="0"/>
      <w:marTop w:val="0"/>
      <w:marBottom w:val="0"/>
      <w:divBdr>
        <w:top w:val="none" w:sz="0" w:space="0" w:color="auto"/>
        <w:left w:val="none" w:sz="0" w:space="0" w:color="auto"/>
        <w:bottom w:val="none" w:sz="0" w:space="0" w:color="auto"/>
        <w:right w:val="none" w:sz="0" w:space="0" w:color="auto"/>
      </w:divBdr>
    </w:div>
    <w:div w:id="1228107857">
      <w:bodyDiv w:val="1"/>
      <w:marLeft w:val="0"/>
      <w:marRight w:val="0"/>
      <w:marTop w:val="0"/>
      <w:marBottom w:val="0"/>
      <w:divBdr>
        <w:top w:val="none" w:sz="0" w:space="0" w:color="auto"/>
        <w:left w:val="none" w:sz="0" w:space="0" w:color="auto"/>
        <w:bottom w:val="none" w:sz="0" w:space="0" w:color="auto"/>
        <w:right w:val="none" w:sz="0" w:space="0" w:color="auto"/>
      </w:divBdr>
    </w:div>
    <w:div w:id="1267149845">
      <w:bodyDiv w:val="1"/>
      <w:marLeft w:val="0"/>
      <w:marRight w:val="0"/>
      <w:marTop w:val="0"/>
      <w:marBottom w:val="0"/>
      <w:divBdr>
        <w:top w:val="none" w:sz="0" w:space="0" w:color="auto"/>
        <w:left w:val="none" w:sz="0" w:space="0" w:color="auto"/>
        <w:bottom w:val="none" w:sz="0" w:space="0" w:color="auto"/>
        <w:right w:val="none" w:sz="0" w:space="0" w:color="auto"/>
      </w:divBdr>
    </w:div>
    <w:div w:id="1274438264">
      <w:bodyDiv w:val="1"/>
      <w:marLeft w:val="0"/>
      <w:marRight w:val="0"/>
      <w:marTop w:val="0"/>
      <w:marBottom w:val="0"/>
      <w:divBdr>
        <w:top w:val="none" w:sz="0" w:space="0" w:color="auto"/>
        <w:left w:val="none" w:sz="0" w:space="0" w:color="auto"/>
        <w:bottom w:val="none" w:sz="0" w:space="0" w:color="auto"/>
        <w:right w:val="none" w:sz="0" w:space="0" w:color="auto"/>
      </w:divBdr>
    </w:div>
    <w:div w:id="1298562935">
      <w:bodyDiv w:val="1"/>
      <w:marLeft w:val="0"/>
      <w:marRight w:val="0"/>
      <w:marTop w:val="0"/>
      <w:marBottom w:val="0"/>
      <w:divBdr>
        <w:top w:val="none" w:sz="0" w:space="0" w:color="auto"/>
        <w:left w:val="none" w:sz="0" w:space="0" w:color="auto"/>
        <w:bottom w:val="none" w:sz="0" w:space="0" w:color="auto"/>
        <w:right w:val="none" w:sz="0" w:space="0" w:color="auto"/>
      </w:divBdr>
    </w:div>
    <w:div w:id="1309361547">
      <w:bodyDiv w:val="1"/>
      <w:marLeft w:val="0"/>
      <w:marRight w:val="0"/>
      <w:marTop w:val="0"/>
      <w:marBottom w:val="0"/>
      <w:divBdr>
        <w:top w:val="none" w:sz="0" w:space="0" w:color="auto"/>
        <w:left w:val="none" w:sz="0" w:space="0" w:color="auto"/>
        <w:bottom w:val="none" w:sz="0" w:space="0" w:color="auto"/>
        <w:right w:val="none" w:sz="0" w:space="0" w:color="auto"/>
      </w:divBdr>
    </w:div>
    <w:div w:id="1316295567">
      <w:bodyDiv w:val="1"/>
      <w:marLeft w:val="0"/>
      <w:marRight w:val="0"/>
      <w:marTop w:val="0"/>
      <w:marBottom w:val="0"/>
      <w:divBdr>
        <w:top w:val="none" w:sz="0" w:space="0" w:color="auto"/>
        <w:left w:val="none" w:sz="0" w:space="0" w:color="auto"/>
        <w:bottom w:val="none" w:sz="0" w:space="0" w:color="auto"/>
        <w:right w:val="none" w:sz="0" w:space="0" w:color="auto"/>
      </w:divBdr>
    </w:div>
    <w:div w:id="1352103769">
      <w:bodyDiv w:val="1"/>
      <w:marLeft w:val="0"/>
      <w:marRight w:val="0"/>
      <w:marTop w:val="0"/>
      <w:marBottom w:val="0"/>
      <w:divBdr>
        <w:top w:val="none" w:sz="0" w:space="0" w:color="auto"/>
        <w:left w:val="none" w:sz="0" w:space="0" w:color="auto"/>
        <w:bottom w:val="none" w:sz="0" w:space="0" w:color="auto"/>
        <w:right w:val="none" w:sz="0" w:space="0" w:color="auto"/>
      </w:divBdr>
    </w:div>
    <w:div w:id="1365979896">
      <w:bodyDiv w:val="1"/>
      <w:marLeft w:val="0"/>
      <w:marRight w:val="0"/>
      <w:marTop w:val="0"/>
      <w:marBottom w:val="0"/>
      <w:divBdr>
        <w:top w:val="none" w:sz="0" w:space="0" w:color="auto"/>
        <w:left w:val="none" w:sz="0" w:space="0" w:color="auto"/>
        <w:bottom w:val="none" w:sz="0" w:space="0" w:color="auto"/>
        <w:right w:val="none" w:sz="0" w:space="0" w:color="auto"/>
      </w:divBdr>
    </w:div>
    <w:div w:id="1372416970">
      <w:bodyDiv w:val="1"/>
      <w:marLeft w:val="0"/>
      <w:marRight w:val="0"/>
      <w:marTop w:val="0"/>
      <w:marBottom w:val="0"/>
      <w:divBdr>
        <w:top w:val="none" w:sz="0" w:space="0" w:color="auto"/>
        <w:left w:val="none" w:sz="0" w:space="0" w:color="auto"/>
        <w:bottom w:val="none" w:sz="0" w:space="0" w:color="auto"/>
        <w:right w:val="none" w:sz="0" w:space="0" w:color="auto"/>
      </w:divBdr>
    </w:div>
    <w:div w:id="1376392786">
      <w:bodyDiv w:val="1"/>
      <w:marLeft w:val="0"/>
      <w:marRight w:val="0"/>
      <w:marTop w:val="0"/>
      <w:marBottom w:val="0"/>
      <w:divBdr>
        <w:top w:val="none" w:sz="0" w:space="0" w:color="auto"/>
        <w:left w:val="none" w:sz="0" w:space="0" w:color="auto"/>
        <w:bottom w:val="none" w:sz="0" w:space="0" w:color="auto"/>
        <w:right w:val="none" w:sz="0" w:space="0" w:color="auto"/>
      </w:divBdr>
    </w:div>
    <w:div w:id="1380739682">
      <w:bodyDiv w:val="1"/>
      <w:marLeft w:val="0"/>
      <w:marRight w:val="0"/>
      <w:marTop w:val="0"/>
      <w:marBottom w:val="0"/>
      <w:divBdr>
        <w:top w:val="none" w:sz="0" w:space="0" w:color="auto"/>
        <w:left w:val="none" w:sz="0" w:space="0" w:color="auto"/>
        <w:bottom w:val="none" w:sz="0" w:space="0" w:color="auto"/>
        <w:right w:val="none" w:sz="0" w:space="0" w:color="auto"/>
      </w:divBdr>
    </w:div>
    <w:div w:id="1434087320">
      <w:bodyDiv w:val="1"/>
      <w:marLeft w:val="0"/>
      <w:marRight w:val="0"/>
      <w:marTop w:val="0"/>
      <w:marBottom w:val="0"/>
      <w:divBdr>
        <w:top w:val="none" w:sz="0" w:space="0" w:color="auto"/>
        <w:left w:val="none" w:sz="0" w:space="0" w:color="auto"/>
        <w:bottom w:val="none" w:sz="0" w:space="0" w:color="auto"/>
        <w:right w:val="none" w:sz="0" w:space="0" w:color="auto"/>
      </w:divBdr>
    </w:div>
    <w:div w:id="1445884006">
      <w:bodyDiv w:val="1"/>
      <w:marLeft w:val="0"/>
      <w:marRight w:val="0"/>
      <w:marTop w:val="0"/>
      <w:marBottom w:val="0"/>
      <w:divBdr>
        <w:top w:val="none" w:sz="0" w:space="0" w:color="auto"/>
        <w:left w:val="none" w:sz="0" w:space="0" w:color="auto"/>
        <w:bottom w:val="none" w:sz="0" w:space="0" w:color="auto"/>
        <w:right w:val="none" w:sz="0" w:space="0" w:color="auto"/>
      </w:divBdr>
    </w:div>
    <w:div w:id="1470786156">
      <w:bodyDiv w:val="1"/>
      <w:marLeft w:val="0"/>
      <w:marRight w:val="0"/>
      <w:marTop w:val="0"/>
      <w:marBottom w:val="0"/>
      <w:divBdr>
        <w:top w:val="none" w:sz="0" w:space="0" w:color="auto"/>
        <w:left w:val="none" w:sz="0" w:space="0" w:color="auto"/>
        <w:bottom w:val="none" w:sz="0" w:space="0" w:color="auto"/>
        <w:right w:val="none" w:sz="0" w:space="0" w:color="auto"/>
      </w:divBdr>
    </w:div>
    <w:div w:id="1524661294">
      <w:bodyDiv w:val="1"/>
      <w:marLeft w:val="0"/>
      <w:marRight w:val="0"/>
      <w:marTop w:val="0"/>
      <w:marBottom w:val="0"/>
      <w:divBdr>
        <w:top w:val="none" w:sz="0" w:space="0" w:color="auto"/>
        <w:left w:val="none" w:sz="0" w:space="0" w:color="auto"/>
        <w:bottom w:val="none" w:sz="0" w:space="0" w:color="auto"/>
        <w:right w:val="none" w:sz="0" w:space="0" w:color="auto"/>
      </w:divBdr>
    </w:div>
    <w:div w:id="1533378440">
      <w:bodyDiv w:val="1"/>
      <w:marLeft w:val="0"/>
      <w:marRight w:val="0"/>
      <w:marTop w:val="0"/>
      <w:marBottom w:val="0"/>
      <w:divBdr>
        <w:top w:val="none" w:sz="0" w:space="0" w:color="auto"/>
        <w:left w:val="none" w:sz="0" w:space="0" w:color="auto"/>
        <w:bottom w:val="none" w:sz="0" w:space="0" w:color="auto"/>
        <w:right w:val="none" w:sz="0" w:space="0" w:color="auto"/>
      </w:divBdr>
    </w:div>
    <w:div w:id="1557277834">
      <w:bodyDiv w:val="1"/>
      <w:marLeft w:val="0"/>
      <w:marRight w:val="0"/>
      <w:marTop w:val="0"/>
      <w:marBottom w:val="0"/>
      <w:divBdr>
        <w:top w:val="none" w:sz="0" w:space="0" w:color="auto"/>
        <w:left w:val="none" w:sz="0" w:space="0" w:color="auto"/>
        <w:bottom w:val="none" w:sz="0" w:space="0" w:color="auto"/>
        <w:right w:val="none" w:sz="0" w:space="0" w:color="auto"/>
      </w:divBdr>
      <w:divsChild>
        <w:div w:id="1336301770">
          <w:marLeft w:val="0"/>
          <w:marRight w:val="0"/>
          <w:marTop w:val="0"/>
          <w:marBottom w:val="0"/>
          <w:divBdr>
            <w:top w:val="none" w:sz="0" w:space="0" w:color="auto"/>
            <w:left w:val="none" w:sz="0" w:space="0" w:color="auto"/>
            <w:bottom w:val="none" w:sz="0" w:space="0" w:color="auto"/>
            <w:right w:val="none" w:sz="0" w:space="0" w:color="auto"/>
          </w:divBdr>
          <w:divsChild>
            <w:div w:id="1398626799">
              <w:marLeft w:val="0"/>
              <w:marRight w:val="0"/>
              <w:marTop w:val="0"/>
              <w:marBottom w:val="0"/>
              <w:divBdr>
                <w:top w:val="none" w:sz="0" w:space="0" w:color="auto"/>
                <w:left w:val="none" w:sz="0" w:space="0" w:color="auto"/>
                <w:bottom w:val="none" w:sz="0" w:space="0" w:color="auto"/>
                <w:right w:val="none" w:sz="0" w:space="0" w:color="auto"/>
              </w:divBdr>
              <w:divsChild>
                <w:div w:id="585310669">
                  <w:marLeft w:val="0"/>
                  <w:marRight w:val="0"/>
                  <w:marTop w:val="0"/>
                  <w:marBottom w:val="0"/>
                  <w:divBdr>
                    <w:top w:val="none" w:sz="0" w:space="0" w:color="auto"/>
                    <w:left w:val="none" w:sz="0" w:space="0" w:color="auto"/>
                    <w:bottom w:val="none" w:sz="0" w:space="0" w:color="auto"/>
                    <w:right w:val="none" w:sz="0" w:space="0" w:color="auto"/>
                  </w:divBdr>
                  <w:divsChild>
                    <w:div w:id="1385059058">
                      <w:marLeft w:val="0"/>
                      <w:marRight w:val="0"/>
                      <w:marTop w:val="0"/>
                      <w:marBottom w:val="0"/>
                      <w:divBdr>
                        <w:top w:val="none" w:sz="0" w:space="0" w:color="auto"/>
                        <w:left w:val="none" w:sz="0" w:space="0" w:color="auto"/>
                        <w:bottom w:val="none" w:sz="0" w:space="0" w:color="auto"/>
                        <w:right w:val="none" w:sz="0" w:space="0" w:color="auto"/>
                      </w:divBdr>
                      <w:divsChild>
                        <w:div w:id="97024097">
                          <w:marLeft w:val="0"/>
                          <w:marRight w:val="0"/>
                          <w:marTop w:val="0"/>
                          <w:marBottom w:val="0"/>
                          <w:divBdr>
                            <w:top w:val="none" w:sz="0" w:space="0" w:color="auto"/>
                            <w:left w:val="none" w:sz="0" w:space="0" w:color="auto"/>
                            <w:bottom w:val="none" w:sz="0" w:space="0" w:color="auto"/>
                            <w:right w:val="none" w:sz="0" w:space="0" w:color="auto"/>
                          </w:divBdr>
                          <w:divsChild>
                            <w:div w:id="627472125">
                              <w:marLeft w:val="0"/>
                              <w:marRight w:val="0"/>
                              <w:marTop w:val="0"/>
                              <w:marBottom w:val="0"/>
                              <w:divBdr>
                                <w:top w:val="none" w:sz="0" w:space="0" w:color="auto"/>
                                <w:left w:val="none" w:sz="0" w:space="0" w:color="auto"/>
                                <w:bottom w:val="none" w:sz="0" w:space="0" w:color="auto"/>
                                <w:right w:val="none" w:sz="0" w:space="0" w:color="auto"/>
                              </w:divBdr>
                              <w:divsChild>
                                <w:div w:id="869993674">
                                  <w:marLeft w:val="0"/>
                                  <w:marRight w:val="0"/>
                                  <w:marTop w:val="0"/>
                                  <w:marBottom w:val="0"/>
                                  <w:divBdr>
                                    <w:top w:val="none" w:sz="0" w:space="0" w:color="auto"/>
                                    <w:left w:val="none" w:sz="0" w:space="0" w:color="auto"/>
                                    <w:bottom w:val="none" w:sz="0" w:space="0" w:color="auto"/>
                                    <w:right w:val="none" w:sz="0" w:space="0" w:color="auto"/>
                                  </w:divBdr>
                                  <w:divsChild>
                                    <w:div w:id="19579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814117">
      <w:bodyDiv w:val="1"/>
      <w:marLeft w:val="0"/>
      <w:marRight w:val="0"/>
      <w:marTop w:val="0"/>
      <w:marBottom w:val="0"/>
      <w:divBdr>
        <w:top w:val="none" w:sz="0" w:space="0" w:color="auto"/>
        <w:left w:val="none" w:sz="0" w:space="0" w:color="auto"/>
        <w:bottom w:val="none" w:sz="0" w:space="0" w:color="auto"/>
        <w:right w:val="none" w:sz="0" w:space="0" w:color="auto"/>
      </w:divBdr>
    </w:div>
    <w:div w:id="1578516395">
      <w:bodyDiv w:val="1"/>
      <w:marLeft w:val="0"/>
      <w:marRight w:val="0"/>
      <w:marTop w:val="0"/>
      <w:marBottom w:val="0"/>
      <w:divBdr>
        <w:top w:val="none" w:sz="0" w:space="0" w:color="auto"/>
        <w:left w:val="none" w:sz="0" w:space="0" w:color="auto"/>
        <w:bottom w:val="none" w:sz="0" w:space="0" w:color="auto"/>
        <w:right w:val="none" w:sz="0" w:space="0" w:color="auto"/>
      </w:divBdr>
    </w:div>
    <w:div w:id="1582790636">
      <w:bodyDiv w:val="1"/>
      <w:marLeft w:val="0"/>
      <w:marRight w:val="0"/>
      <w:marTop w:val="0"/>
      <w:marBottom w:val="0"/>
      <w:divBdr>
        <w:top w:val="none" w:sz="0" w:space="0" w:color="auto"/>
        <w:left w:val="none" w:sz="0" w:space="0" w:color="auto"/>
        <w:bottom w:val="none" w:sz="0" w:space="0" w:color="auto"/>
        <w:right w:val="none" w:sz="0" w:space="0" w:color="auto"/>
      </w:divBdr>
      <w:divsChild>
        <w:div w:id="976570579">
          <w:marLeft w:val="0"/>
          <w:marRight w:val="0"/>
          <w:marTop w:val="0"/>
          <w:marBottom w:val="0"/>
          <w:divBdr>
            <w:top w:val="none" w:sz="0" w:space="0" w:color="auto"/>
            <w:left w:val="none" w:sz="0" w:space="0" w:color="auto"/>
            <w:bottom w:val="none" w:sz="0" w:space="0" w:color="auto"/>
            <w:right w:val="none" w:sz="0" w:space="0" w:color="auto"/>
          </w:divBdr>
          <w:divsChild>
            <w:div w:id="781652538">
              <w:marLeft w:val="0"/>
              <w:marRight w:val="0"/>
              <w:marTop w:val="0"/>
              <w:marBottom w:val="0"/>
              <w:divBdr>
                <w:top w:val="none" w:sz="0" w:space="0" w:color="auto"/>
                <w:left w:val="none" w:sz="0" w:space="0" w:color="auto"/>
                <w:bottom w:val="none" w:sz="0" w:space="0" w:color="auto"/>
                <w:right w:val="none" w:sz="0" w:space="0" w:color="auto"/>
              </w:divBdr>
              <w:divsChild>
                <w:div w:id="1947880745">
                  <w:marLeft w:val="0"/>
                  <w:marRight w:val="0"/>
                  <w:marTop w:val="0"/>
                  <w:marBottom w:val="0"/>
                  <w:divBdr>
                    <w:top w:val="none" w:sz="0" w:space="0" w:color="auto"/>
                    <w:left w:val="none" w:sz="0" w:space="0" w:color="auto"/>
                    <w:bottom w:val="none" w:sz="0" w:space="0" w:color="auto"/>
                    <w:right w:val="none" w:sz="0" w:space="0" w:color="auto"/>
                  </w:divBdr>
                  <w:divsChild>
                    <w:div w:id="376516567">
                      <w:marLeft w:val="0"/>
                      <w:marRight w:val="0"/>
                      <w:marTop w:val="0"/>
                      <w:marBottom w:val="0"/>
                      <w:divBdr>
                        <w:top w:val="none" w:sz="0" w:space="0" w:color="auto"/>
                        <w:left w:val="none" w:sz="0" w:space="0" w:color="auto"/>
                        <w:bottom w:val="none" w:sz="0" w:space="0" w:color="auto"/>
                        <w:right w:val="none" w:sz="0" w:space="0" w:color="auto"/>
                      </w:divBdr>
                      <w:divsChild>
                        <w:div w:id="1959026638">
                          <w:marLeft w:val="0"/>
                          <w:marRight w:val="0"/>
                          <w:marTop w:val="0"/>
                          <w:marBottom w:val="0"/>
                          <w:divBdr>
                            <w:top w:val="none" w:sz="0" w:space="0" w:color="auto"/>
                            <w:left w:val="none" w:sz="0" w:space="0" w:color="auto"/>
                            <w:bottom w:val="none" w:sz="0" w:space="0" w:color="auto"/>
                            <w:right w:val="none" w:sz="0" w:space="0" w:color="auto"/>
                          </w:divBdr>
                          <w:divsChild>
                            <w:div w:id="24067089">
                              <w:marLeft w:val="0"/>
                              <w:marRight w:val="0"/>
                              <w:marTop w:val="0"/>
                              <w:marBottom w:val="0"/>
                              <w:divBdr>
                                <w:top w:val="none" w:sz="0" w:space="0" w:color="auto"/>
                                <w:left w:val="none" w:sz="0" w:space="0" w:color="auto"/>
                                <w:bottom w:val="none" w:sz="0" w:space="0" w:color="auto"/>
                                <w:right w:val="none" w:sz="0" w:space="0" w:color="auto"/>
                              </w:divBdr>
                              <w:divsChild>
                                <w:div w:id="1482498584">
                                  <w:marLeft w:val="0"/>
                                  <w:marRight w:val="0"/>
                                  <w:marTop w:val="0"/>
                                  <w:marBottom w:val="0"/>
                                  <w:divBdr>
                                    <w:top w:val="none" w:sz="0" w:space="0" w:color="auto"/>
                                    <w:left w:val="none" w:sz="0" w:space="0" w:color="auto"/>
                                    <w:bottom w:val="none" w:sz="0" w:space="0" w:color="auto"/>
                                    <w:right w:val="none" w:sz="0" w:space="0" w:color="auto"/>
                                  </w:divBdr>
                                  <w:divsChild>
                                    <w:div w:id="1754281163">
                                      <w:marLeft w:val="0"/>
                                      <w:marRight w:val="0"/>
                                      <w:marTop w:val="0"/>
                                      <w:marBottom w:val="0"/>
                                      <w:divBdr>
                                        <w:top w:val="none" w:sz="0" w:space="0" w:color="auto"/>
                                        <w:left w:val="none" w:sz="0" w:space="0" w:color="auto"/>
                                        <w:bottom w:val="none" w:sz="0" w:space="0" w:color="auto"/>
                                        <w:right w:val="none" w:sz="0" w:space="0" w:color="auto"/>
                                      </w:divBdr>
                                      <w:divsChild>
                                        <w:div w:id="1884632761">
                                          <w:marLeft w:val="0"/>
                                          <w:marRight w:val="0"/>
                                          <w:marTop w:val="0"/>
                                          <w:marBottom w:val="0"/>
                                          <w:divBdr>
                                            <w:top w:val="none" w:sz="0" w:space="0" w:color="auto"/>
                                            <w:left w:val="none" w:sz="0" w:space="0" w:color="auto"/>
                                            <w:bottom w:val="none" w:sz="0" w:space="0" w:color="auto"/>
                                            <w:right w:val="none" w:sz="0" w:space="0" w:color="auto"/>
                                          </w:divBdr>
                                          <w:divsChild>
                                            <w:div w:id="1650095462">
                                              <w:marLeft w:val="0"/>
                                              <w:marRight w:val="0"/>
                                              <w:marTop w:val="0"/>
                                              <w:marBottom w:val="0"/>
                                              <w:divBdr>
                                                <w:top w:val="none" w:sz="0" w:space="0" w:color="auto"/>
                                                <w:left w:val="none" w:sz="0" w:space="0" w:color="auto"/>
                                                <w:bottom w:val="none" w:sz="0" w:space="0" w:color="auto"/>
                                                <w:right w:val="none" w:sz="0" w:space="0" w:color="auto"/>
                                              </w:divBdr>
                                              <w:divsChild>
                                                <w:div w:id="1960455277">
                                                  <w:marLeft w:val="0"/>
                                                  <w:marRight w:val="0"/>
                                                  <w:marTop w:val="0"/>
                                                  <w:marBottom w:val="0"/>
                                                  <w:divBdr>
                                                    <w:top w:val="none" w:sz="0" w:space="0" w:color="auto"/>
                                                    <w:left w:val="none" w:sz="0" w:space="0" w:color="auto"/>
                                                    <w:bottom w:val="none" w:sz="0" w:space="0" w:color="auto"/>
                                                    <w:right w:val="none" w:sz="0" w:space="0" w:color="auto"/>
                                                  </w:divBdr>
                                                  <w:divsChild>
                                                    <w:div w:id="203910348">
                                                      <w:marLeft w:val="0"/>
                                                      <w:marRight w:val="0"/>
                                                      <w:marTop w:val="0"/>
                                                      <w:marBottom w:val="0"/>
                                                      <w:divBdr>
                                                        <w:top w:val="none" w:sz="0" w:space="0" w:color="auto"/>
                                                        <w:left w:val="none" w:sz="0" w:space="0" w:color="auto"/>
                                                        <w:bottom w:val="none" w:sz="0" w:space="0" w:color="auto"/>
                                                        <w:right w:val="none" w:sz="0" w:space="0" w:color="auto"/>
                                                      </w:divBdr>
                                                      <w:divsChild>
                                                        <w:div w:id="1974284035">
                                                          <w:marLeft w:val="0"/>
                                                          <w:marRight w:val="0"/>
                                                          <w:marTop w:val="0"/>
                                                          <w:marBottom w:val="0"/>
                                                          <w:divBdr>
                                                            <w:top w:val="none" w:sz="0" w:space="0" w:color="auto"/>
                                                            <w:left w:val="none" w:sz="0" w:space="0" w:color="auto"/>
                                                            <w:bottom w:val="none" w:sz="0" w:space="0" w:color="auto"/>
                                                            <w:right w:val="none" w:sz="0" w:space="0" w:color="auto"/>
                                                          </w:divBdr>
                                                          <w:divsChild>
                                                            <w:div w:id="266352457">
                                                              <w:marLeft w:val="0"/>
                                                              <w:marRight w:val="0"/>
                                                              <w:marTop w:val="0"/>
                                                              <w:marBottom w:val="0"/>
                                                              <w:divBdr>
                                                                <w:top w:val="none" w:sz="0" w:space="0" w:color="auto"/>
                                                                <w:left w:val="none" w:sz="0" w:space="0" w:color="auto"/>
                                                                <w:bottom w:val="none" w:sz="0" w:space="0" w:color="auto"/>
                                                                <w:right w:val="none" w:sz="0" w:space="0" w:color="auto"/>
                                                              </w:divBdr>
                                                              <w:divsChild>
                                                                <w:div w:id="435517138">
                                                                  <w:marLeft w:val="0"/>
                                                                  <w:marRight w:val="0"/>
                                                                  <w:marTop w:val="0"/>
                                                                  <w:marBottom w:val="0"/>
                                                                  <w:divBdr>
                                                                    <w:top w:val="none" w:sz="0" w:space="0" w:color="auto"/>
                                                                    <w:left w:val="none" w:sz="0" w:space="0" w:color="auto"/>
                                                                    <w:bottom w:val="none" w:sz="0" w:space="0" w:color="auto"/>
                                                                    <w:right w:val="none" w:sz="0" w:space="0" w:color="auto"/>
                                                                  </w:divBdr>
                                                                  <w:divsChild>
                                                                    <w:div w:id="180316458">
                                                                      <w:marLeft w:val="0"/>
                                                                      <w:marRight w:val="0"/>
                                                                      <w:marTop w:val="0"/>
                                                                      <w:marBottom w:val="0"/>
                                                                      <w:divBdr>
                                                                        <w:top w:val="none" w:sz="0" w:space="0" w:color="auto"/>
                                                                        <w:left w:val="none" w:sz="0" w:space="0" w:color="auto"/>
                                                                        <w:bottom w:val="none" w:sz="0" w:space="0" w:color="auto"/>
                                                                        <w:right w:val="none" w:sz="0" w:space="0" w:color="auto"/>
                                                                      </w:divBdr>
                                                                      <w:divsChild>
                                                                        <w:div w:id="1876653465">
                                                                          <w:marLeft w:val="0"/>
                                                                          <w:marRight w:val="0"/>
                                                                          <w:marTop w:val="0"/>
                                                                          <w:marBottom w:val="0"/>
                                                                          <w:divBdr>
                                                                            <w:top w:val="none" w:sz="0" w:space="0" w:color="auto"/>
                                                                            <w:left w:val="none" w:sz="0" w:space="0" w:color="auto"/>
                                                                            <w:bottom w:val="none" w:sz="0" w:space="0" w:color="auto"/>
                                                                            <w:right w:val="none" w:sz="0" w:space="0" w:color="auto"/>
                                                                          </w:divBdr>
                                                                          <w:divsChild>
                                                                            <w:div w:id="384913386">
                                                                              <w:marLeft w:val="0"/>
                                                                              <w:marRight w:val="0"/>
                                                                              <w:marTop w:val="0"/>
                                                                              <w:marBottom w:val="0"/>
                                                                              <w:divBdr>
                                                                                <w:top w:val="none" w:sz="0" w:space="0" w:color="auto"/>
                                                                                <w:left w:val="none" w:sz="0" w:space="0" w:color="auto"/>
                                                                                <w:bottom w:val="none" w:sz="0" w:space="0" w:color="auto"/>
                                                                                <w:right w:val="none" w:sz="0" w:space="0" w:color="auto"/>
                                                                              </w:divBdr>
                                                                              <w:divsChild>
                                                                                <w:div w:id="1243178041">
                                                                                  <w:marLeft w:val="0"/>
                                                                                  <w:marRight w:val="0"/>
                                                                                  <w:marTop w:val="0"/>
                                                                                  <w:marBottom w:val="0"/>
                                                                                  <w:divBdr>
                                                                                    <w:top w:val="none" w:sz="0" w:space="0" w:color="auto"/>
                                                                                    <w:left w:val="none" w:sz="0" w:space="0" w:color="auto"/>
                                                                                    <w:bottom w:val="none" w:sz="0" w:space="0" w:color="auto"/>
                                                                                    <w:right w:val="none" w:sz="0" w:space="0" w:color="auto"/>
                                                                                  </w:divBdr>
                                                                                  <w:divsChild>
                                                                                    <w:div w:id="1400518772">
                                                                                      <w:marLeft w:val="0"/>
                                                                                      <w:marRight w:val="0"/>
                                                                                      <w:marTop w:val="0"/>
                                                                                      <w:marBottom w:val="0"/>
                                                                                      <w:divBdr>
                                                                                        <w:top w:val="none" w:sz="0" w:space="0" w:color="auto"/>
                                                                                        <w:left w:val="none" w:sz="0" w:space="0" w:color="auto"/>
                                                                                        <w:bottom w:val="none" w:sz="0" w:space="0" w:color="auto"/>
                                                                                        <w:right w:val="none" w:sz="0" w:space="0" w:color="auto"/>
                                                                                      </w:divBdr>
                                                                                      <w:divsChild>
                                                                                        <w:div w:id="231239837">
                                                                                          <w:marLeft w:val="0"/>
                                                                                          <w:marRight w:val="0"/>
                                                                                          <w:marTop w:val="0"/>
                                                                                          <w:marBottom w:val="0"/>
                                                                                          <w:divBdr>
                                                                                            <w:top w:val="none" w:sz="0" w:space="0" w:color="auto"/>
                                                                                            <w:left w:val="none" w:sz="0" w:space="0" w:color="auto"/>
                                                                                            <w:bottom w:val="none" w:sz="0" w:space="0" w:color="auto"/>
                                                                                            <w:right w:val="none" w:sz="0" w:space="0" w:color="auto"/>
                                                                                          </w:divBdr>
                                                                                          <w:divsChild>
                                                                                            <w:div w:id="1461679519">
                                                                                              <w:marLeft w:val="0"/>
                                                                                              <w:marRight w:val="0"/>
                                                                                              <w:marTop w:val="0"/>
                                                                                              <w:marBottom w:val="0"/>
                                                                                              <w:divBdr>
                                                                                                <w:top w:val="none" w:sz="0" w:space="0" w:color="auto"/>
                                                                                                <w:left w:val="none" w:sz="0" w:space="0" w:color="auto"/>
                                                                                                <w:bottom w:val="none" w:sz="0" w:space="0" w:color="auto"/>
                                                                                                <w:right w:val="none" w:sz="0" w:space="0" w:color="auto"/>
                                                                                              </w:divBdr>
                                                                                              <w:divsChild>
                                                                                                <w:div w:id="661395660">
                                                                                                  <w:marLeft w:val="0"/>
                                                                                                  <w:marRight w:val="0"/>
                                                                                                  <w:marTop w:val="0"/>
                                                                                                  <w:marBottom w:val="0"/>
                                                                                                  <w:divBdr>
                                                                                                    <w:top w:val="none" w:sz="0" w:space="0" w:color="auto"/>
                                                                                                    <w:left w:val="none" w:sz="0" w:space="0" w:color="auto"/>
                                                                                                    <w:bottom w:val="none" w:sz="0" w:space="0" w:color="auto"/>
                                                                                                    <w:right w:val="none" w:sz="0" w:space="0" w:color="auto"/>
                                                                                                  </w:divBdr>
                                                                                                  <w:divsChild>
                                                                                                    <w:div w:id="19385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992924">
      <w:bodyDiv w:val="1"/>
      <w:marLeft w:val="0"/>
      <w:marRight w:val="0"/>
      <w:marTop w:val="0"/>
      <w:marBottom w:val="0"/>
      <w:divBdr>
        <w:top w:val="none" w:sz="0" w:space="0" w:color="auto"/>
        <w:left w:val="none" w:sz="0" w:space="0" w:color="auto"/>
        <w:bottom w:val="none" w:sz="0" w:space="0" w:color="auto"/>
        <w:right w:val="none" w:sz="0" w:space="0" w:color="auto"/>
      </w:divBdr>
    </w:div>
    <w:div w:id="1606693889">
      <w:bodyDiv w:val="1"/>
      <w:marLeft w:val="0"/>
      <w:marRight w:val="0"/>
      <w:marTop w:val="0"/>
      <w:marBottom w:val="0"/>
      <w:divBdr>
        <w:top w:val="none" w:sz="0" w:space="0" w:color="auto"/>
        <w:left w:val="none" w:sz="0" w:space="0" w:color="auto"/>
        <w:bottom w:val="none" w:sz="0" w:space="0" w:color="auto"/>
        <w:right w:val="none" w:sz="0" w:space="0" w:color="auto"/>
      </w:divBdr>
      <w:divsChild>
        <w:div w:id="996810480">
          <w:marLeft w:val="0"/>
          <w:marRight w:val="0"/>
          <w:marTop w:val="0"/>
          <w:marBottom w:val="0"/>
          <w:divBdr>
            <w:top w:val="none" w:sz="0" w:space="0" w:color="auto"/>
            <w:left w:val="none" w:sz="0" w:space="0" w:color="auto"/>
            <w:bottom w:val="none" w:sz="0" w:space="0" w:color="auto"/>
            <w:right w:val="none" w:sz="0" w:space="0" w:color="auto"/>
          </w:divBdr>
          <w:divsChild>
            <w:div w:id="97259783">
              <w:marLeft w:val="0"/>
              <w:marRight w:val="0"/>
              <w:marTop w:val="0"/>
              <w:marBottom w:val="0"/>
              <w:divBdr>
                <w:top w:val="none" w:sz="0" w:space="0" w:color="auto"/>
                <w:left w:val="none" w:sz="0" w:space="0" w:color="auto"/>
                <w:bottom w:val="none" w:sz="0" w:space="0" w:color="auto"/>
                <w:right w:val="none" w:sz="0" w:space="0" w:color="auto"/>
              </w:divBdr>
              <w:divsChild>
                <w:div w:id="279725815">
                  <w:marLeft w:val="0"/>
                  <w:marRight w:val="0"/>
                  <w:marTop w:val="0"/>
                  <w:marBottom w:val="0"/>
                  <w:divBdr>
                    <w:top w:val="none" w:sz="0" w:space="0" w:color="auto"/>
                    <w:left w:val="none" w:sz="0" w:space="0" w:color="auto"/>
                    <w:bottom w:val="none" w:sz="0" w:space="0" w:color="auto"/>
                    <w:right w:val="none" w:sz="0" w:space="0" w:color="auto"/>
                  </w:divBdr>
                  <w:divsChild>
                    <w:div w:id="491605792">
                      <w:marLeft w:val="0"/>
                      <w:marRight w:val="0"/>
                      <w:marTop w:val="0"/>
                      <w:marBottom w:val="0"/>
                      <w:divBdr>
                        <w:top w:val="none" w:sz="0" w:space="0" w:color="auto"/>
                        <w:left w:val="none" w:sz="0" w:space="0" w:color="auto"/>
                        <w:bottom w:val="none" w:sz="0" w:space="0" w:color="auto"/>
                        <w:right w:val="none" w:sz="0" w:space="0" w:color="auto"/>
                      </w:divBdr>
                      <w:divsChild>
                        <w:div w:id="1050617172">
                          <w:marLeft w:val="0"/>
                          <w:marRight w:val="0"/>
                          <w:marTop w:val="0"/>
                          <w:marBottom w:val="0"/>
                          <w:divBdr>
                            <w:top w:val="none" w:sz="0" w:space="0" w:color="auto"/>
                            <w:left w:val="none" w:sz="0" w:space="0" w:color="auto"/>
                            <w:bottom w:val="none" w:sz="0" w:space="0" w:color="auto"/>
                            <w:right w:val="none" w:sz="0" w:space="0" w:color="auto"/>
                          </w:divBdr>
                          <w:divsChild>
                            <w:div w:id="2069449461">
                              <w:marLeft w:val="0"/>
                              <w:marRight w:val="0"/>
                              <w:marTop w:val="0"/>
                              <w:marBottom w:val="0"/>
                              <w:divBdr>
                                <w:top w:val="none" w:sz="0" w:space="0" w:color="auto"/>
                                <w:left w:val="none" w:sz="0" w:space="0" w:color="auto"/>
                                <w:bottom w:val="none" w:sz="0" w:space="0" w:color="auto"/>
                                <w:right w:val="none" w:sz="0" w:space="0" w:color="auto"/>
                              </w:divBdr>
                              <w:divsChild>
                                <w:div w:id="1274746991">
                                  <w:marLeft w:val="0"/>
                                  <w:marRight w:val="0"/>
                                  <w:marTop w:val="0"/>
                                  <w:marBottom w:val="0"/>
                                  <w:divBdr>
                                    <w:top w:val="none" w:sz="0" w:space="0" w:color="auto"/>
                                    <w:left w:val="none" w:sz="0" w:space="0" w:color="auto"/>
                                    <w:bottom w:val="none" w:sz="0" w:space="0" w:color="auto"/>
                                    <w:right w:val="none" w:sz="0" w:space="0" w:color="auto"/>
                                  </w:divBdr>
                                  <w:divsChild>
                                    <w:div w:id="806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8431">
      <w:bodyDiv w:val="1"/>
      <w:marLeft w:val="0"/>
      <w:marRight w:val="0"/>
      <w:marTop w:val="0"/>
      <w:marBottom w:val="0"/>
      <w:divBdr>
        <w:top w:val="none" w:sz="0" w:space="0" w:color="auto"/>
        <w:left w:val="none" w:sz="0" w:space="0" w:color="auto"/>
        <w:bottom w:val="none" w:sz="0" w:space="0" w:color="auto"/>
        <w:right w:val="none" w:sz="0" w:space="0" w:color="auto"/>
      </w:divBdr>
    </w:div>
    <w:div w:id="1644578373">
      <w:bodyDiv w:val="1"/>
      <w:marLeft w:val="0"/>
      <w:marRight w:val="0"/>
      <w:marTop w:val="0"/>
      <w:marBottom w:val="0"/>
      <w:divBdr>
        <w:top w:val="none" w:sz="0" w:space="0" w:color="auto"/>
        <w:left w:val="none" w:sz="0" w:space="0" w:color="auto"/>
        <w:bottom w:val="none" w:sz="0" w:space="0" w:color="auto"/>
        <w:right w:val="none" w:sz="0" w:space="0" w:color="auto"/>
      </w:divBdr>
    </w:div>
    <w:div w:id="1649701205">
      <w:bodyDiv w:val="1"/>
      <w:marLeft w:val="0"/>
      <w:marRight w:val="0"/>
      <w:marTop w:val="0"/>
      <w:marBottom w:val="0"/>
      <w:divBdr>
        <w:top w:val="none" w:sz="0" w:space="0" w:color="auto"/>
        <w:left w:val="none" w:sz="0" w:space="0" w:color="auto"/>
        <w:bottom w:val="none" w:sz="0" w:space="0" w:color="auto"/>
        <w:right w:val="none" w:sz="0" w:space="0" w:color="auto"/>
      </w:divBdr>
    </w:div>
    <w:div w:id="1667516118">
      <w:bodyDiv w:val="1"/>
      <w:marLeft w:val="0"/>
      <w:marRight w:val="0"/>
      <w:marTop w:val="0"/>
      <w:marBottom w:val="0"/>
      <w:divBdr>
        <w:top w:val="none" w:sz="0" w:space="0" w:color="auto"/>
        <w:left w:val="none" w:sz="0" w:space="0" w:color="auto"/>
        <w:bottom w:val="none" w:sz="0" w:space="0" w:color="auto"/>
        <w:right w:val="none" w:sz="0" w:space="0" w:color="auto"/>
      </w:divBdr>
      <w:divsChild>
        <w:div w:id="1795514524">
          <w:marLeft w:val="0"/>
          <w:marRight w:val="0"/>
          <w:marTop w:val="100"/>
          <w:marBottom w:val="100"/>
          <w:divBdr>
            <w:top w:val="none" w:sz="0" w:space="0" w:color="auto"/>
            <w:left w:val="single" w:sz="6" w:space="0" w:color="E9E9E9"/>
            <w:bottom w:val="none" w:sz="0" w:space="0" w:color="auto"/>
            <w:right w:val="single" w:sz="6" w:space="0" w:color="E9E9E9"/>
          </w:divBdr>
          <w:divsChild>
            <w:div w:id="18698305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81658579">
      <w:bodyDiv w:val="1"/>
      <w:marLeft w:val="0"/>
      <w:marRight w:val="0"/>
      <w:marTop w:val="0"/>
      <w:marBottom w:val="0"/>
      <w:divBdr>
        <w:top w:val="none" w:sz="0" w:space="0" w:color="auto"/>
        <w:left w:val="none" w:sz="0" w:space="0" w:color="auto"/>
        <w:bottom w:val="none" w:sz="0" w:space="0" w:color="auto"/>
        <w:right w:val="none" w:sz="0" w:space="0" w:color="auto"/>
      </w:divBdr>
    </w:div>
    <w:div w:id="1685589020">
      <w:bodyDiv w:val="1"/>
      <w:marLeft w:val="0"/>
      <w:marRight w:val="0"/>
      <w:marTop w:val="0"/>
      <w:marBottom w:val="0"/>
      <w:divBdr>
        <w:top w:val="none" w:sz="0" w:space="0" w:color="auto"/>
        <w:left w:val="none" w:sz="0" w:space="0" w:color="auto"/>
        <w:bottom w:val="none" w:sz="0" w:space="0" w:color="auto"/>
        <w:right w:val="none" w:sz="0" w:space="0" w:color="auto"/>
      </w:divBdr>
    </w:div>
    <w:div w:id="1713727482">
      <w:bodyDiv w:val="1"/>
      <w:marLeft w:val="0"/>
      <w:marRight w:val="0"/>
      <w:marTop w:val="0"/>
      <w:marBottom w:val="0"/>
      <w:divBdr>
        <w:top w:val="none" w:sz="0" w:space="0" w:color="auto"/>
        <w:left w:val="none" w:sz="0" w:space="0" w:color="auto"/>
        <w:bottom w:val="none" w:sz="0" w:space="0" w:color="auto"/>
        <w:right w:val="none" w:sz="0" w:space="0" w:color="auto"/>
      </w:divBdr>
    </w:div>
    <w:div w:id="1717116757">
      <w:bodyDiv w:val="1"/>
      <w:marLeft w:val="0"/>
      <w:marRight w:val="0"/>
      <w:marTop w:val="0"/>
      <w:marBottom w:val="0"/>
      <w:divBdr>
        <w:top w:val="none" w:sz="0" w:space="0" w:color="auto"/>
        <w:left w:val="none" w:sz="0" w:space="0" w:color="auto"/>
        <w:bottom w:val="none" w:sz="0" w:space="0" w:color="auto"/>
        <w:right w:val="none" w:sz="0" w:space="0" w:color="auto"/>
      </w:divBdr>
    </w:div>
    <w:div w:id="1717310641">
      <w:bodyDiv w:val="1"/>
      <w:marLeft w:val="0"/>
      <w:marRight w:val="0"/>
      <w:marTop w:val="0"/>
      <w:marBottom w:val="0"/>
      <w:divBdr>
        <w:top w:val="none" w:sz="0" w:space="0" w:color="auto"/>
        <w:left w:val="none" w:sz="0" w:space="0" w:color="auto"/>
        <w:bottom w:val="none" w:sz="0" w:space="0" w:color="auto"/>
        <w:right w:val="none" w:sz="0" w:space="0" w:color="auto"/>
      </w:divBdr>
    </w:div>
    <w:div w:id="1733117553">
      <w:bodyDiv w:val="1"/>
      <w:marLeft w:val="0"/>
      <w:marRight w:val="0"/>
      <w:marTop w:val="0"/>
      <w:marBottom w:val="0"/>
      <w:divBdr>
        <w:top w:val="none" w:sz="0" w:space="0" w:color="auto"/>
        <w:left w:val="none" w:sz="0" w:space="0" w:color="auto"/>
        <w:bottom w:val="none" w:sz="0" w:space="0" w:color="auto"/>
        <w:right w:val="none" w:sz="0" w:space="0" w:color="auto"/>
      </w:divBdr>
    </w:div>
    <w:div w:id="1751809480">
      <w:bodyDiv w:val="1"/>
      <w:marLeft w:val="0"/>
      <w:marRight w:val="0"/>
      <w:marTop w:val="0"/>
      <w:marBottom w:val="0"/>
      <w:divBdr>
        <w:top w:val="none" w:sz="0" w:space="0" w:color="auto"/>
        <w:left w:val="none" w:sz="0" w:space="0" w:color="auto"/>
        <w:bottom w:val="none" w:sz="0" w:space="0" w:color="auto"/>
        <w:right w:val="none" w:sz="0" w:space="0" w:color="auto"/>
      </w:divBdr>
    </w:div>
    <w:div w:id="1776051387">
      <w:bodyDiv w:val="1"/>
      <w:marLeft w:val="0"/>
      <w:marRight w:val="0"/>
      <w:marTop w:val="0"/>
      <w:marBottom w:val="0"/>
      <w:divBdr>
        <w:top w:val="none" w:sz="0" w:space="0" w:color="auto"/>
        <w:left w:val="none" w:sz="0" w:space="0" w:color="auto"/>
        <w:bottom w:val="none" w:sz="0" w:space="0" w:color="auto"/>
        <w:right w:val="none" w:sz="0" w:space="0" w:color="auto"/>
      </w:divBdr>
    </w:div>
    <w:div w:id="1776516480">
      <w:bodyDiv w:val="1"/>
      <w:marLeft w:val="0"/>
      <w:marRight w:val="0"/>
      <w:marTop w:val="0"/>
      <w:marBottom w:val="0"/>
      <w:divBdr>
        <w:top w:val="none" w:sz="0" w:space="0" w:color="auto"/>
        <w:left w:val="none" w:sz="0" w:space="0" w:color="auto"/>
        <w:bottom w:val="none" w:sz="0" w:space="0" w:color="auto"/>
        <w:right w:val="none" w:sz="0" w:space="0" w:color="auto"/>
      </w:divBdr>
    </w:div>
    <w:div w:id="1799029870">
      <w:bodyDiv w:val="1"/>
      <w:marLeft w:val="0"/>
      <w:marRight w:val="0"/>
      <w:marTop w:val="0"/>
      <w:marBottom w:val="0"/>
      <w:divBdr>
        <w:top w:val="none" w:sz="0" w:space="0" w:color="auto"/>
        <w:left w:val="none" w:sz="0" w:space="0" w:color="auto"/>
        <w:bottom w:val="none" w:sz="0" w:space="0" w:color="auto"/>
        <w:right w:val="none" w:sz="0" w:space="0" w:color="auto"/>
      </w:divBdr>
    </w:div>
    <w:div w:id="1800030493">
      <w:bodyDiv w:val="1"/>
      <w:marLeft w:val="0"/>
      <w:marRight w:val="0"/>
      <w:marTop w:val="0"/>
      <w:marBottom w:val="0"/>
      <w:divBdr>
        <w:top w:val="none" w:sz="0" w:space="0" w:color="auto"/>
        <w:left w:val="none" w:sz="0" w:space="0" w:color="auto"/>
        <w:bottom w:val="none" w:sz="0" w:space="0" w:color="auto"/>
        <w:right w:val="none" w:sz="0" w:space="0" w:color="auto"/>
      </w:divBdr>
    </w:div>
    <w:div w:id="1862235960">
      <w:bodyDiv w:val="1"/>
      <w:marLeft w:val="0"/>
      <w:marRight w:val="0"/>
      <w:marTop w:val="0"/>
      <w:marBottom w:val="0"/>
      <w:divBdr>
        <w:top w:val="none" w:sz="0" w:space="0" w:color="auto"/>
        <w:left w:val="none" w:sz="0" w:space="0" w:color="auto"/>
        <w:bottom w:val="none" w:sz="0" w:space="0" w:color="auto"/>
        <w:right w:val="none" w:sz="0" w:space="0" w:color="auto"/>
      </w:divBdr>
      <w:divsChild>
        <w:div w:id="1368332876">
          <w:marLeft w:val="0"/>
          <w:marRight w:val="0"/>
          <w:marTop w:val="150"/>
          <w:marBottom w:val="0"/>
          <w:divBdr>
            <w:top w:val="none" w:sz="0" w:space="0" w:color="auto"/>
            <w:left w:val="none" w:sz="0" w:space="0" w:color="auto"/>
            <w:bottom w:val="none" w:sz="0" w:space="0" w:color="auto"/>
            <w:right w:val="none" w:sz="0" w:space="0" w:color="auto"/>
          </w:divBdr>
          <w:divsChild>
            <w:div w:id="171457679">
              <w:marLeft w:val="0"/>
              <w:marRight w:val="0"/>
              <w:marTop w:val="0"/>
              <w:marBottom w:val="0"/>
              <w:divBdr>
                <w:top w:val="none" w:sz="0" w:space="0" w:color="auto"/>
                <w:left w:val="none" w:sz="0" w:space="0" w:color="auto"/>
                <w:bottom w:val="none" w:sz="0" w:space="0" w:color="auto"/>
                <w:right w:val="none" w:sz="0" w:space="0" w:color="auto"/>
              </w:divBdr>
              <w:divsChild>
                <w:div w:id="1010371228">
                  <w:marLeft w:val="0"/>
                  <w:marRight w:val="0"/>
                  <w:marTop w:val="0"/>
                  <w:marBottom w:val="0"/>
                  <w:divBdr>
                    <w:top w:val="none" w:sz="0" w:space="0" w:color="auto"/>
                    <w:left w:val="none" w:sz="0" w:space="0" w:color="auto"/>
                    <w:bottom w:val="none" w:sz="0" w:space="0" w:color="auto"/>
                    <w:right w:val="none" w:sz="0" w:space="0" w:color="auto"/>
                  </w:divBdr>
                  <w:divsChild>
                    <w:div w:id="62683019">
                      <w:marLeft w:val="0"/>
                      <w:marRight w:val="0"/>
                      <w:marTop w:val="0"/>
                      <w:marBottom w:val="0"/>
                      <w:divBdr>
                        <w:top w:val="none" w:sz="0" w:space="0" w:color="auto"/>
                        <w:left w:val="none" w:sz="0" w:space="0" w:color="auto"/>
                        <w:bottom w:val="none" w:sz="0" w:space="0" w:color="auto"/>
                        <w:right w:val="none" w:sz="0" w:space="0" w:color="auto"/>
                      </w:divBdr>
                      <w:divsChild>
                        <w:div w:id="16984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93765">
      <w:bodyDiv w:val="1"/>
      <w:marLeft w:val="0"/>
      <w:marRight w:val="0"/>
      <w:marTop w:val="0"/>
      <w:marBottom w:val="0"/>
      <w:divBdr>
        <w:top w:val="none" w:sz="0" w:space="0" w:color="auto"/>
        <w:left w:val="none" w:sz="0" w:space="0" w:color="auto"/>
        <w:bottom w:val="none" w:sz="0" w:space="0" w:color="auto"/>
        <w:right w:val="none" w:sz="0" w:space="0" w:color="auto"/>
      </w:divBdr>
    </w:div>
    <w:div w:id="1894929324">
      <w:bodyDiv w:val="1"/>
      <w:marLeft w:val="0"/>
      <w:marRight w:val="0"/>
      <w:marTop w:val="0"/>
      <w:marBottom w:val="0"/>
      <w:divBdr>
        <w:top w:val="none" w:sz="0" w:space="0" w:color="auto"/>
        <w:left w:val="none" w:sz="0" w:space="0" w:color="auto"/>
        <w:bottom w:val="none" w:sz="0" w:space="0" w:color="auto"/>
        <w:right w:val="none" w:sz="0" w:space="0" w:color="auto"/>
      </w:divBdr>
    </w:div>
    <w:div w:id="1909458941">
      <w:bodyDiv w:val="1"/>
      <w:marLeft w:val="0"/>
      <w:marRight w:val="0"/>
      <w:marTop w:val="0"/>
      <w:marBottom w:val="0"/>
      <w:divBdr>
        <w:top w:val="none" w:sz="0" w:space="0" w:color="auto"/>
        <w:left w:val="none" w:sz="0" w:space="0" w:color="auto"/>
        <w:bottom w:val="none" w:sz="0" w:space="0" w:color="auto"/>
        <w:right w:val="none" w:sz="0" w:space="0" w:color="auto"/>
      </w:divBdr>
    </w:div>
    <w:div w:id="1909728652">
      <w:bodyDiv w:val="1"/>
      <w:marLeft w:val="0"/>
      <w:marRight w:val="0"/>
      <w:marTop w:val="0"/>
      <w:marBottom w:val="0"/>
      <w:divBdr>
        <w:top w:val="none" w:sz="0" w:space="0" w:color="auto"/>
        <w:left w:val="none" w:sz="0" w:space="0" w:color="auto"/>
        <w:bottom w:val="none" w:sz="0" w:space="0" w:color="auto"/>
        <w:right w:val="none" w:sz="0" w:space="0" w:color="auto"/>
      </w:divBdr>
    </w:div>
    <w:div w:id="1914075564">
      <w:bodyDiv w:val="1"/>
      <w:marLeft w:val="0"/>
      <w:marRight w:val="0"/>
      <w:marTop w:val="0"/>
      <w:marBottom w:val="0"/>
      <w:divBdr>
        <w:top w:val="none" w:sz="0" w:space="0" w:color="auto"/>
        <w:left w:val="none" w:sz="0" w:space="0" w:color="auto"/>
        <w:bottom w:val="none" w:sz="0" w:space="0" w:color="auto"/>
        <w:right w:val="none" w:sz="0" w:space="0" w:color="auto"/>
      </w:divBdr>
    </w:div>
    <w:div w:id="1946885318">
      <w:bodyDiv w:val="1"/>
      <w:marLeft w:val="0"/>
      <w:marRight w:val="0"/>
      <w:marTop w:val="0"/>
      <w:marBottom w:val="0"/>
      <w:divBdr>
        <w:top w:val="none" w:sz="0" w:space="0" w:color="auto"/>
        <w:left w:val="none" w:sz="0" w:space="0" w:color="auto"/>
        <w:bottom w:val="none" w:sz="0" w:space="0" w:color="auto"/>
        <w:right w:val="none" w:sz="0" w:space="0" w:color="auto"/>
      </w:divBdr>
    </w:div>
    <w:div w:id="1962220230">
      <w:bodyDiv w:val="1"/>
      <w:marLeft w:val="0"/>
      <w:marRight w:val="0"/>
      <w:marTop w:val="0"/>
      <w:marBottom w:val="0"/>
      <w:divBdr>
        <w:top w:val="none" w:sz="0" w:space="0" w:color="auto"/>
        <w:left w:val="none" w:sz="0" w:space="0" w:color="auto"/>
        <w:bottom w:val="none" w:sz="0" w:space="0" w:color="auto"/>
        <w:right w:val="none" w:sz="0" w:space="0" w:color="auto"/>
      </w:divBdr>
    </w:div>
    <w:div w:id="1965190500">
      <w:bodyDiv w:val="1"/>
      <w:marLeft w:val="0"/>
      <w:marRight w:val="0"/>
      <w:marTop w:val="0"/>
      <w:marBottom w:val="0"/>
      <w:divBdr>
        <w:top w:val="none" w:sz="0" w:space="0" w:color="auto"/>
        <w:left w:val="none" w:sz="0" w:space="0" w:color="auto"/>
        <w:bottom w:val="none" w:sz="0" w:space="0" w:color="auto"/>
        <w:right w:val="none" w:sz="0" w:space="0" w:color="auto"/>
      </w:divBdr>
    </w:div>
    <w:div w:id="1965309065">
      <w:bodyDiv w:val="1"/>
      <w:marLeft w:val="0"/>
      <w:marRight w:val="0"/>
      <w:marTop w:val="0"/>
      <w:marBottom w:val="0"/>
      <w:divBdr>
        <w:top w:val="none" w:sz="0" w:space="0" w:color="auto"/>
        <w:left w:val="none" w:sz="0" w:space="0" w:color="auto"/>
        <w:bottom w:val="none" w:sz="0" w:space="0" w:color="auto"/>
        <w:right w:val="none" w:sz="0" w:space="0" w:color="auto"/>
      </w:divBdr>
    </w:div>
    <w:div w:id="1986162774">
      <w:bodyDiv w:val="1"/>
      <w:marLeft w:val="0"/>
      <w:marRight w:val="0"/>
      <w:marTop w:val="0"/>
      <w:marBottom w:val="0"/>
      <w:divBdr>
        <w:top w:val="none" w:sz="0" w:space="0" w:color="auto"/>
        <w:left w:val="none" w:sz="0" w:space="0" w:color="auto"/>
        <w:bottom w:val="none" w:sz="0" w:space="0" w:color="auto"/>
        <w:right w:val="none" w:sz="0" w:space="0" w:color="auto"/>
      </w:divBdr>
    </w:div>
    <w:div w:id="2025862463">
      <w:bodyDiv w:val="1"/>
      <w:marLeft w:val="0"/>
      <w:marRight w:val="0"/>
      <w:marTop w:val="0"/>
      <w:marBottom w:val="0"/>
      <w:divBdr>
        <w:top w:val="none" w:sz="0" w:space="0" w:color="auto"/>
        <w:left w:val="none" w:sz="0" w:space="0" w:color="auto"/>
        <w:bottom w:val="none" w:sz="0" w:space="0" w:color="auto"/>
        <w:right w:val="none" w:sz="0" w:space="0" w:color="auto"/>
      </w:divBdr>
    </w:div>
    <w:div w:id="2026443907">
      <w:bodyDiv w:val="1"/>
      <w:marLeft w:val="0"/>
      <w:marRight w:val="0"/>
      <w:marTop w:val="0"/>
      <w:marBottom w:val="0"/>
      <w:divBdr>
        <w:top w:val="none" w:sz="0" w:space="0" w:color="auto"/>
        <w:left w:val="none" w:sz="0" w:space="0" w:color="auto"/>
        <w:bottom w:val="none" w:sz="0" w:space="0" w:color="auto"/>
        <w:right w:val="none" w:sz="0" w:space="0" w:color="auto"/>
      </w:divBdr>
    </w:div>
    <w:div w:id="2030065055">
      <w:bodyDiv w:val="1"/>
      <w:marLeft w:val="0"/>
      <w:marRight w:val="0"/>
      <w:marTop w:val="0"/>
      <w:marBottom w:val="0"/>
      <w:divBdr>
        <w:top w:val="none" w:sz="0" w:space="0" w:color="auto"/>
        <w:left w:val="none" w:sz="0" w:space="0" w:color="auto"/>
        <w:bottom w:val="none" w:sz="0" w:space="0" w:color="auto"/>
        <w:right w:val="none" w:sz="0" w:space="0" w:color="auto"/>
      </w:divBdr>
    </w:div>
    <w:div w:id="2042853655">
      <w:bodyDiv w:val="1"/>
      <w:marLeft w:val="0"/>
      <w:marRight w:val="0"/>
      <w:marTop w:val="0"/>
      <w:marBottom w:val="0"/>
      <w:divBdr>
        <w:top w:val="none" w:sz="0" w:space="0" w:color="auto"/>
        <w:left w:val="none" w:sz="0" w:space="0" w:color="auto"/>
        <w:bottom w:val="none" w:sz="0" w:space="0" w:color="auto"/>
        <w:right w:val="none" w:sz="0" w:space="0" w:color="auto"/>
      </w:divBdr>
      <w:divsChild>
        <w:div w:id="1565798587">
          <w:marLeft w:val="0"/>
          <w:marRight w:val="0"/>
          <w:marTop w:val="0"/>
          <w:marBottom w:val="0"/>
          <w:divBdr>
            <w:top w:val="none" w:sz="0" w:space="0" w:color="auto"/>
            <w:left w:val="none" w:sz="0" w:space="0" w:color="auto"/>
            <w:bottom w:val="none" w:sz="0" w:space="0" w:color="auto"/>
            <w:right w:val="none" w:sz="0" w:space="0" w:color="auto"/>
          </w:divBdr>
          <w:divsChild>
            <w:div w:id="1126653814">
              <w:marLeft w:val="0"/>
              <w:marRight w:val="0"/>
              <w:marTop w:val="0"/>
              <w:marBottom w:val="0"/>
              <w:divBdr>
                <w:top w:val="none" w:sz="0" w:space="0" w:color="auto"/>
                <w:left w:val="none" w:sz="0" w:space="0" w:color="auto"/>
                <w:bottom w:val="none" w:sz="0" w:space="0" w:color="auto"/>
                <w:right w:val="none" w:sz="0" w:space="0" w:color="auto"/>
              </w:divBdr>
              <w:divsChild>
                <w:div w:id="287712310">
                  <w:marLeft w:val="0"/>
                  <w:marRight w:val="0"/>
                  <w:marTop w:val="0"/>
                  <w:marBottom w:val="0"/>
                  <w:divBdr>
                    <w:top w:val="none" w:sz="0" w:space="0" w:color="auto"/>
                    <w:left w:val="none" w:sz="0" w:space="0" w:color="auto"/>
                    <w:bottom w:val="none" w:sz="0" w:space="0" w:color="auto"/>
                    <w:right w:val="none" w:sz="0" w:space="0" w:color="auto"/>
                  </w:divBdr>
                  <w:divsChild>
                    <w:div w:id="1247106838">
                      <w:marLeft w:val="0"/>
                      <w:marRight w:val="0"/>
                      <w:marTop w:val="0"/>
                      <w:marBottom w:val="0"/>
                      <w:divBdr>
                        <w:top w:val="none" w:sz="0" w:space="0" w:color="auto"/>
                        <w:left w:val="none" w:sz="0" w:space="0" w:color="auto"/>
                        <w:bottom w:val="none" w:sz="0" w:space="0" w:color="auto"/>
                        <w:right w:val="none" w:sz="0" w:space="0" w:color="auto"/>
                      </w:divBdr>
                      <w:divsChild>
                        <w:div w:id="218593901">
                          <w:marLeft w:val="0"/>
                          <w:marRight w:val="0"/>
                          <w:marTop w:val="0"/>
                          <w:marBottom w:val="0"/>
                          <w:divBdr>
                            <w:top w:val="none" w:sz="0" w:space="0" w:color="auto"/>
                            <w:left w:val="none" w:sz="0" w:space="0" w:color="auto"/>
                            <w:bottom w:val="none" w:sz="0" w:space="0" w:color="auto"/>
                            <w:right w:val="none" w:sz="0" w:space="0" w:color="auto"/>
                          </w:divBdr>
                          <w:divsChild>
                            <w:div w:id="1525054660">
                              <w:marLeft w:val="0"/>
                              <w:marRight w:val="0"/>
                              <w:marTop w:val="0"/>
                              <w:marBottom w:val="0"/>
                              <w:divBdr>
                                <w:top w:val="none" w:sz="0" w:space="0" w:color="auto"/>
                                <w:left w:val="none" w:sz="0" w:space="0" w:color="auto"/>
                                <w:bottom w:val="none" w:sz="0" w:space="0" w:color="auto"/>
                                <w:right w:val="none" w:sz="0" w:space="0" w:color="auto"/>
                              </w:divBdr>
                              <w:divsChild>
                                <w:div w:id="1243101784">
                                  <w:marLeft w:val="0"/>
                                  <w:marRight w:val="0"/>
                                  <w:marTop w:val="0"/>
                                  <w:marBottom w:val="0"/>
                                  <w:divBdr>
                                    <w:top w:val="none" w:sz="0" w:space="0" w:color="auto"/>
                                    <w:left w:val="none" w:sz="0" w:space="0" w:color="auto"/>
                                    <w:bottom w:val="none" w:sz="0" w:space="0" w:color="auto"/>
                                    <w:right w:val="none" w:sz="0" w:space="0" w:color="auto"/>
                                  </w:divBdr>
                                  <w:divsChild>
                                    <w:div w:id="1018549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442614">
                                          <w:marLeft w:val="0"/>
                                          <w:marRight w:val="0"/>
                                          <w:marTop w:val="0"/>
                                          <w:marBottom w:val="0"/>
                                          <w:divBdr>
                                            <w:top w:val="none" w:sz="0" w:space="0" w:color="auto"/>
                                            <w:left w:val="none" w:sz="0" w:space="0" w:color="auto"/>
                                            <w:bottom w:val="none" w:sz="0" w:space="0" w:color="auto"/>
                                            <w:right w:val="none" w:sz="0" w:space="0" w:color="auto"/>
                                          </w:divBdr>
                                        </w:div>
                                        <w:div w:id="7712417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34353603">
                                              <w:marLeft w:val="0"/>
                                              <w:marRight w:val="0"/>
                                              <w:marTop w:val="0"/>
                                              <w:marBottom w:val="0"/>
                                              <w:divBdr>
                                                <w:top w:val="none" w:sz="0" w:space="0" w:color="auto"/>
                                                <w:left w:val="none" w:sz="0" w:space="0" w:color="auto"/>
                                                <w:bottom w:val="none" w:sz="0" w:space="0" w:color="auto"/>
                                                <w:right w:val="none" w:sz="0" w:space="0" w:color="auto"/>
                                              </w:divBdr>
                                            </w:div>
                                            <w:div w:id="843126817">
                                              <w:marLeft w:val="0"/>
                                              <w:marRight w:val="0"/>
                                              <w:marTop w:val="0"/>
                                              <w:marBottom w:val="0"/>
                                              <w:divBdr>
                                                <w:top w:val="none" w:sz="0" w:space="0" w:color="auto"/>
                                                <w:left w:val="none" w:sz="0" w:space="0" w:color="auto"/>
                                                <w:bottom w:val="none" w:sz="0" w:space="0" w:color="auto"/>
                                                <w:right w:val="none" w:sz="0" w:space="0" w:color="auto"/>
                                              </w:divBdr>
                                            </w:div>
                                            <w:div w:id="1157570612">
                                              <w:marLeft w:val="0"/>
                                              <w:marRight w:val="0"/>
                                              <w:marTop w:val="0"/>
                                              <w:marBottom w:val="0"/>
                                              <w:divBdr>
                                                <w:top w:val="none" w:sz="0" w:space="0" w:color="auto"/>
                                                <w:left w:val="none" w:sz="0" w:space="0" w:color="auto"/>
                                                <w:bottom w:val="none" w:sz="0" w:space="0" w:color="auto"/>
                                                <w:right w:val="none" w:sz="0" w:space="0" w:color="auto"/>
                                              </w:divBdr>
                                            </w:div>
                                            <w:div w:id="1752578317">
                                              <w:marLeft w:val="0"/>
                                              <w:marRight w:val="0"/>
                                              <w:marTop w:val="0"/>
                                              <w:marBottom w:val="0"/>
                                              <w:divBdr>
                                                <w:top w:val="none" w:sz="0" w:space="0" w:color="auto"/>
                                                <w:left w:val="none" w:sz="0" w:space="0" w:color="auto"/>
                                                <w:bottom w:val="none" w:sz="0" w:space="0" w:color="auto"/>
                                                <w:right w:val="none" w:sz="0" w:space="0" w:color="auto"/>
                                              </w:divBdr>
                                            </w:div>
                                            <w:div w:id="1803228981">
                                              <w:marLeft w:val="0"/>
                                              <w:marRight w:val="0"/>
                                              <w:marTop w:val="0"/>
                                              <w:marBottom w:val="0"/>
                                              <w:divBdr>
                                                <w:top w:val="none" w:sz="0" w:space="0" w:color="auto"/>
                                                <w:left w:val="none" w:sz="0" w:space="0" w:color="auto"/>
                                                <w:bottom w:val="none" w:sz="0" w:space="0" w:color="auto"/>
                                                <w:right w:val="none" w:sz="0" w:space="0" w:color="auto"/>
                                              </w:divBdr>
                                            </w:div>
                                            <w:div w:id="1878156208">
                                              <w:marLeft w:val="0"/>
                                              <w:marRight w:val="0"/>
                                              <w:marTop w:val="0"/>
                                              <w:marBottom w:val="0"/>
                                              <w:divBdr>
                                                <w:top w:val="none" w:sz="0" w:space="0" w:color="auto"/>
                                                <w:left w:val="none" w:sz="0" w:space="0" w:color="auto"/>
                                                <w:bottom w:val="none" w:sz="0" w:space="0" w:color="auto"/>
                                                <w:right w:val="none" w:sz="0" w:space="0" w:color="auto"/>
                                              </w:divBdr>
                                            </w:div>
                                          </w:divsChild>
                                        </w:div>
                                        <w:div w:id="7882821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07038654">
                                              <w:marLeft w:val="0"/>
                                              <w:marRight w:val="0"/>
                                              <w:marTop w:val="0"/>
                                              <w:marBottom w:val="0"/>
                                              <w:divBdr>
                                                <w:top w:val="none" w:sz="0" w:space="0" w:color="auto"/>
                                                <w:left w:val="none" w:sz="0" w:space="0" w:color="auto"/>
                                                <w:bottom w:val="none" w:sz="0" w:space="0" w:color="auto"/>
                                                <w:right w:val="none" w:sz="0" w:space="0" w:color="auto"/>
                                              </w:divBdr>
                                            </w:div>
                                          </w:divsChild>
                                        </w:div>
                                        <w:div w:id="805009628">
                                          <w:marLeft w:val="0"/>
                                          <w:marRight w:val="0"/>
                                          <w:marTop w:val="0"/>
                                          <w:marBottom w:val="0"/>
                                          <w:divBdr>
                                            <w:top w:val="none" w:sz="0" w:space="0" w:color="auto"/>
                                            <w:left w:val="none" w:sz="0" w:space="0" w:color="auto"/>
                                            <w:bottom w:val="none" w:sz="0" w:space="0" w:color="auto"/>
                                            <w:right w:val="none" w:sz="0" w:space="0" w:color="auto"/>
                                          </w:divBdr>
                                        </w:div>
                                      </w:divsChild>
                                    </w:div>
                                    <w:div w:id="7694311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8624635">
                                          <w:marLeft w:val="0"/>
                                          <w:marRight w:val="0"/>
                                          <w:marTop w:val="0"/>
                                          <w:marBottom w:val="0"/>
                                          <w:divBdr>
                                            <w:top w:val="none" w:sz="0" w:space="0" w:color="auto"/>
                                            <w:left w:val="none" w:sz="0" w:space="0" w:color="auto"/>
                                            <w:bottom w:val="none" w:sz="0" w:space="0" w:color="auto"/>
                                            <w:right w:val="none" w:sz="0" w:space="0" w:color="auto"/>
                                          </w:divBdr>
                                        </w:div>
                                        <w:div w:id="1710109702">
                                          <w:marLeft w:val="0"/>
                                          <w:marRight w:val="0"/>
                                          <w:marTop w:val="0"/>
                                          <w:marBottom w:val="0"/>
                                          <w:divBdr>
                                            <w:top w:val="none" w:sz="0" w:space="0" w:color="auto"/>
                                            <w:left w:val="none" w:sz="0" w:space="0" w:color="auto"/>
                                            <w:bottom w:val="none" w:sz="0" w:space="0" w:color="auto"/>
                                            <w:right w:val="none" w:sz="0" w:space="0" w:color="auto"/>
                                          </w:divBdr>
                                        </w:div>
                                      </w:divsChild>
                                    </w:div>
                                    <w:div w:id="301230447">
                                      <w:marLeft w:val="0"/>
                                      <w:marRight w:val="0"/>
                                      <w:marTop w:val="0"/>
                                      <w:marBottom w:val="0"/>
                                      <w:divBdr>
                                        <w:top w:val="none" w:sz="0" w:space="0" w:color="auto"/>
                                        <w:left w:val="none" w:sz="0" w:space="0" w:color="auto"/>
                                        <w:bottom w:val="none" w:sz="0" w:space="0" w:color="auto"/>
                                        <w:right w:val="none" w:sz="0" w:space="0" w:color="auto"/>
                                      </w:divBdr>
                                    </w:div>
                                    <w:div w:id="4816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758090">
      <w:bodyDiv w:val="1"/>
      <w:marLeft w:val="0"/>
      <w:marRight w:val="0"/>
      <w:marTop w:val="0"/>
      <w:marBottom w:val="0"/>
      <w:divBdr>
        <w:top w:val="none" w:sz="0" w:space="0" w:color="auto"/>
        <w:left w:val="none" w:sz="0" w:space="0" w:color="auto"/>
        <w:bottom w:val="none" w:sz="0" w:space="0" w:color="auto"/>
        <w:right w:val="none" w:sz="0" w:space="0" w:color="auto"/>
      </w:divBdr>
    </w:div>
    <w:div w:id="2050908038">
      <w:bodyDiv w:val="1"/>
      <w:marLeft w:val="0"/>
      <w:marRight w:val="0"/>
      <w:marTop w:val="0"/>
      <w:marBottom w:val="0"/>
      <w:divBdr>
        <w:top w:val="none" w:sz="0" w:space="0" w:color="auto"/>
        <w:left w:val="none" w:sz="0" w:space="0" w:color="auto"/>
        <w:bottom w:val="none" w:sz="0" w:space="0" w:color="auto"/>
        <w:right w:val="none" w:sz="0" w:space="0" w:color="auto"/>
      </w:divBdr>
    </w:div>
    <w:div w:id="2073237513">
      <w:bodyDiv w:val="1"/>
      <w:marLeft w:val="0"/>
      <w:marRight w:val="0"/>
      <w:marTop w:val="0"/>
      <w:marBottom w:val="0"/>
      <w:divBdr>
        <w:top w:val="none" w:sz="0" w:space="0" w:color="auto"/>
        <w:left w:val="none" w:sz="0" w:space="0" w:color="auto"/>
        <w:bottom w:val="none" w:sz="0" w:space="0" w:color="auto"/>
        <w:right w:val="none" w:sz="0" w:space="0" w:color="auto"/>
      </w:divBdr>
    </w:div>
    <w:div w:id="2076510287">
      <w:bodyDiv w:val="1"/>
      <w:marLeft w:val="0"/>
      <w:marRight w:val="0"/>
      <w:marTop w:val="0"/>
      <w:marBottom w:val="0"/>
      <w:divBdr>
        <w:top w:val="none" w:sz="0" w:space="0" w:color="auto"/>
        <w:left w:val="none" w:sz="0" w:space="0" w:color="auto"/>
        <w:bottom w:val="none" w:sz="0" w:space="0" w:color="auto"/>
        <w:right w:val="none" w:sz="0" w:space="0" w:color="auto"/>
      </w:divBdr>
    </w:div>
    <w:div w:id="2078823605">
      <w:bodyDiv w:val="1"/>
      <w:marLeft w:val="0"/>
      <w:marRight w:val="0"/>
      <w:marTop w:val="0"/>
      <w:marBottom w:val="0"/>
      <w:divBdr>
        <w:top w:val="none" w:sz="0" w:space="0" w:color="auto"/>
        <w:left w:val="none" w:sz="0" w:space="0" w:color="auto"/>
        <w:bottom w:val="none" w:sz="0" w:space="0" w:color="auto"/>
        <w:right w:val="none" w:sz="0" w:space="0" w:color="auto"/>
      </w:divBdr>
    </w:div>
    <w:div w:id="2095710630">
      <w:bodyDiv w:val="1"/>
      <w:marLeft w:val="0"/>
      <w:marRight w:val="0"/>
      <w:marTop w:val="0"/>
      <w:marBottom w:val="0"/>
      <w:divBdr>
        <w:top w:val="none" w:sz="0" w:space="0" w:color="auto"/>
        <w:left w:val="none" w:sz="0" w:space="0" w:color="auto"/>
        <w:bottom w:val="none" w:sz="0" w:space="0" w:color="auto"/>
        <w:right w:val="none" w:sz="0" w:space="0" w:color="auto"/>
      </w:divBdr>
    </w:div>
    <w:div w:id="2129084064">
      <w:bodyDiv w:val="1"/>
      <w:marLeft w:val="0"/>
      <w:marRight w:val="0"/>
      <w:marTop w:val="0"/>
      <w:marBottom w:val="0"/>
      <w:divBdr>
        <w:top w:val="none" w:sz="0" w:space="0" w:color="auto"/>
        <w:left w:val="none" w:sz="0" w:space="0" w:color="auto"/>
        <w:bottom w:val="none" w:sz="0" w:space="0" w:color="auto"/>
        <w:right w:val="none" w:sz="0" w:space="0" w:color="auto"/>
      </w:divBdr>
    </w:div>
    <w:div w:id="214430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footer" Target="footer3.xml"/><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footer" Target="footer4.xml"/><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0.emf"/><Relationship Id="rId107" Type="http://schemas.microsoft.com/office/2011/relationships/people" Target="people.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header" Target="header5.xml"/><Relationship Id="rId102" Type="http://schemas.openxmlformats.org/officeDocument/2006/relationships/image" Target="media/image74.emf"/><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footer" Target="footer7.xml"/><Relationship Id="rId95" Type="http://schemas.openxmlformats.org/officeDocument/2006/relationships/chart" Target="charts/chart6.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tiff"/><Relationship Id="rId100" Type="http://schemas.openxmlformats.org/officeDocument/2006/relationships/hyperlink" Target="http://www.epir.hu" TargetMode="Externa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header" Target="header4.xml"/><Relationship Id="rId93" Type="http://schemas.openxmlformats.org/officeDocument/2006/relationships/chart" Target="charts/chart4.xml"/><Relationship Id="rId98" Type="http://schemas.openxmlformats.org/officeDocument/2006/relationships/hyperlink" Target="http://www.umvp.eu/?q=videota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tiff"/><Relationship Id="rId103"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header" Target="header3.xml"/><Relationship Id="rId88" Type="http://schemas.openxmlformats.org/officeDocument/2006/relationships/footer" Target="footer6.xml"/><Relationship Id="rId91" Type="http://schemas.openxmlformats.org/officeDocument/2006/relationships/chart" Target="charts/chart2.xml"/><Relationship Id="rId96" Type="http://schemas.openxmlformats.org/officeDocument/2006/relationships/hyperlink" Target="mailto:info@umvp.e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tif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microsoft.com/office/2011/relationships/commentsExtended" Target="commentsExtended.xml"/><Relationship Id="rId10" Type="http://schemas.openxmlformats.org/officeDocument/2006/relationships/image" Target="media/image2.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tif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footer" Target="footer5.xml"/><Relationship Id="rId94" Type="http://schemas.openxmlformats.org/officeDocument/2006/relationships/chart" Target="charts/chart5.xml"/><Relationship Id="rId99" Type="http://schemas.openxmlformats.org/officeDocument/2006/relationships/hyperlink" Target="http://www.mnvh.eu/galeria" TargetMode="External"/><Relationship Id="rId101" Type="http://schemas.openxmlformats.org/officeDocument/2006/relationships/hyperlink" Target="mailto:epir@epir.h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hyperlink" Target="http://www.umvp.eu/?q=nekik-sikerult/itthon" TargetMode="External"/><Relationship Id="rId10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footer5.xml.rels><?xml version="1.0" encoding="UTF-8" standalone="yes"?>
<Relationships xmlns="http://schemas.openxmlformats.org/package/2006/relationships"><Relationship Id="rId1" Type="http://schemas.openxmlformats.org/officeDocument/2006/relationships/image" Target="media/image12.jpeg"/></Relationships>
</file>

<file path=word/_rels/footer7.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wmf"/><Relationship Id="rId1" Type="http://schemas.openxmlformats.org/officeDocument/2006/relationships/image" Target="media/image8.png"/><Relationship Id="rId4" Type="http://schemas.openxmlformats.org/officeDocument/2006/relationships/image" Target="media/image11.jpe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wmf"/><Relationship Id="rId1" Type="http://schemas.openxmlformats.org/officeDocument/2006/relationships/image" Target="media/image8.png"/><Relationship Id="rId4" Type="http://schemas.openxmlformats.org/officeDocument/2006/relationships/image" Target="media/image11.jpeg"/></Relationships>
</file>

<file path=word/_rels/header6.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wmf"/><Relationship Id="rId1" Type="http://schemas.openxmlformats.org/officeDocument/2006/relationships/image" Target="media/image8.png"/><Relationship Id="rId4"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VM_&#218;MVP_programm&#243;dos&#237;t&#225;s_20130606\&#218;MVP_diagram_G&#233;z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VM_&#218;MVP_programm&#243;dos&#237;t&#225;s_20130606\&#218;MVP_diagram_G&#233;z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VM_&#218;MVP_programm&#243;dos&#237;t&#225;s_20130606\&#218;MVP_diagram_G&#233;z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VM_&#218;MVP_programm&#243;dos&#237;t&#225;s_20130606\&#218;MVP_diagram_G&#233;z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VM_&#218;MVP_programm&#243;dos&#237;t&#225;s_20130606\&#218;MVP_diagram_G&#233;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300"/>
              <a:t>A 15-64 éves népesség gazdasági aktivitásának alakulása 2007-2012</a:t>
            </a:r>
          </a:p>
        </c:rich>
      </c:tx>
      <c:layout>
        <c:manualLayout>
          <c:xMode val="edge"/>
          <c:yMode val="edge"/>
          <c:x val="0.12522661858680903"/>
          <c:y val="2.1857923497267815E-2"/>
        </c:manualLayout>
      </c:layout>
      <c:overlay val="0"/>
    </c:title>
    <c:autoTitleDeleted val="0"/>
    <c:plotArea>
      <c:layout>
        <c:manualLayout>
          <c:layoutTarget val="inner"/>
          <c:xMode val="edge"/>
          <c:yMode val="edge"/>
          <c:x val="7.1988407699037651E-2"/>
          <c:y val="0.17042754901538948"/>
          <c:w val="0.63509623014475713"/>
          <c:h val="0.71359264518164656"/>
        </c:manualLayout>
      </c:layout>
      <c:lineChart>
        <c:grouping val="standard"/>
        <c:varyColors val="0"/>
        <c:ser>
          <c:idx val="1"/>
          <c:order val="1"/>
          <c:tx>
            <c:strRef>
              <c:f>'mozgó15-64'!$R$112</c:f>
              <c:strCache>
                <c:ptCount val="1"/>
                <c:pt idx="0">
                  <c:v>Foglalkoztatási ráta (baloldali skála)</c:v>
                </c:pt>
              </c:strCache>
            </c:strRef>
          </c:tx>
          <c:marker>
            <c:symbol val="none"/>
          </c:marker>
          <c:cat>
            <c:numRef>
              <c:f>'mozgó15-64'!$P$115:$P$120</c:f>
              <c:numCache>
                <c:formatCode>General</c:formatCode>
                <c:ptCount val="6"/>
                <c:pt idx="0">
                  <c:v>2007</c:v>
                </c:pt>
                <c:pt idx="1">
                  <c:v>2008</c:v>
                </c:pt>
                <c:pt idx="2">
                  <c:v>2009</c:v>
                </c:pt>
                <c:pt idx="3">
                  <c:v>2010</c:v>
                </c:pt>
                <c:pt idx="4">
                  <c:v>2011</c:v>
                </c:pt>
                <c:pt idx="5">
                  <c:v>2012</c:v>
                </c:pt>
              </c:numCache>
            </c:numRef>
          </c:cat>
          <c:val>
            <c:numRef>
              <c:f>'mozgó15-64'!$G$111:$G$116</c:f>
              <c:numCache>
                <c:formatCode>#,##0.0</c:formatCode>
                <c:ptCount val="6"/>
                <c:pt idx="0">
                  <c:v>57.3</c:v>
                </c:pt>
                <c:pt idx="1">
                  <c:v>56.7</c:v>
                </c:pt>
                <c:pt idx="2">
                  <c:v>55.4</c:v>
                </c:pt>
                <c:pt idx="3">
                  <c:v>55.4</c:v>
                </c:pt>
                <c:pt idx="4">
                  <c:v>55.8</c:v>
                </c:pt>
                <c:pt idx="5">
                  <c:v>57.2</c:v>
                </c:pt>
              </c:numCache>
            </c:numRef>
          </c:val>
          <c:smooth val="0"/>
        </c:ser>
        <c:ser>
          <c:idx val="2"/>
          <c:order val="2"/>
          <c:tx>
            <c:strRef>
              <c:f>'mozgó15-64'!$R$114</c:f>
              <c:strCache>
                <c:ptCount val="1"/>
                <c:pt idx="0">
                  <c:v>Aktivitási ráta (baloldali skála)</c:v>
                </c:pt>
              </c:strCache>
            </c:strRef>
          </c:tx>
          <c:marker>
            <c:symbol val="none"/>
          </c:marker>
          <c:cat>
            <c:numRef>
              <c:f>'mozgó15-64'!$P$115:$P$120</c:f>
              <c:numCache>
                <c:formatCode>General</c:formatCode>
                <c:ptCount val="6"/>
                <c:pt idx="0">
                  <c:v>2007</c:v>
                </c:pt>
                <c:pt idx="1">
                  <c:v>2008</c:v>
                </c:pt>
                <c:pt idx="2">
                  <c:v>2009</c:v>
                </c:pt>
                <c:pt idx="3">
                  <c:v>2010</c:v>
                </c:pt>
                <c:pt idx="4">
                  <c:v>2011</c:v>
                </c:pt>
                <c:pt idx="5">
                  <c:v>2012</c:v>
                </c:pt>
              </c:numCache>
            </c:numRef>
          </c:cat>
          <c:val>
            <c:numRef>
              <c:f>'mozgó15-64'!$H$111:$H$116</c:f>
              <c:numCache>
                <c:formatCode>#,##0.0</c:formatCode>
                <c:ptCount val="6"/>
                <c:pt idx="0">
                  <c:v>61.9</c:v>
                </c:pt>
                <c:pt idx="1">
                  <c:v>61.5</c:v>
                </c:pt>
                <c:pt idx="2">
                  <c:v>61.6</c:v>
                </c:pt>
                <c:pt idx="3">
                  <c:v>62.4</c:v>
                </c:pt>
                <c:pt idx="4">
                  <c:v>62.7</c:v>
                </c:pt>
                <c:pt idx="5">
                  <c:v>64.3</c:v>
                </c:pt>
              </c:numCache>
            </c:numRef>
          </c:val>
          <c:smooth val="0"/>
        </c:ser>
        <c:dLbls>
          <c:showLegendKey val="0"/>
          <c:showVal val="0"/>
          <c:showCatName val="0"/>
          <c:showSerName val="0"/>
          <c:showPercent val="0"/>
          <c:showBubbleSize val="0"/>
        </c:dLbls>
        <c:marker val="1"/>
        <c:smooth val="0"/>
        <c:axId val="85002496"/>
        <c:axId val="117792768"/>
      </c:lineChart>
      <c:lineChart>
        <c:grouping val="standard"/>
        <c:varyColors val="0"/>
        <c:ser>
          <c:idx val="0"/>
          <c:order val="0"/>
          <c:tx>
            <c:strRef>
              <c:f>'mozgó15-64'!$R$113</c:f>
              <c:strCache>
                <c:ptCount val="1"/>
                <c:pt idx="0">
                  <c:v>Munkanélküliségi ráta (jobboldali skála)</c:v>
                </c:pt>
              </c:strCache>
            </c:strRef>
          </c:tx>
          <c:marker>
            <c:symbol val="none"/>
          </c:marker>
          <c:cat>
            <c:numRef>
              <c:f>'mozgó15-64'!$P$115:$P$120</c:f>
              <c:numCache>
                <c:formatCode>General</c:formatCode>
                <c:ptCount val="6"/>
                <c:pt idx="0">
                  <c:v>2007</c:v>
                </c:pt>
                <c:pt idx="1">
                  <c:v>2008</c:v>
                </c:pt>
                <c:pt idx="2">
                  <c:v>2009</c:v>
                </c:pt>
                <c:pt idx="3">
                  <c:v>2010</c:v>
                </c:pt>
                <c:pt idx="4">
                  <c:v>2011</c:v>
                </c:pt>
                <c:pt idx="5">
                  <c:v>2012</c:v>
                </c:pt>
              </c:numCache>
            </c:numRef>
          </c:cat>
          <c:val>
            <c:numRef>
              <c:f>'mozgó15-64'!$F$111:$F$116</c:f>
              <c:numCache>
                <c:formatCode>#,##0.0</c:formatCode>
                <c:ptCount val="6"/>
                <c:pt idx="0">
                  <c:v>7.4060873904055882</c:v>
                </c:pt>
                <c:pt idx="1">
                  <c:v>7.8691532861274487</c:v>
                </c:pt>
                <c:pt idx="2">
                  <c:v>10.1</c:v>
                </c:pt>
                <c:pt idx="3">
                  <c:v>11.2</c:v>
                </c:pt>
                <c:pt idx="4">
                  <c:v>11</c:v>
                </c:pt>
                <c:pt idx="5">
                  <c:v>11</c:v>
                </c:pt>
              </c:numCache>
            </c:numRef>
          </c:val>
          <c:smooth val="0"/>
        </c:ser>
        <c:dLbls>
          <c:showLegendKey val="0"/>
          <c:showVal val="0"/>
          <c:showCatName val="0"/>
          <c:showSerName val="0"/>
          <c:showPercent val="0"/>
          <c:showBubbleSize val="0"/>
        </c:dLbls>
        <c:marker val="1"/>
        <c:smooth val="0"/>
        <c:axId val="117795840"/>
        <c:axId val="117794304"/>
      </c:lineChart>
      <c:catAx>
        <c:axId val="85002496"/>
        <c:scaling>
          <c:orientation val="minMax"/>
        </c:scaling>
        <c:delete val="0"/>
        <c:axPos val="b"/>
        <c:numFmt formatCode="General" sourceLinked="1"/>
        <c:majorTickMark val="none"/>
        <c:minorTickMark val="none"/>
        <c:tickLblPos val="nextTo"/>
        <c:crossAx val="117792768"/>
        <c:crosses val="autoZero"/>
        <c:auto val="1"/>
        <c:lblAlgn val="ctr"/>
        <c:lblOffset val="100"/>
        <c:noMultiLvlLbl val="0"/>
      </c:catAx>
      <c:valAx>
        <c:axId val="117792768"/>
        <c:scaling>
          <c:orientation val="minMax"/>
          <c:max val="65"/>
          <c:min val="45"/>
        </c:scaling>
        <c:delete val="0"/>
        <c:axPos val="l"/>
        <c:majorGridlines/>
        <c:numFmt formatCode="#,##0" sourceLinked="0"/>
        <c:majorTickMark val="none"/>
        <c:minorTickMark val="none"/>
        <c:tickLblPos val="nextTo"/>
        <c:crossAx val="85002496"/>
        <c:crosses val="autoZero"/>
        <c:crossBetween val="between"/>
      </c:valAx>
      <c:valAx>
        <c:axId val="117794304"/>
        <c:scaling>
          <c:orientation val="minMax"/>
          <c:max val="40"/>
          <c:min val="0"/>
        </c:scaling>
        <c:delete val="0"/>
        <c:axPos val="r"/>
        <c:numFmt formatCode="#,##0" sourceLinked="0"/>
        <c:majorTickMark val="out"/>
        <c:minorTickMark val="none"/>
        <c:tickLblPos val="nextTo"/>
        <c:crossAx val="117795840"/>
        <c:crosses val="max"/>
        <c:crossBetween val="between"/>
        <c:majorUnit val="4"/>
      </c:valAx>
      <c:catAx>
        <c:axId val="117795840"/>
        <c:scaling>
          <c:orientation val="minMax"/>
        </c:scaling>
        <c:delete val="1"/>
        <c:axPos val="b"/>
        <c:numFmt formatCode="General" sourceLinked="1"/>
        <c:majorTickMark val="out"/>
        <c:minorTickMark val="none"/>
        <c:tickLblPos val="none"/>
        <c:crossAx val="117794304"/>
        <c:crosses val="autoZero"/>
        <c:auto val="1"/>
        <c:lblAlgn val="ctr"/>
        <c:lblOffset val="100"/>
        <c:noMultiLvlLbl val="0"/>
      </c:catAx>
    </c:plotArea>
    <c:legend>
      <c:legendPos val="r"/>
      <c:layout>
        <c:manualLayout>
          <c:xMode val="edge"/>
          <c:yMode val="edge"/>
          <c:x val="0.75224806201550565"/>
          <c:y val="0.35073074882033173"/>
          <c:w val="0.23105545617173548"/>
          <c:h val="0.4089207291711492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u-HU" sz="1100"/>
              <a:t>112. sz. intézkedés: Fiatal gazdák induló támogatása (euró)</a:t>
            </a:r>
          </a:p>
        </c:rich>
      </c:tx>
      <c:layout/>
      <c:overlay val="0"/>
    </c:title>
    <c:autoTitleDeleted val="0"/>
    <c:plotArea>
      <c:layout/>
      <c:barChart>
        <c:barDir val="col"/>
        <c:grouping val="stacked"/>
        <c:varyColors val="0"/>
        <c:ser>
          <c:idx val="0"/>
          <c:order val="0"/>
          <c:tx>
            <c:strRef>
              <c:f>'112_sz_intézkedés'!$B$4</c:f>
              <c:strCache>
                <c:ptCount val="1"/>
                <c:pt idx="0">
                  <c:v>112. sz. intézkedés: "Fiatal gazdák induló támogatása"</c:v>
                </c:pt>
              </c:strCache>
            </c:strRef>
          </c:tx>
          <c:spPr>
            <a:solidFill>
              <a:schemeClr val="tx2">
                <a:lumMod val="40000"/>
                <a:lumOff val="60000"/>
              </a:schemeClr>
            </a:solidFill>
          </c:spPr>
          <c:invertIfNegative val="0"/>
          <c:dLbls>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'112_sz_intézkedés'!$C$3:$E$3</c:f>
              <c:strCache>
                <c:ptCount val="3"/>
                <c:pt idx="0">
                  <c:v>8. verzió
közkiadás </c:v>
                </c:pt>
                <c:pt idx="1">
                  <c:v>9. verzió
közkiadás változása </c:v>
                </c:pt>
                <c:pt idx="2">
                  <c:v>9. verzió
új közkiadás  </c:v>
                </c:pt>
              </c:strCache>
            </c:strRef>
          </c:cat>
          <c:val>
            <c:numRef>
              <c:f>'112_sz_intézkedés'!$C$4:$E$4</c:f>
              <c:numCache>
                <c:formatCode>#,##0</c:formatCode>
                <c:ptCount val="3"/>
                <c:pt idx="0">
                  <c:v>96187834</c:v>
                </c:pt>
                <c:pt idx="1">
                  <c:v>96187834</c:v>
                </c:pt>
                <c:pt idx="2">
                  <c:v>107700696</c:v>
                </c:pt>
              </c:numCache>
            </c:numRef>
          </c:val>
        </c:ser>
        <c:ser>
          <c:idx val="1"/>
          <c:order val="1"/>
          <c:tx>
            <c:strRef>
              <c:f>'112_sz_intézkedés'!$B$5</c:f>
              <c:strCache>
                <c:ptCount val="1"/>
                <c:pt idx="0">
                  <c:v>Forrásátcsop. A "Beruházások az állattenyésztésben" 121.2. sz. alintézkedésről </c:v>
                </c:pt>
              </c:strCache>
            </c:strRef>
          </c:tx>
          <c:spPr>
            <a:solidFill>
              <a:schemeClr val="bg2">
                <a:lumMod val="50000"/>
              </a:schemeClr>
            </a:solidFill>
          </c:spPr>
          <c:invertIfNegative val="0"/>
          <c:dLbls>
            <c:dLbl>
              <c:idx val="0"/>
              <c:delete val="1"/>
              <c:extLst>
                <c:ext xmlns:c15="http://schemas.microsoft.com/office/drawing/2012/chart" uri="{CE6537A1-D6FC-4f65-9D91-7224C49458BB}"/>
              </c:extLst>
            </c:dLbl>
            <c:dLbl>
              <c:idx val="1"/>
              <c:layout/>
              <c:tx>
                <c:rich>
                  <a:bodyPr/>
                  <a:lstStyle/>
                  <a:p>
                    <a:r>
                      <a:rPr lang="en-US" sz="900"/>
                      <a:t>+</a:t>
                    </a:r>
                    <a:r>
                      <a:rPr lang="en-US"/>
                      <a:t> 4 317 323</a:t>
                    </a:r>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'112_sz_intézkedés'!$C$3:$E$3</c:f>
              <c:strCache>
                <c:ptCount val="3"/>
                <c:pt idx="0">
                  <c:v>8. verzió
közkiadás </c:v>
                </c:pt>
                <c:pt idx="1">
                  <c:v>9. verzió
közkiadás változása </c:v>
                </c:pt>
                <c:pt idx="2">
                  <c:v>9. verzió
új közkiadás  </c:v>
                </c:pt>
              </c:strCache>
            </c:strRef>
          </c:cat>
          <c:val>
            <c:numRef>
              <c:f>'112_sz_intézkedés'!$C$5:$E$5</c:f>
              <c:numCache>
                <c:formatCode>#,##0</c:formatCode>
                <c:ptCount val="3"/>
                <c:pt idx="0" formatCode="General">
                  <c:v>0</c:v>
                </c:pt>
                <c:pt idx="1">
                  <c:v>4317323</c:v>
                </c:pt>
                <c:pt idx="2" formatCode="General">
                  <c:v>0</c:v>
                </c:pt>
              </c:numCache>
            </c:numRef>
          </c:val>
        </c:ser>
        <c:ser>
          <c:idx val="2"/>
          <c:order val="2"/>
          <c:tx>
            <c:strRef>
              <c:f>'112_sz_intézkedés'!$B$6</c:f>
              <c:strCache>
                <c:ptCount val="1"/>
                <c:pt idx="0">
                  <c:v>Forrásátcsop. "A szerkezetátalakítás alatt álló, félig önellátó gazdaságok támogatása" 141. sz. intézkedésről</c:v>
                </c:pt>
              </c:strCache>
            </c:strRef>
          </c:tx>
          <c:invertIfNegative val="0"/>
          <c:dLbls>
            <c:dLbl>
              <c:idx val="0"/>
              <c:delete val="1"/>
              <c:extLst>
                <c:ext xmlns:c15="http://schemas.microsoft.com/office/drawing/2012/chart" uri="{CE6537A1-D6FC-4f65-9D91-7224C49458BB}"/>
              </c:extLst>
            </c:dLbl>
            <c:dLbl>
              <c:idx val="1"/>
              <c:layout/>
              <c:tx>
                <c:rich>
                  <a:bodyPr/>
                  <a:lstStyle/>
                  <a:p>
                    <a:r>
                      <a:rPr lang="en-US" sz="900"/>
                      <a:t>+</a:t>
                    </a:r>
                    <a:r>
                      <a:rPr lang="en-US"/>
                      <a:t> 7 195 539</a:t>
                    </a:r>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'112_sz_intézkedés'!$C$3:$E$3</c:f>
              <c:strCache>
                <c:ptCount val="3"/>
                <c:pt idx="0">
                  <c:v>8. verzió
közkiadás </c:v>
                </c:pt>
                <c:pt idx="1">
                  <c:v>9. verzió
közkiadás változása </c:v>
                </c:pt>
                <c:pt idx="2">
                  <c:v>9. verzió
új közkiadás  </c:v>
                </c:pt>
              </c:strCache>
            </c:strRef>
          </c:cat>
          <c:val>
            <c:numRef>
              <c:f>'112_sz_intézkedés'!$C$6:$E$6</c:f>
              <c:numCache>
                <c:formatCode>#,##0</c:formatCode>
                <c:ptCount val="3"/>
                <c:pt idx="0" formatCode="General">
                  <c:v>0</c:v>
                </c:pt>
                <c:pt idx="1">
                  <c:v>7195539</c:v>
                </c:pt>
                <c:pt idx="2" formatCode="General">
                  <c:v>0</c:v>
                </c:pt>
              </c:numCache>
            </c:numRef>
          </c:val>
        </c:ser>
        <c:dLbls>
          <c:showLegendKey val="0"/>
          <c:showVal val="0"/>
          <c:showCatName val="0"/>
          <c:showSerName val="0"/>
          <c:showPercent val="0"/>
          <c:showBubbleSize val="0"/>
        </c:dLbls>
        <c:gapWidth val="150"/>
        <c:overlap val="100"/>
        <c:axId val="84596992"/>
        <c:axId val="84602880"/>
      </c:barChart>
      <c:catAx>
        <c:axId val="84596992"/>
        <c:scaling>
          <c:orientation val="minMax"/>
        </c:scaling>
        <c:delete val="0"/>
        <c:axPos val="b"/>
        <c:numFmt formatCode="General" sourceLinked="0"/>
        <c:majorTickMark val="out"/>
        <c:minorTickMark val="none"/>
        <c:tickLblPos val="nextTo"/>
        <c:txPr>
          <a:bodyPr/>
          <a:lstStyle/>
          <a:p>
            <a:pPr>
              <a:defRPr sz="800"/>
            </a:pPr>
            <a:endParaRPr lang="hu-HU"/>
          </a:p>
        </c:txPr>
        <c:crossAx val="84602880"/>
        <c:crosses val="autoZero"/>
        <c:auto val="1"/>
        <c:lblAlgn val="ctr"/>
        <c:lblOffset val="100"/>
        <c:noMultiLvlLbl val="0"/>
      </c:catAx>
      <c:valAx>
        <c:axId val="84602880"/>
        <c:scaling>
          <c:orientation val="minMax"/>
        </c:scaling>
        <c:delete val="0"/>
        <c:axPos val="l"/>
        <c:majorGridlines/>
        <c:numFmt formatCode="#,##0" sourceLinked="1"/>
        <c:majorTickMark val="out"/>
        <c:minorTickMark val="none"/>
        <c:tickLblPos val="nextTo"/>
        <c:txPr>
          <a:bodyPr/>
          <a:lstStyle/>
          <a:p>
            <a:pPr>
              <a:defRPr sz="800"/>
            </a:pPr>
            <a:endParaRPr lang="hu-HU"/>
          </a:p>
        </c:txPr>
        <c:crossAx val="84596992"/>
        <c:crosses val="autoZero"/>
        <c:crossBetween val="between"/>
        <c:majorUnit val="5000000"/>
      </c:valAx>
    </c:plotArea>
    <c:legend>
      <c:legendPos val="b"/>
      <c:layout/>
      <c:overlay val="0"/>
      <c:txPr>
        <a:bodyPr/>
        <a:lstStyle/>
        <a:p>
          <a:pPr>
            <a:defRPr sz="800"/>
          </a:pPr>
          <a:endParaRPr lang="hu-HU"/>
        </a:p>
      </c:txPr>
    </c:legend>
    <c:plotVisOnly val="1"/>
    <c:dispBlanksAs val="gap"/>
    <c:showDLblsOverMax val="0"/>
  </c:chart>
  <c:txPr>
    <a:bodyPr/>
    <a:lstStyle/>
    <a:p>
      <a:pPr>
        <a:defRPr>
          <a:latin typeface="Times New Roman" pitchFamily="18" charset="0"/>
          <a:cs typeface="Times New Roman" pitchFamily="18" charset="0"/>
        </a:defRPr>
      </a:pPr>
      <a:endParaRPr lang="hu-H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u-HU" sz="1100"/>
              <a:t>123. sz. intézkedés: "A mezőgazdasági termékek értéknövelése" (euró) </a:t>
            </a:r>
          </a:p>
        </c:rich>
      </c:tx>
      <c:layout/>
      <c:overlay val="0"/>
    </c:title>
    <c:autoTitleDeleted val="0"/>
    <c:plotArea>
      <c:layout/>
      <c:barChart>
        <c:barDir val="col"/>
        <c:grouping val="stacked"/>
        <c:varyColors val="0"/>
        <c:ser>
          <c:idx val="0"/>
          <c:order val="0"/>
          <c:tx>
            <c:strRef>
              <c:f>'123_sz_intézkedés'!$B$4</c:f>
              <c:strCache>
                <c:ptCount val="1"/>
                <c:pt idx="0">
                  <c:v>123. sz. intézkedés: "A mezőgazdasági termékek értéknövelése"</c:v>
                </c:pt>
              </c:strCache>
            </c:strRef>
          </c:tx>
          <c:spPr>
            <a:solidFill>
              <a:schemeClr val="tx2">
                <a:lumMod val="40000"/>
                <a:lumOff val="60000"/>
              </a:schemeClr>
            </a:solidFill>
          </c:spPr>
          <c:invertIfNegative val="0"/>
          <c:dLbls>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'123_sz_intézkedés'!$C$3:$E$3</c:f>
              <c:strCache>
                <c:ptCount val="3"/>
                <c:pt idx="0">
                  <c:v>8. verzió
közkiadás</c:v>
                </c:pt>
                <c:pt idx="1">
                  <c:v>9. verzió 
közkiadás
változása</c:v>
                </c:pt>
                <c:pt idx="2">
                  <c:v>9. verzió 
új közkiadás</c:v>
                </c:pt>
              </c:strCache>
            </c:strRef>
          </c:cat>
          <c:val>
            <c:numRef>
              <c:f>'123_sz_intézkedés'!$C$4:$E$4</c:f>
              <c:numCache>
                <c:formatCode>#,##0</c:formatCode>
                <c:ptCount val="3"/>
                <c:pt idx="0">
                  <c:v>314955855</c:v>
                </c:pt>
                <c:pt idx="1">
                  <c:v>314955855</c:v>
                </c:pt>
                <c:pt idx="2">
                  <c:v>332812995</c:v>
                </c:pt>
              </c:numCache>
            </c:numRef>
          </c:val>
        </c:ser>
        <c:ser>
          <c:idx val="1"/>
          <c:order val="1"/>
          <c:tx>
            <c:strRef>
              <c:f>'123_sz_intézkedés'!$B$5</c:f>
              <c:strCache>
                <c:ptCount val="1"/>
                <c:pt idx="0">
                  <c:v>Forrásátcsop. A "Beruházások a szántóföldi növénytermesztésben és a kertészetben - Önálló gépbeszerzés" 121.1. sz. alintézkedésről</c:v>
                </c:pt>
              </c:strCache>
            </c:strRef>
          </c:tx>
          <c:spPr>
            <a:solidFill>
              <a:schemeClr val="bg2">
                <a:lumMod val="50000"/>
              </a:schemeClr>
            </a:solidFill>
          </c:spPr>
          <c:invertIfNegative val="0"/>
          <c:dLbls>
            <c:dLbl>
              <c:idx val="0"/>
              <c:delete val="1"/>
              <c:extLst>
                <c:ext xmlns:c15="http://schemas.microsoft.com/office/drawing/2012/chart" uri="{CE6537A1-D6FC-4f65-9D91-7224C49458BB}"/>
              </c:extLst>
            </c:dLbl>
            <c:dLbl>
              <c:idx val="1"/>
              <c:layout/>
              <c:tx>
                <c:rich>
                  <a:bodyPr/>
                  <a:lstStyle/>
                  <a:p>
                    <a:r>
                      <a:rPr lang="en-US" sz="900" b="1"/>
                      <a:t>+ 5 357 140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'123_sz_intézkedés'!$C$3:$E$3</c:f>
              <c:strCache>
                <c:ptCount val="3"/>
                <c:pt idx="0">
                  <c:v>8. verzió
közkiadás</c:v>
                </c:pt>
                <c:pt idx="1">
                  <c:v>9. verzió 
közkiadás
változása</c:v>
                </c:pt>
                <c:pt idx="2">
                  <c:v>9. verzió 
új közkiadás</c:v>
                </c:pt>
              </c:strCache>
            </c:strRef>
          </c:cat>
          <c:val>
            <c:numRef>
              <c:f>'123_sz_intézkedés'!$C$5:$E$5</c:f>
              <c:numCache>
                <c:formatCode>#,##0</c:formatCode>
                <c:ptCount val="3"/>
                <c:pt idx="0">
                  <c:v>0</c:v>
                </c:pt>
                <c:pt idx="1">
                  <c:v>5357140</c:v>
                </c:pt>
                <c:pt idx="2">
                  <c:v>0</c:v>
                </c:pt>
              </c:numCache>
            </c:numRef>
          </c:val>
        </c:ser>
        <c:ser>
          <c:idx val="2"/>
          <c:order val="2"/>
          <c:tx>
            <c:strRef>
              <c:f>'123_sz_intézkedés'!$B$6</c:f>
              <c:strCache>
                <c:ptCount val="1"/>
                <c:pt idx="0">
                  <c:v>Forrásátcsop. "A mezőgazdasághoz és az erdészet fejlesztéséhez és korszerűsítéséhez kapcsolódó infrastruktúra fejlesztése" 125. sz. intézkedésről</c:v>
                </c:pt>
              </c:strCache>
            </c:strRef>
          </c:tx>
          <c:invertIfNegative val="0"/>
          <c:dLbls>
            <c:dLbl>
              <c:idx val="0"/>
              <c:delete val="1"/>
              <c:extLst>
                <c:ext xmlns:c15="http://schemas.microsoft.com/office/drawing/2012/chart" uri="{CE6537A1-D6FC-4f65-9D91-7224C49458BB}"/>
              </c:extLst>
            </c:dLbl>
            <c:dLbl>
              <c:idx val="1"/>
              <c:layout/>
              <c:tx>
                <c:rich>
                  <a:bodyPr/>
                  <a:lstStyle/>
                  <a:p>
                    <a:r>
                      <a:rPr lang="en-US" sz="900" b="1"/>
                      <a:t>+ 12 500 000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'123_sz_intézkedés'!$C$3:$E$3</c:f>
              <c:strCache>
                <c:ptCount val="3"/>
                <c:pt idx="0">
                  <c:v>8. verzió
közkiadás</c:v>
                </c:pt>
                <c:pt idx="1">
                  <c:v>9. verzió 
közkiadás
változása</c:v>
                </c:pt>
                <c:pt idx="2">
                  <c:v>9. verzió 
új közkiadás</c:v>
                </c:pt>
              </c:strCache>
            </c:strRef>
          </c:cat>
          <c:val>
            <c:numRef>
              <c:f>'123_sz_intézkedés'!$C$6:$E$6</c:f>
              <c:numCache>
                <c:formatCode>#,##0</c:formatCode>
                <c:ptCount val="3"/>
                <c:pt idx="0">
                  <c:v>0</c:v>
                </c:pt>
                <c:pt idx="1">
                  <c:v>12500000</c:v>
                </c:pt>
                <c:pt idx="2">
                  <c:v>0</c:v>
                </c:pt>
              </c:numCache>
            </c:numRef>
          </c:val>
        </c:ser>
        <c:dLbls>
          <c:showLegendKey val="0"/>
          <c:showVal val="0"/>
          <c:showCatName val="0"/>
          <c:showSerName val="0"/>
          <c:showPercent val="0"/>
          <c:showBubbleSize val="0"/>
        </c:dLbls>
        <c:gapWidth val="75"/>
        <c:overlap val="100"/>
        <c:axId val="85582976"/>
        <c:axId val="85584512"/>
      </c:barChart>
      <c:catAx>
        <c:axId val="85582976"/>
        <c:scaling>
          <c:orientation val="minMax"/>
        </c:scaling>
        <c:delete val="0"/>
        <c:axPos val="b"/>
        <c:numFmt formatCode="General" sourceLinked="0"/>
        <c:majorTickMark val="none"/>
        <c:minorTickMark val="none"/>
        <c:tickLblPos val="nextTo"/>
        <c:txPr>
          <a:bodyPr/>
          <a:lstStyle/>
          <a:p>
            <a:pPr>
              <a:defRPr sz="800"/>
            </a:pPr>
            <a:endParaRPr lang="hu-HU"/>
          </a:p>
        </c:txPr>
        <c:crossAx val="85584512"/>
        <c:crosses val="autoZero"/>
        <c:auto val="1"/>
        <c:lblAlgn val="ctr"/>
        <c:lblOffset val="100"/>
        <c:noMultiLvlLbl val="0"/>
      </c:catAx>
      <c:valAx>
        <c:axId val="85584512"/>
        <c:scaling>
          <c:orientation val="minMax"/>
        </c:scaling>
        <c:delete val="0"/>
        <c:axPos val="l"/>
        <c:majorGridlines/>
        <c:numFmt formatCode="#,##0" sourceLinked="1"/>
        <c:majorTickMark val="none"/>
        <c:minorTickMark val="none"/>
        <c:tickLblPos val="nextTo"/>
        <c:spPr>
          <a:ln w="9525">
            <a:noFill/>
          </a:ln>
        </c:spPr>
        <c:txPr>
          <a:bodyPr/>
          <a:lstStyle/>
          <a:p>
            <a:pPr>
              <a:defRPr sz="800"/>
            </a:pPr>
            <a:endParaRPr lang="hu-HU"/>
          </a:p>
        </c:txPr>
        <c:crossAx val="85582976"/>
        <c:crosses val="autoZero"/>
        <c:crossBetween val="between"/>
      </c:valAx>
    </c:plotArea>
    <c:legend>
      <c:legendPos val="b"/>
      <c:layout>
        <c:manualLayout>
          <c:xMode val="edge"/>
          <c:yMode val="edge"/>
          <c:x val="1.3377926421404682E-2"/>
          <c:y val="0.8030948305374872"/>
          <c:w val="0.96988895618816884"/>
          <c:h val="0.16260823918749287"/>
        </c:manualLayout>
      </c:layout>
      <c:overlay val="0"/>
      <c:txPr>
        <a:bodyPr/>
        <a:lstStyle/>
        <a:p>
          <a:pPr>
            <a:defRPr sz="800"/>
          </a:pPr>
          <a:endParaRPr lang="hu-HU"/>
        </a:p>
      </c:txPr>
    </c:legend>
    <c:plotVisOnly val="1"/>
    <c:dispBlanksAs val="gap"/>
    <c:showDLblsOverMax val="0"/>
  </c:chart>
  <c:txPr>
    <a:bodyPr/>
    <a:lstStyle/>
    <a:p>
      <a:pPr>
        <a:defRPr>
          <a:latin typeface="Times New Roman" pitchFamily="18" charset="0"/>
          <a:cs typeface="Times New Roman" pitchFamily="18" charset="0"/>
        </a:defRPr>
      </a:pPr>
      <a:endParaRPr lang="hu-H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hu-HU" sz="1100" b="1">
                <a:effectLst/>
                <a:latin typeface="Times New Roman" pitchFamily="18" charset="0"/>
                <a:cs typeface="Times New Roman" pitchFamily="18" charset="0"/>
              </a:rPr>
              <a:t>„Kompenzációs támogatás a Natura 2000 erdőterületeken” 224. számú intézkedés (euró)</a:t>
            </a:r>
            <a:endParaRPr lang="hu-HU" sz="1100">
              <a:effectLst/>
              <a:latin typeface="Times New Roman" pitchFamily="18" charset="0"/>
              <a:cs typeface="Times New Roman" pitchFamily="18" charset="0"/>
            </a:endParaRPr>
          </a:p>
        </c:rich>
      </c:tx>
      <c:layout/>
      <c:overlay val="0"/>
    </c:title>
    <c:autoTitleDeleted val="0"/>
    <c:plotArea>
      <c:layout/>
      <c:barChart>
        <c:barDir val="col"/>
        <c:grouping val="stacked"/>
        <c:varyColors val="0"/>
        <c:ser>
          <c:idx val="0"/>
          <c:order val="0"/>
          <c:tx>
            <c:strRef>
              <c:f>'224_sz_intézkedés'!$C$4</c:f>
              <c:strCache>
                <c:ptCount val="1"/>
                <c:pt idx="0">
                  <c:v>224. sz. intézkedés: "Kompenzációs támogatás a Natura 2000 erdőterületeken"</c:v>
                </c:pt>
              </c:strCache>
            </c:strRef>
          </c:tx>
          <c:spPr>
            <a:solidFill>
              <a:schemeClr val="tx2">
                <a:lumMod val="40000"/>
                <a:lumOff val="60000"/>
              </a:schemeClr>
            </a:solidFill>
          </c:spPr>
          <c:invertIfNegative val="0"/>
          <c:cat>
            <c:strRef>
              <c:f>'224_sz_intézkedés'!$D$3:$F$3</c:f>
              <c:strCache>
                <c:ptCount val="3"/>
                <c:pt idx="0">
                  <c:v>8. verzió
közkiadás</c:v>
                </c:pt>
                <c:pt idx="1">
                  <c:v>9. verzió 
közkiadás
változása</c:v>
                </c:pt>
                <c:pt idx="2">
                  <c:v>9. verzió 
új közkiadás</c:v>
                </c:pt>
              </c:strCache>
            </c:strRef>
          </c:cat>
          <c:val>
            <c:numRef>
              <c:f>'224_sz_intézkedés'!$D$4:$F$4</c:f>
              <c:numCache>
                <c:formatCode>#,##0</c:formatCode>
                <c:ptCount val="3"/>
                <c:pt idx="0">
                  <c:v>0</c:v>
                </c:pt>
                <c:pt idx="1">
                  <c:v>0</c:v>
                </c:pt>
                <c:pt idx="2">
                  <c:v>35800000</c:v>
                </c:pt>
              </c:numCache>
            </c:numRef>
          </c:val>
        </c:ser>
        <c:ser>
          <c:idx val="1"/>
          <c:order val="1"/>
          <c:tx>
            <c:strRef>
              <c:f>'224_sz_intézkedés'!$C$5</c:f>
              <c:strCache>
                <c:ptCount val="1"/>
                <c:pt idx="0">
                  <c:v>Forrásátcsop. Az "Erdő-környezetvédelmi kifizetések" 225. sz. intézkedésről</c:v>
                </c:pt>
              </c:strCache>
            </c:strRef>
          </c:tx>
          <c:spPr>
            <a:solidFill>
              <a:schemeClr val="bg2">
                <a:lumMod val="50000"/>
              </a:schemeClr>
            </a:solidFill>
          </c:spPr>
          <c:invertIfNegative val="0"/>
          <c:dLbls>
            <c:dLbl>
              <c:idx val="0"/>
              <c:delete val="1"/>
              <c:extLst>
                <c:ext xmlns:c15="http://schemas.microsoft.com/office/drawing/2012/chart" uri="{CE6537A1-D6FC-4f65-9D91-7224C49458BB}"/>
              </c:extLst>
            </c:dLbl>
            <c:dLbl>
              <c:idx val="1"/>
              <c:layout/>
              <c:tx>
                <c:rich>
                  <a:bodyPr/>
                  <a:lstStyle/>
                  <a:p>
                    <a:r>
                      <a:rPr lang="en-US"/>
                      <a:t>+ 23 385 500</a:t>
                    </a:r>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'224_sz_intézkedés'!$D$3:$F$3</c:f>
              <c:strCache>
                <c:ptCount val="3"/>
                <c:pt idx="0">
                  <c:v>8. verzió
közkiadás</c:v>
                </c:pt>
                <c:pt idx="1">
                  <c:v>9. verzió 
közkiadás
változása</c:v>
                </c:pt>
                <c:pt idx="2">
                  <c:v>9. verzió 
új közkiadás</c:v>
                </c:pt>
              </c:strCache>
            </c:strRef>
          </c:cat>
          <c:val>
            <c:numRef>
              <c:f>'224_sz_intézkedés'!$D$5:$F$5</c:f>
              <c:numCache>
                <c:formatCode>#,##0</c:formatCode>
                <c:ptCount val="3"/>
                <c:pt idx="0">
                  <c:v>0</c:v>
                </c:pt>
                <c:pt idx="1">
                  <c:v>23385500</c:v>
                </c:pt>
                <c:pt idx="2">
                  <c:v>0</c:v>
                </c:pt>
              </c:numCache>
            </c:numRef>
          </c:val>
        </c:ser>
        <c:ser>
          <c:idx val="2"/>
          <c:order val="2"/>
          <c:tx>
            <c:strRef>
              <c:f>'224_sz_intézkedés'!$C$6</c:f>
              <c:strCache>
                <c:ptCount val="1"/>
                <c:pt idx="0">
                  <c:v>Forrásátcsop. Az "erdőterületeket érintő, nem termelő jellegű beruházások" 227. sz. intézkedésről</c:v>
                </c:pt>
              </c:strCache>
            </c:strRef>
          </c:tx>
          <c:invertIfNegative val="0"/>
          <c:dLbls>
            <c:dLbl>
              <c:idx val="0"/>
              <c:delete val="1"/>
              <c:extLst>
                <c:ext xmlns:c15="http://schemas.microsoft.com/office/drawing/2012/chart" uri="{CE6537A1-D6FC-4f65-9D91-7224C49458BB}"/>
              </c:extLst>
            </c:dLbl>
            <c:dLbl>
              <c:idx val="1"/>
              <c:layout/>
              <c:tx>
                <c:rich>
                  <a:bodyPr/>
                  <a:lstStyle/>
                  <a:p>
                    <a:r>
                      <a:rPr lang="en-US"/>
                      <a:t>+ 12 414 500</a:t>
                    </a:r>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'224_sz_intézkedés'!$D$3:$F$3</c:f>
              <c:strCache>
                <c:ptCount val="3"/>
                <c:pt idx="0">
                  <c:v>8. verzió
közkiadás</c:v>
                </c:pt>
                <c:pt idx="1">
                  <c:v>9. verzió 
közkiadás
változása</c:v>
                </c:pt>
                <c:pt idx="2">
                  <c:v>9. verzió 
új közkiadás</c:v>
                </c:pt>
              </c:strCache>
            </c:strRef>
          </c:cat>
          <c:val>
            <c:numRef>
              <c:f>'224_sz_intézkedés'!$D$6:$F$6</c:f>
              <c:numCache>
                <c:formatCode>#,##0</c:formatCode>
                <c:ptCount val="3"/>
                <c:pt idx="0">
                  <c:v>0</c:v>
                </c:pt>
                <c:pt idx="1">
                  <c:v>12414500</c:v>
                </c:pt>
                <c:pt idx="2">
                  <c:v>0</c:v>
                </c:pt>
              </c:numCache>
            </c:numRef>
          </c:val>
        </c:ser>
        <c:dLbls>
          <c:showLegendKey val="0"/>
          <c:showVal val="0"/>
          <c:showCatName val="0"/>
          <c:showSerName val="0"/>
          <c:showPercent val="0"/>
          <c:showBubbleSize val="0"/>
        </c:dLbls>
        <c:gapWidth val="75"/>
        <c:overlap val="100"/>
        <c:axId val="94816512"/>
        <c:axId val="94826496"/>
      </c:barChart>
      <c:catAx>
        <c:axId val="94816512"/>
        <c:scaling>
          <c:orientation val="minMax"/>
        </c:scaling>
        <c:delete val="0"/>
        <c:axPos val="b"/>
        <c:numFmt formatCode="General" sourceLinked="0"/>
        <c:majorTickMark val="none"/>
        <c:minorTickMark val="none"/>
        <c:tickLblPos val="nextTo"/>
        <c:txPr>
          <a:bodyPr/>
          <a:lstStyle/>
          <a:p>
            <a:pPr>
              <a:defRPr sz="800">
                <a:latin typeface="Times New Roman" pitchFamily="18" charset="0"/>
                <a:cs typeface="Times New Roman" pitchFamily="18" charset="0"/>
              </a:defRPr>
            </a:pPr>
            <a:endParaRPr lang="hu-HU"/>
          </a:p>
        </c:txPr>
        <c:crossAx val="94826496"/>
        <c:crosses val="autoZero"/>
        <c:auto val="1"/>
        <c:lblAlgn val="ctr"/>
        <c:lblOffset val="100"/>
        <c:noMultiLvlLbl val="0"/>
      </c:catAx>
      <c:valAx>
        <c:axId val="94826496"/>
        <c:scaling>
          <c:orientation val="minMax"/>
        </c:scaling>
        <c:delete val="0"/>
        <c:axPos val="l"/>
        <c:majorGridlines/>
        <c:numFmt formatCode="#,##0" sourceLinked="1"/>
        <c:majorTickMark val="none"/>
        <c:minorTickMark val="none"/>
        <c:tickLblPos val="nextTo"/>
        <c:spPr>
          <a:ln w="9525">
            <a:noFill/>
          </a:ln>
        </c:spPr>
        <c:txPr>
          <a:bodyPr/>
          <a:lstStyle/>
          <a:p>
            <a:pPr>
              <a:defRPr sz="800">
                <a:latin typeface="Times New Roman" pitchFamily="18" charset="0"/>
                <a:cs typeface="Times New Roman" pitchFamily="18" charset="0"/>
              </a:defRPr>
            </a:pPr>
            <a:endParaRPr lang="hu-HU"/>
          </a:p>
        </c:txPr>
        <c:crossAx val="94816512"/>
        <c:crosses val="autoZero"/>
        <c:crossBetween val="between"/>
      </c:valAx>
    </c:plotArea>
    <c:legend>
      <c:legendPos val="b"/>
      <c:layout>
        <c:manualLayout>
          <c:xMode val="edge"/>
          <c:yMode val="edge"/>
          <c:x val="7.1181453488882468E-2"/>
          <c:y val="0.79338082739657545"/>
          <c:w val="0.8910819090757468"/>
          <c:h val="0.16852393450818648"/>
        </c:manualLayout>
      </c:layout>
      <c:overlay val="0"/>
      <c:txPr>
        <a:bodyPr/>
        <a:lstStyle/>
        <a:p>
          <a:pPr>
            <a:defRPr sz="800">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u-HU" sz="1100"/>
              <a:t>Forrásátcsoportosítás az "Erdő-környezetvédelmi kifizetések" </a:t>
            </a:r>
          </a:p>
          <a:p>
            <a:pPr>
              <a:defRPr sz="1100"/>
            </a:pPr>
            <a:r>
              <a:rPr lang="hu-HU" sz="1100"/>
              <a:t>225. számú intézkedésről (euró)</a:t>
            </a:r>
          </a:p>
        </c:rich>
      </c:tx>
      <c:layout/>
      <c:overlay val="0"/>
    </c:title>
    <c:autoTitleDeleted val="0"/>
    <c:plotArea>
      <c:layout/>
      <c:barChart>
        <c:barDir val="col"/>
        <c:grouping val="stacked"/>
        <c:varyColors val="0"/>
        <c:ser>
          <c:idx val="0"/>
          <c:order val="0"/>
          <c:tx>
            <c:strRef>
              <c:f>'225_sz_intézkedés'!$B$4</c:f>
              <c:strCache>
                <c:ptCount val="1"/>
                <c:pt idx="0">
                  <c:v>Az "Erdő-környezetvédelmi kifizetések" 225. sz. intézkedés</c:v>
                </c:pt>
              </c:strCache>
            </c:strRef>
          </c:tx>
          <c:spPr>
            <a:solidFill>
              <a:schemeClr val="tx2">
                <a:lumMod val="40000"/>
                <a:lumOff val="60000"/>
              </a:schemeClr>
            </a:solidFill>
          </c:spPr>
          <c:invertIfNegative val="0"/>
          <c:dPt>
            <c:idx val="0"/>
            <c:invertIfNegative val="0"/>
            <c:bubble3D val="0"/>
            <c:spPr>
              <a:solidFill>
                <a:schemeClr val="tx2">
                  <a:lumMod val="20000"/>
                  <a:lumOff val="80000"/>
                </a:schemeClr>
              </a:solidFill>
            </c:spPr>
          </c:dPt>
          <c:dLbls>
            <c:dLbl>
              <c:idx val="1"/>
              <c:delete val="1"/>
              <c:extLst>
                <c:ext xmlns:c15="http://schemas.microsoft.com/office/drawing/2012/chart" uri="{CE6537A1-D6FC-4f65-9D91-7224C49458BB}"/>
              </c:extLst>
            </c:dLbl>
            <c:dLbl>
              <c:idx val="2"/>
              <c:layout/>
              <c:tx>
                <c:rich>
                  <a:bodyPr/>
                  <a:lstStyle/>
                  <a:p>
                    <a:r>
                      <a:rPr lang="en-US"/>
                      <a:t>  77 264 151</a:t>
                    </a:r>
                  </a:p>
                  <a:p>
                    <a:r>
                      <a:rPr lang="en-US"/>
                      <a:t>- 35</a:t>
                    </a:r>
                    <a:r>
                      <a:rPr lang="en-US" baseline="0"/>
                      <a:t> 985 500</a:t>
                    </a:r>
                  </a:p>
                  <a:p>
                    <a:r>
                      <a:rPr lang="en-US" baseline="0"/>
                      <a:t>= </a:t>
                    </a:r>
                    <a:r>
                      <a:rPr lang="en-US"/>
                      <a:t>41 278 651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'225_sz_intézkedés'!$C$3:$E$3</c:f>
              <c:strCache>
                <c:ptCount val="3"/>
                <c:pt idx="0">
                  <c:v>Forrásátcsoportosítás 
összege</c:v>
                </c:pt>
                <c:pt idx="1">
                  <c:v>9. verzió 
közkiadás
változása</c:v>
                </c:pt>
                <c:pt idx="2">
                  <c:v>9. verzió
új közkiadás</c:v>
                </c:pt>
              </c:strCache>
            </c:strRef>
          </c:cat>
          <c:val>
            <c:numRef>
              <c:f>'225_sz_intézkedés'!$C$4:$E$4</c:f>
              <c:numCache>
                <c:formatCode>#,##0</c:formatCode>
                <c:ptCount val="3"/>
                <c:pt idx="0">
                  <c:v>35985500</c:v>
                </c:pt>
                <c:pt idx="1">
                  <c:v>0</c:v>
                </c:pt>
                <c:pt idx="2">
                  <c:v>41278651</c:v>
                </c:pt>
              </c:numCache>
            </c:numRef>
          </c:val>
        </c:ser>
        <c:ser>
          <c:idx val="1"/>
          <c:order val="1"/>
          <c:tx>
            <c:strRef>
              <c:f>'225_sz_intézkedés'!$B$5</c:f>
              <c:strCache>
                <c:ptCount val="1"/>
                <c:pt idx="0">
                  <c:v>A "Kifizetés kedvezőtlen adottságú területen gazdálkodók részére (kivéve hegyvidéki területek) 212. sz. intézkedés</c:v>
                </c:pt>
              </c:strCache>
            </c:strRef>
          </c:tx>
          <c:spPr>
            <a:solidFill>
              <a:schemeClr val="bg2">
                <a:lumMod val="50000"/>
              </a:schemeClr>
            </a:solidFill>
          </c:spPr>
          <c:invertIfNegative val="0"/>
          <c:dLbls>
            <c:dLbl>
              <c:idx val="0"/>
              <c:delete val="1"/>
              <c:extLst>
                <c:ext xmlns:c15="http://schemas.microsoft.com/office/drawing/2012/chart" uri="{CE6537A1-D6FC-4f65-9D91-7224C49458BB}"/>
              </c:extLst>
            </c:dLbl>
            <c:dLbl>
              <c:idx val="1"/>
              <c:layout/>
              <c:tx>
                <c:rich>
                  <a:bodyPr/>
                  <a:lstStyle/>
                  <a:p>
                    <a:r>
                      <a:rPr lang="en-US"/>
                      <a:t>+ 12 600 000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  45</a:t>
                    </a:r>
                    <a:r>
                      <a:rPr lang="en-US" baseline="0"/>
                      <a:t> 505 911</a:t>
                    </a:r>
                  </a:p>
                  <a:p>
                    <a:r>
                      <a:rPr lang="en-US" baseline="0"/>
                      <a:t>+ 12 600 000 </a:t>
                    </a:r>
                  </a:p>
                  <a:p>
                    <a:r>
                      <a:rPr lang="en-US" baseline="0"/>
                      <a:t>= </a:t>
                    </a:r>
                    <a:r>
                      <a:rPr lang="en-US"/>
                      <a:t>58 105 911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'225_sz_intézkedés'!$C$3:$E$3</c:f>
              <c:strCache>
                <c:ptCount val="3"/>
                <c:pt idx="0">
                  <c:v>Forrásátcsoportosítás 
összege</c:v>
                </c:pt>
                <c:pt idx="1">
                  <c:v>9. verzió 
közkiadás
változása</c:v>
                </c:pt>
                <c:pt idx="2">
                  <c:v>9. verzió
új közkiadás</c:v>
                </c:pt>
              </c:strCache>
            </c:strRef>
          </c:cat>
          <c:val>
            <c:numRef>
              <c:f>'225_sz_intézkedés'!$C$5:$E$5</c:f>
              <c:numCache>
                <c:formatCode>#,##0</c:formatCode>
                <c:ptCount val="3"/>
                <c:pt idx="0">
                  <c:v>0</c:v>
                </c:pt>
                <c:pt idx="1">
                  <c:v>12600000</c:v>
                </c:pt>
                <c:pt idx="2">
                  <c:v>58105911</c:v>
                </c:pt>
              </c:numCache>
            </c:numRef>
          </c:val>
        </c:ser>
        <c:ser>
          <c:idx val="2"/>
          <c:order val="2"/>
          <c:tx>
            <c:strRef>
              <c:f>'225_sz_intézkedés'!$B$6</c:f>
              <c:strCache>
                <c:ptCount val="1"/>
                <c:pt idx="0">
                  <c:v>A "Kompenzációs támogatás a Natura 2000 erdőterületeken" 224. sz. intézkedés</c:v>
                </c:pt>
              </c:strCache>
            </c:strRef>
          </c:tx>
          <c:invertIfNegative val="0"/>
          <c:dLbls>
            <c:dLbl>
              <c:idx val="0"/>
              <c:delete val="1"/>
              <c:extLst>
                <c:ext xmlns:c15="http://schemas.microsoft.com/office/drawing/2012/chart" uri="{CE6537A1-D6FC-4f65-9D91-7224C49458BB}"/>
              </c:extLst>
            </c:dLbl>
            <c:dLbl>
              <c:idx val="1"/>
              <c:layout/>
              <c:tx>
                <c:rich>
                  <a:bodyPr/>
                  <a:lstStyle/>
                  <a:p>
                    <a:r>
                      <a:rPr lang="en-US"/>
                      <a:t>+ 23 385 500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  12</a:t>
                    </a:r>
                    <a:r>
                      <a:rPr lang="en-US" baseline="0"/>
                      <a:t> 414 500</a:t>
                    </a:r>
                  </a:p>
                  <a:p>
                    <a:r>
                      <a:rPr lang="en-US" baseline="0"/>
                      <a:t>+ 23 385 500</a:t>
                    </a:r>
                  </a:p>
                  <a:p>
                    <a:r>
                      <a:rPr lang="en-US" baseline="0"/>
                      <a:t>= </a:t>
                    </a:r>
                    <a:r>
                      <a:rPr lang="en-US"/>
                      <a:t>35 800 000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'225_sz_intézkedés'!$C$3:$E$3</c:f>
              <c:strCache>
                <c:ptCount val="3"/>
                <c:pt idx="0">
                  <c:v>Forrásátcsoportosítás 
összege</c:v>
                </c:pt>
                <c:pt idx="1">
                  <c:v>9. verzió 
közkiadás
változása</c:v>
                </c:pt>
                <c:pt idx="2">
                  <c:v>9. verzió
új közkiadás</c:v>
                </c:pt>
              </c:strCache>
            </c:strRef>
          </c:cat>
          <c:val>
            <c:numRef>
              <c:f>'225_sz_intézkedés'!$C$6:$E$6</c:f>
              <c:numCache>
                <c:formatCode>#,##0</c:formatCode>
                <c:ptCount val="3"/>
                <c:pt idx="0">
                  <c:v>0</c:v>
                </c:pt>
                <c:pt idx="1">
                  <c:v>23385500</c:v>
                </c:pt>
                <c:pt idx="2">
                  <c:v>35800000</c:v>
                </c:pt>
              </c:numCache>
            </c:numRef>
          </c:val>
        </c:ser>
        <c:dLbls>
          <c:showLegendKey val="0"/>
          <c:showVal val="0"/>
          <c:showCatName val="0"/>
          <c:showSerName val="0"/>
          <c:showPercent val="0"/>
          <c:showBubbleSize val="0"/>
        </c:dLbls>
        <c:gapWidth val="75"/>
        <c:overlap val="100"/>
        <c:axId val="94905088"/>
        <c:axId val="94906624"/>
      </c:barChart>
      <c:catAx>
        <c:axId val="94905088"/>
        <c:scaling>
          <c:orientation val="minMax"/>
        </c:scaling>
        <c:delete val="0"/>
        <c:axPos val="b"/>
        <c:numFmt formatCode="General" sourceLinked="0"/>
        <c:majorTickMark val="none"/>
        <c:minorTickMark val="none"/>
        <c:tickLblPos val="nextTo"/>
        <c:txPr>
          <a:bodyPr/>
          <a:lstStyle/>
          <a:p>
            <a:pPr>
              <a:defRPr sz="800"/>
            </a:pPr>
            <a:endParaRPr lang="hu-HU"/>
          </a:p>
        </c:txPr>
        <c:crossAx val="94906624"/>
        <c:crosses val="autoZero"/>
        <c:auto val="1"/>
        <c:lblAlgn val="ctr"/>
        <c:lblOffset val="100"/>
        <c:noMultiLvlLbl val="0"/>
      </c:catAx>
      <c:valAx>
        <c:axId val="94906624"/>
        <c:scaling>
          <c:orientation val="minMax"/>
        </c:scaling>
        <c:delete val="0"/>
        <c:axPos val="l"/>
        <c:majorGridlines/>
        <c:numFmt formatCode="#,##0" sourceLinked="1"/>
        <c:majorTickMark val="none"/>
        <c:minorTickMark val="none"/>
        <c:tickLblPos val="nextTo"/>
        <c:spPr>
          <a:ln w="9525">
            <a:noFill/>
          </a:ln>
        </c:spPr>
        <c:txPr>
          <a:bodyPr/>
          <a:lstStyle/>
          <a:p>
            <a:pPr>
              <a:defRPr sz="800"/>
            </a:pPr>
            <a:endParaRPr lang="hu-HU"/>
          </a:p>
        </c:txPr>
        <c:crossAx val="94905088"/>
        <c:crosses val="autoZero"/>
        <c:crossBetween val="between"/>
      </c:valAx>
    </c:plotArea>
    <c:legend>
      <c:legendPos val="b"/>
      <c:layout>
        <c:manualLayout>
          <c:xMode val="edge"/>
          <c:yMode val="edge"/>
          <c:x val="1.9475152447783944E-2"/>
          <c:y val="0.82085149272666358"/>
          <c:w val="0.96563947578841802"/>
          <c:h val="0.17524528323046321"/>
        </c:manualLayout>
      </c:layout>
      <c:overlay val="0"/>
      <c:txPr>
        <a:bodyPr/>
        <a:lstStyle/>
        <a:p>
          <a:pPr>
            <a:defRPr sz="800"/>
          </a:pPr>
          <a:endParaRPr lang="hu-HU"/>
        </a:p>
      </c:txPr>
    </c:legend>
    <c:plotVisOnly val="1"/>
    <c:dispBlanksAs val="gap"/>
    <c:showDLblsOverMax val="0"/>
  </c:chart>
  <c:txPr>
    <a:bodyPr/>
    <a:lstStyle/>
    <a:p>
      <a:pPr>
        <a:defRPr>
          <a:latin typeface="Times New Roman" pitchFamily="18" charset="0"/>
          <a:cs typeface="Times New Roman" pitchFamily="18" charset="0"/>
        </a:defRPr>
      </a:pPr>
      <a:endParaRPr lang="hu-H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u-HU" sz="1100"/>
              <a:t>312. sz. intézkedés: "Mikrovállalkozások</a:t>
            </a:r>
            <a:r>
              <a:rPr lang="hu-HU" sz="1100" baseline="0"/>
              <a:t> létrehozásának és fejlesztésének támogatása" (euró)</a:t>
            </a:r>
          </a:p>
          <a:p>
            <a:pPr>
              <a:defRPr sz="1100"/>
            </a:pPr>
            <a:endParaRPr lang="hu-HU" sz="1100"/>
          </a:p>
        </c:rich>
      </c:tx>
      <c:layout/>
      <c:overlay val="0"/>
    </c:title>
    <c:autoTitleDeleted val="0"/>
    <c:plotArea>
      <c:layout/>
      <c:barChart>
        <c:barDir val="col"/>
        <c:grouping val="stacked"/>
        <c:varyColors val="0"/>
        <c:ser>
          <c:idx val="0"/>
          <c:order val="0"/>
          <c:tx>
            <c:strRef>
              <c:f>'312_313_323'!$B$4</c:f>
              <c:strCache>
                <c:ptCount val="1"/>
                <c:pt idx="0">
                  <c:v>312. sz. intézkedés: "Mikrovállalkozások létrehozásának és fejlesztésének támogatása"</c:v>
                </c:pt>
              </c:strCache>
            </c:strRef>
          </c:tx>
          <c:spPr>
            <a:solidFill>
              <a:schemeClr val="tx2">
                <a:lumMod val="40000"/>
                <a:lumOff val="60000"/>
              </a:schemeClr>
            </a:solidFill>
          </c:spPr>
          <c:invertIfNegative val="0"/>
          <c:dLbls>
            <c:spPr>
              <a:noFill/>
              <a:ln>
                <a:noFill/>
              </a:ln>
              <a:effectLst/>
            </c:spPr>
            <c:txPr>
              <a:bodyPr/>
              <a:lstStyle/>
              <a:p>
                <a:pPr>
                  <a:defRPr b="1"/>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'312_313_323'!$C$3:$E$3</c:f>
              <c:strCache>
                <c:ptCount val="3"/>
                <c:pt idx="0">
                  <c:v>8. verzió
közkiadás</c:v>
                </c:pt>
                <c:pt idx="1">
                  <c:v>9. verzió
közkiadás
változása</c:v>
                </c:pt>
                <c:pt idx="2">
                  <c:v>9. verzió 
új közkiadás</c:v>
                </c:pt>
              </c:strCache>
            </c:strRef>
          </c:cat>
          <c:val>
            <c:numRef>
              <c:f>'312_313_323'!$C$4:$E$4</c:f>
              <c:numCache>
                <c:formatCode>#,##0</c:formatCode>
                <c:ptCount val="3"/>
                <c:pt idx="0">
                  <c:v>136604078</c:v>
                </c:pt>
                <c:pt idx="1">
                  <c:v>136604078</c:v>
                </c:pt>
                <c:pt idx="2">
                  <c:v>151604078</c:v>
                </c:pt>
              </c:numCache>
            </c:numRef>
          </c:val>
        </c:ser>
        <c:ser>
          <c:idx val="1"/>
          <c:order val="1"/>
          <c:tx>
            <c:strRef>
              <c:f>'312_313_323'!$B$5</c:f>
              <c:strCache>
                <c:ptCount val="1"/>
                <c:pt idx="0">
                  <c:v>Forrásátcsop. "A turisztikai tevékenységek ösztönzése" 313. sz. intézkedésről</c:v>
                </c:pt>
              </c:strCache>
            </c:strRef>
          </c:tx>
          <c:spPr>
            <a:solidFill>
              <a:schemeClr val="bg2">
                <a:lumMod val="50000"/>
              </a:schemeClr>
            </a:solidFill>
          </c:spPr>
          <c:invertIfNegative val="0"/>
          <c:dLbls>
            <c:dLbl>
              <c:idx val="0"/>
              <c:delete val="1"/>
              <c:extLst>
                <c:ext xmlns:c15="http://schemas.microsoft.com/office/drawing/2012/chart" uri="{CE6537A1-D6FC-4f65-9D91-7224C49458BB}"/>
              </c:extLst>
            </c:dLbl>
            <c:dLbl>
              <c:idx val="1"/>
              <c:layout/>
              <c:tx>
                <c:rich>
                  <a:bodyPr/>
                  <a:lstStyle/>
                  <a:p>
                    <a:r>
                      <a:rPr lang="en-US"/>
                      <a:t>+ 5 000 000</a:t>
                    </a:r>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'312_313_323'!$C$3:$E$3</c:f>
              <c:strCache>
                <c:ptCount val="3"/>
                <c:pt idx="0">
                  <c:v>8. verzió
közkiadás</c:v>
                </c:pt>
                <c:pt idx="1">
                  <c:v>9. verzió
közkiadás
változása</c:v>
                </c:pt>
                <c:pt idx="2">
                  <c:v>9. verzió 
új közkiadás</c:v>
                </c:pt>
              </c:strCache>
            </c:strRef>
          </c:cat>
          <c:val>
            <c:numRef>
              <c:f>'312_313_323'!$C$5:$E$5</c:f>
              <c:numCache>
                <c:formatCode>#,##0</c:formatCode>
                <c:ptCount val="3"/>
                <c:pt idx="0">
                  <c:v>0</c:v>
                </c:pt>
                <c:pt idx="1">
                  <c:v>5000000</c:v>
                </c:pt>
                <c:pt idx="2">
                  <c:v>0</c:v>
                </c:pt>
              </c:numCache>
            </c:numRef>
          </c:val>
        </c:ser>
        <c:ser>
          <c:idx val="2"/>
          <c:order val="2"/>
          <c:tx>
            <c:strRef>
              <c:f>'312_313_323'!$B$6</c:f>
              <c:strCache>
                <c:ptCount val="1"/>
                <c:pt idx="0">
                  <c:v>Forrásátcsop. "A vidéki örökség megőrzése és fenntartható fejlesztése" 323. sz. intézkedésről</c:v>
                </c:pt>
              </c:strCache>
            </c:strRef>
          </c:tx>
          <c:invertIfNegative val="0"/>
          <c:dLbls>
            <c:dLbl>
              <c:idx val="0"/>
              <c:delete val="1"/>
              <c:extLst>
                <c:ext xmlns:c15="http://schemas.microsoft.com/office/drawing/2012/chart" uri="{CE6537A1-D6FC-4f65-9D91-7224C49458BB}"/>
              </c:extLst>
            </c:dLbl>
            <c:dLbl>
              <c:idx val="1"/>
              <c:layout/>
              <c:tx>
                <c:rich>
                  <a:bodyPr/>
                  <a:lstStyle/>
                  <a:p>
                    <a:r>
                      <a:rPr lang="en-US"/>
                      <a:t>+ 10 000 000</a:t>
                    </a:r>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b="1"/>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'312_313_323'!$C$3:$E$3</c:f>
              <c:strCache>
                <c:ptCount val="3"/>
                <c:pt idx="0">
                  <c:v>8. verzió
közkiadás</c:v>
                </c:pt>
                <c:pt idx="1">
                  <c:v>9. verzió
közkiadás
változása</c:v>
                </c:pt>
                <c:pt idx="2">
                  <c:v>9. verzió 
új közkiadás</c:v>
                </c:pt>
              </c:strCache>
            </c:strRef>
          </c:cat>
          <c:val>
            <c:numRef>
              <c:f>'312_313_323'!$C$6:$E$6</c:f>
              <c:numCache>
                <c:formatCode>#,##0</c:formatCode>
                <c:ptCount val="3"/>
                <c:pt idx="0">
                  <c:v>0</c:v>
                </c:pt>
                <c:pt idx="1">
                  <c:v>10000000</c:v>
                </c:pt>
                <c:pt idx="2">
                  <c:v>0</c:v>
                </c:pt>
              </c:numCache>
            </c:numRef>
          </c:val>
        </c:ser>
        <c:dLbls>
          <c:showLegendKey val="0"/>
          <c:showVal val="0"/>
          <c:showCatName val="0"/>
          <c:showSerName val="0"/>
          <c:showPercent val="0"/>
          <c:showBubbleSize val="0"/>
        </c:dLbls>
        <c:gapWidth val="75"/>
        <c:overlap val="100"/>
        <c:axId val="94952448"/>
        <c:axId val="94978816"/>
      </c:barChart>
      <c:catAx>
        <c:axId val="94952448"/>
        <c:scaling>
          <c:orientation val="minMax"/>
        </c:scaling>
        <c:delete val="0"/>
        <c:axPos val="b"/>
        <c:numFmt formatCode="General" sourceLinked="0"/>
        <c:majorTickMark val="none"/>
        <c:minorTickMark val="none"/>
        <c:tickLblPos val="nextTo"/>
        <c:txPr>
          <a:bodyPr/>
          <a:lstStyle/>
          <a:p>
            <a:pPr>
              <a:defRPr sz="800"/>
            </a:pPr>
            <a:endParaRPr lang="hu-HU"/>
          </a:p>
        </c:txPr>
        <c:crossAx val="94978816"/>
        <c:crosses val="autoZero"/>
        <c:auto val="1"/>
        <c:lblAlgn val="ctr"/>
        <c:lblOffset val="100"/>
        <c:noMultiLvlLbl val="0"/>
      </c:catAx>
      <c:valAx>
        <c:axId val="94978816"/>
        <c:scaling>
          <c:orientation val="minMax"/>
        </c:scaling>
        <c:delete val="0"/>
        <c:axPos val="l"/>
        <c:majorGridlines/>
        <c:numFmt formatCode="#,##0" sourceLinked="1"/>
        <c:majorTickMark val="none"/>
        <c:minorTickMark val="none"/>
        <c:tickLblPos val="nextTo"/>
        <c:spPr>
          <a:ln w="9525">
            <a:noFill/>
          </a:ln>
        </c:spPr>
        <c:txPr>
          <a:bodyPr/>
          <a:lstStyle/>
          <a:p>
            <a:pPr>
              <a:defRPr sz="800"/>
            </a:pPr>
            <a:endParaRPr lang="hu-HU"/>
          </a:p>
        </c:txPr>
        <c:crossAx val="94952448"/>
        <c:crosses val="autoZero"/>
        <c:crossBetween val="between"/>
      </c:valAx>
    </c:plotArea>
    <c:legend>
      <c:legendPos val="b"/>
      <c:layout/>
      <c:overlay val="0"/>
      <c:txPr>
        <a:bodyPr/>
        <a:lstStyle/>
        <a:p>
          <a:pPr>
            <a:defRPr sz="800"/>
          </a:pPr>
          <a:endParaRPr lang="hu-HU"/>
        </a:p>
      </c:txPr>
    </c:legend>
    <c:plotVisOnly val="1"/>
    <c:dispBlanksAs val="gap"/>
    <c:showDLblsOverMax val="0"/>
  </c:chart>
  <c:txPr>
    <a:bodyPr/>
    <a:lstStyle/>
    <a:p>
      <a:pPr>
        <a:defRPr>
          <a:latin typeface="Times New Roman" pitchFamily="18" charset="0"/>
          <a:cs typeface="Times New Roman" pitchFamily="18" charset="0"/>
        </a:defRPr>
      </a:pPr>
      <a:endParaRPr lang="hu-H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0.41462</cdr:x>
      <cdr:y>0.26354</cdr:y>
    </cdr:from>
    <cdr:to>
      <cdr:x>0.4773</cdr:x>
      <cdr:y>0.30747</cdr:y>
    </cdr:to>
    <cdr:sp macro="" textlink="">
      <cdr:nvSpPr>
        <cdr:cNvPr id="2" name="Jobbra nyíl 1"/>
        <cdr:cNvSpPr/>
      </cdr:nvSpPr>
      <cdr:spPr>
        <a:xfrm xmlns:a="http://schemas.openxmlformats.org/drawingml/2006/main">
          <a:off x="2168128" y="803270"/>
          <a:ext cx="327768" cy="133899"/>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u-HU"/>
        </a:p>
      </cdr:txBody>
    </cdr:sp>
  </cdr:relSizeAnchor>
  <cdr:relSizeAnchor xmlns:cdr="http://schemas.openxmlformats.org/drawingml/2006/chartDrawing">
    <cdr:from>
      <cdr:x>0.67699</cdr:x>
      <cdr:y>0.2</cdr:y>
    </cdr:from>
    <cdr:to>
      <cdr:x>0.77049</cdr:x>
      <cdr:y>0.66562</cdr:y>
    </cdr:to>
    <cdr:sp macro="" textlink="">
      <cdr:nvSpPr>
        <cdr:cNvPr id="4" name="Bal oldali kapcsos zárójel 3"/>
        <cdr:cNvSpPr/>
      </cdr:nvSpPr>
      <cdr:spPr>
        <a:xfrm xmlns:a="http://schemas.openxmlformats.org/drawingml/2006/main">
          <a:off x="3540135" y="609601"/>
          <a:ext cx="488940" cy="1419224"/>
        </a:xfrm>
        <a:prstGeom xmlns:a="http://schemas.openxmlformats.org/drawingml/2006/main" prst="leftBrac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hu-HU"/>
        </a:p>
      </cdr:txBody>
    </cdr:sp>
  </cdr:relSizeAnchor>
  <cdr:relSizeAnchor xmlns:cdr="http://schemas.openxmlformats.org/drawingml/2006/chartDrawing">
    <cdr:from>
      <cdr:x>0.41712</cdr:x>
      <cdr:y>0.42812</cdr:y>
    </cdr:from>
    <cdr:to>
      <cdr:x>0.4798</cdr:x>
      <cdr:y>0.47205</cdr:y>
    </cdr:to>
    <cdr:sp macro="" textlink="">
      <cdr:nvSpPr>
        <cdr:cNvPr id="5" name="Jobbra nyíl 4"/>
        <cdr:cNvSpPr/>
      </cdr:nvSpPr>
      <cdr:spPr>
        <a:xfrm xmlns:a="http://schemas.openxmlformats.org/drawingml/2006/main">
          <a:off x="2181225" y="1304925"/>
          <a:ext cx="327768" cy="133899"/>
        </a:xfrm>
        <a:prstGeom xmlns:a="http://schemas.openxmlformats.org/drawingml/2006/main" prst="rightArrow">
          <a:avLst/>
        </a:prstGeom>
        <a:solidFill xmlns:a="http://schemas.openxmlformats.org/drawingml/2006/main">
          <a:sysClr val="window" lastClr="FFFFFF">
            <a:lumMod val="65000"/>
          </a:sysClr>
        </a:solidFill>
        <a:ln xmlns:a="http://schemas.openxmlformats.org/drawingml/2006/main" w="25400" cap="flat" cmpd="sng" algn="ctr">
          <a:solidFill>
            <a:sysClr val="window" lastClr="FFFFFF">
              <a:lumMod val="65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hu-HU"/>
        </a:p>
      </cdr:txBody>
    </cdr:sp>
  </cdr:relSizeAnchor>
</c:userShapes>
</file>

<file path=word/drawings/drawing2.xml><?xml version="1.0" encoding="utf-8"?>
<c:userShapes xmlns:c="http://schemas.openxmlformats.org/drawingml/2006/chart">
  <cdr:relSizeAnchor xmlns:cdr="http://schemas.openxmlformats.org/drawingml/2006/chartDrawing">
    <cdr:from>
      <cdr:x>0.38961</cdr:x>
      <cdr:y>0.22915</cdr:y>
    </cdr:from>
    <cdr:to>
      <cdr:x>0.44074</cdr:x>
      <cdr:y>0.27143</cdr:y>
    </cdr:to>
    <cdr:sp macro="" textlink="">
      <cdr:nvSpPr>
        <cdr:cNvPr id="2" name="Jobbra nyíl 1"/>
        <cdr:cNvSpPr/>
      </cdr:nvSpPr>
      <cdr:spPr>
        <a:xfrm xmlns:a="http://schemas.openxmlformats.org/drawingml/2006/main">
          <a:off x="2219186" y="899239"/>
          <a:ext cx="291234" cy="165919"/>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0.66208</cdr:x>
      <cdr:y>0.21304</cdr:y>
    </cdr:from>
    <cdr:to>
      <cdr:x>0.74749</cdr:x>
      <cdr:y>0.63913</cdr:y>
    </cdr:to>
    <cdr:sp macro="" textlink="">
      <cdr:nvSpPr>
        <cdr:cNvPr id="3" name="Bal oldali kapcsos zárójel 2"/>
        <cdr:cNvSpPr/>
      </cdr:nvSpPr>
      <cdr:spPr>
        <a:xfrm xmlns:a="http://schemas.openxmlformats.org/drawingml/2006/main">
          <a:off x="3771200" y="933450"/>
          <a:ext cx="486475" cy="1866900"/>
        </a:xfrm>
        <a:prstGeom xmlns:a="http://schemas.openxmlformats.org/drawingml/2006/main" prst="leftBrac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0.39177</cdr:x>
      <cdr:y>0.40667</cdr:y>
    </cdr:from>
    <cdr:to>
      <cdr:x>0.4429</cdr:x>
      <cdr:y>0.44895</cdr:y>
    </cdr:to>
    <cdr:sp macro="" textlink="">
      <cdr:nvSpPr>
        <cdr:cNvPr id="4" name="Jobbra nyíl 3"/>
        <cdr:cNvSpPr/>
      </cdr:nvSpPr>
      <cdr:spPr>
        <a:xfrm xmlns:a="http://schemas.openxmlformats.org/drawingml/2006/main">
          <a:off x="2231519" y="1595891"/>
          <a:ext cx="291234" cy="165919"/>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0.38638</cdr:x>
      <cdr:y>0.28004</cdr:y>
    </cdr:from>
    <cdr:to>
      <cdr:x>0.44794</cdr:x>
      <cdr:y>0.3246</cdr:y>
    </cdr:to>
    <cdr:sp macro="" textlink="">
      <cdr:nvSpPr>
        <cdr:cNvPr id="2" name="Jobbra nyíl 1"/>
        <cdr:cNvSpPr/>
      </cdr:nvSpPr>
      <cdr:spPr>
        <a:xfrm xmlns:a="http://schemas.openxmlformats.org/drawingml/2006/main">
          <a:off x="2200787" y="840238"/>
          <a:ext cx="350643" cy="133697"/>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0.3896</cdr:x>
      <cdr:y>0.48939</cdr:y>
    </cdr:from>
    <cdr:to>
      <cdr:x>0.45116</cdr:x>
      <cdr:y>0.53395</cdr:y>
    </cdr:to>
    <cdr:sp macro="" textlink="">
      <cdr:nvSpPr>
        <cdr:cNvPr id="3" name="Jobbra nyíl 2"/>
        <cdr:cNvSpPr/>
      </cdr:nvSpPr>
      <cdr:spPr>
        <a:xfrm xmlns:a="http://schemas.openxmlformats.org/drawingml/2006/main">
          <a:off x="2219167" y="1468347"/>
          <a:ext cx="350642" cy="133697"/>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0.69767</cdr:x>
      <cdr:y>0.24444</cdr:y>
    </cdr:from>
    <cdr:to>
      <cdr:x>0.74916</cdr:x>
      <cdr:y>0.63175</cdr:y>
    </cdr:to>
    <cdr:sp macro="" textlink="">
      <cdr:nvSpPr>
        <cdr:cNvPr id="4" name="Bal oldali kapcsos zárójel 3"/>
        <cdr:cNvSpPr/>
      </cdr:nvSpPr>
      <cdr:spPr>
        <a:xfrm xmlns:a="http://schemas.openxmlformats.org/drawingml/2006/main">
          <a:off x="3973892" y="733425"/>
          <a:ext cx="293308" cy="1162050"/>
        </a:xfrm>
        <a:prstGeom xmlns:a="http://schemas.openxmlformats.org/drawingml/2006/main" prst="leftBrac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hu-HU"/>
        </a:p>
      </cdr:txBody>
    </cdr:sp>
  </cdr:relSizeAnchor>
</c:userShapes>
</file>

<file path=word/drawings/drawing4.xml><?xml version="1.0" encoding="utf-8"?>
<c:userShapes xmlns:c="http://schemas.openxmlformats.org/drawingml/2006/chart">
  <cdr:relSizeAnchor xmlns:cdr="http://schemas.openxmlformats.org/drawingml/2006/chartDrawing">
    <cdr:from>
      <cdr:x>0.36833</cdr:x>
      <cdr:y>0.65555</cdr:y>
    </cdr:from>
    <cdr:to>
      <cdr:x>0.45955</cdr:x>
      <cdr:y>0.67691</cdr:y>
    </cdr:to>
    <cdr:sp macro="" textlink="">
      <cdr:nvSpPr>
        <cdr:cNvPr id="3" name="Jobbra nyíl 2"/>
        <cdr:cNvSpPr/>
      </cdr:nvSpPr>
      <cdr:spPr>
        <a:xfrm xmlns:a="http://schemas.openxmlformats.org/drawingml/2006/main">
          <a:off x="2038364" y="2338217"/>
          <a:ext cx="504814" cy="76187"/>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0.37063</cdr:x>
      <cdr:y>0.59903</cdr:y>
    </cdr:from>
    <cdr:to>
      <cdr:x>0.46185</cdr:x>
      <cdr:y>0.62039</cdr:y>
    </cdr:to>
    <cdr:sp macro="" textlink="">
      <cdr:nvSpPr>
        <cdr:cNvPr id="4" name="Jobbra nyíl 3"/>
        <cdr:cNvSpPr/>
      </cdr:nvSpPr>
      <cdr:spPr>
        <a:xfrm xmlns:a="http://schemas.openxmlformats.org/drawingml/2006/main">
          <a:off x="2051050" y="2136614"/>
          <a:ext cx="504814" cy="76187"/>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0.6615</cdr:x>
      <cdr:y>0.43614</cdr:y>
    </cdr:from>
    <cdr:to>
      <cdr:x>0.72931</cdr:x>
      <cdr:y>0.47808</cdr:y>
    </cdr:to>
    <cdr:sp macro="" textlink="">
      <cdr:nvSpPr>
        <cdr:cNvPr id="5" name="Jobbra nyíl 4"/>
        <cdr:cNvSpPr/>
      </cdr:nvSpPr>
      <cdr:spPr>
        <a:xfrm xmlns:a="http://schemas.openxmlformats.org/drawingml/2006/main">
          <a:off x="3660774" y="1555629"/>
          <a:ext cx="375262" cy="149592"/>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userShapes>
</file>

<file path=word/drawings/drawing5.xml><?xml version="1.0" encoding="utf-8"?>
<c:userShapes xmlns:c="http://schemas.openxmlformats.org/drawingml/2006/chart">
  <cdr:relSizeAnchor xmlns:cdr="http://schemas.openxmlformats.org/drawingml/2006/chartDrawing">
    <cdr:from>
      <cdr:x>0.39443</cdr:x>
      <cdr:y>0.33086</cdr:y>
    </cdr:from>
    <cdr:to>
      <cdr:x>0.45804</cdr:x>
      <cdr:y>0.37074</cdr:y>
    </cdr:to>
    <cdr:sp macro="" textlink="">
      <cdr:nvSpPr>
        <cdr:cNvPr id="2" name="Jobbra nyíl 1"/>
        <cdr:cNvSpPr/>
      </cdr:nvSpPr>
      <cdr:spPr>
        <a:xfrm xmlns:a="http://schemas.openxmlformats.org/drawingml/2006/main">
          <a:off x="2088877" y="1153435"/>
          <a:ext cx="336872" cy="139027"/>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0.39084</cdr:x>
      <cdr:y>0.44055</cdr:y>
    </cdr:from>
    <cdr:to>
      <cdr:x>0.45445</cdr:x>
      <cdr:y>0.48043</cdr:y>
    </cdr:to>
    <cdr:sp macro="" textlink="">
      <cdr:nvSpPr>
        <cdr:cNvPr id="3" name="Jobbra nyíl 2"/>
        <cdr:cNvSpPr/>
      </cdr:nvSpPr>
      <cdr:spPr>
        <a:xfrm xmlns:a="http://schemas.openxmlformats.org/drawingml/2006/main">
          <a:off x="2069827" y="1535831"/>
          <a:ext cx="336872" cy="139028"/>
        </a:xfrm>
        <a:prstGeom xmlns:a="http://schemas.openxmlformats.org/drawingml/2006/main" prst="rightArrow">
          <a:avLst/>
        </a:prstGeom>
        <a:solidFill xmlns:a="http://schemas.openxmlformats.org/drawingml/2006/main">
          <a:schemeClr val="bg1">
            <a:lumMod val="65000"/>
          </a:schemeClr>
        </a:solidFill>
        <a:ln xmlns:a="http://schemas.openxmlformats.org/drawingml/2006/main">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hu-HU"/>
        </a:p>
      </cdr:txBody>
    </cdr:sp>
  </cdr:relSizeAnchor>
  <cdr:relSizeAnchor xmlns:cdr="http://schemas.openxmlformats.org/drawingml/2006/chartDrawing">
    <cdr:from>
      <cdr:x>0.67283</cdr:x>
      <cdr:y>0.27092</cdr:y>
    </cdr:from>
    <cdr:to>
      <cdr:x>0.75231</cdr:x>
      <cdr:y>0.67092</cdr:y>
    </cdr:to>
    <cdr:sp macro="" textlink="">
      <cdr:nvSpPr>
        <cdr:cNvPr id="4" name="Bal oldali kapcsos zárójel 3"/>
        <cdr:cNvSpPr/>
      </cdr:nvSpPr>
      <cdr:spPr>
        <a:xfrm xmlns:a="http://schemas.openxmlformats.org/drawingml/2006/main">
          <a:off x="3467100" y="909639"/>
          <a:ext cx="409575" cy="1343026"/>
        </a:xfrm>
        <a:prstGeom xmlns:a="http://schemas.openxmlformats.org/drawingml/2006/main" prst="leftBrac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hu-HU"/>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4F1F5-E7D1-42F7-9702-FDF4B723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215</Pages>
  <Words>75215</Words>
  <Characters>518985</Characters>
  <Application>Microsoft Office Word</Application>
  <DocSecurity>0</DocSecurity>
  <Lines>4324</Lines>
  <Paragraphs>1186</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593014</CharactersWithSpaces>
  <SharedDoc>false</SharedDoc>
  <HLinks>
    <vt:vector size="522" baseType="variant">
      <vt:variant>
        <vt:i4>7536753</vt:i4>
      </vt:variant>
      <vt:variant>
        <vt:i4>501</vt:i4>
      </vt:variant>
      <vt:variant>
        <vt:i4>0</vt:i4>
      </vt:variant>
      <vt:variant>
        <vt:i4>5</vt:i4>
      </vt:variant>
      <vt:variant>
        <vt:lpwstr>http://www.mnvh.eu/galeria</vt:lpwstr>
      </vt:variant>
      <vt:variant>
        <vt:lpwstr/>
      </vt:variant>
      <vt:variant>
        <vt:i4>8061034</vt:i4>
      </vt:variant>
      <vt:variant>
        <vt:i4>498</vt:i4>
      </vt:variant>
      <vt:variant>
        <vt:i4>0</vt:i4>
      </vt:variant>
      <vt:variant>
        <vt:i4>5</vt:i4>
      </vt:variant>
      <vt:variant>
        <vt:lpwstr>http://www.umvp.eu/?q=videotar</vt:lpwstr>
      </vt:variant>
      <vt:variant>
        <vt:lpwstr/>
      </vt:variant>
      <vt:variant>
        <vt:i4>3080237</vt:i4>
      </vt:variant>
      <vt:variant>
        <vt:i4>495</vt:i4>
      </vt:variant>
      <vt:variant>
        <vt:i4>0</vt:i4>
      </vt:variant>
      <vt:variant>
        <vt:i4>5</vt:i4>
      </vt:variant>
      <vt:variant>
        <vt:lpwstr>http://www.umvp.eu/?q=nekik-sikerult/itthon</vt:lpwstr>
      </vt:variant>
      <vt:variant>
        <vt:lpwstr/>
      </vt:variant>
      <vt:variant>
        <vt:i4>5570662</vt:i4>
      </vt:variant>
      <vt:variant>
        <vt:i4>492</vt:i4>
      </vt:variant>
      <vt:variant>
        <vt:i4>0</vt:i4>
      </vt:variant>
      <vt:variant>
        <vt:i4>5</vt:i4>
      </vt:variant>
      <vt:variant>
        <vt:lpwstr>mailto:info@umvp.eu</vt:lpwstr>
      </vt:variant>
      <vt:variant>
        <vt:lpwstr/>
      </vt:variant>
      <vt:variant>
        <vt:i4>1572917</vt:i4>
      </vt:variant>
      <vt:variant>
        <vt:i4>489</vt:i4>
      </vt:variant>
      <vt:variant>
        <vt:i4>0</vt:i4>
      </vt:variant>
      <vt:variant>
        <vt:i4>5</vt:i4>
      </vt:variant>
      <vt:variant>
        <vt:lpwstr/>
      </vt:variant>
      <vt:variant>
        <vt:lpwstr>_Toc290475077</vt:lpwstr>
      </vt:variant>
      <vt:variant>
        <vt:i4>1638453</vt:i4>
      </vt:variant>
      <vt:variant>
        <vt:i4>486</vt:i4>
      </vt:variant>
      <vt:variant>
        <vt:i4>0</vt:i4>
      </vt:variant>
      <vt:variant>
        <vt:i4>5</vt:i4>
      </vt:variant>
      <vt:variant>
        <vt:lpwstr/>
      </vt:variant>
      <vt:variant>
        <vt:lpwstr>_Toc290475063</vt:lpwstr>
      </vt:variant>
      <vt:variant>
        <vt:i4>1572917</vt:i4>
      </vt:variant>
      <vt:variant>
        <vt:i4>483</vt:i4>
      </vt:variant>
      <vt:variant>
        <vt:i4>0</vt:i4>
      </vt:variant>
      <vt:variant>
        <vt:i4>5</vt:i4>
      </vt:variant>
      <vt:variant>
        <vt:lpwstr/>
      </vt:variant>
      <vt:variant>
        <vt:lpwstr>_Toc290475078</vt:lpwstr>
      </vt:variant>
      <vt:variant>
        <vt:i4>1572917</vt:i4>
      </vt:variant>
      <vt:variant>
        <vt:i4>480</vt:i4>
      </vt:variant>
      <vt:variant>
        <vt:i4>0</vt:i4>
      </vt:variant>
      <vt:variant>
        <vt:i4>5</vt:i4>
      </vt:variant>
      <vt:variant>
        <vt:lpwstr/>
      </vt:variant>
      <vt:variant>
        <vt:lpwstr>_Toc290475077</vt:lpwstr>
      </vt:variant>
      <vt:variant>
        <vt:i4>1900606</vt:i4>
      </vt:variant>
      <vt:variant>
        <vt:i4>470</vt:i4>
      </vt:variant>
      <vt:variant>
        <vt:i4>0</vt:i4>
      </vt:variant>
      <vt:variant>
        <vt:i4>5</vt:i4>
      </vt:variant>
      <vt:variant>
        <vt:lpwstr/>
      </vt:variant>
      <vt:variant>
        <vt:lpwstr>_Toc358621787</vt:lpwstr>
      </vt:variant>
      <vt:variant>
        <vt:i4>1900606</vt:i4>
      </vt:variant>
      <vt:variant>
        <vt:i4>464</vt:i4>
      </vt:variant>
      <vt:variant>
        <vt:i4>0</vt:i4>
      </vt:variant>
      <vt:variant>
        <vt:i4>5</vt:i4>
      </vt:variant>
      <vt:variant>
        <vt:lpwstr/>
      </vt:variant>
      <vt:variant>
        <vt:lpwstr>_Toc358621786</vt:lpwstr>
      </vt:variant>
      <vt:variant>
        <vt:i4>1900606</vt:i4>
      </vt:variant>
      <vt:variant>
        <vt:i4>458</vt:i4>
      </vt:variant>
      <vt:variant>
        <vt:i4>0</vt:i4>
      </vt:variant>
      <vt:variant>
        <vt:i4>5</vt:i4>
      </vt:variant>
      <vt:variant>
        <vt:lpwstr/>
      </vt:variant>
      <vt:variant>
        <vt:lpwstr>_Toc358621785</vt:lpwstr>
      </vt:variant>
      <vt:variant>
        <vt:i4>1900606</vt:i4>
      </vt:variant>
      <vt:variant>
        <vt:i4>452</vt:i4>
      </vt:variant>
      <vt:variant>
        <vt:i4>0</vt:i4>
      </vt:variant>
      <vt:variant>
        <vt:i4>5</vt:i4>
      </vt:variant>
      <vt:variant>
        <vt:lpwstr/>
      </vt:variant>
      <vt:variant>
        <vt:lpwstr>_Toc358621784</vt:lpwstr>
      </vt:variant>
      <vt:variant>
        <vt:i4>1900606</vt:i4>
      </vt:variant>
      <vt:variant>
        <vt:i4>446</vt:i4>
      </vt:variant>
      <vt:variant>
        <vt:i4>0</vt:i4>
      </vt:variant>
      <vt:variant>
        <vt:i4>5</vt:i4>
      </vt:variant>
      <vt:variant>
        <vt:lpwstr/>
      </vt:variant>
      <vt:variant>
        <vt:lpwstr>_Toc358621783</vt:lpwstr>
      </vt:variant>
      <vt:variant>
        <vt:i4>1900606</vt:i4>
      </vt:variant>
      <vt:variant>
        <vt:i4>440</vt:i4>
      </vt:variant>
      <vt:variant>
        <vt:i4>0</vt:i4>
      </vt:variant>
      <vt:variant>
        <vt:i4>5</vt:i4>
      </vt:variant>
      <vt:variant>
        <vt:lpwstr/>
      </vt:variant>
      <vt:variant>
        <vt:lpwstr>_Toc358621782</vt:lpwstr>
      </vt:variant>
      <vt:variant>
        <vt:i4>1900606</vt:i4>
      </vt:variant>
      <vt:variant>
        <vt:i4>434</vt:i4>
      </vt:variant>
      <vt:variant>
        <vt:i4>0</vt:i4>
      </vt:variant>
      <vt:variant>
        <vt:i4>5</vt:i4>
      </vt:variant>
      <vt:variant>
        <vt:lpwstr/>
      </vt:variant>
      <vt:variant>
        <vt:lpwstr>_Toc358621781</vt:lpwstr>
      </vt:variant>
      <vt:variant>
        <vt:i4>1900606</vt:i4>
      </vt:variant>
      <vt:variant>
        <vt:i4>428</vt:i4>
      </vt:variant>
      <vt:variant>
        <vt:i4>0</vt:i4>
      </vt:variant>
      <vt:variant>
        <vt:i4>5</vt:i4>
      </vt:variant>
      <vt:variant>
        <vt:lpwstr/>
      </vt:variant>
      <vt:variant>
        <vt:lpwstr>_Toc358621780</vt:lpwstr>
      </vt:variant>
      <vt:variant>
        <vt:i4>1179710</vt:i4>
      </vt:variant>
      <vt:variant>
        <vt:i4>422</vt:i4>
      </vt:variant>
      <vt:variant>
        <vt:i4>0</vt:i4>
      </vt:variant>
      <vt:variant>
        <vt:i4>5</vt:i4>
      </vt:variant>
      <vt:variant>
        <vt:lpwstr/>
      </vt:variant>
      <vt:variant>
        <vt:lpwstr>_Toc358621779</vt:lpwstr>
      </vt:variant>
      <vt:variant>
        <vt:i4>1179710</vt:i4>
      </vt:variant>
      <vt:variant>
        <vt:i4>416</vt:i4>
      </vt:variant>
      <vt:variant>
        <vt:i4>0</vt:i4>
      </vt:variant>
      <vt:variant>
        <vt:i4>5</vt:i4>
      </vt:variant>
      <vt:variant>
        <vt:lpwstr/>
      </vt:variant>
      <vt:variant>
        <vt:lpwstr>_Toc358621778</vt:lpwstr>
      </vt:variant>
      <vt:variant>
        <vt:i4>1179710</vt:i4>
      </vt:variant>
      <vt:variant>
        <vt:i4>410</vt:i4>
      </vt:variant>
      <vt:variant>
        <vt:i4>0</vt:i4>
      </vt:variant>
      <vt:variant>
        <vt:i4>5</vt:i4>
      </vt:variant>
      <vt:variant>
        <vt:lpwstr/>
      </vt:variant>
      <vt:variant>
        <vt:lpwstr>_Toc358621777</vt:lpwstr>
      </vt:variant>
      <vt:variant>
        <vt:i4>1179710</vt:i4>
      </vt:variant>
      <vt:variant>
        <vt:i4>404</vt:i4>
      </vt:variant>
      <vt:variant>
        <vt:i4>0</vt:i4>
      </vt:variant>
      <vt:variant>
        <vt:i4>5</vt:i4>
      </vt:variant>
      <vt:variant>
        <vt:lpwstr/>
      </vt:variant>
      <vt:variant>
        <vt:lpwstr>_Toc358621776</vt:lpwstr>
      </vt:variant>
      <vt:variant>
        <vt:i4>1179710</vt:i4>
      </vt:variant>
      <vt:variant>
        <vt:i4>398</vt:i4>
      </vt:variant>
      <vt:variant>
        <vt:i4>0</vt:i4>
      </vt:variant>
      <vt:variant>
        <vt:i4>5</vt:i4>
      </vt:variant>
      <vt:variant>
        <vt:lpwstr/>
      </vt:variant>
      <vt:variant>
        <vt:lpwstr>_Toc358621775</vt:lpwstr>
      </vt:variant>
      <vt:variant>
        <vt:i4>1179710</vt:i4>
      </vt:variant>
      <vt:variant>
        <vt:i4>392</vt:i4>
      </vt:variant>
      <vt:variant>
        <vt:i4>0</vt:i4>
      </vt:variant>
      <vt:variant>
        <vt:i4>5</vt:i4>
      </vt:variant>
      <vt:variant>
        <vt:lpwstr/>
      </vt:variant>
      <vt:variant>
        <vt:lpwstr>_Toc358621774</vt:lpwstr>
      </vt:variant>
      <vt:variant>
        <vt:i4>1179710</vt:i4>
      </vt:variant>
      <vt:variant>
        <vt:i4>386</vt:i4>
      </vt:variant>
      <vt:variant>
        <vt:i4>0</vt:i4>
      </vt:variant>
      <vt:variant>
        <vt:i4>5</vt:i4>
      </vt:variant>
      <vt:variant>
        <vt:lpwstr/>
      </vt:variant>
      <vt:variant>
        <vt:lpwstr>_Toc358621773</vt:lpwstr>
      </vt:variant>
      <vt:variant>
        <vt:i4>1179710</vt:i4>
      </vt:variant>
      <vt:variant>
        <vt:i4>380</vt:i4>
      </vt:variant>
      <vt:variant>
        <vt:i4>0</vt:i4>
      </vt:variant>
      <vt:variant>
        <vt:i4>5</vt:i4>
      </vt:variant>
      <vt:variant>
        <vt:lpwstr/>
      </vt:variant>
      <vt:variant>
        <vt:lpwstr>_Toc358621772</vt:lpwstr>
      </vt:variant>
      <vt:variant>
        <vt:i4>1179710</vt:i4>
      </vt:variant>
      <vt:variant>
        <vt:i4>374</vt:i4>
      </vt:variant>
      <vt:variant>
        <vt:i4>0</vt:i4>
      </vt:variant>
      <vt:variant>
        <vt:i4>5</vt:i4>
      </vt:variant>
      <vt:variant>
        <vt:lpwstr/>
      </vt:variant>
      <vt:variant>
        <vt:lpwstr>_Toc358621771</vt:lpwstr>
      </vt:variant>
      <vt:variant>
        <vt:i4>1179710</vt:i4>
      </vt:variant>
      <vt:variant>
        <vt:i4>368</vt:i4>
      </vt:variant>
      <vt:variant>
        <vt:i4>0</vt:i4>
      </vt:variant>
      <vt:variant>
        <vt:i4>5</vt:i4>
      </vt:variant>
      <vt:variant>
        <vt:lpwstr/>
      </vt:variant>
      <vt:variant>
        <vt:lpwstr>_Toc358621770</vt:lpwstr>
      </vt:variant>
      <vt:variant>
        <vt:i4>1245246</vt:i4>
      </vt:variant>
      <vt:variant>
        <vt:i4>362</vt:i4>
      </vt:variant>
      <vt:variant>
        <vt:i4>0</vt:i4>
      </vt:variant>
      <vt:variant>
        <vt:i4>5</vt:i4>
      </vt:variant>
      <vt:variant>
        <vt:lpwstr/>
      </vt:variant>
      <vt:variant>
        <vt:lpwstr>_Toc358621769</vt:lpwstr>
      </vt:variant>
      <vt:variant>
        <vt:i4>1245246</vt:i4>
      </vt:variant>
      <vt:variant>
        <vt:i4>356</vt:i4>
      </vt:variant>
      <vt:variant>
        <vt:i4>0</vt:i4>
      </vt:variant>
      <vt:variant>
        <vt:i4>5</vt:i4>
      </vt:variant>
      <vt:variant>
        <vt:lpwstr/>
      </vt:variant>
      <vt:variant>
        <vt:lpwstr>_Toc358621768</vt:lpwstr>
      </vt:variant>
      <vt:variant>
        <vt:i4>1245246</vt:i4>
      </vt:variant>
      <vt:variant>
        <vt:i4>350</vt:i4>
      </vt:variant>
      <vt:variant>
        <vt:i4>0</vt:i4>
      </vt:variant>
      <vt:variant>
        <vt:i4>5</vt:i4>
      </vt:variant>
      <vt:variant>
        <vt:lpwstr/>
      </vt:variant>
      <vt:variant>
        <vt:lpwstr>_Toc358621767</vt:lpwstr>
      </vt:variant>
      <vt:variant>
        <vt:i4>1245246</vt:i4>
      </vt:variant>
      <vt:variant>
        <vt:i4>344</vt:i4>
      </vt:variant>
      <vt:variant>
        <vt:i4>0</vt:i4>
      </vt:variant>
      <vt:variant>
        <vt:i4>5</vt:i4>
      </vt:variant>
      <vt:variant>
        <vt:lpwstr/>
      </vt:variant>
      <vt:variant>
        <vt:lpwstr>_Toc358621766</vt:lpwstr>
      </vt:variant>
      <vt:variant>
        <vt:i4>1245246</vt:i4>
      </vt:variant>
      <vt:variant>
        <vt:i4>338</vt:i4>
      </vt:variant>
      <vt:variant>
        <vt:i4>0</vt:i4>
      </vt:variant>
      <vt:variant>
        <vt:i4>5</vt:i4>
      </vt:variant>
      <vt:variant>
        <vt:lpwstr/>
      </vt:variant>
      <vt:variant>
        <vt:lpwstr>_Toc358621765</vt:lpwstr>
      </vt:variant>
      <vt:variant>
        <vt:i4>1245246</vt:i4>
      </vt:variant>
      <vt:variant>
        <vt:i4>332</vt:i4>
      </vt:variant>
      <vt:variant>
        <vt:i4>0</vt:i4>
      </vt:variant>
      <vt:variant>
        <vt:i4>5</vt:i4>
      </vt:variant>
      <vt:variant>
        <vt:lpwstr/>
      </vt:variant>
      <vt:variant>
        <vt:lpwstr>_Toc358621764</vt:lpwstr>
      </vt:variant>
      <vt:variant>
        <vt:i4>1245246</vt:i4>
      </vt:variant>
      <vt:variant>
        <vt:i4>326</vt:i4>
      </vt:variant>
      <vt:variant>
        <vt:i4>0</vt:i4>
      </vt:variant>
      <vt:variant>
        <vt:i4>5</vt:i4>
      </vt:variant>
      <vt:variant>
        <vt:lpwstr/>
      </vt:variant>
      <vt:variant>
        <vt:lpwstr>_Toc358621763</vt:lpwstr>
      </vt:variant>
      <vt:variant>
        <vt:i4>1245246</vt:i4>
      </vt:variant>
      <vt:variant>
        <vt:i4>320</vt:i4>
      </vt:variant>
      <vt:variant>
        <vt:i4>0</vt:i4>
      </vt:variant>
      <vt:variant>
        <vt:i4>5</vt:i4>
      </vt:variant>
      <vt:variant>
        <vt:lpwstr/>
      </vt:variant>
      <vt:variant>
        <vt:lpwstr>_Toc358621762</vt:lpwstr>
      </vt:variant>
      <vt:variant>
        <vt:i4>1245246</vt:i4>
      </vt:variant>
      <vt:variant>
        <vt:i4>314</vt:i4>
      </vt:variant>
      <vt:variant>
        <vt:i4>0</vt:i4>
      </vt:variant>
      <vt:variant>
        <vt:i4>5</vt:i4>
      </vt:variant>
      <vt:variant>
        <vt:lpwstr/>
      </vt:variant>
      <vt:variant>
        <vt:lpwstr>_Toc358621761</vt:lpwstr>
      </vt:variant>
      <vt:variant>
        <vt:i4>1245246</vt:i4>
      </vt:variant>
      <vt:variant>
        <vt:i4>308</vt:i4>
      </vt:variant>
      <vt:variant>
        <vt:i4>0</vt:i4>
      </vt:variant>
      <vt:variant>
        <vt:i4>5</vt:i4>
      </vt:variant>
      <vt:variant>
        <vt:lpwstr/>
      </vt:variant>
      <vt:variant>
        <vt:lpwstr>_Toc358621760</vt:lpwstr>
      </vt:variant>
      <vt:variant>
        <vt:i4>1048638</vt:i4>
      </vt:variant>
      <vt:variant>
        <vt:i4>302</vt:i4>
      </vt:variant>
      <vt:variant>
        <vt:i4>0</vt:i4>
      </vt:variant>
      <vt:variant>
        <vt:i4>5</vt:i4>
      </vt:variant>
      <vt:variant>
        <vt:lpwstr/>
      </vt:variant>
      <vt:variant>
        <vt:lpwstr>_Toc358621759</vt:lpwstr>
      </vt:variant>
      <vt:variant>
        <vt:i4>1048638</vt:i4>
      </vt:variant>
      <vt:variant>
        <vt:i4>296</vt:i4>
      </vt:variant>
      <vt:variant>
        <vt:i4>0</vt:i4>
      </vt:variant>
      <vt:variant>
        <vt:i4>5</vt:i4>
      </vt:variant>
      <vt:variant>
        <vt:lpwstr/>
      </vt:variant>
      <vt:variant>
        <vt:lpwstr>_Toc358621758</vt:lpwstr>
      </vt:variant>
      <vt:variant>
        <vt:i4>1048638</vt:i4>
      </vt:variant>
      <vt:variant>
        <vt:i4>290</vt:i4>
      </vt:variant>
      <vt:variant>
        <vt:i4>0</vt:i4>
      </vt:variant>
      <vt:variant>
        <vt:i4>5</vt:i4>
      </vt:variant>
      <vt:variant>
        <vt:lpwstr/>
      </vt:variant>
      <vt:variant>
        <vt:lpwstr>_Toc358621757</vt:lpwstr>
      </vt:variant>
      <vt:variant>
        <vt:i4>1048638</vt:i4>
      </vt:variant>
      <vt:variant>
        <vt:i4>284</vt:i4>
      </vt:variant>
      <vt:variant>
        <vt:i4>0</vt:i4>
      </vt:variant>
      <vt:variant>
        <vt:i4>5</vt:i4>
      </vt:variant>
      <vt:variant>
        <vt:lpwstr/>
      </vt:variant>
      <vt:variant>
        <vt:lpwstr>_Toc358621756</vt:lpwstr>
      </vt:variant>
      <vt:variant>
        <vt:i4>1048638</vt:i4>
      </vt:variant>
      <vt:variant>
        <vt:i4>278</vt:i4>
      </vt:variant>
      <vt:variant>
        <vt:i4>0</vt:i4>
      </vt:variant>
      <vt:variant>
        <vt:i4>5</vt:i4>
      </vt:variant>
      <vt:variant>
        <vt:lpwstr/>
      </vt:variant>
      <vt:variant>
        <vt:lpwstr>_Toc358621755</vt:lpwstr>
      </vt:variant>
      <vt:variant>
        <vt:i4>1048638</vt:i4>
      </vt:variant>
      <vt:variant>
        <vt:i4>272</vt:i4>
      </vt:variant>
      <vt:variant>
        <vt:i4>0</vt:i4>
      </vt:variant>
      <vt:variant>
        <vt:i4>5</vt:i4>
      </vt:variant>
      <vt:variant>
        <vt:lpwstr/>
      </vt:variant>
      <vt:variant>
        <vt:lpwstr>_Toc358621754</vt:lpwstr>
      </vt:variant>
      <vt:variant>
        <vt:i4>1048638</vt:i4>
      </vt:variant>
      <vt:variant>
        <vt:i4>266</vt:i4>
      </vt:variant>
      <vt:variant>
        <vt:i4>0</vt:i4>
      </vt:variant>
      <vt:variant>
        <vt:i4>5</vt:i4>
      </vt:variant>
      <vt:variant>
        <vt:lpwstr/>
      </vt:variant>
      <vt:variant>
        <vt:lpwstr>_Toc358621753</vt:lpwstr>
      </vt:variant>
      <vt:variant>
        <vt:i4>1048638</vt:i4>
      </vt:variant>
      <vt:variant>
        <vt:i4>260</vt:i4>
      </vt:variant>
      <vt:variant>
        <vt:i4>0</vt:i4>
      </vt:variant>
      <vt:variant>
        <vt:i4>5</vt:i4>
      </vt:variant>
      <vt:variant>
        <vt:lpwstr/>
      </vt:variant>
      <vt:variant>
        <vt:lpwstr>_Toc358621752</vt:lpwstr>
      </vt:variant>
      <vt:variant>
        <vt:i4>1048638</vt:i4>
      </vt:variant>
      <vt:variant>
        <vt:i4>254</vt:i4>
      </vt:variant>
      <vt:variant>
        <vt:i4>0</vt:i4>
      </vt:variant>
      <vt:variant>
        <vt:i4>5</vt:i4>
      </vt:variant>
      <vt:variant>
        <vt:lpwstr/>
      </vt:variant>
      <vt:variant>
        <vt:lpwstr>_Toc358621751</vt:lpwstr>
      </vt:variant>
      <vt:variant>
        <vt:i4>1048638</vt:i4>
      </vt:variant>
      <vt:variant>
        <vt:i4>248</vt:i4>
      </vt:variant>
      <vt:variant>
        <vt:i4>0</vt:i4>
      </vt:variant>
      <vt:variant>
        <vt:i4>5</vt:i4>
      </vt:variant>
      <vt:variant>
        <vt:lpwstr/>
      </vt:variant>
      <vt:variant>
        <vt:lpwstr>_Toc358621750</vt:lpwstr>
      </vt:variant>
      <vt:variant>
        <vt:i4>1114174</vt:i4>
      </vt:variant>
      <vt:variant>
        <vt:i4>242</vt:i4>
      </vt:variant>
      <vt:variant>
        <vt:i4>0</vt:i4>
      </vt:variant>
      <vt:variant>
        <vt:i4>5</vt:i4>
      </vt:variant>
      <vt:variant>
        <vt:lpwstr/>
      </vt:variant>
      <vt:variant>
        <vt:lpwstr>_Toc358621749</vt:lpwstr>
      </vt:variant>
      <vt:variant>
        <vt:i4>1114174</vt:i4>
      </vt:variant>
      <vt:variant>
        <vt:i4>236</vt:i4>
      </vt:variant>
      <vt:variant>
        <vt:i4>0</vt:i4>
      </vt:variant>
      <vt:variant>
        <vt:i4>5</vt:i4>
      </vt:variant>
      <vt:variant>
        <vt:lpwstr/>
      </vt:variant>
      <vt:variant>
        <vt:lpwstr>_Toc358621748</vt:lpwstr>
      </vt:variant>
      <vt:variant>
        <vt:i4>1114174</vt:i4>
      </vt:variant>
      <vt:variant>
        <vt:i4>230</vt:i4>
      </vt:variant>
      <vt:variant>
        <vt:i4>0</vt:i4>
      </vt:variant>
      <vt:variant>
        <vt:i4>5</vt:i4>
      </vt:variant>
      <vt:variant>
        <vt:lpwstr/>
      </vt:variant>
      <vt:variant>
        <vt:lpwstr>_Toc358621747</vt:lpwstr>
      </vt:variant>
      <vt:variant>
        <vt:i4>1114174</vt:i4>
      </vt:variant>
      <vt:variant>
        <vt:i4>224</vt:i4>
      </vt:variant>
      <vt:variant>
        <vt:i4>0</vt:i4>
      </vt:variant>
      <vt:variant>
        <vt:i4>5</vt:i4>
      </vt:variant>
      <vt:variant>
        <vt:lpwstr/>
      </vt:variant>
      <vt:variant>
        <vt:lpwstr>_Toc358621746</vt:lpwstr>
      </vt:variant>
      <vt:variant>
        <vt:i4>1114174</vt:i4>
      </vt:variant>
      <vt:variant>
        <vt:i4>218</vt:i4>
      </vt:variant>
      <vt:variant>
        <vt:i4>0</vt:i4>
      </vt:variant>
      <vt:variant>
        <vt:i4>5</vt:i4>
      </vt:variant>
      <vt:variant>
        <vt:lpwstr/>
      </vt:variant>
      <vt:variant>
        <vt:lpwstr>_Toc358621745</vt:lpwstr>
      </vt:variant>
      <vt:variant>
        <vt:i4>1114174</vt:i4>
      </vt:variant>
      <vt:variant>
        <vt:i4>212</vt:i4>
      </vt:variant>
      <vt:variant>
        <vt:i4>0</vt:i4>
      </vt:variant>
      <vt:variant>
        <vt:i4>5</vt:i4>
      </vt:variant>
      <vt:variant>
        <vt:lpwstr/>
      </vt:variant>
      <vt:variant>
        <vt:lpwstr>_Toc358621744</vt:lpwstr>
      </vt:variant>
      <vt:variant>
        <vt:i4>1114174</vt:i4>
      </vt:variant>
      <vt:variant>
        <vt:i4>206</vt:i4>
      </vt:variant>
      <vt:variant>
        <vt:i4>0</vt:i4>
      </vt:variant>
      <vt:variant>
        <vt:i4>5</vt:i4>
      </vt:variant>
      <vt:variant>
        <vt:lpwstr/>
      </vt:variant>
      <vt:variant>
        <vt:lpwstr>_Toc358621743</vt:lpwstr>
      </vt:variant>
      <vt:variant>
        <vt:i4>1114174</vt:i4>
      </vt:variant>
      <vt:variant>
        <vt:i4>200</vt:i4>
      </vt:variant>
      <vt:variant>
        <vt:i4>0</vt:i4>
      </vt:variant>
      <vt:variant>
        <vt:i4>5</vt:i4>
      </vt:variant>
      <vt:variant>
        <vt:lpwstr/>
      </vt:variant>
      <vt:variant>
        <vt:lpwstr>_Toc358621742</vt:lpwstr>
      </vt:variant>
      <vt:variant>
        <vt:i4>1114174</vt:i4>
      </vt:variant>
      <vt:variant>
        <vt:i4>194</vt:i4>
      </vt:variant>
      <vt:variant>
        <vt:i4>0</vt:i4>
      </vt:variant>
      <vt:variant>
        <vt:i4>5</vt:i4>
      </vt:variant>
      <vt:variant>
        <vt:lpwstr/>
      </vt:variant>
      <vt:variant>
        <vt:lpwstr>_Toc358621741</vt:lpwstr>
      </vt:variant>
      <vt:variant>
        <vt:i4>1114174</vt:i4>
      </vt:variant>
      <vt:variant>
        <vt:i4>188</vt:i4>
      </vt:variant>
      <vt:variant>
        <vt:i4>0</vt:i4>
      </vt:variant>
      <vt:variant>
        <vt:i4>5</vt:i4>
      </vt:variant>
      <vt:variant>
        <vt:lpwstr/>
      </vt:variant>
      <vt:variant>
        <vt:lpwstr>_Toc358621740</vt:lpwstr>
      </vt:variant>
      <vt:variant>
        <vt:i4>1441854</vt:i4>
      </vt:variant>
      <vt:variant>
        <vt:i4>182</vt:i4>
      </vt:variant>
      <vt:variant>
        <vt:i4>0</vt:i4>
      </vt:variant>
      <vt:variant>
        <vt:i4>5</vt:i4>
      </vt:variant>
      <vt:variant>
        <vt:lpwstr/>
      </vt:variant>
      <vt:variant>
        <vt:lpwstr>_Toc358621739</vt:lpwstr>
      </vt:variant>
      <vt:variant>
        <vt:i4>1441854</vt:i4>
      </vt:variant>
      <vt:variant>
        <vt:i4>176</vt:i4>
      </vt:variant>
      <vt:variant>
        <vt:i4>0</vt:i4>
      </vt:variant>
      <vt:variant>
        <vt:i4>5</vt:i4>
      </vt:variant>
      <vt:variant>
        <vt:lpwstr/>
      </vt:variant>
      <vt:variant>
        <vt:lpwstr>_Toc358621738</vt:lpwstr>
      </vt:variant>
      <vt:variant>
        <vt:i4>1441854</vt:i4>
      </vt:variant>
      <vt:variant>
        <vt:i4>170</vt:i4>
      </vt:variant>
      <vt:variant>
        <vt:i4>0</vt:i4>
      </vt:variant>
      <vt:variant>
        <vt:i4>5</vt:i4>
      </vt:variant>
      <vt:variant>
        <vt:lpwstr/>
      </vt:variant>
      <vt:variant>
        <vt:lpwstr>_Toc358621737</vt:lpwstr>
      </vt:variant>
      <vt:variant>
        <vt:i4>1441854</vt:i4>
      </vt:variant>
      <vt:variant>
        <vt:i4>164</vt:i4>
      </vt:variant>
      <vt:variant>
        <vt:i4>0</vt:i4>
      </vt:variant>
      <vt:variant>
        <vt:i4>5</vt:i4>
      </vt:variant>
      <vt:variant>
        <vt:lpwstr/>
      </vt:variant>
      <vt:variant>
        <vt:lpwstr>_Toc358621736</vt:lpwstr>
      </vt:variant>
      <vt:variant>
        <vt:i4>1441854</vt:i4>
      </vt:variant>
      <vt:variant>
        <vt:i4>158</vt:i4>
      </vt:variant>
      <vt:variant>
        <vt:i4>0</vt:i4>
      </vt:variant>
      <vt:variant>
        <vt:i4>5</vt:i4>
      </vt:variant>
      <vt:variant>
        <vt:lpwstr/>
      </vt:variant>
      <vt:variant>
        <vt:lpwstr>_Toc358621735</vt:lpwstr>
      </vt:variant>
      <vt:variant>
        <vt:i4>1441854</vt:i4>
      </vt:variant>
      <vt:variant>
        <vt:i4>152</vt:i4>
      </vt:variant>
      <vt:variant>
        <vt:i4>0</vt:i4>
      </vt:variant>
      <vt:variant>
        <vt:i4>5</vt:i4>
      </vt:variant>
      <vt:variant>
        <vt:lpwstr/>
      </vt:variant>
      <vt:variant>
        <vt:lpwstr>_Toc358621734</vt:lpwstr>
      </vt:variant>
      <vt:variant>
        <vt:i4>1441854</vt:i4>
      </vt:variant>
      <vt:variant>
        <vt:i4>146</vt:i4>
      </vt:variant>
      <vt:variant>
        <vt:i4>0</vt:i4>
      </vt:variant>
      <vt:variant>
        <vt:i4>5</vt:i4>
      </vt:variant>
      <vt:variant>
        <vt:lpwstr/>
      </vt:variant>
      <vt:variant>
        <vt:lpwstr>_Toc358621733</vt:lpwstr>
      </vt:variant>
      <vt:variant>
        <vt:i4>1441854</vt:i4>
      </vt:variant>
      <vt:variant>
        <vt:i4>140</vt:i4>
      </vt:variant>
      <vt:variant>
        <vt:i4>0</vt:i4>
      </vt:variant>
      <vt:variant>
        <vt:i4>5</vt:i4>
      </vt:variant>
      <vt:variant>
        <vt:lpwstr/>
      </vt:variant>
      <vt:variant>
        <vt:lpwstr>_Toc358621732</vt:lpwstr>
      </vt:variant>
      <vt:variant>
        <vt:i4>1441854</vt:i4>
      </vt:variant>
      <vt:variant>
        <vt:i4>134</vt:i4>
      </vt:variant>
      <vt:variant>
        <vt:i4>0</vt:i4>
      </vt:variant>
      <vt:variant>
        <vt:i4>5</vt:i4>
      </vt:variant>
      <vt:variant>
        <vt:lpwstr/>
      </vt:variant>
      <vt:variant>
        <vt:lpwstr>_Toc358621731</vt:lpwstr>
      </vt:variant>
      <vt:variant>
        <vt:i4>1441854</vt:i4>
      </vt:variant>
      <vt:variant>
        <vt:i4>128</vt:i4>
      </vt:variant>
      <vt:variant>
        <vt:i4>0</vt:i4>
      </vt:variant>
      <vt:variant>
        <vt:i4>5</vt:i4>
      </vt:variant>
      <vt:variant>
        <vt:lpwstr/>
      </vt:variant>
      <vt:variant>
        <vt:lpwstr>_Toc358621730</vt:lpwstr>
      </vt:variant>
      <vt:variant>
        <vt:i4>1507390</vt:i4>
      </vt:variant>
      <vt:variant>
        <vt:i4>122</vt:i4>
      </vt:variant>
      <vt:variant>
        <vt:i4>0</vt:i4>
      </vt:variant>
      <vt:variant>
        <vt:i4>5</vt:i4>
      </vt:variant>
      <vt:variant>
        <vt:lpwstr/>
      </vt:variant>
      <vt:variant>
        <vt:lpwstr>_Toc358621729</vt:lpwstr>
      </vt:variant>
      <vt:variant>
        <vt:i4>1507390</vt:i4>
      </vt:variant>
      <vt:variant>
        <vt:i4>116</vt:i4>
      </vt:variant>
      <vt:variant>
        <vt:i4>0</vt:i4>
      </vt:variant>
      <vt:variant>
        <vt:i4>5</vt:i4>
      </vt:variant>
      <vt:variant>
        <vt:lpwstr/>
      </vt:variant>
      <vt:variant>
        <vt:lpwstr>_Toc358621728</vt:lpwstr>
      </vt:variant>
      <vt:variant>
        <vt:i4>1507390</vt:i4>
      </vt:variant>
      <vt:variant>
        <vt:i4>110</vt:i4>
      </vt:variant>
      <vt:variant>
        <vt:i4>0</vt:i4>
      </vt:variant>
      <vt:variant>
        <vt:i4>5</vt:i4>
      </vt:variant>
      <vt:variant>
        <vt:lpwstr/>
      </vt:variant>
      <vt:variant>
        <vt:lpwstr>_Toc358621727</vt:lpwstr>
      </vt:variant>
      <vt:variant>
        <vt:i4>1507390</vt:i4>
      </vt:variant>
      <vt:variant>
        <vt:i4>104</vt:i4>
      </vt:variant>
      <vt:variant>
        <vt:i4>0</vt:i4>
      </vt:variant>
      <vt:variant>
        <vt:i4>5</vt:i4>
      </vt:variant>
      <vt:variant>
        <vt:lpwstr/>
      </vt:variant>
      <vt:variant>
        <vt:lpwstr>_Toc358621726</vt:lpwstr>
      </vt:variant>
      <vt:variant>
        <vt:i4>1507390</vt:i4>
      </vt:variant>
      <vt:variant>
        <vt:i4>98</vt:i4>
      </vt:variant>
      <vt:variant>
        <vt:i4>0</vt:i4>
      </vt:variant>
      <vt:variant>
        <vt:i4>5</vt:i4>
      </vt:variant>
      <vt:variant>
        <vt:lpwstr/>
      </vt:variant>
      <vt:variant>
        <vt:lpwstr>_Toc358621725</vt:lpwstr>
      </vt:variant>
      <vt:variant>
        <vt:i4>1507390</vt:i4>
      </vt:variant>
      <vt:variant>
        <vt:i4>92</vt:i4>
      </vt:variant>
      <vt:variant>
        <vt:i4>0</vt:i4>
      </vt:variant>
      <vt:variant>
        <vt:i4>5</vt:i4>
      </vt:variant>
      <vt:variant>
        <vt:lpwstr/>
      </vt:variant>
      <vt:variant>
        <vt:lpwstr>_Toc358621724</vt:lpwstr>
      </vt:variant>
      <vt:variant>
        <vt:i4>1507390</vt:i4>
      </vt:variant>
      <vt:variant>
        <vt:i4>86</vt:i4>
      </vt:variant>
      <vt:variant>
        <vt:i4>0</vt:i4>
      </vt:variant>
      <vt:variant>
        <vt:i4>5</vt:i4>
      </vt:variant>
      <vt:variant>
        <vt:lpwstr/>
      </vt:variant>
      <vt:variant>
        <vt:lpwstr>_Toc358621723</vt:lpwstr>
      </vt:variant>
      <vt:variant>
        <vt:i4>1507390</vt:i4>
      </vt:variant>
      <vt:variant>
        <vt:i4>80</vt:i4>
      </vt:variant>
      <vt:variant>
        <vt:i4>0</vt:i4>
      </vt:variant>
      <vt:variant>
        <vt:i4>5</vt:i4>
      </vt:variant>
      <vt:variant>
        <vt:lpwstr/>
      </vt:variant>
      <vt:variant>
        <vt:lpwstr>_Toc358621722</vt:lpwstr>
      </vt:variant>
      <vt:variant>
        <vt:i4>1507390</vt:i4>
      </vt:variant>
      <vt:variant>
        <vt:i4>74</vt:i4>
      </vt:variant>
      <vt:variant>
        <vt:i4>0</vt:i4>
      </vt:variant>
      <vt:variant>
        <vt:i4>5</vt:i4>
      </vt:variant>
      <vt:variant>
        <vt:lpwstr/>
      </vt:variant>
      <vt:variant>
        <vt:lpwstr>_Toc358621721</vt:lpwstr>
      </vt:variant>
      <vt:variant>
        <vt:i4>1507390</vt:i4>
      </vt:variant>
      <vt:variant>
        <vt:i4>68</vt:i4>
      </vt:variant>
      <vt:variant>
        <vt:i4>0</vt:i4>
      </vt:variant>
      <vt:variant>
        <vt:i4>5</vt:i4>
      </vt:variant>
      <vt:variant>
        <vt:lpwstr/>
      </vt:variant>
      <vt:variant>
        <vt:lpwstr>_Toc358621720</vt:lpwstr>
      </vt:variant>
      <vt:variant>
        <vt:i4>1310782</vt:i4>
      </vt:variant>
      <vt:variant>
        <vt:i4>62</vt:i4>
      </vt:variant>
      <vt:variant>
        <vt:i4>0</vt:i4>
      </vt:variant>
      <vt:variant>
        <vt:i4>5</vt:i4>
      </vt:variant>
      <vt:variant>
        <vt:lpwstr/>
      </vt:variant>
      <vt:variant>
        <vt:lpwstr>_Toc358621719</vt:lpwstr>
      </vt:variant>
      <vt:variant>
        <vt:i4>1310782</vt:i4>
      </vt:variant>
      <vt:variant>
        <vt:i4>56</vt:i4>
      </vt:variant>
      <vt:variant>
        <vt:i4>0</vt:i4>
      </vt:variant>
      <vt:variant>
        <vt:i4>5</vt:i4>
      </vt:variant>
      <vt:variant>
        <vt:lpwstr/>
      </vt:variant>
      <vt:variant>
        <vt:lpwstr>_Toc358621718</vt:lpwstr>
      </vt:variant>
      <vt:variant>
        <vt:i4>1310782</vt:i4>
      </vt:variant>
      <vt:variant>
        <vt:i4>50</vt:i4>
      </vt:variant>
      <vt:variant>
        <vt:i4>0</vt:i4>
      </vt:variant>
      <vt:variant>
        <vt:i4>5</vt:i4>
      </vt:variant>
      <vt:variant>
        <vt:lpwstr/>
      </vt:variant>
      <vt:variant>
        <vt:lpwstr>_Toc358621717</vt:lpwstr>
      </vt:variant>
      <vt:variant>
        <vt:i4>1310782</vt:i4>
      </vt:variant>
      <vt:variant>
        <vt:i4>44</vt:i4>
      </vt:variant>
      <vt:variant>
        <vt:i4>0</vt:i4>
      </vt:variant>
      <vt:variant>
        <vt:i4>5</vt:i4>
      </vt:variant>
      <vt:variant>
        <vt:lpwstr/>
      </vt:variant>
      <vt:variant>
        <vt:lpwstr>_Toc358621716</vt:lpwstr>
      </vt:variant>
      <vt:variant>
        <vt:i4>1310782</vt:i4>
      </vt:variant>
      <vt:variant>
        <vt:i4>38</vt:i4>
      </vt:variant>
      <vt:variant>
        <vt:i4>0</vt:i4>
      </vt:variant>
      <vt:variant>
        <vt:i4>5</vt:i4>
      </vt:variant>
      <vt:variant>
        <vt:lpwstr/>
      </vt:variant>
      <vt:variant>
        <vt:lpwstr>_Toc358621715</vt:lpwstr>
      </vt:variant>
      <vt:variant>
        <vt:i4>1310782</vt:i4>
      </vt:variant>
      <vt:variant>
        <vt:i4>32</vt:i4>
      </vt:variant>
      <vt:variant>
        <vt:i4>0</vt:i4>
      </vt:variant>
      <vt:variant>
        <vt:i4>5</vt:i4>
      </vt:variant>
      <vt:variant>
        <vt:lpwstr/>
      </vt:variant>
      <vt:variant>
        <vt:lpwstr>_Toc358621714</vt:lpwstr>
      </vt:variant>
      <vt:variant>
        <vt:i4>1310782</vt:i4>
      </vt:variant>
      <vt:variant>
        <vt:i4>26</vt:i4>
      </vt:variant>
      <vt:variant>
        <vt:i4>0</vt:i4>
      </vt:variant>
      <vt:variant>
        <vt:i4>5</vt:i4>
      </vt:variant>
      <vt:variant>
        <vt:lpwstr/>
      </vt:variant>
      <vt:variant>
        <vt:lpwstr>_Toc358621713</vt:lpwstr>
      </vt:variant>
      <vt:variant>
        <vt:i4>1310782</vt:i4>
      </vt:variant>
      <vt:variant>
        <vt:i4>20</vt:i4>
      </vt:variant>
      <vt:variant>
        <vt:i4>0</vt:i4>
      </vt:variant>
      <vt:variant>
        <vt:i4>5</vt:i4>
      </vt:variant>
      <vt:variant>
        <vt:lpwstr/>
      </vt:variant>
      <vt:variant>
        <vt:lpwstr>_Toc358621712</vt:lpwstr>
      </vt:variant>
      <vt:variant>
        <vt:i4>1310782</vt:i4>
      </vt:variant>
      <vt:variant>
        <vt:i4>14</vt:i4>
      </vt:variant>
      <vt:variant>
        <vt:i4>0</vt:i4>
      </vt:variant>
      <vt:variant>
        <vt:i4>5</vt:i4>
      </vt:variant>
      <vt:variant>
        <vt:lpwstr/>
      </vt:variant>
      <vt:variant>
        <vt:lpwstr>_Toc358621711</vt:lpwstr>
      </vt:variant>
      <vt:variant>
        <vt:i4>1310782</vt:i4>
      </vt:variant>
      <vt:variant>
        <vt:i4>8</vt:i4>
      </vt:variant>
      <vt:variant>
        <vt:i4>0</vt:i4>
      </vt:variant>
      <vt:variant>
        <vt:i4>5</vt:i4>
      </vt:variant>
      <vt:variant>
        <vt:lpwstr/>
      </vt:variant>
      <vt:variant>
        <vt:lpwstr>_Toc358621710</vt:lpwstr>
      </vt:variant>
      <vt:variant>
        <vt:i4>1376318</vt:i4>
      </vt:variant>
      <vt:variant>
        <vt:i4>2</vt:i4>
      </vt:variant>
      <vt:variant>
        <vt:i4>0</vt:i4>
      </vt:variant>
      <vt:variant>
        <vt:i4>5</vt:i4>
      </vt:variant>
      <vt:variant>
        <vt:lpwstr/>
      </vt:variant>
      <vt:variant>
        <vt:lpwstr>_Toc358621709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éves jelentés írói</dc:creator>
  <cp:lastModifiedBy>Hullai Bernadett Dr.</cp:lastModifiedBy>
  <cp:revision>3</cp:revision>
  <cp:lastPrinted>2013-06-27T06:59:00Z</cp:lastPrinted>
  <dcterms:created xsi:type="dcterms:W3CDTF">2013-06-28T07:56:00Z</dcterms:created>
  <dcterms:modified xsi:type="dcterms:W3CDTF">2013-06-28T07:58:00Z</dcterms:modified>
</cp:coreProperties>
</file>