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4F" w:rsidRPr="00EB2666" w:rsidRDefault="00FC6F38" w:rsidP="00FC6F38">
      <w:pPr>
        <w:jc w:val="center"/>
        <w:rPr>
          <w:sz w:val="28"/>
          <w:szCs w:val="72"/>
        </w:rPr>
      </w:pPr>
      <w:r w:rsidRPr="00FC6F38">
        <w:rPr>
          <w:noProof/>
          <w:sz w:val="28"/>
          <w:szCs w:val="72"/>
        </w:rPr>
        <w:drawing>
          <wp:inline distT="0" distB="0" distL="0" distR="0">
            <wp:extent cx="1295400" cy="857250"/>
            <wp:effectExtent l="19050" t="0" r="0" b="0"/>
            <wp:docPr id="87" name="Picture 2" descr="flagge_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e_eu"/>
                    <pic:cNvPicPr>
                      <a:picLocks noChangeAspect="1" noChangeArrowheads="1"/>
                    </pic:cNvPicPr>
                  </pic:nvPicPr>
                  <pic:blipFill>
                    <a:blip r:embed="rId8" cstate="print"/>
                    <a:srcRect/>
                    <a:stretch>
                      <a:fillRect/>
                    </a:stretch>
                  </pic:blipFill>
                  <pic:spPr bwMode="auto">
                    <a:xfrm>
                      <a:off x="0" y="0"/>
                      <a:ext cx="1295400" cy="857250"/>
                    </a:xfrm>
                    <a:prstGeom prst="rect">
                      <a:avLst/>
                    </a:prstGeom>
                    <a:noFill/>
                    <a:ln w="9525">
                      <a:noFill/>
                      <a:miter lim="800000"/>
                      <a:headEnd/>
                      <a:tailEnd/>
                    </a:ln>
                  </pic:spPr>
                </pic:pic>
              </a:graphicData>
            </a:graphic>
          </wp:inline>
        </w:drawing>
      </w:r>
      <w:r w:rsidR="0040544A">
        <w:rPr>
          <w:noProof/>
          <w:sz w:val="4"/>
        </w:rPr>
        <w:drawing>
          <wp:anchor distT="0" distB="0" distL="114300" distR="114300" simplePos="0" relativeHeight="251657728" behindDoc="0" locked="0" layoutInCell="1" allowOverlap="1">
            <wp:simplePos x="0" y="0"/>
            <wp:positionH relativeFrom="column">
              <wp:align>left</wp:align>
            </wp:positionH>
            <wp:positionV relativeFrom="paragraph">
              <wp:posOffset>11430</wp:posOffset>
            </wp:positionV>
            <wp:extent cx="2522220" cy="6981190"/>
            <wp:effectExtent l="19050" t="0" r="0" b="0"/>
            <wp:wrapSquare wrapText="bothSides"/>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srcRect l="3052"/>
                    <a:stretch>
                      <a:fillRect/>
                    </a:stretch>
                  </pic:blipFill>
                  <pic:spPr bwMode="auto">
                    <a:xfrm>
                      <a:off x="0" y="0"/>
                      <a:ext cx="2522220" cy="6981190"/>
                    </a:xfrm>
                    <a:prstGeom prst="rect">
                      <a:avLst/>
                    </a:prstGeom>
                    <a:noFill/>
                    <a:ln w="9525">
                      <a:noFill/>
                      <a:miter lim="800000"/>
                      <a:headEnd/>
                      <a:tailEnd/>
                    </a:ln>
                  </pic:spPr>
                </pic:pic>
              </a:graphicData>
            </a:graphic>
          </wp:anchor>
        </w:drawing>
      </w:r>
    </w:p>
    <w:p w:rsidR="00FC6F38" w:rsidRDefault="00FC6F38" w:rsidP="00FC6F38">
      <w:pPr>
        <w:jc w:val="center"/>
        <w:rPr>
          <w:b/>
          <w:i/>
          <w:smallCaps/>
        </w:rPr>
      </w:pPr>
      <w:r>
        <w:rPr>
          <w:b/>
          <w:i/>
          <w:smallCaps/>
        </w:rPr>
        <w:t>„</w:t>
      </w:r>
      <w:r w:rsidRPr="00AB13CF">
        <w:rPr>
          <w:b/>
          <w:i/>
          <w:smallCaps/>
        </w:rPr>
        <w:t xml:space="preserve">Európai Mezőgazdasági Vidékfejlesztési Alap: </w:t>
      </w:r>
    </w:p>
    <w:p w:rsidR="00FC6F38" w:rsidRPr="00AB13CF" w:rsidRDefault="00FC6F38" w:rsidP="00FC6F38">
      <w:pPr>
        <w:jc w:val="center"/>
        <w:rPr>
          <w:b/>
          <w:i/>
          <w:smallCaps/>
        </w:rPr>
      </w:pPr>
      <w:proofErr w:type="gramStart"/>
      <w:r w:rsidRPr="00AB13CF">
        <w:rPr>
          <w:b/>
          <w:i/>
          <w:smallCaps/>
        </w:rPr>
        <w:t>a</w:t>
      </w:r>
      <w:proofErr w:type="gramEnd"/>
      <w:r w:rsidRPr="00AB13CF">
        <w:rPr>
          <w:b/>
          <w:i/>
          <w:smallCaps/>
        </w:rPr>
        <w:t xml:space="preserve"> vidéki területekbe beruházó Európa</w:t>
      </w:r>
      <w:r>
        <w:rPr>
          <w:b/>
          <w:i/>
          <w:smallCaps/>
        </w:rPr>
        <w:t>”</w:t>
      </w:r>
    </w:p>
    <w:p w:rsidR="00FC134F" w:rsidRPr="00FC6F38" w:rsidRDefault="00FC134F" w:rsidP="00FC6F38">
      <w:pPr>
        <w:jc w:val="center"/>
        <w:rPr>
          <w:color w:val="00B050"/>
        </w:rPr>
      </w:pPr>
    </w:p>
    <w:p w:rsidR="00FC134F" w:rsidRPr="00FC6F38" w:rsidRDefault="00FC134F" w:rsidP="00FC6F38">
      <w:pPr>
        <w:jc w:val="center"/>
        <w:rPr>
          <w:color w:val="00B050"/>
        </w:rPr>
      </w:pPr>
    </w:p>
    <w:p w:rsidR="00FC6F38" w:rsidRPr="00A76993" w:rsidRDefault="00FC6F38" w:rsidP="00FC6F38">
      <w:pPr>
        <w:jc w:val="center"/>
        <w:rPr>
          <w:b/>
          <w:color w:val="00B050"/>
          <w:sz w:val="40"/>
          <w:szCs w:val="40"/>
        </w:rPr>
      </w:pPr>
      <w:r w:rsidRPr="00A76993">
        <w:rPr>
          <w:b/>
          <w:color w:val="00B050"/>
          <w:sz w:val="72"/>
          <w:szCs w:val="72"/>
        </w:rPr>
        <w:t>HUNGARIKUM</w:t>
      </w:r>
      <w:r w:rsidRPr="00A76993">
        <w:rPr>
          <w:b/>
          <w:color w:val="00B050"/>
          <w:sz w:val="40"/>
          <w:szCs w:val="40"/>
        </w:rPr>
        <w:t xml:space="preserve"> Konzorcium</w:t>
      </w:r>
    </w:p>
    <w:p w:rsidR="00FC6F38" w:rsidRPr="00590DD4" w:rsidRDefault="00FC6F38" w:rsidP="00FC6F38">
      <w:pPr>
        <w:jc w:val="center"/>
        <w:rPr>
          <w:color w:val="00B050"/>
        </w:rPr>
      </w:pPr>
    </w:p>
    <w:p w:rsidR="00F305A5" w:rsidRDefault="003B4254" w:rsidP="00CE3290">
      <w:pPr>
        <w:jc w:val="center"/>
        <w:rPr>
          <w:b/>
          <w:smallCaps/>
          <w:color w:val="00B050"/>
          <w:sz w:val="48"/>
          <w:szCs w:val="56"/>
        </w:rPr>
      </w:pPr>
      <w:r>
        <w:rPr>
          <w:b/>
          <w:smallCaps/>
          <w:color w:val="00B050"/>
          <w:sz w:val="48"/>
          <w:szCs w:val="56"/>
        </w:rPr>
        <w:t>4</w:t>
      </w:r>
      <w:r w:rsidR="00F305A5">
        <w:rPr>
          <w:b/>
          <w:smallCaps/>
          <w:color w:val="00B050"/>
          <w:sz w:val="48"/>
          <w:szCs w:val="56"/>
        </w:rPr>
        <w:t xml:space="preserve">.8. melléklet: </w:t>
      </w:r>
    </w:p>
    <w:p w:rsidR="00FC6F38" w:rsidRPr="00AD0C2B" w:rsidRDefault="00F305A5" w:rsidP="00CE3290">
      <w:pPr>
        <w:jc w:val="center"/>
        <w:rPr>
          <w:b/>
          <w:smallCaps/>
          <w:color w:val="00B050"/>
          <w:sz w:val="48"/>
          <w:szCs w:val="56"/>
        </w:rPr>
      </w:pPr>
      <w:r>
        <w:rPr>
          <w:b/>
          <w:smallCaps/>
          <w:color w:val="00B050"/>
          <w:sz w:val="48"/>
          <w:szCs w:val="56"/>
        </w:rPr>
        <w:t xml:space="preserve">Részletes módszertani </w:t>
      </w:r>
      <w:proofErr w:type="gramStart"/>
      <w:r>
        <w:rPr>
          <w:b/>
          <w:smallCaps/>
          <w:color w:val="00B050"/>
          <w:sz w:val="48"/>
          <w:szCs w:val="56"/>
        </w:rPr>
        <w:t>leírások</w:t>
      </w:r>
      <w:proofErr w:type="gramEnd"/>
    </w:p>
    <w:p w:rsidR="00331C38" w:rsidRDefault="00331C38" w:rsidP="00FC6F38">
      <w:pPr>
        <w:jc w:val="center"/>
        <w:rPr>
          <w:b/>
          <w:color w:val="00B050"/>
          <w:sz w:val="24"/>
          <w:szCs w:val="24"/>
        </w:rPr>
      </w:pPr>
    </w:p>
    <w:p w:rsidR="00331C38" w:rsidRPr="00BA3419" w:rsidRDefault="00331C38" w:rsidP="00FC6F38">
      <w:pPr>
        <w:jc w:val="center"/>
        <w:rPr>
          <w:b/>
          <w:color w:val="00B050"/>
          <w:sz w:val="24"/>
          <w:szCs w:val="24"/>
        </w:rPr>
      </w:pPr>
    </w:p>
    <w:p w:rsidR="00FC6F38" w:rsidRDefault="00FC6F38" w:rsidP="00FC6F38">
      <w:pPr>
        <w:spacing w:after="600"/>
        <w:jc w:val="center"/>
        <w:rPr>
          <w:b/>
          <w:color w:val="00B050"/>
          <w:sz w:val="40"/>
          <w:szCs w:val="40"/>
        </w:rPr>
      </w:pPr>
      <w:r>
        <w:rPr>
          <w:b/>
          <w:color w:val="00B050"/>
          <w:sz w:val="40"/>
          <w:szCs w:val="40"/>
        </w:rPr>
        <w:t>2010. november</w:t>
      </w:r>
    </w:p>
    <w:p w:rsidR="00FC6F38" w:rsidRDefault="00FC6F38" w:rsidP="00FC6F38">
      <w:pPr>
        <w:jc w:val="center"/>
      </w:pPr>
      <w:r>
        <w:rPr>
          <w:noProof/>
        </w:rPr>
        <w:drawing>
          <wp:inline distT="0" distB="0" distL="0" distR="0">
            <wp:extent cx="2076450" cy="1952625"/>
            <wp:effectExtent l="19050" t="0" r="0" b="0"/>
            <wp:docPr id="3" name="Picture 1" descr="umvp_all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vp_allo_2"/>
                    <pic:cNvPicPr>
                      <a:picLocks noChangeAspect="1" noChangeArrowheads="1"/>
                    </pic:cNvPicPr>
                  </pic:nvPicPr>
                  <pic:blipFill>
                    <a:blip r:embed="rId10" cstate="print"/>
                    <a:srcRect/>
                    <a:stretch>
                      <a:fillRect/>
                    </a:stretch>
                  </pic:blipFill>
                  <pic:spPr bwMode="auto">
                    <a:xfrm>
                      <a:off x="0" y="0"/>
                      <a:ext cx="2076450" cy="1952625"/>
                    </a:xfrm>
                    <a:prstGeom prst="rect">
                      <a:avLst/>
                    </a:prstGeom>
                    <a:noFill/>
                    <a:ln w="9525">
                      <a:noFill/>
                      <a:miter lim="800000"/>
                      <a:headEnd/>
                      <a:tailEnd/>
                    </a:ln>
                  </pic:spPr>
                </pic:pic>
              </a:graphicData>
            </a:graphic>
          </wp:inline>
        </w:drawing>
      </w:r>
    </w:p>
    <w:p w:rsidR="00FC6F38" w:rsidRDefault="00FC6F38" w:rsidP="00FC6F38">
      <w:pPr>
        <w:jc w:val="center"/>
        <w:rPr>
          <w:b/>
          <w:smallCaps/>
          <w:color w:val="00B050"/>
          <w:sz w:val="40"/>
          <w:szCs w:val="40"/>
        </w:rPr>
      </w:pPr>
      <w:r>
        <w:rPr>
          <w:b/>
          <w:smallCaps/>
          <w:color w:val="00B050"/>
          <w:sz w:val="40"/>
          <w:szCs w:val="40"/>
        </w:rPr>
        <w:t>A</w:t>
      </w:r>
      <w:r w:rsidRPr="00A76993">
        <w:rPr>
          <w:b/>
          <w:smallCaps/>
          <w:color w:val="00B050"/>
          <w:sz w:val="40"/>
          <w:szCs w:val="40"/>
        </w:rPr>
        <w:t xml:space="preserve">z Új Magyarország Vidékfejlesztési Program </w:t>
      </w:r>
    </w:p>
    <w:p w:rsidR="002C49D7" w:rsidRDefault="00FC6F38" w:rsidP="00FC6F38">
      <w:pPr>
        <w:jc w:val="center"/>
      </w:pPr>
      <w:r w:rsidRPr="00A76993">
        <w:rPr>
          <w:b/>
          <w:smallCaps/>
          <w:color w:val="00B050"/>
          <w:sz w:val="40"/>
          <w:szCs w:val="40"/>
        </w:rPr>
        <w:t>(2007-2013) félid</w:t>
      </w:r>
      <w:r w:rsidR="00F305A5">
        <w:rPr>
          <w:b/>
          <w:smallCaps/>
          <w:color w:val="00B050"/>
          <w:sz w:val="40"/>
          <w:szCs w:val="40"/>
        </w:rPr>
        <w:t>ei</w:t>
      </w:r>
      <w:r w:rsidRPr="00A76993">
        <w:rPr>
          <w:b/>
          <w:smallCaps/>
          <w:color w:val="00B050"/>
          <w:sz w:val="40"/>
          <w:szCs w:val="40"/>
        </w:rPr>
        <w:t xml:space="preserve"> (</w:t>
      </w:r>
      <w:proofErr w:type="spellStart"/>
      <w:r w:rsidRPr="00A76993">
        <w:rPr>
          <w:b/>
          <w:smallCaps/>
          <w:color w:val="00B050"/>
          <w:sz w:val="40"/>
          <w:szCs w:val="40"/>
        </w:rPr>
        <w:t>mid</w:t>
      </w:r>
      <w:r>
        <w:rPr>
          <w:b/>
          <w:smallCaps/>
          <w:color w:val="00B050"/>
          <w:sz w:val="40"/>
          <w:szCs w:val="40"/>
        </w:rPr>
        <w:t>-</w:t>
      </w:r>
      <w:r w:rsidRPr="00A76993">
        <w:rPr>
          <w:b/>
          <w:smallCaps/>
          <w:color w:val="00B050"/>
          <w:sz w:val="40"/>
          <w:szCs w:val="40"/>
        </w:rPr>
        <w:t>term</w:t>
      </w:r>
      <w:proofErr w:type="spellEnd"/>
      <w:r w:rsidRPr="00A76993">
        <w:rPr>
          <w:b/>
          <w:smallCaps/>
          <w:color w:val="00B050"/>
          <w:sz w:val="40"/>
          <w:szCs w:val="40"/>
        </w:rPr>
        <w:t>) értékelése</w:t>
      </w:r>
      <w:r w:rsidR="00FC134F">
        <w:br w:type="page"/>
      </w:r>
    </w:p>
    <w:p w:rsidR="002C49D7" w:rsidRDefault="002C49D7" w:rsidP="008452C0">
      <w:pPr>
        <w:jc w:val="center"/>
        <w:rPr>
          <w:b/>
          <w:smallCaps/>
          <w:sz w:val="28"/>
          <w:szCs w:val="28"/>
        </w:rPr>
      </w:pPr>
      <w:r w:rsidRPr="008452C0">
        <w:rPr>
          <w:b/>
          <w:smallCaps/>
          <w:sz w:val="28"/>
          <w:szCs w:val="28"/>
        </w:rPr>
        <w:lastRenderedPageBreak/>
        <w:t>Tartalom</w:t>
      </w:r>
      <w:r w:rsidR="008452C0">
        <w:rPr>
          <w:b/>
          <w:smallCaps/>
          <w:sz w:val="28"/>
          <w:szCs w:val="28"/>
        </w:rPr>
        <w:t>jegyzék</w:t>
      </w:r>
    </w:p>
    <w:p w:rsidR="008452C0" w:rsidRPr="008452C0" w:rsidRDefault="008452C0" w:rsidP="008452C0">
      <w:pPr>
        <w:jc w:val="center"/>
        <w:rPr>
          <w:b/>
          <w:smallCaps/>
          <w:sz w:val="28"/>
          <w:szCs w:val="28"/>
        </w:rPr>
      </w:pPr>
    </w:p>
    <w:p w:rsidR="002D1B7A" w:rsidRDefault="003F44DC">
      <w:pPr>
        <w:pStyle w:val="TOC1"/>
        <w:rPr>
          <w:rFonts w:asciiTheme="minorHAnsi" w:eastAsiaTheme="minorEastAsia" w:hAnsiTheme="minorHAnsi" w:cstheme="minorBidi"/>
          <w:caps w:val="0"/>
          <w:sz w:val="22"/>
          <w:szCs w:val="22"/>
        </w:rPr>
      </w:pPr>
      <w:r w:rsidRPr="003F44DC">
        <w:fldChar w:fldCharType="begin"/>
      </w:r>
      <w:r w:rsidR="00CC15EC">
        <w:instrText xml:space="preserve"> TOC \o "1-3" \h \z \u </w:instrText>
      </w:r>
      <w:r w:rsidRPr="003F44DC">
        <w:fldChar w:fldCharType="separate"/>
      </w:r>
      <w:hyperlink w:anchor="_Toc279359344" w:history="1">
        <w:r w:rsidR="002D1B7A" w:rsidRPr="00774641">
          <w:rPr>
            <w:rStyle w:val="Hyperlink"/>
          </w:rPr>
          <w:t>1.</w:t>
        </w:r>
        <w:r w:rsidR="002D1B7A">
          <w:rPr>
            <w:rFonts w:asciiTheme="minorHAnsi" w:eastAsiaTheme="minorEastAsia" w:hAnsiTheme="minorHAnsi" w:cstheme="minorBidi"/>
            <w:caps w:val="0"/>
            <w:sz w:val="22"/>
            <w:szCs w:val="22"/>
          </w:rPr>
          <w:tab/>
        </w:r>
        <w:r w:rsidR="002D1B7A" w:rsidRPr="00774641">
          <w:rPr>
            <w:rStyle w:val="Hyperlink"/>
          </w:rPr>
          <w:t>Bevezetés</w:t>
        </w:r>
        <w:r w:rsidR="002D1B7A">
          <w:rPr>
            <w:webHidden/>
          </w:rPr>
          <w:tab/>
        </w:r>
        <w:r>
          <w:rPr>
            <w:webHidden/>
          </w:rPr>
          <w:fldChar w:fldCharType="begin"/>
        </w:r>
        <w:r w:rsidR="002D1B7A">
          <w:rPr>
            <w:webHidden/>
          </w:rPr>
          <w:instrText xml:space="preserve"> PAGEREF _Toc279359344 \h </w:instrText>
        </w:r>
        <w:r>
          <w:rPr>
            <w:webHidden/>
          </w:rPr>
        </w:r>
        <w:r>
          <w:rPr>
            <w:webHidden/>
          </w:rPr>
          <w:fldChar w:fldCharType="separate"/>
        </w:r>
        <w:r w:rsidR="002D1B7A">
          <w:rPr>
            <w:webHidden/>
          </w:rPr>
          <w:t>4</w:t>
        </w:r>
        <w:r>
          <w:rPr>
            <w:webHidden/>
          </w:rPr>
          <w:fldChar w:fldCharType="end"/>
        </w:r>
      </w:hyperlink>
    </w:p>
    <w:p w:rsidR="002D1B7A" w:rsidRDefault="003F44DC">
      <w:pPr>
        <w:pStyle w:val="TOC1"/>
        <w:rPr>
          <w:rFonts w:asciiTheme="minorHAnsi" w:eastAsiaTheme="minorEastAsia" w:hAnsiTheme="minorHAnsi" w:cstheme="minorBidi"/>
          <w:caps w:val="0"/>
          <w:sz w:val="22"/>
          <w:szCs w:val="22"/>
        </w:rPr>
      </w:pPr>
      <w:hyperlink w:anchor="_Toc279359345" w:history="1">
        <w:r w:rsidR="002D1B7A" w:rsidRPr="00774641">
          <w:rPr>
            <w:rStyle w:val="Hyperlink"/>
          </w:rPr>
          <w:t>2.</w:t>
        </w:r>
        <w:r w:rsidR="002D1B7A">
          <w:rPr>
            <w:rFonts w:asciiTheme="minorHAnsi" w:eastAsiaTheme="minorEastAsia" w:hAnsiTheme="minorHAnsi" w:cstheme="minorBidi"/>
            <w:caps w:val="0"/>
            <w:sz w:val="22"/>
            <w:szCs w:val="22"/>
          </w:rPr>
          <w:tab/>
        </w:r>
        <w:r w:rsidR="002D1B7A" w:rsidRPr="00774641">
          <w:rPr>
            <w:rStyle w:val="Hyperlink"/>
          </w:rPr>
          <w:t>kvantitatív vizsgálati módszertanok összefoglalása</w:t>
        </w:r>
        <w:r w:rsidR="002D1B7A">
          <w:rPr>
            <w:webHidden/>
          </w:rPr>
          <w:tab/>
        </w:r>
        <w:r>
          <w:rPr>
            <w:webHidden/>
          </w:rPr>
          <w:fldChar w:fldCharType="begin"/>
        </w:r>
        <w:r w:rsidR="002D1B7A">
          <w:rPr>
            <w:webHidden/>
          </w:rPr>
          <w:instrText xml:space="preserve"> PAGEREF _Toc279359345 \h </w:instrText>
        </w:r>
        <w:r>
          <w:rPr>
            <w:webHidden/>
          </w:rPr>
        </w:r>
        <w:r>
          <w:rPr>
            <w:webHidden/>
          </w:rPr>
          <w:fldChar w:fldCharType="separate"/>
        </w:r>
        <w:r w:rsidR="002D1B7A">
          <w:rPr>
            <w:webHidden/>
          </w:rPr>
          <w:t>4</w:t>
        </w:r>
        <w:r>
          <w:rPr>
            <w:webHidden/>
          </w:rPr>
          <w:fldChar w:fldCharType="end"/>
        </w:r>
      </w:hyperlink>
    </w:p>
    <w:p w:rsidR="002D1B7A" w:rsidRDefault="003F44DC">
      <w:pPr>
        <w:pStyle w:val="TOC1"/>
        <w:rPr>
          <w:rFonts w:asciiTheme="minorHAnsi" w:eastAsiaTheme="minorEastAsia" w:hAnsiTheme="minorHAnsi" w:cstheme="minorBidi"/>
          <w:caps w:val="0"/>
          <w:sz w:val="22"/>
          <w:szCs w:val="22"/>
        </w:rPr>
      </w:pPr>
      <w:hyperlink w:anchor="_Toc279359346" w:history="1">
        <w:r w:rsidR="002D1B7A" w:rsidRPr="00774641">
          <w:rPr>
            <w:rStyle w:val="Hyperlink"/>
          </w:rPr>
          <w:t>3.</w:t>
        </w:r>
        <w:r w:rsidR="002D1B7A">
          <w:rPr>
            <w:rFonts w:asciiTheme="minorHAnsi" w:eastAsiaTheme="minorEastAsia" w:hAnsiTheme="minorHAnsi" w:cstheme="minorBidi"/>
            <w:caps w:val="0"/>
            <w:sz w:val="22"/>
            <w:szCs w:val="22"/>
          </w:rPr>
          <w:tab/>
        </w:r>
        <w:r w:rsidR="002D1B7A" w:rsidRPr="00774641">
          <w:rPr>
            <w:rStyle w:val="Hyperlink"/>
          </w:rPr>
          <w:t>Ökonometriai elemzés ismertetése</w:t>
        </w:r>
        <w:r w:rsidR="002D1B7A">
          <w:rPr>
            <w:webHidden/>
          </w:rPr>
          <w:tab/>
        </w:r>
        <w:r>
          <w:rPr>
            <w:webHidden/>
          </w:rPr>
          <w:fldChar w:fldCharType="begin"/>
        </w:r>
        <w:r w:rsidR="002D1B7A">
          <w:rPr>
            <w:webHidden/>
          </w:rPr>
          <w:instrText xml:space="preserve"> PAGEREF _Toc279359346 \h </w:instrText>
        </w:r>
        <w:r>
          <w:rPr>
            <w:webHidden/>
          </w:rPr>
        </w:r>
        <w:r>
          <w:rPr>
            <w:webHidden/>
          </w:rPr>
          <w:fldChar w:fldCharType="separate"/>
        </w:r>
        <w:r w:rsidR="002D1B7A">
          <w:rPr>
            <w:webHidden/>
          </w:rPr>
          <w:t>6</w:t>
        </w:r>
        <w:r>
          <w:rPr>
            <w:webHidden/>
          </w:rPr>
          <w:fldChar w:fldCharType="end"/>
        </w:r>
      </w:hyperlink>
    </w:p>
    <w:p w:rsidR="002D1B7A" w:rsidRDefault="003F44DC">
      <w:pPr>
        <w:pStyle w:val="TOC2"/>
        <w:rPr>
          <w:rFonts w:asciiTheme="minorHAnsi" w:eastAsiaTheme="minorEastAsia" w:hAnsiTheme="minorHAnsi" w:cstheme="minorBidi"/>
          <w:noProof/>
          <w:sz w:val="22"/>
          <w:szCs w:val="22"/>
        </w:rPr>
      </w:pPr>
      <w:hyperlink w:anchor="_Toc279359347" w:history="1">
        <w:r w:rsidR="002D1B7A" w:rsidRPr="00774641">
          <w:rPr>
            <w:rStyle w:val="Hyperlink"/>
            <w:noProof/>
          </w:rPr>
          <w:t>3.1.</w:t>
        </w:r>
        <w:r w:rsidR="002D1B7A">
          <w:rPr>
            <w:rFonts w:asciiTheme="minorHAnsi" w:eastAsiaTheme="minorEastAsia" w:hAnsiTheme="minorHAnsi" w:cstheme="minorBidi"/>
            <w:noProof/>
            <w:sz w:val="22"/>
            <w:szCs w:val="22"/>
          </w:rPr>
          <w:tab/>
        </w:r>
        <w:r w:rsidR="002D1B7A" w:rsidRPr="00774641">
          <w:rPr>
            <w:rStyle w:val="Hyperlink"/>
            <w:noProof/>
          </w:rPr>
          <w:t>Módszertani leírás</w:t>
        </w:r>
        <w:r w:rsidR="002D1B7A">
          <w:rPr>
            <w:noProof/>
            <w:webHidden/>
          </w:rPr>
          <w:tab/>
        </w:r>
        <w:r>
          <w:rPr>
            <w:noProof/>
            <w:webHidden/>
          </w:rPr>
          <w:fldChar w:fldCharType="begin"/>
        </w:r>
        <w:r w:rsidR="002D1B7A">
          <w:rPr>
            <w:noProof/>
            <w:webHidden/>
          </w:rPr>
          <w:instrText xml:space="preserve"> PAGEREF _Toc279359347 \h </w:instrText>
        </w:r>
        <w:r>
          <w:rPr>
            <w:noProof/>
            <w:webHidden/>
          </w:rPr>
        </w:r>
        <w:r>
          <w:rPr>
            <w:noProof/>
            <w:webHidden/>
          </w:rPr>
          <w:fldChar w:fldCharType="separate"/>
        </w:r>
        <w:r w:rsidR="002D1B7A">
          <w:rPr>
            <w:noProof/>
            <w:webHidden/>
          </w:rPr>
          <w:t>6</w:t>
        </w:r>
        <w:r>
          <w:rPr>
            <w:noProof/>
            <w:webHidden/>
          </w:rPr>
          <w:fldChar w:fldCharType="end"/>
        </w:r>
      </w:hyperlink>
    </w:p>
    <w:p w:rsidR="002D1B7A" w:rsidRDefault="003F44DC">
      <w:pPr>
        <w:pStyle w:val="TOC3"/>
        <w:rPr>
          <w:rFonts w:asciiTheme="minorHAnsi" w:eastAsiaTheme="minorEastAsia" w:hAnsiTheme="minorHAnsi" w:cstheme="minorBidi"/>
          <w:noProof/>
          <w:sz w:val="22"/>
          <w:szCs w:val="22"/>
        </w:rPr>
      </w:pPr>
      <w:hyperlink w:anchor="_Toc279359348" w:history="1">
        <w:r w:rsidR="002D1B7A" w:rsidRPr="00774641">
          <w:rPr>
            <w:rStyle w:val="Hyperlink"/>
            <w:noProof/>
          </w:rPr>
          <w:t>3.1.1.</w:t>
        </w:r>
        <w:r w:rsidR="002D1B7A">
          <w:rPr>
            <w:rFonts w:asciiTheme="minorHAnsi" w:eastAsiaTheme="minorEastAsia" w:hAnsiTheme="minorHAnsi" w:cstheme="minorBidi"/>
            <w:noProof/>
            <w:sz w:val="22"/>
            <w:szCs w:val="22"/>
          </w:rPr>
          <w:tab/>
        </w:r>
        <w:r w:rsidR="002D1B7A" w:rsidRPr="00774641">
          <w:rPr>
            <w:rStyle w:val="Hyperlink"/>
            <w:noProof/>
          </w:rPr>
          <w:t>Eredményszemléletűség a FADN adataiban</w:t>
        </w:r>
        <w:r w:rsidR="002D1B7A">
          <w:rPr>
            <w:noProof/>
            <w:webHidden/>
          </w:rPr>
          <w:tab/>
        </w:r>
        <w:r>
          <w:rPr>
            <w:noProof/>
            <w:webHidden/>
          </w:rPr>
          <w:fldChar w:fldCharType="begin"/>
        </w:r>
        <w:r w:rsidR="002D1B7A">
          <w:rPr>
            <w:noProof/>
            <w:webHidden/>
          </w:rPr>
          <w:instrText xml:space="preserve"> PAGEREF _Toc279359348 \h </w:instrText>
        </w:r>
        <w:r>
          <w:rPr>
            <w:noProof/>
            <w:webHidden/>
          </w:rPr>
        </w:r>
        <w:r>
          <w:rPr>
            <w:noProof/>
            <w:webHidden/>
          </w:rPr>
          <w:fldChar w:fldCharType="separate"/>
        </w:r>
        <w:r w:rsidR="002D1B7A">
          <w:rPr>
            <w:noProof/>
            <w:webHidden/>
          </w:rPr>
          <w:t>6</w:t>
        </w:r>
        <w:r>
          <w:rPr>
            <w:noProof/>
            <w:webHidden/>
          </w:rPr>
          <w:fldChar w:fldCharType="end"/>
        </w:r>
      </w:hyperlink>
    </w:p>
    <w:p w:rsidR="002D1B7A" w:rsidRDefault="003F44DC">
      <w:pPr>
        <w:pStyle w:val="TOC3"/>
        <w:rPr>
          <w:rFonts w:asciiTheme="minorHAnsi" w:eastAsiaTheme="minorEastAsia" w:hAnsiTheme="minorHAnsi" w:cstheme="minorBidi"/>
          <w:noProof/>
          <w:sz w:val="22"/>
          <w:szCs w:val="22"/>
        </w:rPr>
      </w:pPr>
      <w:hyperlink w:anchor="_Toc279359349" w:history="1">
        <w:r w:rsidR="002D1B7A" w:rsidRPr="00774641">
          <w:rPr>
            <w:rStyle w:val="Hyperlink"/>
            <w:noProof/>
          </w:rPr>
          <w:t>3.1.2.</w:t>
        </w:r>
        <w:r w:rsidR="002D1B7A">
          <w:rPr>
            <w:rFonts w:asciiTheme="minorHAnsi" w:eastAsiaTheme="minorEastAsia" w:hAnsiTheme="minorHAnsi" w:cstheme="minorBidi"/>
            <w:noProof/>
            <w:sz w:val="22"/>
            <w:szCs w:val="22"/>
          </w:rPr>
          <w:tab/>
        </w:r>
        <w:r w:rsidR="002D1B7A" w:rsidRPr="00774641">
          <w:rPr>
            <w:rStyle w:val="Hyperlink"/>
            <w:noProof/>
          </w:rPr>
          <w:t>Beruházási támogatások hatásának késése</w:t>
        </w:r>
        <w:r w:rsidR="002D1B7A">
          <w:rPr>
            <w:noProof/>
            <w:webHidden/>
          </w:rPr>
          <w:tab/>
        </w:r>
        <w:r>
          <w:rPr>
            <w:noProof/>
            <w:webHidden/>
          </w:rPr>
          <w:fldChar w:fldCharType="begin"/>
        </w:r>
        <w:r w:rsidR="002D1B7A">
          <w:rPr>
            <w:noProof/>
            <w:webHidden/>
          </w:rPr>
          <w:instrText xml:space="preserve"> PAGEREF _Toc279359349 \h </w:instrText>
        </w:r>
        <w:r>
          <w:rPr>
            <w:noProof/>
            <w:webHidden/>
          </w:rPr>
        </w:r>
        <w:r>
          <w:rPr>
            <w:noProof/>
            <w:webHidden/>
          </w:rPr>
          <w:fldChar w:fldCharType="separate"/>
        </w:r>
        <w:r w:rsidR="002D1B7A">
          <w:rPr>
            <w:noProof/>
            <w:webHidden/>
          </w:rPr>
          <w:t>7</w:t>
        </w:r>
        <w:r>
          <w:rPr>
            <w:noProof/>
            <w:webHidden/>
          </w:rPr>
          <w:fldChar w:fldCharType="end"/>
        </w:r>
      </w:hyperlink>
    </w:p>
    <w:p w:rsidR="002D1B7A" w:rsidRDefault="003F44DC">
      <w:pPr>
        <w:pStyle w:val="TOC3"/>
        <w:rPr>
          <w:rFonts w:asciiTheme="minorHAnsi" w:eastAsiaTheme="minorEastAsia" w:hAnsiTheme="minorHAnsi" w:cstheme="minorBidi"/>
          <w:noProof/>
          <w:sz w:val="22"/>
          <w:szCs w:val="22"/>
        </w:rPr>
      </w:pPr>
      <w:hyperlink w:anchor="_Toc279359350" w:history="1">
        <w:r w:rsidR="002D1B7A" w:rsidRPr="00774641">
          <w:rPr>
            <w:rStyle w:val="Hyperlink"/>
            <w:noProof/>
          </w:rPr>
          <w:t>3.1.3.</w:t>
        </w:r>
        <w:r w:rsidR="002D1B7A">
          <w:rPr>
            <w:rFonts w:asciiTheme="minorHAnsi" w:eastAsiaTheme="minorEastAsia" w:hAnsiTheme="minorHAnsi" w:cstheme="minorBidi"/>
            <w:noProof/>
            <w:sz w:val="22"/>
            <w:szCs w:val="22"/>
          </w:rPr>
          <w:tab/>
        </w:r>
        <w:r w:rsidR="002D1B7A" w:rsidRPr="00774641">
          <w:rPr>
            <w:rStyle w:val="Hyperlink"/>
            <w:noProof/>
          </w:rPr>
          <w:t>Nettó hozzáadott érték és Éves munkaerőegység vizsgálata</w:t>
        </w:r>
        <w:r w:rsidR="002D1B7A">
          <w:rPr>
            <w:noProof/>
            <w:webHidden/>
          </w:rPr>
          <w:tab/>
        </w:r>
        <w:r>
          <w:rPr>
            <w:noProof/>
            <w:webHidden/>
          </w:rPr>
          <w:fldChar w:fldCharType="begin"/>
        </w:r>
        <w:r w:rsidR="002D1B7A">
          <w:rPr>
            <w:noProof/>
            <w:webHidden/>
          </w:rPr>
          <w:instrText xml:space="preserve"> PAGEREF _Toc279359350 \h </w:instrText>
        </w:r>
        <w:r>
          <w:rPr>
            <w:noProof/>
            <w:webHidden/>
          </w:rPr>
        </w:r>
        <w:r>
          <w:rPr>
            <w:noProof/>
            <w:webHidden/>
          </w:rPr>
          <w:fldChar w:fldCharType="separate"/>
        </w:r>
        <w:r w:rsidR="002D1B7A">
          <w:rPr>
            <w:noProof/>
            <w:webHidden/>
          </w:rPr>
          <w:t>7</w:t>
        </w:r>
        <w:r>
          <w:rPr>
            <w:noProof/>
            <w:webHidden/>
          </w:rPr>
          <w:fldChar w:fldCharType="end"/>
        </w:r>
      </w:hyperlink>
    </w:p>
    <w:p w:rsidR="002D1B7A" w:rsidRDefault="003F44DC">
      <w:pPr>
        <w:pStyle w:val="TOC3"/>
        <w:rPr>
          <w:rFonts w:asciiTheme="minorHAnsi" w:eastAsiaTheme="minorEastAsia" w:hAnsiTheme="minorHAnsi" w:cstheme="minorBidi"/>
          <w:noProof/>
          <w:sz w:val="22"/>
          <w:szCs w:val="22"/>
        </w:rPr>
      </w:pPr>
      <w:hyperlink w:anchor="_Toc279359351" w:history="1">
        <w:r w:rsidR="002D1B7A" w:rsidRPr="00774641">
          <w:rPr>
            <w:rStyle w:val="Hyperlink"/>
            <w:noProof/>
          </w:rPr>
          <w:t>3.1.4.</w:t>
        </w:r>
        <w:r w:rsidR="002D1B7A">
          <w:rPr>
            <w:rFonts w:asciiTheme="minorHAnsi" w:eastAsiaTheme="minorEastAsia" w:hAnsiTheme="minorHAnsi" w:cstheme="minorBidi"/>
            <w:noProof/>
            <w:sz w:val="22"/>
            <w:szCs w:val="22"/>
          </w:rPr>
          <w:tab/>
        </w:r>
        <w:r w:rsidR="002D1B7A" w:rsidRPr="00774641">
          <w:rPr>
            <w:rStyle w:val="Hyperlink"/>
            <w:noProof/>
          </w:rPr>
          <w:t>Kiegyensúlyozott panel vizsgálat 2006 és 2009 között</w:t>
        </w:r>
        <w:r w:rsidR="002D1B7A">
          <w:rPr>
            <w:noProof/>
            <w:webHidden/>
          </w:rPr>
          <w:tab/>
        </w:r>
        <w:r>
          <w:rPr>
            <w:noProof/>
            <w:webHidden/>
          </w:rPr>
          <w:fldChar w:fldCharType="begin"/>
        </w:r>
        <w:r w:rsidR="002D1B7A">
          <w:rPr>
            <w:noProof/>
            <w:webHidden/>
          </w:rPr>
          <w:instrText xml:space="preserve"> PAGEREF _Toc279359351 \h </w:instrText>
        </w:r>
        <w:r>
          <w:rPr>
            <w:noProof/>
            <w:webHidden/>
          </w:rPr>
        </w:r>
        <w:r>
          <w:rPr>
            <w:noProof/>
            <w:webHidden/>
          </w:rPr>
          <w:fldChar w:fldCharType="separate"/>
        </w:r>
        <w:r w:rsidR="002D1B7A">
          <w:rPr>
            <w:noProof/>
            <w:webHidden/>
          </w:rPr>
          <w:t>8</w:t>
        </w:r>
        <w:r>
          <w:rPr>
            <w:noProof/>
            <w:webHidden/>
          </w:rPr>
          <w:fldChar w:fldCharType="end"/>
        </w:r>
      </w:hyperlink>
    </w:p>
    <w:p w:rsidR="002D1B7A" w:rsidRDefault="003F44DC">
      <w:pPr>
        <w:pStyle w:val="TOC2"/>
        <w:rPr>
          <w:rFonts w:asciiTheme="minorHAnsi" w:eastAsiaTheme="minorEastAsia" w:hAnsiTheme="minorHAnsi" w:cstheme="minorBidi"/>
          <w:noProof/>
          <w:sz w:val="22"/>
          <w:szCs w:val="22"/>
        </w:rPr>
      </w:pPr>
      <w:hyperlink w:anchor="_Toc279359352" w:history="1">
        <w:r w:rsidR="002D1B7A" w:rsidRPr="00774641">
          <w:rPr>
            <w:rStyle w:val="Hyperlink"/>
            <w:noProof/>
          </w:rPr>
          <w:t>3.2.</w:t>
        </w:r>
        <w:r w:rsidR="002D1B7A">
          <w:rPr>
            <w:rFonts w:asciiTheme="minorHAnsi" w:eastAsiaTheme="minorEastAsia" w:hAnsiTheme="minorHAnsi" w:cstheme="minorBidi"/>
            <w:noProof/>
            <w:sz w:val="22"/>
            <w:szCs w:val="22"/>
          </w:rPr>
          <w:tab/>
        </w:r>
        <w:r w:rsidR="002D1B7A" w:rsidRPr="00774641">
          <w:rPr>
            <w:rStyle w:val="Hyperlink"/>
            <w:noProof/>
          </w:rPr>
          <w:t>Modellek és eredmények</w:t>
        </w:r>
        <w:r w:rsidR="002D1B7A">
          <w:rPr>
            <w:noProof/>
            <w:webHidden/>
          </w:rPr>
          <w:tab/>
        </w:r>
        <w:r>
          <w:rPr>
            <w:noProof/>
            <w:webHidden/>
          </w:rPr>
          <w:fldChar w:fldCharType="begin"/>
        </w:r>
        <w:r w:rsidR="002D1B7A">
          <w:rPr>
            <w:noProof/>
            <w:webHidden/>
          </w:rPr>
          <w:instrText xml:space="preserve"> PAGEREF _Toc279359352 \h </w:instrText>
        </w:r>
        <w:r>
          <w:rPr>
            <w:noProof/>
            <w:webHidden/>
          </w:rPr>
        </w:r>
        <w:r>
          <w:rPr>
            <w:noProof/>
            <w:webHidden/>
          </w:rPr>
          <w:fldChar w:fldCharType="separate"/>
        </w:r>
        <w:r w:rsidR="002D1B7A">
          <w:rPr>
            <w:noProof/>
            <w:webHidden/>
          </w:rPr>
          <w:t>12</w:t>
        </w:r>
        <w:r>
          <w:rPr>
            <w:noProof/>
            <w:webHidden/>
          </w:rPr>
          <w:fldChar w:fldCharType="end"/>
        </w:r>
      </w:hyperlink>
    </w:p>
    <w:p w:rsidR="002D1B7A" w:rsidRDefault="003F44DC">
      <w:pPr>
        <w:pStyle w:val="TOC3"/>
        <w:rPr>
          <w:rFonts w:asciiTheme="minorHAnsi" w:eastAsiaTheme="minorEastAsia" w:hAnsiTheme="minorHAnsi" w:cstheme="minorBidi"/>
          <w:noProof/>
          <w:sz w:val="22"/>
          <w:szCs w:val="22"/>
        </w:rPr>
      </w:pPr>
      <w:hyperlink w:anchor="_Toc279359353" w:history="1">
        <w:r w:rsidR="002D1B7A" w:rsidRPr="00774641">
          <w:rPr>
            <w:rStyle w:val="Hyperlink"/>
            <w:noProof/>
          </w:rPr>
          <w:t>3.2.1.</w:t>
        </w:r>
        <w:r w:rsidR="002D1B7A">
          <w:rPr>
            <w:rFonts w:asciiTheme="minorHAnsi" w:eastAsiaTheme="minorEastAsia" w:hAnsiTheme="minorHAnsi" w:cstheme="minorBidi"/>
            <w:noProof/>
            <w:sz w:val="22"/>
            <w:szCs w:val="22"/>
          </w:rPr>
          <w:tab/>
        </w:r>
        <w:r w:rsidR="002D1B7A" w:rsidRPr="00774641">
          <w:rPr>
            <w:rStyle w:val="Hyperlink"/>
            <w:noProof/>
          </w:rPr>
          <w:t>Panel Least Squares</w:t>
        </w:r>
        <w:r w:rsidR="002D1B7A">
          <w:rPr>
            <w:noProof/>
            <w:webHidden/>
          </w:rPr>
          <w:tab/>
        </w:r>
        <w:r>
          <w:rPr>
            <w:noProof/>
            <w:webHidden/>
          </w:rPr>
          <w:fldChar w:fldCharType="begin"/>
        </w:r>
        <w:r w:rsidR="002D1B7A">
          <w:rPr>
            <w:noProof/>
            <w:webHidden/>
          </w:rPr>
          <w:instrText xml:space="preserve"> PAGEREF _Toc279359353 \h </w:instrText>
        </w:r>
        <w:r>
          <w:rPr>
            <w:noProof/>
            <w:webHidden/>
          </w:rPr>
        </w:r>
        <w:r>
          <w:rPr>
            <w:noProof/>
            <w:webHidden/>
          </w:rPr>
          <w:fldChar w:fldCharType="separate"/>
        </w:r>
        <w:r w:rsidR="002D1B7A">
          <w:rPr>
            <w:noProof/>
            <w:webHidden/>
          </w:rPr>
          <w:t>14</w:t>
        </w:r>
        <w:r>
          <w:rPr>
            <w:noProof/>
            <w:webHidden/>
          </w:rPr>
          <w:fldChar w:fldCharType="end"/>
        </w:r>
      </w:hyperlink>
    </w:p>
    <w:p w:rsidR="002D1B7A" w:rsidRDefault="003F44DC">
      <w:pPr>
        <w:pStyle w:val="TOC3"/>
        <w:rPr>
          <w:rFonts w:asciiTheme="minorHAnsi" w:eastAsiaTheme="minorEastAsia" w:hAnsiTheme="minorHAnsi" w:cstheme="minorBidi"/>
          <w:noProof/>
          <w:sz w:val="22"/>
          <w:szCs w:val="22"/>
        </w:rPr>
      </w:pPr>
      <w:hyperlink w:anchor="_Toc279359354" w:history="1">
        <w:r w:rsidR="002D1B7A" w:rsidRPr="00774641">
          <w:rPr>
            <w:rStyle w:val="Hyperlink"/>
            <w:noProof/>
          </w:rPr>
          <w:t>3.2.2.</w:t>
        </w:r>
        <w:r w:rsidR="002D1B7A">
          <w:rPr>
            <w:rFonts w:asciiTheme="minorHAnsi" w:eastAsiaTheme="minorEastAsia" w:hAnsiTheme="minorHAnsi" w:cstheme="minorBidi"/>
            <w:noProof/>
            <w:sz w:val="22"/>
            <w:szCs w:val="22"/>
          </w:rPr>
          <w:tab/>
        </w:r>
        <w:r w:rsidR="002D1B7A" w:rsidRPr="00774641">
          <w:rPr>
            <w:rStyle w:val="Hyperlink"/>
            <w:noProof/>
          </w:rPr>
          <w:t>Fixed Effects</w:t>
        </w:r>
        <w:r w:rsidR="002D1B7A">
          <w:rPr>
            <w:noProof/>
            <w:webHidden/>
          </w:rPr>
          <w:tab/>
        </w:r>
        <w:r>
          <w:rPr>
            <w:noProof/>
            <w:webHidden/>
          </w:rPr>
          <w:fldChar w:fldCharType="begin"/>
        </w:r>
        <w:r w:rsidR="002D1B7A">
          <w:rPr>
            <w:noProof/>
            <w:webHidden/>
          </w:rPr>
          <w:instrText xml:space="preserve"> PAGEREF _Toc279359354 \h </w:instrText>
        </w:r>
        <w:r>
          <w:rPr>
            <w:noProof/>
            <w:webHidden/>
          </w:rPr>
        </w:r>
        <w:r>
          <w:rPr>
            <w:noProof/>
            <w:webHidden/>
          </w:rPr>
          <w:fldChar w:fldCharType="separate"/>
        </w:r>
        <w:r w:rsidR="002D1B7A">
          <w:rPr>
            <w:noProof/>
            <w:webHidden/>
          </w:rPr>
          <w:t>18</w:t>
        </w:r>
        <w:r>
          <w:rPr>
            <w:noProof/>
            <w:webHidden/>
          </w:rPr>
          <w:fldChar w:fldCharType="end"/>
        </w:r>
      </w:hyperlink>
    </w:p>
    <w:p w:rsidR="002D1B7A" w:rsidRDefault="003F44DC">
      <w:pPr>
        <w:pStyle w:val="TOC3"/>
        <w:rPr>
          <w:rFonts w:asciiTheme="minorHAnsi" w:eastAsiaTheme="minorEastAsia" w:hAnsiTheme="minorHAnsi" w:cstheme="minorBidi"/>
          <w:noProof/>
          <w:sz w:val="22"/>
          <w:szCs w:val="22"/>
        </w:rPr>
      </w:pPr>
      <w:hyperlink w:anchor="_Toc279359355" w:history="1">
        <w:r w:rsidR="002D1B7A" w:rsidRPr="00774641">
          <w:rPr>
            <w:rStyle w:val="Hyperlink"/>
            <w:noProof/>
          </w:rPr>
          <w:t>3.2.3.</w:t>
        </w:r>
        <w:r w:rsidR="002D1B7A">
          <w:rPr>
            <w:rFonts w:asciiTheme="minorHAnsi" w:eastAsiaTheme="minorEastAsia" w:hAnsiTheme="minorHAnsi" w:cstheme="minorBidi"/>
            <w:noProof/>
            <w:sz w:val="22"/>
            <w:szCs w:val="22"/>
          </w:rPr>
          <w:tab/>
        </w:r>
        <w:r w:rsidR="002D1B7A" w:rsidRPr="00774641">
          <w:rPr>
            <w:rStyle w:val="Hyperlink"/>
            <w:noProof/>
          </w:rPr>
          <w:t>Random Effects</w:t>
        </w:r>
        <w:r w:rsidR="002D1B7A">
          <w:rPr>
            <w:noProof/>
            <w:webHidden/>
          </w:rPr>
          <w:tab/>
        </w:r>
        <w:r>
          <w:rPr>
            <w:noProof/>
            <w:webHidden/>
          </w:rPr>
          <w:fldChar w:fldCharType="begin"/>
        </w:r>
        <w:r w:rsidR="002D1B7A">
          <w:rPr>
            <w:noProof/>
            <w:webHidden/>
          </w:rPr>
          <w:instrText xml:space="preserve"> PAGEREF _Toc279359355 \h </w:instrText>
        </w:r>
        <w:r>
          <w:rPr>
            <w:noProof/>
            <w:webHidden/>
          </w:rPr>
        </w:r>
        <w:r>
          <w:rPr>
            <w:noProof/>
            <w:webHidden/>
          </w:rPr>
          <w:fldChar w:fldCharType="separate"/>
        </w:r>
        <w:r w:rsidR="002D1B7A">
          <w:rPr>
            <w:noProof/>
            <w:webHidden/>
          </w:rPr>
          <w:t>20</w:t>
        </w:r>
        <w:r>
          <w:rPr>
            <w:noProof/>
            <w:webHidden/>
          </w:rPr>
          <w:fldChar w:fldCharType="end"/>
        </w:r>
      </w:hyperlink>
    </w:p>
    <w:p w:rsidR="002D1B7A" w:rsidRDefault="003F44DC">
      <w:pPr>
        <w:pStyle w:val="TOC3"/>
        <w:rPr>
          <w:rFonts w:asciiTheme="minorHAnsi" w:eastAsiaTheme="minorEastAsia" w:hAnsiTheme="minorHAnsi" w:cstheme="minorBidi"/>
          <w:noProof/>
          <w:sz w:val="22"/>
          <w:szCs w:val="22"/>
        </w:rPr>
      </w:pPr>
      <w:hyperlink w:anchor="_Toc279359356" w:history="1">
        <w:r w:rsidR="002D1B7A" w:rsidRPr="00774641">
          <w:rPr>
            <w:rStyle w:val="Hyperlink"/>
            <w:noProof/>
          </w:rPr>
          <w:t>3.2.4.</w:t>
        </w:r>
        <w:r w:rsidR="002D1B7A">
          <w:rPr>
            <w:rFonts w:asciiTheme="minorHAnsi" w:eastAsiaTheme="minorEastAsia" w:hAnsiTheme="minorHAnsi" w:cstheme="minorBidi"/>
            <w:noProof/>
            <w:sz w:val="22"/>
            <w:szCs w:val="22"/>
          </w:rPr>
          <w:tab/>
        </w:r>
        <w:r w:rsidR="002D1B7A" w:rsidRPr="00774641">
          <w:rPr>
            <w:rStyle w:val="Hyperlink"/>
            <w:noProof/>
          </w:rPr>
          <w:t>Generalized Least Squares</w:t>
        </w:r>
        <w:r w:rsidR="002D1B7A">
          <w:rPr>
            <w:noProof/>
            <w:webHidden/>
          </w:rPr>
          <w:tab/>
        </w:r>
        <w:r>
          <w:rPr>
            <w:noProof/>
            <w:webHidden/>
          </w:rPr>
          <w:fldChar w:fldCharType="begin"/>
        </w:r>
        <w:r w:rsidR="002D1B7A">
          <w:rPr>
            <w:noProof/>
            <w:webHidden/>
          </w:rPr>
          <w:instrText xml:space="preserve"> PAGEREF _Toc279359356 \h </w:instrText>
        </w:r>
        <w:r>
          <w:rPr>
            <w:noProof/>
            <w:webHidden/>
          </w:rPr>
        </w:r>
        <w:r>
          <w:rPr>
            <w:noProof/>
            <w:webHidden/>
          </w:rPr>
          <w:fldChar w:fldCharType="separate"/>
        </w:r>
        <w:r w:rsidR="002D1B7A">
          <w:rPr>
            <w:noProof/>
            <w:webHidden/>
          </w:rPr>
          <w:t>23</w:t>
        </w:r>
        <w:r>
          <w:rPr>
            <w:noProof/>
            <w:webHidden/>
          </w:rPr>
          <w:fldChar w:fldCharType="end"/>
        </w:r>
      </w:hyperlink>
    </w:p>
    <w:p w:rsidR="002D1B7A" w:rsidRDefault="003F44DC">
      <w:pPr>
        <w:pStyle w:val="TOC3"/>
        <w:rPr>
          <w:rFonts w:asciiTheme="minorHAnsi" w:eastAsiaTheme="minorEastAsia" w:hAnsiTheme="minorHAnsi" w:cstheme="minorBidi"/>
          <w:noProof/>
          <w:sz w:val="22"/>
          <w:szCs w:val="22"/>
        </w:rPr>
      </w:pPr>
      <w:hyperlink w:anchor="_Toc279359357" w:history="1">
        <w:r w:rsidR="002D1B7A" w:rsidRPr="00774641">
          <w:rPr>
            <w:rStyle w:val="Hyperlink"/>
            <w:noProof/>
          </w:rPr>
          <w:t>3.2.5.</w:t>
        </w:r>
        <w:r w:rsidR="002D1B7A">
          <w:rPr>
            <w:rFonts w:asciiTheme="minorHAnsi" w:eastAsiaTheme="minorEastAsia" w:hAnsiTheme="minorHAnsi" w:cstheme="minorBidi"/>
            <w:noProof/>
            <w:sz w:val="22"/>
            <w:szCs w:val="22"/>
          </w:rPr>
          <w:tab/>
        </w:r>
        <w:r w:rsidR="002D1B7A" w:rsidRPr="00774641">
          <w:rPr>
            <w:rStyle w:val="Hyperlink"/>
            <w:noProof/>
          </w:rPr>
          <w:t>Two-Stage Least Squares (IV)</w:t>
        </w:r>
        <w:r w:rsidR="002D1B7A">
          <w:rPr>
            <w:noProof/>
            <w:webHidden/>
          </w:rPr>
          <w:tab/>
        </w:r>
        <w:r>
          <w:rPr>
            <w:noProof/>
            <w:webHidden/>
          </w:rPr>
          <w:fldChar w:fldCharType="begin"/>
        </w:r>
        <w:r w:rsidR="002D1B7A">
          <w:rPr>
            <w:noProof/>
            <w:webHidden/>
          </w:rPr>
          <w:instrText xml:space="preserve"> PAGEREF _Toc279359357 \h </w:instrText>
        </w:r>
        <w:r>
          <w:rPr>
            <w:noProof/>
            <w:webHidden/>
          </w:rPr>
        </w:r>
        <w:r>
          <w:rPr>
            <w:noProof/>
            <w:webHidden/>
          </w:rPr>
          <w:fldChar w:fldCharType="separate"/>
        </w:r>
        <w:r w:rsidR="002D1B7A">
          <w:rPr>
            <w:noProof/>
            <w:webHidden/>
          </w:rPr>
          <w:t>26</w:t>
        </w:r>
        <w:r>
          <w:rPr>
            <w:noProof/>
            <w:webHidden/>
          </w:rPr>
          <w:fldChar w:fldCharType="end"/>
        </w:r>
      </w:hyperlink>
    </w:p>
    <w:p w:rsidR="002D1B7A" w:rsidRDefault="003F44DC">
      <w:pPr>
        <w:pStyle w:val="TOC3"/>
        <w:rPr>
          <w:rFonts w:asciiTheme="minorHAnsi" w:eastAsiaTheme="minorEastAsia" w:hAnsiTheme="minorHAnsi" w:cstheme="minorBidi"/>
          <w:noProof/>
          <w:sz w:val="22"/>
          <w:szCs w:val="22"/>
        </w:rPr>
      </w:pPr>
      <w:hyperlink w:anchor="_Toc279359358" w:history="1">
        <w:r w:rsidR="002D1B7A" w:rsidRPr="00774641">
          <w:rPr>
            <w:rStyle w:val="Hyperlink"/>
            <w:noProof/>
          </w:rPr>
          <w:t>3.2.6.</w:t>
        </w:r>
        <w:r w:rsidR="002D1B7A">
          <w:rPr>
            <w:rFonts w:asciiTheme="minorHAnsi" w:eastAsiaTheme="minorEastAsia" w:hAnsiTheme="minorHAnsi" w:cstheme="minorBidi"/>
            <w:noProof/>
            <w:sz w:val="22"/>
            <w:szCs w:val="22"/>
          </w:rPr>
          <w:tab/>
        </w:r>
        <w:r w:rsidR="002D1B7A" w:rsidRPr="00774641">
          <w:rPr>
            <w:rStyle w:val="Hyperlink"/>
            <w:noProof/>
          </w:rPr>
          <w:t>General method of moments (dynamic panel)</w:t>
        </w:r>
        <w:r w:rsidR="002D1B7A">
          <w:rPr>
            <w:noProof/>
            <w:webHidden/>
          </w:rPr>
          <w:tab/>
        </w:r>
        <w:r>
          <w:rPr>
            <w:noProof/>
            <w:webHidden/>
          </w:rPr>
          <w:fldChar w:fldCharType="begin"/>
        </w:r>
        <w:r w:rsidR="002D1B7A">
          <w:rPr>
            <w:noProof/>
            <w:webHidden/>
          </w:rPr>
          <w:instrText xml:space="preserve"> PAGEREF _Toc279359358 \h </w:instrText>
        </w:r>
        <w:r>
          <w:rPr>
            <w:noProof/>
            <w:webHidden/>
          </w:rPr>
        </w:r>
        <w:r>
          <w:rPr>
            <w:noProof/>
            <w:webHidden/>
          </w:rPr>
          <w:fldChar w:fldCharType="separate"/>
        </w:r>
        <w:r w:rsidR="002D1B7A">
          <w:rPr>
            <w:noProof/>
            <w:webHidden/>
          </w:rPr>
          <w:t>29</w:t>
        </w:r>
        <w:r>
          <w:rPr>
            <w:noProof/>
            <w:webHidden/>
          </w:rPr>
          <w:fldChar w:fldCharType="end"/>
        </w:r>
      </w:hyperlink>
    </w:p>
    <w:p w:rsidR="002D1B7A" w:rsidRDefault="003F44DC">
      <w:pPr>
        <w:pStyle w:val="TOC3"/>
        <w:rPr>
          <w:rFonts w:asciiTheme="minorHAnsi" w:eastAsiaTheme="minorEastAsia" w:hAnsiTheme="minorHAnsi" w:cstheme="minorBidi"/>
          <w:noProof/>
          <w:sz w:val="22"/>
          <w:szCs w:val="22"/>
        </w:rPr>
      </w:pPr>
      <w:hyperlink w:anchor="_Toc279359359" w:history="1">
        <w:r w:rsidR="002D1B7A" w:rsidRPr="00774641">
          <w:rPr>
            <w:rStyle w:val="Hyperlink"/>
            <w:noProof/>
          </w:rPr>
          <w:t>3.2.7.</w:t>
        </w:r>
        <w:r w:rsidR="002D1B7A">
          <w:rPr>
            <w:rFonts w:asciiTheme="minorHAnsi" w:eastAsiaTheme="minorEastAsia" w:hAnsiTheme="minorHAnsi" w:cstheme="minorBidi"/>
            <w:noProof/>
            <w:sz w:val="22"/>
            <w:szCs w:val="22"/>
          </w:rPr>
          <w:tab/>
        </w:r>
        <w:r w:rsidR="002D1B7A" w:rsidRPr="00774641">
          <w:rPr>
            <w:rStyle w:val="Hyperlink"/>
            <w:noProof/>
          </w:rPr>
          <w:t>AR(1) taggal kiegészített modellek</w:t>
        </w:r>
        <w:r w:rsidR="002D1B7A">
          <w:rPr>
            <w:noProof/>
            <w:webHidden/>
          </w:rPr>
          <w:tab/>
        </w:r>
        <w:r>
          <w:rPr>
            <w:noProof/>
            <w:webHidden/>
          </w:rPr>
          <w:fldChar w:fldCharType="begin"/>
        </w:r>
        <w:r w:rsidR="002D1B7A">
          <w:rPr>
            <w:noProof/>
            <w:webHidden/>
          </w:rPr>
          <w:instrText xml:space="preserve"> PAGEREF _Toc279359359 \h </w:instrText>
        </w:r>
        <w:r>
          <w:rPr>
            <w:noProof/>
            <w:webHidden/>
          </w:rPr>
        </w:r>
        <w:r>
          <w:rPr>
            <w:noProof/>
            <w:webHidden/>
          </w:rPr>
          <w:fldChar w:fldCharType="separate"/>
        </w:r>
        <w:r w:rsidR="002D1B7A">
          <w:rPr>
            <w:noProof/>
            <w:webHidden/>
          </w:rPr>
          <w:t>31</w:t>
        </w:r>
        <w:r>
          <w:rPr>
            <w:noProof/>
            <w:webHidden/>
          </w:rPr>
          <w:fldChar w:fldCharType="end"/>
        </w:r>
      </w:hyperlink>
    </w:p>
    <w:p w:rsidR="002D1B7A" w:rsidRDefault="003F44DC">
      <w:pPr>
        <w:pStyle w:val="TOC3"/>
        <w:rPr>
          <w:rFonts w:asciiTheme="minorHAnsi" w:eastAsiaTheme="minorEastAsia" w:hAnsiTheme="minorHAnsi" w:cstheme="minorBidi"/>
          <w:noProof/>
          <w:sz w:val="22"/>
          <w:szCs w:val="22"/>
        </w:rPr>
      </w:pPr>
      <w:hyperlink w:anchor="_Toc279359360" w:history="1">
        <w:r w:rsidR="002D1B7A" w:rsidRPr="00774641">
          <w:rPr>
            <w:rStyle w:val="Hyperlink"/>
            <w:noProof/>
          </w:rPr>
          <w:t>3.2.8.</w:t>
        </w:r>
        <w:r w:rsidR="002D1B7A">
          <w:rPr>
            <w:rFonts w:asciiTheme="minorHAnsi" w:eastAsiaTheme="minorEastAsia" w:hAnsiTheme="minorHAnsi" w:cstheme="minorBidi"/>
            <w:noProof/>
            <w:sz w:val="22"/>
            <w:szCs w:val="22"/>
          </w:rPr>
          <w:tab/>
        </w:r>
        <w:r w:rsidR="002D1B7A" w:rsidRPr="00774641">
          <w:rPr>
            <w:rStyle w:val="Hyperlink"/>
            <w:noProof/>
          </w:rPr>
          <w:t>Legjobb modell kiválasztása</w:t>
        </w:r>
        <w:r w:rsidR="002D1B7A">
          <w:rPr>
            <w:noProof/>
            <w:webHidden/>
          </w:rPr>
          <w:tab/>
        </w:r>
        <w:r>
          <w:rPr>
            <w:noProof/>
            <w:webHidden/>
          </w:rPr>
          <w:fldChar w:fldCharType="begin"/>
        </w:r>
        <w:r w:rsidR="002D1B7A">
          <w:rPr>
            <w:noProof/>
            <w:webHidden/>
          </w:rPr>
          <w:instrText xml:space="preserve"> PAGEREF _Toc279359360 \h </w:instrText>
        </w:r>
        <w:r>
          <w:rPr>
            <w:noProof/>
            <w:webHidden/>
          </w:rPr>
        </w:r>
        <w:r>
          <w:rPr>
            <w:noProof/>
            <w:webHidden/>
          </w:rPr>
          <w:fldChar w:fldCharType="separate"/>
        </w:r>
        <w:r w:rsidR="002D1B7A">
          <w:rPr>
            <w:noProof/>
            <w:webHidden/>
          </w:rPr>
          <w:t>36</w:t>
        </w:r>
        <w:r>
          <w:rPr>
            <w:noProof/>
            <w:webHidden/>
          </w:rPr>
          <w:fldChar w:fldCharType="end"/>
        </w:r>
      </w:hyperlink>
    </w:p>
    <w:p w:rsidR="002D1B7A" w:rsidRDefault="003F44DC">
      <w:pPr>
        <w:pStyle w:val="TOC2"/>
        <w:rPr>
          <w:rFonts w:asciiTheme="minorHAnsi" w:eastAsiaTheme="minorEastAsia" w:hAnsiTheme="minorHAnsi" w:cstheme="minorBidi"/>
          <w:noProof/>
          <w:sz w:val="22"/>
          <w:szCs w:val="22"/>
        </w:rPr>
      </w:pPr>
      <w:hyperlink w:anchor="_Toc279359361" w:history="1">
        <w:r w:rsidR="002D1B7A" w:rsidRPr="00774641">
          <w:rPr>
            <w:rStyle w:val="Hyperlink"/>
            <w:noProof/>
          </w:rPr>
          <w:t>3.3.</w:t>
        </w:r>
        <w:r w:rsidR="002D1B7A">
          <w:rPr>
            <w:rFonts w:asciiTheme="minorHAnsi" w:eastAsiaTheme="minorEastAsia" w:hAnsiTheme="minorHAnsi" w:cstheme="minorBidi"/>
            <w:noProof/>
            <w:sz w:val="22"/>
            <w:szCs w:val="22"/>
          </w:rPr>
          <w:tab/>
        </w:r>
        <w:r w:rsidR="002D1B7A" w:rsidRPr="00774641">
          <w:rPr>
            <w:rStyle w:val="Hyperlink"/>
            <w:noProof/>
          </w:rPr>
          <w:t>Következtetések, javaslatok, a modellezés korlátai</w:t>
        </w:r>
        <w:r w:rsidR="002D1B7A">
          <w:rPr>
            <w:noProof/>
            <w:webHidden/>
          </w:rPr>
          <w:tab/>
        </w:r>
        <w:r>
          <w:rPr>
            <w:noProof/>
            <w:webHidden/>
          </w:rPr>
          <w:fldChar w:fldCharType="begin"/>
        </w:r>
        <w:r w:rsidR="002D1B7A">
          <w:rPr>
            <w:noProof/>
            <w:webHidden/>
          </w:rPr>
          <w:instrText xml:space="preserve"> PAGEREF _Toc279359361 \h </w:instrText>
        </w:r>
        <w:r>
          <w:rPr>
            <w:noProof/>
            <w:webHidden/>
          </w:rPr>
        </w:r>
        <w:r>
          <w:rPr>
            <w:noProof/>
            <w:webHidden/>
          </w:rPr>
          <w:fldChar w:fldCharType="separate"/>
        </w:r>
        <w:r w:rsidR="002D1B7A">
          <w:rPr>
            <w:noProof/>
            <w:webHidden/>
          </w:rPr>
          <w:t>38</w:t>
        </w:r>
        <w:r>
          <w:rPr>
            <w:noProof/>
            <w:webHidden/>
          </w:rPr>
          <w:fldChar w:fldCharType="end"/>
        </w:r>
      </w:hyperlink>
    </w:p>
    <w:p w:rsidR="002D1B7A" w:rsidRDefault="003F44DC">
      <w:pPr>
        <w:pStyle w:val="TOC3"/>
        <w:rPr>
          <w:rFonts w:asciiTheme="minorHAnsi" w:eastAsiaTheme="minorEastAsia" w:hAnsiTheme="minorHAnsi" w:cstheme="minorBidi"/>
          <w:noProof/>
          <w:sz w:val="22"/>
          <w:szCs w:val="22"/>
        </w:rPr>
      </w:pPr>
      <w:hyperlink w:anchor="_Toc279359362" w:history="1">
        <w:r w:rsidR="002D1B7A" w:rsidRPr="00774641">
          <w:rPr>
            <w:rStyle w:val="Hyperlink"/>
            <w:noProof/>
          </w:rPr>
          <w:t>3.3.1.</w:t>
        </w:r>
        <w:r w:rsidR="002D1B7A">
          <w:rPr>
            <w:rFonts w:asciiTheme="minorHAnsi" w:eastAsiaTheme="minorEastAsia" w:hAnsiTheme="minorHAnsi" w:cstheme="minorBidi"/>
            <w:noProof/>
            <w:sz w:val="22"/>
            <w:szCs w:val="22"/>
          </w:rPr>
          <w:tab/>
        </w:r>
        <w:r w:rsidR="002D1B7A" w:rsidRPr="00774641">
          <w:rPr>
            <w:rStyle w:val="Hyperlink"/>
            <w:noProof/>
          </w:rPr>
          <w:t>Beruházási támogatásokra vonatkozóan</w:t>
        </w:r>
        <w:r w:rsidR="002D1B7A">
          <w:rPr>
            <w:noProof/>
            <w:webHidden/>
          </w:rPr>
          <w:tab/>
        </w:r>
        <w:r>
          <w:rPr>
            <w:noProof/>
            <w:webHidden/>
          </w:rPr>
          <w:fldChar w:fldCharType="begin"/>
        </w:r>
        <w:r w:rsidR="002D1B7A">
          <w:rPr>
            <w:noProof/>
            <w:webHidden/>
          </w:rPr>
          <w:instrText xml:space="preserve"> PAGEREF _Toc279359362 \h </w:instrText>
        </w:r>
        <w:r>
          <w:rPr>
            <w:noProof/>
            <w:webHidden/>
          </w:rPr>
        </w:r>
        <w:r>
          <w:rPr>
            <w:noProof/>
            <w:webHidden/>
          </w:rPr>
          <w:fldChar w:fldCharType="separate"/>
        </w:r>
        <w:r w:rsidR="002D1B7A">
          <w:rPr>
            <w:noProof/>
            <w:webHidden/>
          </w:rPr>
          <w:t>38</w:t>
        </w:r>
        <w:r>
          <w:rPr>
            <w:noProof/>
            <w:webHidden/>
          </w:rPr>
          <w:fldChar w:fldCharType="end"/>
        </w:r>
      </w:hyperlink>
    </w:p>
    <w:p w:rsidR="002D1B7A" w:rsidRDefault="003F44DC">
      <w:pPr>
        <w:pStyle w:val="TOC3"/>
        <w:rPr>
          <w:rFonts w:asciiTheme="minorHAnsi" w:eastAsiaTheme="minorEastAsia" w:hAnsiTheme="minorHAnsi" w:cstheme="minorBidi"/>
          <w:noProof/>
          <w:sz w:val="22"/>
          <w:szCs w:val="22"/>
        </w:rPr>
      </w:pPr>
      <w:hyperlink w:anchor="_Toc279359363" w:history="1">
        <w:r w:rsidR="002D1B7A" w:rsidRPr="00774641">
          <w:rPr>
            <w:rStyle w:val="Hyperlink"/>
            <w:noProof/>
          </w:rPr>
          <w:t>3.3.2.</w:t>
        </w:r>
        <w:r w:rsidR="002D1B7A">
          <w:rPr>
            <w:rFonts w:asciiTheme="minorHAnsi" w:eastAsiaTheme="minorEastAsia" w:hAnsiTheme="minorHAnsi" w:cstheme="minorBidi"/>
            <w:noProof/>
            <w:sz w:val="22"/>
            <w:szCs w:val="22"/>
          </w:rPr>
          <w:tab/>
        </w:r>
        <w:r w:rsidR="002D1B7A" w:rsidRPr="00774641">
          <w:rPr>
            <w:rStyle w:val="Hyperlink"/>
            <w:noProof/>
          </w:rPr>
          <w:t>Területalapú támogatásokra vonatkozóan</w:t>
        </w:r>
        <w:r w:rsidR="002D1B7A">
          <w:rPr>
            <w:noProof/>
            <w:webHidden/>
          </w:rPr>
          <w:tab/>
        </w:r>
        <w:r>
          <w:rPr>
            <w:noProof/>
            <w:webHidden/>
          </w:rPr>
          <w:fldChar w:fldCharType="begin"/>
        </w:r>
        <w:r w:rsidR="002D1B7A">
          <w:rPr>
            <w:noProof/>
            <w:webHidden/>
          </w:rPr>
          <w:instrText xml:space="preserve"> PAGEREF _Toc279359363 \h </w:instrText>
        </w:r>
        <w:r>
          <w:rPr>
            <w:noProof/>
            <w:webHidden/>
          </w:rPr>
        </w:r>
        <w:r>
          <w:rPr>
            <w:noProof/>
            <w:webHidden/>
          </w:rPr>
          <w:fldChar w:fldCharType="separate"/>
        </w:r>
        <w:r w:rsidR="002D1B7A">
          <w:rPr>
            <w:noProof/>
            <w:webHidden/>
          </w:rPr>
          <w:t>38</w:t>
        </w:r>
        <w:r>
          <w:rPr>
            <w:noProof/>
            <w:webHidden/>
          </w:rPr>
          <w:fldChar w:fldCharType="end"/>
        </w:r>
      </w:hyperlink>
    </w:p>
    <w:p w:rsidR="002D1B7A" w:rsidRDefault="003F44DC">
      <w:pPr>
        <w:pStyle w:val="TOC3"/>
        <w:rPr>
          <w:rFonts w:asciiTheme="minorHAnsi" w:eastAsiaTheme="minorEastAsia" w:hAnsiTheme="minorHAnsi" w:cstheme="minorBidi"/>
          <w:noProof/>
          <w:sz w:val="22"/>
          <w:szCs w:val="22"/>
        </w:rPr>
      </w:pPr>
      <w:hyperlink w:anchor="_Toc279359364" w:history="1">
        <w:r w:rsidR="002D1B7A" w:rsidRPr="00774641">
          <w:rPr>
            <w:rStyle w:val="Hyperlink"/>
            <w:noProof/>
          </w:rPr>
          <w:t>3.3.3.</w:t>
        </w:r>
        <w:r w:rsidR="002D1B7A">
          <w:rPr>
            <w:rFonts w:asciiTheme="minorHAnsi" w:eastAsiaTheme="minorEastAsia" w:hAnsiTheme="minorHAnsi" w:cstheme="minorBidi"/>
            <w:noProof/>
            <w:sz w:val="22"/>
            <w:szCs w:val="22"/>
          </w:rPr>
          <w:tab/>
        </w:r>
        <w:r w:rsidR="002D1B7A" w:rsidRPr="00774641">
          <w:rPr>
            <w:rStyle w:val="Hyperlink"/>
            <w:noProof/>
          </w:rPr>
          <w:t>Gazdasági növekedésre vonatkozóan</w:t>
        </w:r>
        <w:r w:rsidR="002D1B7A">
          <w:rPr>
            <w:noProof/>
            <w:webHidden/>
          </w:rPr>
          <w:tab/>
        </w:r>
        <w:r>
          <w:rPr>
            <w:noProof/>
            <w:webHidden/>
          </w:rPr>
          <w:fldChar w:fldCharType="begin"/>
        </w:r>
        <w:r w:rsidR="002D1B7A">
          <w:rPr>
            <w:noProof/>
            <w:webHidden/>
          </w:rPr>
          <w:instrText xml:space="preserve"> PAGEREF _Toc279359364 \h </w:instrText>
        </w:r>
        <w:r>
          <w:rPr>
            <w:noProof/>
            <w:webHidden/>
          </w:rPr>
        </w:r>
        <w:r>
          <w:rPr>
            <w:noProof/>
            <w:webHidden/>
          </w:rPr>
          <w:fldChar w:fldCharType="separate"/>
        </w:r>
        <w:r w:rsidR="002D1B7A">
          <w:rPr>
            <w:noProof/>
            <w:webHidden/>
          </w:rPr>
          <w:t>39</w:t>
        </w:r>
        <w:r>
          <w:rPr>
            <w:noProof/>
            <w:webHidden/>
          </w:rPr>
          <w:fldChar w:fldCharType="end"/>
        </w:r>
      </w:hyperlink>
    </w:p>
    <w:p w:rsidR="002D1B7A" w:rsidRDefault="003F44DC">
      <w:pPr>
        <w:pStyle w:val="TOC3"/>
        <w:rPr>
          <w:rFonts w:asciiTheme="minorHAnsi" w:eastAsiaTheme="minorEastAsia" w:hAnsiTheme="minorHAnsi" w:cstheme="minorBidi"/>
          <w:noProof/>
          <w:sz w:val="22"/>
          <w:szCs w:val="22"/>
        </w:rPr>
      </w:pPr>
      <w:hyperlink w:anchor="_Toc279359365" w:history="1">
        <w:r w:rsidR="002D1B7A" w:rsidRPr="00774641">
          <w:rPr>
            <w:rStyle w:val="Hyperlink"/>
            <w:noProof/>
          </w:rPr>
          <w:t>3.3.4.</w:t>
        </w:r>
        <w:r w:rsidR="002D1B7A">
          <w:rPr>
            <w:rFonts w:asciiTheme="minorHAnsi" w:eastAsiaTheme="minorEastAsia" w:hAnsiTheme="minorHAnsi" w:cstheme="minorBidi"/>
            <w:noProof/>
            <w:sz w:val="22"/>
            <w:szCs w:val="22"/>
          </w:rPr>
          <w:tab/>
        </w:r>
        <w:r w:rsidR="002D1B7A" w:rsidRPr="00774641">
          <w:rPr>
            <w:rStyle w:val="Hyperlink"/>
            <w:noProof/>
          </w:rPr>
          <w:t>Az ökonometriai elemzés korlátai és az EÉJ eltérések indoklása</w:t>
        </w:r>
        <w:r w:rsidR="002D1B7A">
          <w:rPr>
            <w:noProof/>
            <w:webHidden/>
          </w:rPr>
          <w:tab/>
        </w:r>
        <w:r>
          <w:rPr>
            <w:noProof/>
            <w:webHidden/>
          </w:rPr>
          <w:fldChar w:fldCharType="begin"/>
        </w:r>
        <w:r w:rsidR="002D1B7A">
          <w:rPr>
            <w:noProof/>
            <w:webHidden/>
          </w:rPr>
          <w:instrText xml:space="preserve"> PAGEREF _Toc279359365 \h </w:instrText>
        </w:r>
        <w:r>
          <w:rPr>
            <w:noProof/>
            <w:webHidden/>
          </w:rPr>
        </w:r>
        <w:r>
          <w:rPr>
            <w:noProof/>
            <w:webHidden/>
          </w:rPr>
          <w:fldChar w:fldCharType="separate"/>
        </w:r>
        <w:r w:rsidR="002D1B7A">
          <w:rPr>
            <w:noProof/>
            <w:webHidden/>
          </w:rPr>
          <w:t>39</w:t>
        </w:r>
        <w:r>
          <w:rPr>
            <w:noProof/>
            <w:webHidden/>
          </w:rPr>
          <w:fldChar w:fldCharType="end"/>
        </w:r>
      </w:hyperlink>
    </w:p>
    <w:p w:rsidR="002D1B7A" w:rsidRDefault="003F44DC">
      <w:pPr>
        <w:pStyle w:val="TOC1"/>
        <w:rPr>
          <w:rFonts w:asciiTheme="minorHAnsi" w:eastAsiaTheme="minorEastAsia" w:hAnsiTheme="minorHAnsi" w:cstheme="minorBidi"/>
          <w:caps w:val="0"/>
          <w:sz w:val="22"/>
          <w:szCs w:val="22"/>
        </w:rPr>
      </w:pPr>
      <w:hyperlink w:anchor="_Toc279359366" w:history="1">
        <w:r w:rsidR="002D1B7A" w:rsidRPr="00774641">
          <w:rPr>
            <w:rStyle w:val="Hyperlink"/>
          </w:rPr>
          <w:t>4.</w:t>
        </w:r>
        <w:r w:rsidR="002D1B7A">
          <w:rPr>
            <w:rFonts w:asciiTheme="minorHAnsi" w:eastAsiaTheme="minorEastAsia" w:hAnsiTheme="minorHAnsi" w:cstheme="minorBidi"/>
            <w:caps w:val="0"/>
            <w:sz w:val="22"/>
            <w:szCs w:val="22"/>
          </w:rPr>
          <w:tab/>
        </w:r>
        <w:r w:rsidR="002D1B7A" w:rsidRPr="00774641">
          <w:rPr>
            <w:rStyle w:val="Hyperlink"/>
          </w:rPr>
          <w:t>Statisztikai elemzés</w:t>
        </w:r>
        <w:r w:rsidR="002D1B7A">
          <w:rPr>
            <w:webHidden/>
          </w:rPr>
          <w:tab/>
        </w:r>
        <w:r>
          <w:rPr>
            <w:webHidden/>
          </w:rPr>
          <w:fldChar w:fldCharType="begin"/>
        </w:r>
        <w:r w:rsidR="002D1B7A">
          <w:rPr>
            <w:webHidden/>
          </w:rPr>
          <w:instrText xml:space="preserve"> PAGEREF _Toc279359366 \h </w:instrText>
        </w:r>
        <w:r>
          <w:rPr>
            <w:webHidden/>
          </w:rPr>
        </w:r>
        <w:r>
          <w:rPr>
            <w:webHidden/>
          </w:rPr>
          <w:fldChar w:fldCharType="separate"/>
        </w:r>
        <w:r w:rsidR="002D1B7A">
          <w:rPr>
            <w:webHidden/>
          </w:rPr>
          <w:t>42</w:t>
        </w:r>
        <w:r>
          <w:rPr>
            <w:webHidden/>
          </w:rPr>
          <w:fldChar w:fldCharType="end"/>
        </w:r>
      </w:hyperlink>
    </w:p>
    <w:p w:rsidR="002D1B7A" w:rsidRDefault="003F44DC">
      <w:pPr>
        <w:pStyle w:val="TOC2"/>
        <w:rPr>
          <w:rFonts w:asciiTheme="minorHAnsi" w:eastAsiaTheme="minorEastAsia" w:hAnsiTheme="minorHAnsi" w:cstheme="minorBidi"/>
          <w:noProof/>
          <w:sz w:val="22"/>
          <w:szCs w:val="22"/>
        </w:rPr>
      </w:pPr>
      <w:hyperlink w:anchor="_Toc279359367" w:history="1">
        <w:r w:rsidR="002D1B7A" w:rsidRPr="00774641">
          <w:rPr>
            <w:rStyle w:val="Hyperlink"/>
            <w:noProof/>
          </w:rPr>
          <w:t>4.1.</w:t>
        </w:r>
        <w:r w:rsidR="002D1B7A">
          <w:rPr>
            <w:rFonts w:asciiTheme="minorHAnsi" w:eastAsiaTheme="minorEastAsia" w:hAnsiTheme="minorHAnsi" w:cstheme="minorBidi"/>
            <w:noProof/>
            <w:sz w:val="22"/>
            <w:szCs w:val="22"/>
          </w:rPr>
          <w:tab/>
        </w:r>
        <w:r w:rsidR="002D1B7A" w:rsidRPr="00774641">
          <w:rPr>
            <w:rStyle w:val="Hyperlink"/>
            <w:noProof/>
          </w:rPr>
          <w:t>Módszertani bemutatás</w:t>
        </w:r>
        <w:r w:rsidR="002D1B7A">
          <w:rPr>
            <w:noProof/>
            <w:webHidden/>
          </w:rPr>
          <w:tab/>
        </w:r>
        <w:r>
          <w:rPr>
            <w:noProof/>
            <w:webHidden/>
          </w:rPr>
          <w:fldChar w:fldCharType="begin"/>
        </w:r>
        <w:r w:rsidR="002D1B7A">
          <w:rPr>
            <w:noProof/>
            <w:webHidden/>
          </w:rPr>
          <w:instrText xml:space="preserve"> PAGEREF _Toc279359367 \h </w:instrText>
        </w:r>
        <w:r>
          <w:rPr>
            <w:noProof/>
            <w:webHidden/>
          </w:rPr>
        </w:r>
        <w:r>
          <w:rPr>
            <w:noProof/>
            <w:webHidden/>
          </w:rPr>
          <w:fldChar w:fldCharType="separate"/>
        </w:r>
        <w:r w:rsidR="002D1B7A">
          <w:rPr>
            <w:noProof/>
            <w:webHidden/>
          </w:rPr>
          <w:t>42</w:t>
        </w:r>
        <w:r>
          <w:rPr>
            <w:noProof/>
            <w:webHidden/>
          </w:rPr>
          <w:fldChar w:fldCharType="end"/>
        </w:r>
      </w:hyperlink>
    </w:p>
    <w:p w:rsidR="002D1B7A" w:rsidRDefault="003F44DC">
      <w:pPr>
        <w:pStyle w:val="TOC3"/>
        <w:rPr>
          <w:rFonts w:asciiTheme="minorHAnsi" w:eastAsiaTheme="minorEastAsia" w:hAnsiTheme="minorHAnsi" w:cstheme="minorBidi"/>
          <w:noProof/>
          <w:sz w:val="22"/>
          <w:szCs w:val="22"/>
        </w:rPr>
      </w:pPr>
      <w:hyperlink w:anchor="_Toc279359368" w:history="1">
        <w:r w:rsidR="002D1B7A" w:rsidRPr="00774641">
          <w:rPr>
            <w:rStyle w:val="Hyperlink"/>
            <w:noProof/>
          </w:rPr>
          <w:t>4.1.1.</w:t>
        </w:r>
        <w:r w:rsidR="002D1B7A">
          <w:rPr>
            <w:rFonts w:asciiTheme="minorHAnsi" w:eastAsiaTheme="minorEastAsia" w:hAnsiTheme="minorHAnsi" w:cstheme="minorBidi"/>
            <w:noProof/>
            <w:sz w:val="22"/>
            <w:szCs w:val="22"/>
          </w:rPr>
          <w:tab/>
        </w:r>
        <w:r w:rsidR="002D1B7A" w:rsidRPr="00774641">
          <w:rPr>
            <w:rStyle w:val="Hyperlink"/>
            <w:noProof/>
          </w:rPr>
          <w:t>Jövedelmezőségi hatás vizsgálatának módszertana</w:t>
        </w:r>
        <w:r w:rsidR="002D1B7A">
          <w:rPr>
            <w:noProof/>
            <w:webHidden/>
          </w:rPr>
          <w:tab/>
        </w:r>
        <w:r>
          <w:rPr>
            <w:noProof/>
            <w:webHidden/>
          </w:rPr>
          <w:fldChar w:fldCharType="begin"/>
        </w:r>
        <w:r w:rsidR="002D1B7A">
          <w:rPr>
            <w:noProof/>
            <w:webHidden/>
          </w:rPr>
          <w:instrText xml:space="preserve"> PAGEREF _Toc279359368 \h </w:instrText>
        </w:r>
        <w:r>
          <w:rPr>
            <w:noProof/>
            <w:webHidden/>
          </w:rPr>
        </w:r>
        <w:r>
          <w:rPr>
            <w:noProof/>
            <w:webHidden/>
          </w:rPr>
          <w:fldChar w:fldCharType="separate"/>
        </w:r>
        <w:r w:rsidR="002D1B7A">
          <w:rPr>
            <w:noProof/>
            <w:webHidden/>
          </w:rPr>
          <w:t>43</w:t>
        </w:r>
        <w:r>
          <w:rPr>
            <w:noProof/>
            <w:webHidden/>
          </w:rPr>
          <w:fldChar w:fldCharType="end"/>
        </w:r>
      </w:hyperlink>
    </w:p>
    <w:p w:rsidR="002D1B7A" w:rsidRDefault="003F44DC">
      <w:pPr>
        <w:pStyle w:val="TOC3"/>
        <w:rPr>
          <w:rFonts w:asciiTheme="minorHAnsi" w:eastAsiaTheme="minorEastAsia" w:hAnsiTheme="minorHAnsi" w:cstheme="minorBidi"/>
          <w:noProof/>
          <w:sz w:val="22"/>
          <w:szCs w:val="22"/>
        </w:rPr>
      </w:pPr>
      <w:hyperlink w:anchor="_Toc279359369" w:history="1">
        <w:r w:rsidR="002D1B7A" w:rsidRPr="00774641">
          <w:rPr>
            <w:rStyle w:val="Hyperlink"/>
            <w:noProof/>
          </w:rPr>
          <w:t>4.1.2.</w:t>
        </w:r>
        <w:r w:rsidR="002D1B7A">
          <w:rPr>
            <w:rFonts w:asciiTheme="minorHAnsi" w:eastAsiaTheme="minorEastAsia" w:hAnsiTheme="minorHAnsi" w:cstheme="minorBidi"/>
            <w:noProof/>
            <w:sz w:val="22"/>
            <w:szCs w:val="22"/>
          </w:rPr>
          <w:tab/>
        </w:r>
        <w:r w:rsidR="002D1B7A" w:rsidRPr="00774641">
          <w:rPr>
            <w:rStyle w:val="Hyperlink"/>
            <w:noProof/>
          </w:rPr>
          <w:t>Foglalkoztatási hatás vizsgálatának módszertana</w:t>
        </w:r>
        <w:r w:rsidR="002D1B7A">
          <w:rPr>
            <w:noProof/>
            <w:webHidden/>
          </w:rPr>
          <w:tab/>
        </w:r>
        <w:r>
          <w:rPr>
            <w:noProof/>
            <w:webHidden/>
          </w:rPr>
          <w:fldChar w:fldCharType="begin"/>
        </w:r>
        <w:r w:rsidR="002D1B7A">
          <w:rPr>
            <w:noProof/>
            <w:webHidden/>
          </w:rPr>
          <w:instrText xml:space="preserve"> PAGEREF _Toc279359369 \h </w:instrText>
        </w:r>
        <w:r>
          <w:rPr>
            <w:noProof/>
            <w:webHidden/>
          </w:rPr>
        </w:r>
        <w:r>
          <w:rPr>
            <w:noProof/>
            <w:webHidden/>
          </w:rPr>
          <w:fldChar w:fldCharType="separate"/>
        </w:r>
        <w:r w:rsidR="002D1B7A">
          <w:rPr>
            <w:noProof/>
            <w:webHidden/>
          </w:rPr>
          <w:t>44</w:t>
        </w:r>
        <w:r>
          <w:rPr>
            <w:noProof/>
            <w:webHidden/>
          </w:rPr>
          <w:fldChar w:fldCharType="end"/>
        </w:r>
      </w:hyperlink>
    </w:p>
    <w:p w:rsidR="002D1B7A" w:rsidRDefault="003F44DC">
      <w:pPr>
        <w:pStyle w:val="TOC3"/>
        <w:rPr>
          <w:rFonts w:asciiTheme="minorHAnsi" w:eastAsiaTheme="minorEastAsia" w:hAnsiTheme="minorHAnsi" w:cstheme="minorBidi"/>
          <w:noProof/>
          <w:sz w:val="22"/>
          <w:szCs w:val="22"/>
        </w:rPr>
      </w:pPr>
      <w:hyperlink w:anchor="_Toc279359370" w:history="1">
        <w:r w:rsidR="002D1B7A" w:rsidRPr="00774641">
          <w:rPr>
            <w:rStyle w:val="Hyperlink"/>
            <w:noProof/>
          </w:rPr>
          <w:t>4.1.3.</w:t>
        </w:r>
        <w:r w:rsidR="002D1B7A">
          <w:rPr>
            <w:rFonts w:asciiTheme="minorHAnsi" w:eastAsiaTheme="minorEastAsia" w:hAnsiTheme="minorHAnsi" w:cstheme="minorBidi"/>
            <w:noProof/>
            <w:sz w:val="22"/>
            <w:szCs w:val="22"/>
          </w:rPr>
          <w:tab/>
        </w:r>
        <w:r w:rsidR="002D1B7A" w:rsidRPr="00774641">
          <w:rPr>
            <w:rStyle w:val="Hyperlink"/>
            <w:noProof/>
          </w:rPr>
          <w:t>Termelékenységi vizsgálat módszertana</w:t>
        </w:r>
        <w:r w:rsidR="002D1B7A">
          <w:rPr>
            <w:noProof/>
            <w:webHidden/>
          </w:rPr>
          <w:tab/>
        </w:r>
        <w:r>
          <w:rPr>
            <w:noProof/>
            <w:webHidden/>
          </w:rPr>
          <w:fldChar w:fldCharType="begin"/>
        </w:r>
        <w:r w:rsidR="002D1B7A">
          <w:rPr>
            <w:noProof/>
            <w:webHidden/>
          </w:rPr>
          <w:instrText xml:space="preserve"> PAGEREF _Toc279359370 \h </w:instrText>
        </w:r>
        <w:r>
          <w:rPr>
            <w:noProof/>
            <w:webHidden/>
          </w:rPr>
        </w:r>
        <w:r>
          <w:rPr>
            <w:noProof/>
            <w:webHidden/>
          </w:rPr>
          <w:fldChar w:fldCharType="separate"/>
        </w:r>
        <w:r w:rsidR="002D1B7A">
          <w:rPr>
            <w:noProof/>
            <w:webHidden/>
          </w:rPr>
          <w:t>45</w:t>
        </w:r>
        <w:r>
          <w:rPr>
            <w:noProof/>
            <w:webHidden/>
          </w:rPr>
          <w:fldChar w:fldCharType="end"/>
        </w:r>
      </w:hyperlink>
    </w:p>
    <w:p w:rsidR="002D1B7A" w:rsidRDefault="003F44DC">
      <w:pPr>
        <w:pStyle w:val="TOC3"/>
        <w:rPr>
          <w:rFonts w:asciiTheme="minorHAnsi" w:eastAsiaTheme="minorEastAsia" w:hAnsiTheme="minorHAnsi" w:cstheme="minorBidi"/>
          <w:noProof/>
          <w:sz w:val="22"/>
          <w:szCs w:val="22"/>
        </w:rPr>
      </w:pPr>
      <w:hyperlink w:anchor="_Toc279359371" w:history="1">
        <w:r w:rsidR="002D1B7A" w:rsidRPr="00774641">
          <w:rPr>
            <w:rStyle w:val="Hyperlink"/>
            <w:noProof/>
          </w:rPr>
          <w:t>4.1.4.</w:t>
        </w:r>
        <w:r w:rsidR="002D1B7A">
          <w:rPr>
            <w:rFonts w:asciiTheme="minorHAnsi" w:eastAsiaTheme="minorEastAsia" w:hAnsiTheme="minorHAnsi" w:cstheme="minorBidi"/>
            <w:noProof/>
            <w:sz w:val="22"/>
            <w:szCs w:val="22"/>
          </w:rPr>
          <w:tab/>
        </w:r>
        <w:r w:rsidR="002D1B7A" w:rsidRPr="00774641">
          <w:rPr>
            <w:rStyle w:val="Hyperlink"/>
            <w:noProof/>
          </w:rPr>
          <w:t>Az államháztartásra gyakorolt hatások vizsgálatának módszertana</w:t>
        </w:r>
        <w:r w:rsidR="002D1B7A">
          <w:rPr>
            <w:noProof/>
            <w:webHidden/>
          </w:rPr>
          <w:tab/>
        </w:r>
        <w:r>
          <w:rPr>
            <w:noProof/>
            <w:webHidden/>
          </w:rPr>
          <w:fldChar w:fldCharType="begin"/>
        </w:r>
        <w:r w:rsidR="002D1B7A">
          <w:rPr>
            <w:noProof/>
            <w:webHidden/>
          </w:rPr>
          <w:instrText xml:space="preserve"> PAGEREF _Toc279359371 \h </w:instrText>
        </w:r>
        <w:r>
          <w:rPr>
            <w:noProof/>
            <w:webHidden/>
          </w:rPr>
        </w:r>
        <w:r>
          <w:rPr>
            <w:noProof/>
            <w:webHidden/>
          </w:rPr>
          <w:fldChar w:fldCharType="separate"/>
        </w:r>
        <w:r w:rsidR="002D1B7A">
          <w:rPr>
            <w:noProof/>
            <w:webHidden/>
          </w:rPr>
          <w:t>45</w:t>
        </w:r>
        <w:r>
          <w:rPr>
            <w:noProof/>
            <w:webHidden/>
          </w:rPr>
          <w:fldChar w:fldCharType="end"/>
        </w:r>
      </w:hyperlink>
    </w:p>
    <w:p w:rsidR="002D1B7A" w:rsidRDefault="003F44DC">
      <w:pPr>
        <w:pStyle w:val="TOC3"/>
        <w:rPr>
          <w:rFonts w:asciiTheme="minorHAnsi" w:eastAsiaTheme="minorEastAsia" w:hAnsiTheme="minorHAnsi" w:cstheme="minorBidi"/>
          <w:noProof/>
          <w:sz w:val="22"/>
          <w:szCs w:val="22"/>
        </w:rPr>
      </w:pPr>
      <w:hyperlink w:anchor="_Toc279359372" w:history="1">
        <w:r w:rsidR="002D1B7A" w:rsidRPr="00774641">
          <w:rPr>
            <w:rStyle w:val="Hyperlink"/>
            <w:noProof/>
          </w:rPr>
          <w:t>4.1.5.</w:t>
        </w:r>
        <w:r w:rsidR="002D1B7A">
          <w:rPr>
            <w:rFonts w:asciiTheme="minorHAnsi" w:eastAsiaTheme="minorEastAsia" w:hAnsiTheme="minorHAnsi" w:cstheme="minorBidi"/>
            <w:noProof/>
            <w:sz w:val="22"/>
            <w:szCs w:val="22"/>
          </w:rPr>
          <w:tab/>
        </w:r>
        <w:r w:rsidR="002D1B7A" w:rsidRPr="00774641">
          <w:rPr>
            <w:rStyle w:val="Hyperlink"/>
            <w:noProof/>
          </w:rPr>
          <w:t>További statisztikai vizsgálatok</w:t>
        </w:r>
        <w:r w:rsidR="002D1B7A">
          <w:rPr>
            <w:noProof/>
            <w:webHidden/>
          </w:rPr>
          <w:tab/>
        </w:r>
        <w:r>
          <w:rPr>
            <w:noProof/>
            <w:webHidden/>
          </w:rPr>
          <w:fldChar w:fldCharType="begin"/>
        </w:r>
        <w:r w:rsidR="002D1B7A">
          <w:rPr>
            <w:noProof/>
            <w:webHidden/>
          </w:rPr>
          <w:instrText xml:space="preserve"> PAGEREF _Toc279359372 \h </w:instrText>
        </w:r>
        <w:r>
          <w:rPr>
            <w:noProof/>
            <w:webHidden/>
          </w:rPr>
        </w:r>
        <w:r>
          <w:rPr>
            <w:noProof/>
            <w:webHidden/>
          </w:rPr>
          <w:fldChar w:fldCharType="separate"/>
        </w:r>
        <w:r w:rsidR="002D1B7A">
          <w:rPr>
            <w:noProof/>
            <w:webHidden/>
          </w:rPr>
          <w:t>46</w:t>
        </w:r>
        <w:r>
          <w:rPr>
            <w:noProof/>
            <w:webHidden/>
          </w:rPr>
          <w:fldChar w:fldCharType="end"/>
        </w:r>
      </w:hyperlink>
    </w:p>
    <w:p w:rsidR="002D1B7A" w:rsidRDefault="003F44DC">
      <w:pPr>
        <w:pStyle w:val="TOC2"/>
        <w:rPr>
          <w:rFonts w:asciiTheme="minorHAnsi" w:eastAsiaTheme="minorEastAsia" w:hAnsiTheme="minorHAnsi" w:cstheme="minorBidi"/>
          <w:noProof/>
          <w:sz w:val="22"/>
          <w:szCs w:val="22"/>
        </w:rPr>
      </w:pPr>
      <w:hyperlink w:anchor="_Toc279359373" w:history="1">
        <w:r w:rsidR="002D1B7A" w:rsidRPr="00774641">
          <w:rPr>
            <w:rStyle w:val="Hyperlink"/>
            <w:noProof/>
          </w:rPr>
          <w:t>4.2.</w:t>
        </w:r>
        <w:r w:rsidR="002D1B7A">
          <w:rPr>
            <w:rFonts w:asciiTheme="minorHAnsi" w:eastAsiaTheme="minorEastAsia" w:hAnsiTheme="minorHAnsi" w:cstheme="minorBidi"/>
            <w:noProof/>
            <w:sz w:val="22"/>
            <w:szCs w:val="22"/>
          </w:rPr>
          <w:tab/>
        </w:r>
        <w:r w:rsidR="002D1B7A" w:rsidRPr="00774641">
          <w:rPr>
            <w:rStyle w:val="Hyperlink"/>
            <w:noProof/>
          </w:rPr>
          <w:t>Statisztikai elemzés</w:t>
        </w:r>
        <w:r w:rsidR="002D1B7A">
          <w:rPr>
            <w:noProof/>
            <w:webHidden/>
          </w:rPr>
          <w:tab/>
        </w:r>
        <w:r>
          <w:rPr>
            <w:noProof/>
            <w:webHidden/>
          </w:rPr>
          <w:fldChar w:fldCharType="begin"/>
        </w:r>
        <w:r w:rsidR="002D1B7A">
          <w:rPr>
            <w:noProof/>
            <w:webHidden/>
          </w:rPr>
          <w:instrText xml:space="preserve"> PAGEREF _Toc279359373 \h </w:instrText>
        </w:r>
        <w:r>
          <w:rPr>
            <w:noProof/>
            <w:webHidden/>
          </w:rPr>
        </w:r>
        <w:r>
          <w:rPr>
            <w:noProof/>
            <w:webHidden/>
          </w:rPr>
          <w:fldChar w:fldCharType="separate"/>
        </w:r>
        <w:r w:rsidR="002D1B7A">
          <w:rPr>
            <w:noProof/>
            <w:webHidden/>
          </w:rPr>
          <w:t>46</w:t>
        </w:r>
        <w:r>
          <w:rPr>
            <w:noProof/>
            <w:webHidden/>
          </w:rPr>
          <w:fldChar w:fldCharType="end"/>
        </w:r>
      </w:hyperlink>
    </w:p>
    <w:p w:rsidR="002D1B7A" w:rsidRDefault="003F44DC">
      <w:pPr>
        <w:pStyle w:val="TOC3"/>
        <w:rPr>
          <w:rFonts w:asciiTheme="minorHAnsi" w:eastAsiaTheme="minorEastAsia" w:hAnsiTheme="minorHAnsi" w:cstheme="minorBidi"/>
          <w:noProof/>
          <w:sz w:val="22"/>
          <w:szCs w:val="22"/>
        </w:rPr>
      </w:pPr>
      <w:hyperlink w:anchor="_Toc279359374" w:history="1">
        <w:r w:rsidR="002D1B7A" w:rsidRPr="00774641">
          <w:rPr>
            <w:rStyle w:val="Hyperlink"/>
            <w:noProof/>
          </w:rPr>
          <w:t>4.2.1.</w:t>
        </w:r>
        <w:r w:rsidR="002D1B7A">
          <w:rPr>
            <w:rFonts w:asciiTheme="minorHAnsi" w:eastAsiaTheme="minorEastAsia" w:hAnsiTheme="minorHAnsi" w:cstheme="minorBidi"/>
            <w:noProof/>
            <w:sz w:val="22"/>
            <w:szCs w:val="22"/>
          </w:rPr>
          <w:tab/>
        </w:r>
        <w:r w:rsidR="002D1B7A" w:rsidRPr="00774641">
          <w:rPr>
            <w:rStyle w:val="Hyperlink"/>
            <w:noProof/>
          </w:rPr>
          <w:t>Jövedelmezőségi hatás</w:t>
        </w:r>
        <w:r w:rsidR="002D1B7A">
          <w:rPr>
            <w:noProof/>
            <w:webHidden/>
          </w:rPr>
          <w:tab/>
        </w:r>
        <w:r>
          <w:rPr>
            <w:noProof/>
            <w:webHidden/>
          </w:rPr>
          <w:fldChar w:fldCharType="begin"/>
        </w:r>
        <w:r w:rsidR="002D1B7A">
          <w:rPr>
            <w:noProof/>
            <w:webHidden/>
          </w:rPr>
          <w:instrText xml:space="preserve"> PAGEREF _Toc279359374 \h </w:instrText>
        </w:r>
        <w:r>
          <w:rPr>
            <w:noProof/>
            <w:webHidden/>
          </w:rPr>
        </w:r>
        <w:r>
          <w:rPr>
            <w:noProof/>
            <w:webHidden/>
          </w:rPr>
          <w:fldChar w:fldCharType="separate"/>
        </w:r>
        <w:r w:rsidR="002D1B7A">
          <w:rPr>
            <w:noProof/>
            <w:webHidden/>
          </w:rPr>
          <w:t>46</w:t>
        </w:r>
        <w:r>
          <w:rPr>
            <w:noProof/>
            <w:webHidden/>
          </w:rPr>
          <w:fldChar w:fldCharType="end"/>
        </w:r>
      </w:hyperlink>
    </w:p>
    <w:p w:rsidR="002D1B7A" w:rsidRDefault="003F44DC">
      <w:pPr>
        <w:pStyle w:val="TOC3"/>
        <w:rPr>
          <w:rFonts w:asciiTheme="minorHAnsi" w:eastAsiaTheme="minorEastAsia" w:hAnsiTheme="minorHAnsi" w:cstheme="minorBidi"/>
          <w:noProof/>
          <w:sz w:val="22"/>
          <w:szCs w:val="22"/>
        </w:rPr>
      </w:pPr>
      <w:hyperlink w:anchor="_Toc279359375" w:history="1">
        <w:r w:rsidR="002D1B7A" w:rsidRPr="00774641">
          <w:rPr>
            <w:rStyle w:val="Hyperlink"/>
            <w:noProof/>
          </w:rPr>
          <w:t>4.2.2.</w:t>
        </w:r>
        <w:r w:rsidR="002D1B7A">
          <w:rPr>
            <w:rFonts w:asciiTheme="minorHAnsi" w:eastAsiaTheme="minorEastAsia" w:hAnsiTheme="minorHAnsi" w:cstheme="minorBidi"/>
            <w:noProof/>
            <w:sz w:val="22"/>
            <w:szCs w:val="22"/>
          </w:rPr>
          <w:tab/>
        </w:r>
        <w:r w:rsidR="002D1B7A" w:rsidRPr="00774641">
          <w:rPr>
            <w:rStyle w:val="Hyperlink"/>
            <w:noProof/>
          </w:rPr>
          <w:t>Foglalkoztatási hatás</w:t>
        </w:r>
        <w:r w:rsidR="002D1B7A">
          <w:rPr>
            <w:noProof/>
            <w:webHidden/>
          </w:rPr>
          <w:tab/>
        </w:r>
        <w:r>
          <w:rPr>
            <w:noProof/>
            <w:webHidden/>
          </w:rPr>
          <w:fldChar w:fldCharType="begin"/>
        </w:r>
        <w:r w:rsidR="002D1B7A">
          <w:rPr>
            <w:noProof/>
            <w:webHidden/>
          </w:rPr>
          <w:instrText xml:space="preserve"> PAGEREF _Toc279359375 \h </w:instrText>
        </w:r>
        <w:r>
          <w:rPr>
            <w:noProof/>
            <w:webHidden/>
          </w:rPr>
        </w:r>
        <w:r>
          <w:rPr>
            <w:noProof/>
            <w:webHidden/>
          </w:rPr>
          <w:fldChar w:fldCharType="separate"/>
        </w:r>
        <w:r w:rsidR="002D1B7A">
          <w:rPr>
            <w:noProof/>
            <w:webHidden/>
          </w:rPr>
          <w:t>50</w:t>
        </w:r>
        <w:r>
          <w:rPr>
            <w:noProof/>
            <w:webHidden/>
          </w:rPr>
          <w:fldChar w:fldCharType="end"/>
        </w:r>
      </w:hyperlink>
    </w:p>
    <w:p w:rsidR="002D1B7A" w:rsidRDefault="003F44DC">
      <w:pPr>
        <w:pStyle w:val="TOC3"/>
        <w:rPr>
          <w:rFonts w:asciiTheme="minorHAnsi" w:eastAsiaTheme="minorEastAsia" w:hAnsiTheme="minorHAnsi" w:cstheme="minorBidi"/>
          <w:noProof/>
          <w:sz w:val="22"/>
          <w:szCs w:val="22"/>
        </w:rPr>
      </w:pPr>
      <w:hyperlink w:anchor="_Toc279359376" w:history="1">
        <w:r w:rsidR="002D1B7A" w:rsidRPr="00774641">
          <w:rPr>
            <w:rStyle w:val="Hyperlink"/>
            <w:noProof/>
          </w:rPr>
          <w:t>4.2.3.</w:t>
        </w:r>
        <w:r w:rsidR="002D1B7A">
          <w:rPr>
            <w:rFonts w:asciiTheme="minorHAnsi" w:eastAsiaTheme="minorEastAsia" w:hAnsiTheme="minorHAnsi" w:cstheme="minorBidi"/>
            <w:noProof/>
            <w:sz w:val="22"/>
            <w:szCs w:val="22"/>
          </w:rPr>
          <w:tab/>
        </w:r>
        <w:r w:rsidR="002D1B7A" w:rsidRPr="00774641">
          <w:rPr>
            <w:rStyle w:val="Hyperlink"/>
            <w:noProof/>
          </w:rPr>
          <w:t>Termelékenységi vizsgálat</w:t>
        </w:r>
        <w:r w:rsidR="002D1B7A">
          <w:rPr>
            <w:noProof/>
            <w:webHidden/>
          </w:rPr>
          <w:tab/>
        </w:r>
        <w:r>
          <w:rPr>
            <w:noProof/>
            <w:webHidden/>
          </w:rPr>
          <w:fldChar w:fldCharType="begin"/>
        </w:r>
        <w:r w:rsidR="002D1B7A">
          <w:rPr>
            <w:noProof/>
            <w:webHidden/>
          </w:rPr>
          <w:instrText xml:space="preserve"> PAGEREF _Toc279359376 \h </w:instrText>
        </w:r>
        <w:r>
          <w:rPr>
            <w:noProof/>
            <w:webHidden/>
          </w:rPr>
        </w:r>
        <w:r>
          <w:rPr>
            <w:noProof/>
            <w:webHidden/>
          </w:rPr>
          <w:fldChar w:fldCharType="separate"/>
        </w:r>
        <w:r w:rsidR="002D1B7A">
          <w:rPr>
            <w:noProof/>
            <w:webHidden/>
          </w:rPr>
          <w:t>54</w:t>
        </w:r>
        <w:r>
          <w:rPr>
            <w:noProof/>
            <w:webHidden/>
          </w:rPr>
          <w:fldChar w:fldCharType="end"/>
        </w:r>
      </w:hyperlink>
    </w:p>
    <w:p w:rsidR="002D1B7A" w:rsidRDefault="003F44DC">
      <w:pPr>
        <w:pStyle w:val="TOC3"/>
        <w:rPr>
          <w:rFonts w:asciiTheme="minorHAnsi" w:eastAsiaTheme="minorEastAsia" w:hAnsiTheme="minorHAnsi" w:cstheme="minorBidi"/>
          <w:noProof/>
          <w:sz w:val="22"/>
          <w:szCs w:val="22"/>
        </w:rPr>
      </w:pPr>
      <w:hyperlink w:anchor="_Toc279359377" w:history="1">
        <w:r w:rsidR="002D1B7A" w:rsidRPr="00774641">
          <w:rPr>
            <w:rStyle w:val="Hyperlink"/>
            <w:noProof/>
          </w:rPr>
          <w:t>4.2.4.</w:t>
        </w:r>
        <w:r w:rsidR="002D1B7A">
          <w:rPr>
            <w:rFonts w:asciiTheme="minorHAnsi" w:eastAsiaTheme="minorEastAsia" w:hAnsiTheme="minorHAnsi" w:cstheme="minorBidi"/>
            <w:noProof/>
            <w:sz w:val="22"/>
            <w:szCs w:val="22"/>
          </w:rPr>
          <w:tab/>
        </w:r>
        <w:r w:rsidR="002D1B7A" w:rsidRPr="00774641">
          <w:rPr>
            <w:rStyle w:val="Hyperlink"/>
            <w:noProof/>
          </w:rPr>
          <w:t>Nemzetgazdaságra gyakorolt hatások</w:t>
        </w:r>
        <w:r w:rsidR="002D1B7A">
          <w:rPr>
            <w:noProof/>
            <w:webHidden/>
          </w:rPr>
          <w:tab/>
        </w:r>
        <w:r>
          <w:rPr>
            <w:noProof/>
            <w:webHidden/>
          </w:rPr>
          <w:fldChar w:fldCharType="begin"/>
        </w:r>
        <w:r w:rsidR="002D1B7A">
          <w:rPr>
            <w:noProof/>
            <w:webHidden/>
          </w:rPr>
          <w:instrText xml:space="preserve"> PAGEREF _Toc279359377 \h </w:instrText>
        </w:r>
        <w:r>
          <w:rPr>
            <w:noProof/>
            <w:webHidden/>
          </w:rPr>
        </w:r>
        <w:r>
          <w:rPr>
            <w:noProof/>
            <w:webHidden/>
          </w:rPr>
          <w:fldChar w:fldCharType="separate"/>
        </w:r>
        <w:r w:rsidR="002D1B7A">
          <w:rPr>
            <w:noProof/>
            <w:webHidden/>
          </w:rPr>
          <w:t>54</w:t>
        </w:r>
        <w:r>
          <w:rPr>
            <w:noProof/>
            <w:webHidden/>
          </w:rPr>
          <w:fldChar w:fldCharType="end"/>
        </w:r>
      </w:hyperlink>
    </w:p>
    <w:p w:rsidR="002D1B7A" w:rsidRDefault="003F44DC">
      <w:pPr>
        <w:pStyle w:val="TOC3"/>
        <w:rPr>
          <w:rFonts w:asciiTheme="minorHAnsi" w:eastAsiaTheme="minorEastAsia" w:hAnsiTheme="minorHAnsi" w:cstheme="minorBidi"/>
          <w:noProof/>
          <w:sz w:val="22"/>
          <w:szCs w:val="22"/>
        </w:rPr>
      </w:pPr>
      <w:hyperlink w:anchor="_Toc279359378" w:history="1">
        <w:r w:rsidR="002D1B7A" w:rsidRPr="00774641">
          <w:rPr>
            <w:rStyle w:val="Hyperlink"/>
            <w:noProof/>
          </w:rPr>
          <w:t>4.2.5.</w:t>
        </w:r>
        <w:r w:rsidR="002D1B7A">
          <w:rPr>
            <w:rFonts w:asciiTheme="minorHAnsi" w:eastAsiaTheme="minorEastAsia" w:hAnsiTheme="minorHAnsi" w:cstheme="minorBidi"/>
            <w:noProof/>
            <w:sz w:val="22"/>
            <w:szCs w:val="22"/>
          </w:rPr>
          <w:tab/>
        </w:r>
        <w:r w:rsidR="002D1B7A" w:rsidRPr="00774641">
          <w:rPr>
            <w:rStyle w:val="Hyperlink"/>
            <w:noProof/>
          </w:rPr>
          <w:t>További statisztikai vizsgálatok</w:t>
        </w:r>
        <w:r w:rsidR="002D1B7A">
          <w:rPr>
            <w:noProof/>
            <w:webHidden/>
          </w:rPr>
          <w:tab/>
        </w:r>
        <w:r>
          <w:rPr>
            <w:noProof/>
            <w:webHidden/>
          </w:rPr>
          <w:fldChar w:fldCharType="begin"/>
        </w:r>
        <w:r w:rsidR="002D1B7A">
          <w:rPr>
            <w:noProof/>
            <w:webHidden/>
          </w:rPr>
          <w:instrText xml:space="preserve"> PAGEREF _Toc279359378 \h </w:instrText>
        </w:r>
        <w:r>
          <w:rPr>
            <w:noProof/>
            <w:webHidden/>
          </w:rPr>
        </w:r>
        <w:r>
          <w:rPr>
            <w:noProof/>
            <w:webHidden/>
          </w:rPr>
          <w:fldChar w:fldCharType="separate"/>
        </w:r>
        <w:r w:rsidR="002D1B7A">
          <w:rPr>
            <w:noProof/>
            <w:webHidden/>
          </w:rPr>
          <w:t>56</w:t>
        </w:r>
        <w:r>
          <w:rPr>
            <w:noProof/>
            <w:webHidden/>
          </w:rPr>
          <w:fldChar w:fldCharType="end"/>
        </w:r>
      </w:hyperlink>
    </w:p>
    <w:p w:rsidR="002D1B7A" w:rsidRDefault="003F44DC">
      <w:pPr>
        <w:pStyle w:val="TOC1"/>
        <w:rPr>
          <w:rFonts w:asciiTheme="minorHAnsi" w:eastAsiaTheme="minorEastAsia" w:hAnsiTheme="minorHAnsi" w:cstheme="minorBidi"/>
          <w:caps w:val="0"/>
          <w:sz w:val="22"/>
          <w:szCs w:val="22"/>
        </w:rPr>
      </w:pPr>
      <w:hyperlink w:anchor="_Toc279359379" w:history="1">
        <w:r w:rsidR="002D1B7A" w:rsidRPr="00774641">
          <w:rPr>
            <w:rStyle w:val="Hyperlink"/>
          </w:rPr>
          <w:t>5.</w:t>
        </w:r>
        <w:r w:rsidR="002D1B7A">
          <w:rPr>
            <w:rFonts w:asciiTheme="minorHAnsi" w:eastAsiaTheme="minorEastAsia" w:hAnsiTheme="minorHAnsi" w:cstheme="minorBidi"/>
            <w:caps w:val="0"/>
            <w:sz w:val="22"/>
            <w:szCs w:val="22"/>
          </w:rPr>
          <w:tab/>
        </w:r>
        <w:r w:rsidR="002D1B7A" w:rsidRPr="00774641">
          <w:rPr>
            <w:rStyle w:val="Hyperlink"/>
          </w:rPr>
          <w:t>Szakirodalmi hivatkozások</w:t>
        </w:r>
        <w:r w:rsidR="002D1B7A">
          <w:rPr>
            <w:webHidden/>
          </w:rPr>
          <w:tab/>
        </w:r>
        <w:r>
          <w:rPr>
            <w:webHidden/>
          </w:rPr>
          <w:fldChar w:fldCharType="begin"/>
        </w:r>
        <w:r w:rsidR="002D1B7A">
          <w:rPr>
            <w:webHidden/>
          </w:rPr>
          <w:instrText xml:space="preserve"> PAGEREF _Toc279359379 \h </w:instrText>
        </w:r>
        <w:r>
          <w:rPr>
            <w:webHidden/>
          </w:rPr>
        </w:r>
        <w:r>
          <w:rPr>
            <w:webHidden/>
          </w:rPr>
          <w:fldChar w:fldCharType="separate"/>
        </w:r>
        <w:r w:rsidR="002D1B7A">
          <w:rPr>
            <w:webHidden/>
          </w:rPr>
          <w:t>64</w:t>
        </w:r>
        <w:r>
          <w:rPr>
            <w:webHidden/>
          </w:rPr>
          <w:fldChar w:fldCharType="end"/>
        </w:r>
      </w:hyperlink>
    </w:p>
    <w:p w:rsidR="002C49D7" w:rsidRDefault="003F44DC" w:rsidP="008452C0">
      <w:pPr>
        <w:pStyle w:val="HUNNormal"/>
        <w:rPr>
          <w:noProof/>
        </w:rPr>
      </w:pPr>
      <w:r>
        <w:rPr>
          <w:noProof/>
        </w:rPr>
        <w:fldChar w:fldCharType="end"/>
      </w:r>
    </w:p>
    <w:p w:rsidR="00331C38" w:rsidRDefault="00331C38" w:rsidP="008452C0">
      <w:pPr>
        <w:pStyle w:val="HUNNormal"/>
        <w:rPr>
          <w:noProof/>
        </w:rPr>
      </w:pPr>
    </w:p>
    <w:p w:rsidR="00331C38" w:rsidRDefault="00331C38" w:rsidP="008452C0">
      <w:pPr>
        <w:pStyle w:val="HUNNormal"/>
        <w:rPr>
          <w:caps/>
          <w:noProof/>
        </w:rPr>
      </w:pPr>
    </w:p>
    <w:p w:rsidR="00C2529D" w:rsidRDefault="00C2529D" w:rsidP="008452C0">
      <w:pPr>
        <w:pStyle w:val="HUNNormal"/>
      </w:pPr>
    </w:p>
    <w:tbl>
      <w:tblPr>
        <w:tblW w:w="0" w:type="auto"/>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ook w:val="04A0"/>
      </w:tblPr>
      <w:tblGrid>
        <w:gridCol w:w="4651"/>
        <w:gridCol w:w="4652"/>
      </w:tblGrid>
      <w:tr w:rsidR="008452C0" w:rsidRPr="00FB0BE3" w:rsidTr="00CC10EE">
        <w:tc>
          <w:tcPr>
            <w:tcW w:w="9303" w:type="dxa"/>
            <w:gridSpan w:val="2"/>
            <w:shd w:val="clear" w:color="auto" w:fill="EFD3D2"/>
          </w:tcPr>
          <w:p w:rsidR="008452C0" w:rsidRPr="00FB0BE3" w:rsidRDefault="008452C0" w:rsidP="00CC10EE">
            <w:pPr>
              <w:jc w:val="center"/>
              <w:rPr>
                <w:b/>
                <w:bCs/>
                <w:sz w:val="24"/>
                <w:szCs w:val="24"/>
                <w:highlight w:val="yellow"/>
              </w:rPr>
            </w:pPr>
            <w:r w:rsidRPr="00FB0BE3">
              <w:rPr>
                <w:b/>
                <w:bCs/>
                <w:smallCaps/>
                <w:sz w:val="24"/>
                <w:szCs w:val="24"/>
              </w:rPr>
              <w:lastRenderedPageBreak/>
              <w:t>Verziókövetési információk</w:t>
            </w:r>
          </w:p>
        </w:tc>
      </w:tr>
      <w:tr w:rsidR="008452C0" w:rsidRPr="00FB0BE3" w:rsidTr="00CC10EE">
        <w:tc>
          <w:tcPr>
            <w:tcW w:w="4651" w:type="dxa"/>
            <w:shd w:val="clear" w:color="auto" w:fill="DFA7A6"/>
          </w:tcPr>
          <w:p w:rsidR="008452C0" w:rsidRPr="00FB0BE3" w:rsidRDefault="008452C0" w:rsidP="00CC10EE">
            <w:pPr>
              <w:jc w:val="center"/>
              <w:rPr>
                <w:b/>
                <w:bCs/>
                <w:sz w:val="22"/>
                <w:szCs w:val="22"/>
              </w:rPr>
            </w:pPr>
            <w:r w:rsidRPr="00FB0BE3">
              <w:rPr>
                <w:b/>
                <w:bCs/>
                <w:sz w:val="22"/>
                <w:szCs w:val="22"/>
              </w:rPr>
              <w:t>Verzió száma:</w:t>
            </w:r>
          </w:p>
        </w:tc>
        <w:tc>
          <w:tcPr>
            <w:tcW w:w="4652" w:type="dxa"/>
            <w:shd w:val="clear" w:color="auto" w:fill="DFA7A6"/>
          </w:tcPr>
          <w:p w:rsidR="008452C0" w:rsidRPr="00FB0BE3" w:rsidRDefault="008452C0" w:rsidP="00331C38">
            <w:pPr>
              <w:rPr>
                <w:sz w:val="22"/>
                <w:szCs w:val="22"/>
              </w:rPr>
            </w:pPr>
            <w:r>
              <w:rPr>
                <w:sz w:val="22"/>
                <w:szCs w:val="22"/>
              </w:rPr>
              <w:t>v</w:t>
            </w:r>
            <w:r w:rsidR="00331C38">
              <w:rPr>
                <w:sz w:val="22"/>
                <w:szCs w:val="22"/>
              </w:rPr>
              <w:t>0</w:t>
            </w:r>
            <w:r w:rsidR="00F305A5">
              <w:rPr>
                <w:sz w:val="22"/>
                <w:szCs w:val="22"/>
              </w:rPr>
              <w:t>5</w:t>
            </w:r>
          </w:p>
        </w:tc>
      </w:tr>
      <w:tr w:rsidR="008452C0" w:rsidRPr="00FB0BE3" w:rsidTr="00CC10EE">
        <w:tc>
          <w:tcPr>
            <w:tcW w:w="4651" w:type="dxa"/>
            <w:shd w:val="clear" w:color="auto" w:fill="EFD3D2"/>
          </w:tcPr>
          <w:p w:rsidR="008452C0" w:rsidRPr="00FB0BE3" w:rsidRDefault="008452C0" w:rsidP="00CC10EE">
            <w:pPr>
              <w:jc w:val="center"/>
              <w:rPr>
                <w:b/>
                <w:bCs/>
                <w:sz w:val="22"/>
                <w:szCs w:val="22"/>
              </w:rPr>
            </w:pPr>
            <w:r w:rsidRPr="00FB0BE3">
              <w:rPr>
                <w:b/>
                <w:bCs/>
                <w:sz w:val="22"/>
                <w:szCs w:val="22"/>
              </w:rPr>
              <w:t>Utoljára módosította:</w:t>
            </w:r>
          </w:p>
        </w:tc>
        <w:tc>
          <w:tcPr>
            <w:tcW w:w="4652" w:type="dxa"/>
            <w:shd w:val="clear" w:color="auto" w:fill="EFD3D2"/>
          </w:tcPr>
          <w:p w:rsidR="008452C0" w:rsidRPr="00FB0BE3" w:rsidRDefault="00B057D9" w:rsidP="00CC10EE">
            <w:pPr>
              <w:rPr>
                <w:sz w:val="22"/>
                <w:szCs w:val="22"/>
              </w:rPr>
            </w:pPr>
            <w:r>
              <w:rPr>
                <w:sz w:val="22"/>
                <w:szCs w:val="22"/>
              </w:rPr>
              <w:t>Nagy Gábor</w:t>
            </w:r>
          </w:p>
        </w:tc>
      </w:tr>
      <w:tr w:rsidR="008452C0" w:rsidRPr="00FB0BE3" w:rsidTr="00CC10EE">
        <w:tc>
          <w:tcPr>
            <w:tcW w:w="4651" w:type="dxa"/>
            <w:shd w:val="clear" w:color="auto" w:fill="DFA7A6"/>
          </w:tcPr>
          <w:p w:rsidR="008452C0" w:rsidRPr="00FB0BE3" w:rsidRDefault="008452C0" w:rsidP="00CC10EE">
            <w:pPr>
              <w:jc w:val="center"/>
              <w:rPr>
                <w:b/>
                <w:bCs/>
                <w:sz w:val="22"/>
                <w:szCs w:val="22"/>
              </w:rPr>
            </w:pPr>
            <w:r w:rsidRPr="00FB0BE3">
              <w:rPr>
                <w:b/>
                <w:bCs/>
                <w:sz w:val="22"/>
                <w:szCs w:val="22"/>
              </w:rPr>
              <w:t>Módosítás indoka:</w:t>
            </w:r>
          </w:p>
        </w:tc>
        <w:tc>
          <w:tcPr>
            <w:tcW w:w="4652" w:type="dxa"/>
            <w:shd w:val="clear" w:color="auto" w:fill="DFA7A6"/>
          </w:tcPr>
          <w:p w:rsidR="008452C0" w:rsidRPr="00FB0BE3" w:rsidRDefault="00B057D9" w:rsidP="00CC10EE">
            <w:pPr>
              <w:rPr>
                <w:sz w:val="22"/>
                <w:szCs w:val="22"/>
              </w:rPr>
            </w:pPr>
            <w:r>
              <w:rPr>
                <w:sz w:val="22"/>
                <w:szCs w:val="22"/>
              </w:rPr>
              <w:t>Dr. Habuda Judit észrevételeinek átvezetése</w:t>
            </w:r>
          </w:p>
        </w:tc>
      </w:tr>
      <w:tr w:rsidR="008452C0" w:rsidRPr="00FB0BE3" w:rsidTr="00CC10EE">
        <w:tc>
          <w:tcPr>
            <w:tcW w:w="4651" w:type="dxa"/>
            <w:shd w:val="clear" w:color="auto" w:fill="EFD3D2"/>
          </w:tcPr>
          <w:p w:rsidR="008452C0" w:rsidRPr="00FB0BE3" w:rsidRDefault="008452C0" w:rsidP="00CC10EE">
            <w:pPr>
              <w:jc w:val="center"/>
              <w:rPr>
                <w:b/>
                <w:bCs/>
                <w:sz w:val="22"/>
                <w:szCs w:val="22"/>
              </w:rPr>
            </w:pPr>
            <w:r w:rsidRPr="00FB0BE3">
              <w:rPr>
                <w:b/>
                <w:bCs/>
                <w:sz w:val="22"/>
                <w:szCs w:val="22"/>
              </w:rPr>
              <w:t>Jóváhagyta a HUNGARIKUM konzorcium rész</w:t>
            </w:r>
            <w:r w:rsidRPr="00FB0BE3">
              <w:rPr>
                <w:b/>
                <w:bCs/>
                <w:sz w:val="22"/>
                <w:szCs w:val="22"/>
              </w:rPr>
              <w:t>é</w:t>
            </w:r>
            <w:r w:rsidRPr="00FB0BE3">
              <w:rPr>
                <w:b/>
                <w:bCs/>
                <w:sz w:val="22"/>
                <w:szCs w:val="22"/>
              </w:rPr>
              <w:t>ről (név/dátum)</w:t>
            </w:r>
          </w:p>
        </w:tc>
        <w:tc>
          <w:tcPr>
            <w:tcW w:w="4652" w:type="dxa"/>
            <w:shd w:val="clear" w:color="auto" w:fill="EFD3D2"/>
          </w:tcPr>
          <w:p w:rsidR="008452C0" w:rsidRPr="00FB0BE3" w:rsidRDefault="00B31788" w:rsidP="00B057D9">
            <w:pPr>
              <w:rPr>
                <w:sz w:val="22"/>
                <w:szCs w:val="22"/>
              </w:rPr>
            </w:pPr>
            <w:r>
              <w:rPr>
                <w:sz w:val="22"/>
                <w:szCs w:val="22"/>
              </w:rPr>
              <w:t>Cserneczky Tamás, 2010.1</w:t>
            </w:r>
            <w:r w:rsidR="00B057D9">
              <w:rPr>
                <w:sz w:val="22"/>
                <w:szCs w:val="22"/>
              </w:rPr>
              <w:t>2.04</w:t>
            </w:r>
          </w:p>
        </w:tc>
      </w:tr>
      <w:tr w:rsidR="008452C0" w:rsidRPr="00FB0BE3" w:rsidTr="00CC10EE">
        <w:tc>
          <w:tcPr>
            <w:tcW w:w="4651" w:type="dxa"/>
            <w:shd w:val="clear" w:color="auto" w:fill="DFA7A6"/>
          </w:tcPr>
          <w:p w:rsidR="008452C0" w:rsidRPr="00FB0BE3" w:rsidRDefault="008452C0" w:rsidP="00CC10EE">
            <w:pPr>
              <w:jc w:val="center"/>
              <w:rPr>
                <w:b/>
                <w:bCs/>
                <w:sz w:val="22"/>
                <w:szCs w:val="22"/>
              </w:rPr>
            </w:pPr>
            <w:r w:rsidRPr="00FB0BE3">
              <w:rPr>
                <w:b/>
                <w:bCs/>
                <w:sz w:val="22"/>
                <w:szCs w:val="22"/>
              </w:rPr>
              <w:t xml:space="preserve">Jóváhagyta a MEGRENDELŐ </w:t>
            </w:r>
            <w:r>
              <w:rPr>
                <w:b/>
                <w:bCs/>
                <w:sz w:val="22"/>
                <w:szCs w:val="22"/>
              </w:rPr>
              <w:t xml:space="preserve">részéről </w:t>
            </w:r>
            <w:r w:rsidRPr="00FB0BE3">
              <w:rPr>
                <w:b/>
                <w:bCs/>
                <w:sz w:val="22"/>
                <w:szCs w:val="22"/>
              </w:rPr>
              <w:t>(név/dátum)</w:t>
            </w:r>
          </w:p>
        </w:tc>
        <w:tc>
          <w:tcPr>
            <w:tcW w:w="4652" w:type="dxa"/>
            <w:shd w:val="clear" w:color="auto" w:fill="DFA7A6"/>
          </w:tcPr>
          <w:p w:rsidR="008452C0" w:rsidRPr="00FB0BE3" w:rsidRDefault="00B31788" w:rsidP="00CC10EE">
            <w:pPr>
              <w:rPr>
                <w:sz w:val="22"/>
                <w:szCs w:val="22"/>
              </w:rPr>
            </w:pPr>
            <w:r>
              <w:rPr>
                <w:sz w:val="22"/>
                <w:szCs w:val="22"/>
              </w:rPr>
              <w:t>-</w:t>
            </w:r>
          </w:p>
        </w:tc>
      </w:tr>
    </w:tbl>
    <w:p w:rsidR="002C49D7" w:rsidRDefault="002C49D7" w:rsidP="008452C0">
      <w:pPr>
        <w:pStyle w:val="HUNNormal"/>
      </w:pPr>
    </w:p>
    <w:p w:rsidR="0004087D" w:rsidRDefault="0004087D" w:rsidP="008452C0">
      <w:pPr>
        <w:pStyle w:val="HUNNormal"/>
        <w:rPr>
          <w:lang w:eastAsia="en-US"/>
        </w:rPr>
      </w:pPr>
    </w:p>
    <w:p w:rsidR="009A6C85" w:rsidRDefault="009A6C85">
      <w:pPr>
        <w:spacing w:before="0" w:after="0" w:line="240" w:lineRule="auto"/>
        <w:rPr>
          <w:lang w:eastAsia="en-US"/>
        </w:rPr>
      </w:pPr>
      <w:r>
        <w:rPr>
          <w:lang w:eastAsia="en-US"/>
        </w:rPr>
        <w:br w:type="page"/>
      </w:r>
    </w:p>
    <w:p w:rsidR="008452C0" w:rsidRDefault="008452C0" w:rsidP="00580077">
      <w:pPr>
        <w:pStyle w:val="HUNHeading1"/>
      </w:pPr>
      <w:bookmarkStart w:id="0" w:name="_Toc279359344"/>
      <w:r>
        <w:lastRenderedPageBreak/>
        <w:t>Bevezetés</w:t>
      </w:r>
      <w:bookmarkEnd w:id="0"/>
    </w:p>
    <w:p w:rsidR="00EE6E21" w:rsidRDefault="00EE6E21" w:rsidP="00EE6E21">
      <w:pPr>
        <w:pStyle w:val="HUNNormal"/>
      </w:pPr>
      <w:r>
        <w:t>Jelen dokumentum az Új Magyarország Vidékfejlesztési Program (továb</w:t>
      </w:r>
      <w:r w:rsidR="00331C38">
        <w:t>biak</w:t>
      </w:r>
      <w:r w:rsidR="00F305A5">
        <w:t xml:space="preserve">ban ÚMVP) félidei értékelése során alkalmazott kvantitatív </w:t>
      </w:r>
      <w:r>
        <w:t>módszertan</w:t>
      </w:r>
      <w:r w:rsidR="00331C38">
        <w:t>okat</w:t>
      </w:r>
      <w:r>
        <w:t xml:space="preserve"> mutatja be a Zárójelentés részeként.</w:t>
      </w:r>
    </w:p>
    <w:p w:rsidR="00F305A5" w:rsidRDefault="00F305A5" w:rsidP="00EE6E21">
      <w:pPr>
        <w:pStyle w:val="HUNNormal"/>
      </w:pPr>
      <w:r>
        <w:t>A teljes módszertani logikát (módszertani megközelítés) a Zárójelentés 3-ik fejezete mutatja be, ebben a dokumentumban azokat az elemzési módszertanokat mutatjuk be, amelyek dokumentációs igénye megh</w:t>
      </w:r>
      <w:r>
        <w:t>a</w:t>
      </w:r>
      <w:r>
        <w:t>ladta a Zárójelentés terjedelemi korlátait.</w:t>
      </w:r>
    </w:p>
    <w:p w:rsidR="000E5C0B" w:rsidRDefault="000E5C0B" w:rsidP="00EE6E21">
      <w:pPr>
        <w:pStyle w:val="HUNNormal"/>
      </w:pPr>
      <w:r>
        <w:t>A továbbiakban a módszertani leírások mellett az egyes számítások eredményeit is közöljük a független e</w:t>
      </w:r>
      <w:r>
        <w:t>l</w:t>
      </w:r>
      <w:r>
        <w:t>lenőrizhetőség biztosításai érdekében.</w:t>
      </w:r>
    </w:p>
    <w:p w:rsidR="00084397" w:rsidRDefault="00084397" w:rsidP="00F305A5">
      <w:pPr>
        <w:pStyle w:val="HUNHeading1"/>
        <w:pageBreakBefore w:val="0"/>
        <w:spacing w:before="0"/>
        <w:ind w:left="357" w:hanging="357"/>
      </w:pPr>
      <w:bookmarkStart w:id="1" w:name="_Toc279359345"/>
      <w:r>
        <w:t>kvantitatív vizsgálati módszertanok összefoglalása</w:t>
      </w:r>
      <w:bookmarkEnd w:id="1"/>
    </w:p>
    <w:p w:rsidR="00084397" w:rsidRDefault="00084397" w:rsidP="00084397">
      <w:pPr>
        <w:jc w:val="both"/>
      </w:pPr>
      <w:r>
        <w:t>A továbbiakban az értékelés során alkalmazott kvantitatív módszertanokat mutatjuk be részletesen. E mó</w:t>
      </w:r>
      <w:r>
        <w:t>d</w:t>
      </w:r>
      <w:r>
        <w:t>szertanokat a korábbi fejezetekben csak meghivatkoztuk, mert ismertetésük szétfeszítette volna az átfogó ismertetés terjedelmi kereteit. A további fejezetekben részletesen bemutatjuk a módszertani megfontolás</w:t>
      </w:r>
      <w:r>
        <w:t>o</w:t>
      </w:r>
      <w:r>
        <w:t>kat, a használt számítási metódusokat és az ellenőrizhetőség érdekében az eredményeket is. A következő táblázat szemlélteti, az Előzetes Értékelő Jelentésben kvantitatív módon vizsgálni tervezett in</w:t>
      </w:r>
      <w:r w:rsidR="00B22814">
        <w:t>tézkedéseket.</w:t>
      </w:r>
    </w:p>
    <w:tbl>
      <w:tblPr>
        <w:tblStyle w:val="MediumShading2-Accent2"/>
        <w:tblW w:w="5000" w:type="pct"/>
        <w:tblLook w:val="04A0"/>
      </w:tblPr>
      <w:tblGrid>
        <w:gridCol w:w="1830"/>
        <w:gridCol w:w="1598"/>
        <w:gridCol w:w="1602"/>
        <w:gridCol w:w="1602"/>
        <w:gridCol w:w="1131"/>
        <w:gridCol w:w="174"/>
        <w:gridCol w:w="1442"/>
      </w:tblGrid>
      <w:tr w:rsidR="00084397" w:rsidRPr="00927042" w:rsidTr="00084397">
        <w:trPr>
          <w:cnfStyle w:val="100000000000"/>
          <w:cantSplit/>
          <w:tblHeader/>
        </w:trPr>
        <w:tc>
          <w:tcPr>
            <w:cnfStyle w:val="001000000100"/>
            <w:tcW w:w="975" w:type="pct"/>
            <w:tcBorders>
              <w:left w:val="single" w:sz="18" w:space="0" w:color="auto"/>
              <w:right w:val="single" w:sz="4" w:space="0" w:color="auto"/>
            </w:tcBorders>
            <w:vAlign w:val="center"/>
          </w:tcPr>
          <w:p w:rsidR="00084397" w:rsidRPr="00927042" w:rsidRDefault="00084397" w:rsidP="00084397">
            <w:pPr>
              <w:jc w:val="center"/>
              <w:rPr>
                <w:sz w:val="18"/>
                <w:szCs w:val="18"/>
              </w:rPr>
            </w:pPr>
            <w:r w:rsidRPr="00927042">
              <w:rPr>
                <w:sz w:val="18"/>
                <w:szCs w:val="18"/>
              </w:rPr>
              <w:t>Intézkedés - Jogcím</w:t>
            </w:r>
          </w:p>
        </w:tc>
        <w:tc>
          <w:tcPr>
            <w:tcW w:w="852" w:type="pct"/>
            <w:tcBorders>
              <w:left w:val="single" w:sz="4" w:space="0" w:color="auto"/>
              <w:right w:val="single" w:sz="4" w:space="0" w:color="auto"/>
            </w:tcBorders>
            <w:vAlign w:val="center"/>
          </w:tcPr>
          <w:p w:rsidR="00084397" w:rsidRPr="00C133B3" w:rsidRDefault="00084397" w:rsidP="00084397">
            <w:pPr>
              <w:jc w:val="center"/>
              <w:cnfStyle w:val="100000000000"/>
              <w:rPr>
                <w:i/>
                <w:sz w:val="18"/>
                <w:szCs w:val="18"/>
              </w:rPr>
            </w:pPr>
            <w:r w:rsidRPr="00C133B3">
              <w:rPr>
                <w:i/>
                <w:sz w:val="18"/>
                <w:szCs w:val="18"/>
              </w:rPr>
              <w:t>Jövedelmezőségi vizsgálat</w:t>
            </w:r>
          </w:p>
        </w:tc>
        <w:tc>
          <w:tcPr>
            <w:tcW w:w="854" w:type="pct"/>
            <w:tcBorders>
              <w:left w:val="single" w:sz="4" w:space="0" w:color="auto"/>
              <w:right w:val="single" w:sz="4" w:space="0" w:color="auto"/>
            </w:tcBorders>
            <w:vAlign w:val="center"/>
          </w:tcPr>
          <w:p w:rsidR="00084397" w:rsidRPr="00C133B3" w:rsidRDefault="00084397" w:rsidP="00084397">
            <w:pPr>
              <w:jc w:val="center"/>
              <w:cnfStyle w:val="100000000000"/>
              <w:rPr>
                <w:i/>
                <w:sz w:val="18"/>
                <w:szCs w:val="18"/>
              </w:rPr>
            </w:pPr>
            <w:r w:rsidRPr="00C133B3">
              <w:rPr>
                <w:i/>
                <w:sz w:val="18"/>
                <w:szCs w:val="18"/>
              </w:rPr>
              <w:t>Foglalkoztatási vizsgálat</w:t>
            </w:r>
          </w:p>
        </w:tc>
        <w:tc>
          <w:tcPr>
            <w:tcW w:w="854" w:type="pct"/>
            <w:tcBorders>
              <w:left w:val="single" w:sz="4" w:space="0" w:color="auto"/>
              <w:right w:val="single" w:sz="4" w:space="0" w:color="auto"/>
            </w:tcBorders>
            <w:vAlign w:val="center"/>
          </w:tcPr>
          <w:p w:rsidR="00084397" w:rsidRPr="00C133B3" w:rsidRDefault="00084397" w:rsidP="00084397">
            <w:pPr>
              <w:jc w:val="center"/>
              <w:cnfStyle w:val="100000000000"/>
              <w:rPr>
                <w:i/>
                <w:sz w:val="18"/>
                <w:szCs w:val="18"/>
              </w:rPr>
            </w:pPr>
            <w:r w:rsidRPr="00C133B3">
              <w:rPr>
                <w:i/>
                <w:sz w:val="18"/>
                <w:szCs w:val="18"/>
              </w:rPr>
              <w:t>Termelékenységi vizsgálat</w:t>
            </w:r>
          </w:p>
        </w:tc>
        <w:tc>
          <w:tcPr>
            <w:tcW w:w="696" w:type="pct"/>
            <w:gridSpan w:val="2"/>
            <w:tcBorders>
              <w:left w:val="single" w:sz="4" w:space="0" w:color="auto"/>
              <w:right w:val="single" w:sz="4" w:space="0" w:color="auto"/>
            </w:tcBorders>
            <w:vAlign w:val="center"/>
          </w:tcPr>
          <w:p w:rsidR="00084397" w:rsidRPr="00C133B3" w:rsidRDefault="00084397" w:rsidP="00084397">
            <w:pPr>
              <w:jc w:val="center"/>
              <w:cnfStyle w:val="100000000000"/>
              <w:rPr>
                <w:i/>
                <w:sz w:val="18"/>
                <w:szCs w:val="18"/>
              </w:rPr>
            </w:pPr>
            <w:r w:rsidRPr="00C133B3">
              <w:rPr>
                <w:i/>
                <w:sz w:val="18"/>
                <w:szCs w:val="18"/>
              </w:rPr>
              <w:t>Gazdasági növekedési hatás</w:t>
            </w:r>
          </w:p>
        </w:tc>
        <w:tc>
          <w:tcPr>
            <w:tcW w:w="769" w:type="pct"/>
            <w:tcBorders>
              <w:left w:val="single" w:sz="4" w:space="0" w:color="auto"/>
              <w:right w:val="single" w:sz="18" w:space="0" w:color="auto"/>
            </w:tcBorders>
            <w:vAlign w:val="center"/>
          </w:tcPr>
          <w:p w:rsidR="00084397" w:rsidRPr="00C133B3" w:rsidRDefault="00084397" w:rsidP="00084397">
            <w:pPr>
              <w:jc w:val="center"/>
              <w:cnfStyle w:val="100000000000"/>
              <w:rPr>
                <w:i/>
                <w:sz w:val="18"/>
                <w:szCs w:val="18"/>
              </w:rPr>
            </w:pPr>
            <w:r w:rsidRPr="00C133B3">
              <w:rPr>
                <w:i/>
                <w:sz w:val="18"/>
                <w:szCs w:val="18"/>
              </w:rPr>
              <w:t>Államháztartás</w:t>
            </w:r>
          </w:p>
        </w:tc>
      </w:tr>
      <w:tr w:rsidR="00084397" w:rsidRPr="00927042" w:rsidTr="00084397">
        <w:trPr>
          <w:cnfStyle w:val="000000100000"/>
          <w:cantSplit/>
        </w:trPr>
        <w:tc>
          <w:tcPr>
            <w:cnfStyle w:val="001000000000"/>
            <w:tcW w:w="975" w:type="pct"/>
            <w:tcBorders>
              <w:top w:val="single" w:sz="18" w:space="0" w:color="auto"/>
              <w:left w:val="single" w:sz="18" w:space="0" w:color="auto"/>
              <w:bottom w:val="single" w:sz="4" w:space="0" w:color="auto"/>
            </w:tcBorders>
            <w:vAlign w:val="center"/>
          </w:tcPr>
          <w:p w:rsidR="00084397" w:rsidRPr="00927042" w:rsidRDefault="00084397" w:rsidP="00084397">
            <w:pPr>
              <w:jc w:val="center"/>
              <w:rPr>
                <w:b w:val="0"/>
                <w:sz w:val="18"/>
                <w:szCs w:val="18"/>
              </w:rPr>
            </w:pPr>
            <w:r w:rsidRPr="00927042">
              <w:rPr>
                <w:b w:val="0"/>
                <w:sz w:val="18"/>
                <w:szCs w:val="18"/>
              </w:rPr>
              <w:t>112 –</w:t>
            </w:r>
          </w:p>
          <w:p w:rsidR="00084397" w:rsidRPr="00927042" w:rsidRDefault="00084397" w:rsidP="00084397">
            <w:pPr>
              <w:jc w:val="center"/>
              <w:rPr>
                <w:b w:val="0"/>
                <w:sz w:val="18"/>
                <w:szCs w:val="18"/>
              </w:rPr>
            </w:pPr>
            <w:r w:rsidRPr="00927042">
              <w:rPr>
                <w:b w:val="0"/>
                <w:sz w:val="18"/>
                <w:szCs w:val="18"/>
              </w:rPr>
              <w:t>Fiatal gazdák</w:t>
            </w:r>
          </w:p>
        </w:tc>
        <w:tc>
          <w:tcPr>
            <w:tcW w:w="4025" w:type="pct"/>
            <w:gridSpan w:val="6"/>
            <w:tcBorders>
              <w:top w:val="single" w:sz="18" w:space="0" w:color="auto"/>
              <w:bottom w:val="single" w:sz="4" w:space="0" w:color="auto"/>
              <w:right w:val="single" w:sz="18" w:space="0" w:color="auto"/>
            </w:tcBorders>
            <w:vAlign w:val="center"/>
          </w:tcPr>
          <w:p w:rsidR="00084397" w:rsidRPr="009F011C" w:rsidRDefault="00084397" w:rsidP="00084397">
            <w:pPr>
              <w:jc w:val="center"/>
              <w:cnfStyle w:val="000000100000"/>
              <w:rPr>
                <w:sz w:val="18"/>
                <w:szCs w:val="18"/>
              </w:rPr>
            </w:pPr>
            <w:r>
              <w:rPr>
                <w:sz w:val="18"/>
                <w:szCs w:val="18"/>
              </w:rPr>
              <w:t>Kvalitatív módon vizsgáltuk a jogcímet, mert a projektek még nem zárultak le a kvalitatív vizsg</w:t>
            </w:r>
            <w:r>
              <w:rPr>
                <w:sz w:val="18"/>
                <w:szCs w:val="18"/>
              </w:rPr>
              <w:t>á</w:t>
            </w:r>
            <w:r>
              <w:rPr>
                <w:sz w:val="18"/>
                <w:szCs w:val="18"/>
              </w:rPr>
              <w:t>lathoz szükséges számban.</w:t>
            </w:r>
          </w:p>
        </w:tc>
      </w:tr>
      <w:tr w:rsidR="00084397" w:rsidRPr="00927042" w:rsidTr="00084397">
        <w:trPr>
          <w:cantSplit/>
        </w:trPr>
        <w:tc>
          <w:tcPr>
            <w:cnfStyle w:val="001000000000"/>
            <w:tcW w:w="975" w:type="pct"/>
            <w:tcBorders>
              <w:top w:val="single" w:sz="4" w:space="0" w:color="auto"/>
              <w:left w:val="single" w:sz="18" w:space="0" w:color="auto"/>
              <w:bottom w:val="single" w:sz="4" w:space="0" w:color="auto"/>
              <w:right w:val="single" w:sz="4" w:space="0" w:color="auto"/>
            </w:tcBorders>
            <w:vAlign w:val="center"/>
          </w:tcPr>
          <w:p w:rsidR="00084397" w:rsidRPr="00927042" w:rsidRDefault="00084397" w:rsidP="00084397">
            <w:pPr>
              <w:jc w:val="center"/>
              <w:rPr>
                <w:sz w:val="18"/>
                <w:szCs w:val="18"/>
              </w:rPr>
            </w:pPr>
            <w:r w:rsidRPr="00927042">
              <w:rPr>
                <w:b w:val="0"/>
                <w:sz w:val="18"/>
                <w:szCs w:val="18"/>
              </w:rPr>
              <w:t>121 - Kertészeti üzemek</w:t>
            </w:r>
          </w:p>
        </w:tc>
        <w:tc>
          <w:tcPr>
            <w:tcW w:w="3256" w:type="pct"/>
            <w:gridSpan w:val="5"/>
            <w:vMerge w:val="restart"/>
            <w:tcBorders>
              <w:top w:val="single" w:sz="4" w:space="0" w:color="auto"/>
              <w:left w:val="single" w:sz="4" w:space="0" w:color="auto"/>
              <w:right w:val="single" w:sz="4" w:space="0" w:color="auto"/>
            </w:tcBorders>
            <w:vAlign w:val="center"/>
          </w:tcPr>
          <w:p w:rsidR="00084397" w:rsidRPr="003E3817" w:rsidRDefault="00084397" w:rsidP="00681E28">
            <w:pPr>
              <w:jc w:val="center"/>
              <w:cnfStyle w:val="000000000000"/>
              <w:rPr>
                <w:b/>
                <w:sz w:val="18"/>
                <w:szCs w:val="18"/>
              </w:rPr>
            </w:pPr>
            <w:proofErr w:type="spellStart"/>
            <w:r w:rsidRPr="003E3817">
              <w:rPr>
                <w:b/>
                <w:sz w:val="18"/>
                <w:szCs w:val="18"/>
              </w:rPr>
              <w:t>Ökonometriai</w:t>
            </w:r>
            <w:proofErr w:type="spellEnd"/>
            <w:r>
              <w:rPr>
                <w:sz w:val="18"/>
                <w:szCs w:val="18"/>
              </w:rPr>
              <w:t xml:space="preserve"> vizsgálatot vég</w:t>
            </w:r>
            <w:r w:rsidR="00681E28">
              <w:rPr>
                <w:sz w:val="18"/>
                <w:szCs w:val="18"/>
              </w:rPr>
              <w:t>e</w:t>
            </w:r>
            <w:r>
              <w:rPr>
                <w:sz w:val="18"/>
                <w:szCs w:val="18"/>
              </w:rPr>
              <w:t>z</w:t>
            </w:r>
            <w:r w:rsidR="00681E28">
              <w:rPr>
                <w:sz w:val="18"/>
                <w:szCs w:val="18"/>
              </w:rPr>
              <w:t>t</w:t>
            </w:r>
            <w:r>
              <w:rPr>
                <w:sz w:val="18"/>
                <w:szCs w:val="18"/>
              </w:rPr>
              <w:t>ünk a</w:t>
            </w:r>
            <w:r w:rsidRPr="00927042">
              <w:rPr>
                <w:sz w:val="18"/>
                <w:szCs w:val="18"/>
              </w:rPr>
              <w:t xml:space="preserve"> 121. intézkedésre</w:t>
            </w:r>
            <w:r>
              <w:rPr>
                <w:sz w:val="18"/>
                <w:szCs w:val="18"/>
              </w:rPr>
              <w:t xml:space="preserve">, továbbá </w:t>
            </w:r>
            <w:r w:rsidRPr="003E3817">
              <w:rPr>
                <w:b/>
                <w:sz w:val="18"/>
                <w:szCs w:val="18"/>
              </w:rPr>
              <w:t>statisztikai</w:t>
            </w:r>
            <w:r>
              <w:rPr>
                <w:sz w:val="18"/>
                <w:szCs w:val="18"/>
              </w:rPr>
              <w:t xml:space="preserve"> </w:t>
            </w:r>
            <w:r w:rsidRPr="003E3817">
              <w:rPr>
                <w:b/>
                <w:sz w:val="18"/>
                <w:szCs w:val="18"/>
              </w:rPr>
              <w:t>elemzést</w:t>
            </w:r>
            <w:r>
              <w:rPr>
                <w:sz w:val="18"/>
                <w:szCs w:val="18"/>
              </w:rPr>
              <w:t xml:space="preserve"> vég</w:t>
            </w:r>
            <w:r w:rsidR="00B22814">
              <w:rPr>
                <w:sz w:val="18"/>
                <w:szCs w:val="18"/>
              </w:rPr>
              <w:t>e</w:t>
            </w:r>
            <w:r>
              <w:rPr>
                <w:sz w:val="18"/>
                <w:szCs w:val="18"/>
              </w:rPr>
              <w:t>z</w:t>
            </w:r>
            <w:r w:rsidR="00B22814">
              <w:rPr>
                <w:sz w:val="18"/>
                <w:szCs w:val="18"/>
              </w:rPr>
              <w:t>t</w:t>
            </w:r>
            <w:r>
              <w:rPr>
                <w:sz w:val="18"/>
                <w:szCs w:val="18"/>
              </w:rPr>
              <w:t>ünk támogatási kérelmekben benyújtott árbevétel és lé</w:t>
            </w:r>
            <w:r>
              <w:rPr>
                <w:sz w:val="18"/>
                <w:szCs w:val="18"/>
              </w:rPr>
              <w:t>t</w:t>
            </w:r>
            <w:r>
              <w:rPr>
                <w:sz w:val="18"/>
                <w:szCs w:val="18"/>
              </w:rPr>
              <w:t>szám, valamint kiadási tétel adatok, továbbá az OPTEN Mérlegtár árbevétel és létszám adatok felhasználásával.</w:t>
            </w:r>
          </w:p>
        </w:tc>
        <w:tc>
          <w:tcPr>
            <w:tcW w:w="769" w:type="pct"/>
            <w:vMerge w:val="restart"/>
            <w:tcBorders>
              <w:top w:val="single" w:sz="4" w:space="0" w:color="auto"/>
              <w:left w:val="single" w:sz="4" w:space="0" w:color="auto"/>
              <w:right w:val="single" w:sz="18" w:space="0" w:color="auto"/>
            </w:tcBorders>
            <w:vAlign w:val="center"/>
          </w:tcPr>
          <w:p w:rsidR="00084397" w:rsidRPr="003E3817" w:rsidRDefault="00084397" w:rsidP="00681E28">
            <w:pPr>
              <w:jc w:val="center"/>
              <w:cnfStyle w:val="000000000000"/>
              <w:rPr>
                <w:b/>
                <w:sz w:val="18"/>
                <w:szCs w:val="18"/>
              </w:rPr>
            </w:pPr>
            <w:r w:rsidRPr="003E3817">
              <w:rPr>
                <w:b/>
                <w:sz w:val="18"/>
                <w:szCs w:val="18"/>
              </w:rPr>
              <w:t>Import</w:t>
            </w:r>
            <w:r>
              <w:rPr>
                <w:b/>
                <w:sz w:val="18"/>
                <w:szCs w:val="18"/>
              </w:rPr>
              <w:t>hatás</w:t>
            </w:r>
            <w:r>
              <w:rPr>
                <w:sz w:val="18"/>
                <w:szCs w:val="18"/>
              </w:rPr>
              <w:t xml:space="preserve"> és </w:t>
            </w:r>
            <w:r w:rsidRPr="003E3817">
              <w:rPr>
                <w:b/>
                <w:sz w:val="18"/>
                <w:szCs w:val="18"/>
              </w:rPr>
              <w:t>ÁFA</w:t>
            </w:r>
            <w:r>
              <w:rPr>
                <w:sz w:val="18"/>
                <w:szCs w:val="18"/>
              </w:rPr>
              <w:t xml:space="preserve"> növekmény vizsgálatot vég</w:t>
            </w:r>
            <w:r w:rsidR="00B22814">
              <w:rPr>
                <w:sz w:val="18"/>
                <w:szCs w:val="18"/>
              </w:rPr>
              <w:t>e</w:t>
            </w:r>
            <w:r>
              <w:rPr>
                <w:sz w:val="18"/>
                <w:szCs w:val="18"/>
              </w:rPr>
              <w:t>z</w:t>
            </w:r>
            <w:r w:rsidR="00B22814">
              <w:rPr>
                <w:sz w:val="18"/>
                <w:szCs w:val="18"/>
              </w:rPr>
              <w:t>t</w:t>
            </w:r>
            <w:r>
              <w:rPr>
                <w:sz w:val="18"/>
                <w:szCs w:val="18"/>
              </w:rPr>
              <w:t xml:space="preserve">ünk </w:t>
            </w:r>
          </w:p>
        </w:tc>
      </w:tr>
      <w:tr w:rsidR="00084397" w:rsidRPr="00927042" w:rsidTr="00084397">
        <w:trPr>
          <w:cnfStyle w:val="000000100000"/>
          <w:cantSplit/>
        </w:trPr>
        <w:tc>
          <w:tcPr>
            <w:cnfStyle w:val="001000000000"/>
            <w:tcW w:w="975" w:type="pct"/>
            <w:tcBorders>
              <w:top w:val="single" w:sz="4" w:space="0" w:color="auto"/>
              <w:left w:val="single" w:sz="18" w:space="0" w:color="auto"/>
              <w:bottom w:val="single" w:sz="4" w:space="0" w:color="auto"/>
              <w:right w:val="single" w:sz="4" w:space="0" w:color="auto"/>
            </w:tcBorders>
            <w:vAlign w:val="center"/>
          </w:tcPr>
          <w:p w:rsidR="00084397" w:rsidRPr="00927042" w:rsidRDefault="00084397" w:rsidP="00084397">
            <w:pPr>
              <w:jc w:val="center"/>
              <w:rPr>
                <w:sz w:val="18"/>
                <w:szCs w:val="18"/>
              </w:rPr>
            </w:pPr>
            <w:r w:rsidRPr="00927042">
              <w:rPr>
                <w:b w:val="0"/>
                <w:sz w:val="18"/>
                <w:szCs w:val="18"/>
              </w:rPr>
              <w:t xml:space="preserve">121 - </w:t>
            </w:r>
            <w:r>
              <w:rPr>
                <w:b w:val="0"/>
                <w:sz w:val="18"/>
                <w:szCs w:val="18"/>
              </w:rPr>
              <w:t>K</w:t>
            </w:r>
            <w:r w:rsidRPr="00927042">
              <w:rPr>
                <w:b w:val="0"/>
                <w:sz w:val="18"/>
                <w:szCs w:val="18"/>
              </w:rPr>
              <w:t>ertészeti gépek</w:t>
            </w:r>
          </w:p>
        </w:tc>
        <w:tc>
          <w:tcPr>
            <w:tcW w:w="3256" w:type="pct"/>
            <w:gridSpan w:val="5"/>
            <w:vMerge/>
            <w:tcBorders>
              <w:left w:val="single" w:sz="4" w:space="0" w:color="auto"/>
              <w:right w:val="single" w:sz="4" w:space="0" w:color="auto"/>
            </w:tcBorders>
            <w:vAlign w:val="center"/>
          </w:tcPr>
          <w:p w:rsidR="00084397" w:rsidRPr="003E3817" w:rsidRDefault="00084397" w:rsidP="00084397">
            <w:pPr>
              <w:jc w:val="center"/>
              <w:cnfStyle w:val="000000100000"/>
              <w:rPr>
                <w:b/>
                <w:sz w:val="18"/>
                <w:szCs w:val="18"/>
              </w:rPr>
            </w:pPr>
          </w:p>
        </w:tc>
        <w:tc>
          <w:tcPr>
            <w:tcW w:w="769" w:type="pct"/>
            <w:vMerge/>
            <w:tcBorders>
              <w:left w:val="single" w:sz="4" w:space="0" w:color="auto"/>
              <w:right w:val="single" w:sz="18" w:space="0" w:color="auto"/>
            </w:tcBorders>
            <w:vAlign w:val="center"/>
          </w:tcPr>
          <w:p w:rsidR="00084397" w:rsidRPr="003E3817" w:rsidRDefault="00084397" w:rsidP="00084397">
            <w:pPr>
              <w:jc w:val="center"/>
              <w:cnfStyle w:val="000000100000"/>
              <w:rPr>
                <w:b/>
                <w:sz w:val="18"/>
                <w:szCs w:val="18"/>
              </w:rPr>
            </w:pPr>
          </w:p>
        </w:tc>
      </w:tr>
      <w:tr w:rsidR="00084397" w:rsidRPr="00927042" w:rsidTr="00084397">
        <w:trPr>
          <w:cantSplit/>
        </w:trPr>
        <w:tc>
          <w:tcPr>
            <w:cnfStyle w:val="001000000000"/>
            <w:tcW w:w="975" w:type="pct"/>
            <w:tcBorders>
              <w:top w:val="single" w:sz="4" w:space="0" w:color="auto"/>
              <w:left w:val="single" w:sz="18" w:space="0" w:color="auto"/>
              <w:bottom w:val="single" w:sz="4" w:space="0" w:color="auto"/>
              <w:right w:val="single" w:sz="4" w:space="0" w:color="auto"/>
            </w:tcBorders>
            <w:vAlign w:val="center"/>
          </w:tcPr>
          <w:p w:rsidR="00084397" w:rsidRPr="00927042" w:rsidRDefault="00084397" w:rsidP="00084397">
            <w:pPr>
              <w:jc w:val="center"/>
              <w:rPr>
                <w:sz w:val="18"/>
                <w:szCs w:val="18"/>
              </w:rPr>
            </w:pPr>
            <w:r w:rsidRPr="00927042">
              <w:rPr>
                <w:b w:val="0"/>
                <w:sz w:val="18"/>
                <w:szCs w:val="18"/>
              </w:rPr>
              <w:t xml:space="preserve">121 - </w:t>
            </w:r>
            <w:r>
              <w:rPr>
                <w:b w:val="0"/>
                <w:sz w:val="18"/>
                <w:szCs w:val="18"/>
              </w:rPr>
              <w:t>Gépbeszerzés</w:t>
            </w:r>
          </w:p>
        </w:tc>
        <w:tc>
          <w:tcPr>
            <w:tcW w:w="3256" w:type="pct"/>
            <w:gridSpan w:val="5"/>
            <w:vMerge/>
            <w:tcBorders>
              <w:left w:val="single" w:sz="4" w:space="0" w:color="auto"/>
              <w:right w:val="single" w:sz="4" w:space="0" w:color="auto"/>
            </w:tcBorders>
            <w:vAlign w:val="center"/>
          </w:tcPr>
          <w:p w:rsidR="00084397" w:rsidRPr="003E3817" w:rsidRDefault="00084397" w:rsidP="00084397">
            <w:pPr>
              <w:jc w:val="center"/>
              <w:cnfStyle w:val="000000000000"/>
              <w:rPr>
                <w:b/>
                <w:sz w:val="18"/>
                <w:szCs w:val="18"/>
              </w:rPr>
            </w:pPr>
          </w:p>
        </w:tc>
        <w:tc>
          <w:tcPr>
            <w:tcW w:w="769" w:type="pct"/>
            <w:vMerge/>
            <w:tcBorders>
              <w:left w:val="single" w:sz="4" w:space="0" w:color="auto"/>
              <w:right w:val="single" w:sz="18" w:space="0" w:color="auto"/>
            </w:tcBorders>
            <w:vAlign w:val="center"/>
          </w:tcPr>
          <w:p w:rsidR="00084397" w:rsidRPr="003E3817" w:rsidRDefault="00084397" w:rsidP="00084397">
            <w:pPr>
              <w:jc w:val="center"/>
              <w:cnfStyle w:val="000000000000"/>
              <w:rPr>
                <w:b/>
                <w:sz w:val="18"/>
                <w:szCs w:val="18"/>
              </w:rPr>
            </w:pPr>
          </w:p>
        </w:tc>
      </w:tr>
      <w:tr w:rsidR="00084397" w:rsidRPr="00927042" w:rsidTr="00084397">
        <w:trPr>
          <w:cnfStyle w:val="000000100000"/>
          <w:cantSplit/>
        </w:trPr>
        <w:tc>
          <w:tcPr>
            <w:cnfStyle w:val="001000000000"/>
            <w:tcW w:w="975" w:type="pct"/>
            <w:tcBorders>
              <w:top w:val="single" w:sz="4" w:space="0" w:color="auto"/>
              <w:left w:val="single" w:sz="18" w:space="0" w:color="auto"/>
              <w:bottom w:val="single" w:sz="4" w:space="0" w:color="auto"/>
              <w:right w:val="single" w:sz="4" w:space="0" w:color="auto"/>
            </w:tcBorders>
            <w:vAlign w:val="center"/>
          </w:tcPr>
          <w:p w:rsidR="00084397" w:rsidRPr="00927042" w:rsidRDefault="00084397" w:rsidP="00084397">
            <w:pPr>
              <w:jc w:val="center"/>
              <w:rPr>
                <w:b w:val="0"/>
                <w:sz w:val="18"/>
                <w:szCs w:val="18"/>
              </w:rPr>
            </w:pPr>
            <w:r w:rsidRPr="00927042">
              <w:rPr>
                <w:b w:val="0"/>
                <w:sz w:val="18"/>
                <w:szCs w:val="18"/>
              </w:rPr>
              <w:t xml:space="preserve">121 </w:t>
            </w:r>
            <w:r>
              <w:rPr>
                <w:b w:val="0"/>
                <w:sz w:val="18"/>
                <w:szCs w:val="18"/>
              </w:rPr>
              <w:t>–</w:t>
            </w:r>
            <w:r w:rsidRPr="00927042">
              <w:rPr>
                <w:b w:val="0"/>
                <w:sz w:val="18"/>
                <w:szCs w:val="18"/>
              </w:rPr>
              <w:t xml:space="preserve"> </w:t>
            </w:r>
            <w:r>
              <w:rPr>
                <w:b w:val="0"/>
                <w:sz w:val="18"/>
                <w:szCs w:val="18"/>
              </w:rPr>
              <w:t xml:space="preserve">Állattartó </w:t>
            </w:r>
            <w:proofErr w:type="spellStart"/>
            <w:r>
              <w:rPr>
                <w:b w:val="0"/>
                <w:sz w:val="18"/>
                <w:szCs w:val="18"/>
              </w:rPr>
              <w:t>telepk</w:t>
            </w:r>
            <w:proofErr w:type="spellEnd"/>
            <w:r>
              <w:rPr>
                <w:b w:val="0"/>
                <w:sz w:val="18"/>
                <w:szCs w:val="18"/>
              </w:rPr>
              <w:t xml:space="preserve"> korszerűsít</w:t>
            </w:r>
            <w:r>
              <w:rPr>
                <w:b w:val="0"/>
                <w:sz w:val="18"/>
                <w:szCs w:val="18"/>
              </w:rPr>
              <w:t>é</w:t>
            </w:r>
            <w:r>
              <w:rPr>
                <w:b w:val="0"/>
                <w:sz w:val="18"/>
                <w:szCs w:val="18"/>
              </w:rPr>
              <w:t>se</w:t>
            </w:r>
          </w:p>
        </w:tc>
        <w:tc>
          <w:tcPr>
            <w:tcW w:w="3256" w:type="pct"/>
            <w:gridSpan w:val="5"/>
            <w:vMerge/>
            <w:tcBorders>
              <w:left w:val="single" w:sz="4" w:space="0" w:color="auto"/>
              <w:right w:val="single" w:sz="4" w:space="0" w:color="auto"/>
            </w:tcBorders>
            <w:vAlign w:val="center"/>
          </w:tcPr>
          <w:p w:rsidR="00084397" w:rsidRPr="003E3817" w:rsidRDefault="00084397" w:rsidP="00084397">
            <w:pPr>
              <w:jc w:val="center"/>
              <w:cnfStyle w:val="000000100000"/>
              <w:rPr>
                <w:b/>
                <w:sz w:val="18"/>
                <w:szCs w:val="18"/>
              </w:rPr>
            </w:pPr>
          </w:p>
        </w:tc>
        <w:tc>
          <w:tcPr>
            <w:tcW w:w="769" w:type="pct"/>
            <w:vMerge/>
            <w:tcBorders>
              <w:left w:val="single" w:sz="4" w:space="0" w:color="auto"/>
              <w:right w:val="single" w:sz="18" w:space="0" w:color="auto"/>
            </w:tcBorders>
            <w:vAlign w:val="center"/>
          </w:tcPr>
          <w:p w:rsidR="00084397" w:rsidRPr="00927042" w:rsidRDefault="00084397" w:rsidP="00084397">
            <w:pPr>
              <w:jc w:val="center"/>
              <w:cnfStyle w:val="000000100000"/>
              <w:rPr>
                <w:sz w:val="18"/>
                <w:szCs w:val="18"/>
              </w:rPr>
            </w:pPr>
          </w:p>
        </w:tc>
      </w:tr>
      <w:tr w:rsidR="00084397" w:rsidRPr="00927042" w:rsidTr="00084397">
        <w:trPr>
          <w:cantSplit/>
        </w:trPr>
        <w:tc>
          <w:tcPr>
            <w:cnfStyle w:val="001000000000"/>
            <w:tcW w:w="975" w:type="pct"/>
            <w:tcBorders>
              <w:top w:val="single" w:sz="4" w:space="0" w:color="auto"/>
              <w:left w:val="single" w:sz="18" w:space="0" w:color="auto"/>
              <w:bottom w:val="single" w:sz="4" w:space="0" w:color="auto"/>
              <w:right w:val="single" w:sz="4" w:space="0" w:color="auto"/>
            </w:tcBorders>
            <w:vAlign w:val="center"/>
          </w:tcPr>
          <w:p w:rsidR="00084397" w:rsidRPr="00927042" w:rsidRDefault="00084397" w:rsidP="00084397">
            <w:pPr>
              <w:jc w:val="center"/>
              <w:rPr>
                <w:b w:val="0"/>
                <w:sz w:val="18"/>
                <w:szCs w:val="18"/>
              </w:rPr>
            </w:pPr>
            <w:r w:rsidRPr="00927042">
              <w:rPr>
                <w:b w:val="0"/>
                <w:sz w:val="18"/>
                <w:szCs w:val="18"/>
              </w:rPr>
              <w:t xml:space="preserve">121 </w:t>
            </w:r>
            <w:r>
              <w:rPr>
                <w:b w:val="0"/>
                <w:sz w:val="18"/>
                <w:szCs w:val="18"/>
              </w:rPr>
              <w:t>–</w:t>
            </w:r>
            <w:r w:rsidRPr="00927042">
              <w:rPr>
                <w:b w:val="0"/>
                <w:sz w:val="18"/>
                <w:szCs w:val="18"/>
              </w:rPr>
              <w:t xml:space="preserve"> </w:t>
            </w:r>
            <w:r>
              <w:rPr>
                <w:b w:val="0"/>
                <w:sz w:val="18"/>
                <w:szCs w:val="18"/>
              </w:rPr>
              <w:t>Öntözés, m</w:t>
            </w:r>
            <w:r>
              <w:rPr>
                <w:b w:val="0"/>
                <w:sz w:val="18"/>
                <w:szCs w:val="18"/>
              </w:rPr>
              <w:t>e</w:t>
            </w:r>
            <w:r>
              <w:rPr>
                <w:b w:val="0"/>
                <w:sz w:val="18"/>
                <w:szCs w:val="18"/>
              </w:rPr>
              <w:t>lioráció, területi vízgazdálkodás</w:t>
            </w:r>
          </w:p>
        </w:tc>
        <w:tc>
          <w:tcPr>
            <w:tcW w:w="3256" w:type="pct"/>
            <w:gridSpan w:val="5"/>
            <w:vMerge/>
            <w:tcBorders>
              <w:left w:val="single" w:sz="4" w:space="0" w:color="auto"/>
              <w:right w:val="single" w:sz="4" w:space="0" w:color="auto"/>
            </w:tcBorders>
            <w:vAlign w:val="center"/>
          </w:tcPr>
          <w:p w:rsidR="00084397" w:rsidRPr="00927042" w:rsidRDefault="00084397" w:rsidP="00084397">
            <w:pPr>
              <w:jc w:val="center"/>
              <w:cnfStyle w:val="000000000000"/>
              <w:rPr>
                <w:b/>
                <w:sz w:val="18"/>
                <w:szCs w:val="18"/>
              </w:rPr>
            </w:pPr>
          </w:p>
        </w:tc>
        <w:tc>
          <w:tcPr>
            <w:tcW w:w="769" w:type="pct"/>
            <w:vMerge/>
            <w:tcBorders>
              <w:left w:val="single" w:sz="4" w:space="0" w:color="auto"/>
              <w:right w:val="single" w:sz="18" w:space="0" w:color="auto"/>
            </w:tcBorders>
            <w:vAlign w:val="center"/>
          </w:tcPr>
          <w:p w:rsidR="00084397" w:rsidRPr="00927042" w:rsidRDefault="00084397" w:rsidP="00084397">
            <w:pPr>
              <w:jc w:val="center"/>
              <w:cnfStyle w:val="000000000000"/>
              <w:rPr>
                <w:sz w:val="18"/>
                <w:szCs w:val="18"/>
              </w:rPr>
            </w:pPr>
          </w:p>
        </w:tc>
      </w:tr>
      <w:tr w:rsidR="00084397" w:rsidRPr="00927042" w:rsidTr="00084397">
        <w:trPr>
          <w:cnfStyle w:val="000000100000"/>
          <w:cantSplit/>
        </w:trPr>
        <w:tc>
          <w:tcPr>
            <w:cnfStyle w:val="001000000000"/>
            <w:tcW w:w="975" w:type="pct"/>
            <w:tcBorders>
              <w:top w:val="single" w:sz="4" w:space="0" w:color="auto"/>
              <w:left w:val="single" w:sz="18" w:space="0" w:color="auto"/>
              <w:bottom w:val="single" w:sz="4" w:space="0" w:color="auto"/>
              <w:right w:val="single" w:sz="4" w:space="0" w:color="auto"/>
            </w:tcBorders>
            <w:vAlign w:val="center"/>
          </w:tcPr>
          <w:p w:rsidR="00084397" w:rsidRPr="00927042" w:rsidRDefault="00084397" w:rsidP="00084397">
            <w:pPr>
              <w:jc w:val="center"/>
              <w:rPr>
                <w:b w:val="0"/>
                <w:sz w:val="18"/>
                <w:szCs w:val="18"/>
              </w:rPr>
            </w:pPr>
            <w:r w:rsidRPr="00927042">
              <w:rPr>
                <w:b w:val="0"/>
                <w:sz w:val="18"/>
                <w:szCs w:val="18"/>
              </w:rPr>
              <w:t xml:space="preserve">121 – </w:t>
            </w:r>
            <w:r>
              <w:rPr>
                <w:b w:val="0"/>
                <w:sz w:val="18"/>
                <w:szCs w:val="18"/>
              </w:rPr>
              <w:t>G</w:t>
            </w:r>
            <w:r w:rsidRPr="00927042">
              <w:rPr>
                <w:b w:val="0"/>
                <w:sz w:val="18"/>
                <w:szCs w:val="18"/>
              </w:rPr>
              <w:t>yümölcsü</w:t>
            </w:r>
            <w:r w:rsidRPr="00927042">
              <w:rPr>
                <w:b w:val="0"/>
                <w:sz w:val="18"/>
                <w:szCs w:val="18"/>
              </w:rPr>
              <w:t>l</w:t>
            </w:r>
            <w:r w:rsidRPr="00927042">
              <w:rPr>
                <w:b w:val="0"/>
                <w:sz w:val="18"/>
                <w:szCs w:val="18"/>
              </w:rPr>
              <w:t>tetvények</w:t>
            </w:r>
          </w:p>
        </w:tc>
        <w:tc>
          <w:tcPr>
            <w:tcW w:w="3256" w:type="pct"/>
            <w:gridSpan w:val="5"/>
            <w:vMerge/>
            <w:tcBorders>
              <w:left w:val="single" w:sz="4" w:space="0" w:color="auto"/>
              <w:bottom w:val="single" w:sz="4" w:space="0" w:color="auto"/>
              <w:right w:val="single" w:sz="4" w:space="0" w:color="auto"/>
            </w:tcBorders>
            <w:vAlign w:val="center"/>
          </w:tcPr>
          <w:p w:rsidR="00084397" w:rsidRPr="00927042" w:rsidRDefault="00084397" w:rsidP="00084397">
            <w:pPr>
              <w:jc w:val="center"/>
              <w:cnfStyle w:val="000000100000"/>
              <w:rPr>
                <w:sz w:val="18"/>
                <w:szCs w:val="18"/>
              </w:rPr>
            </w:pPr>
          </w:p>
        </w:tc>
        <w:tc>
          <w:tcPr>
            <w:tcW w:w="769" w:type="pct"/>
            <w:vMerge/>
            <w:tcBorders>
              <w:left w:val="single" w:sz="4" w:space="0" w:color="auto"/>
              <w:bottom w:val="single" w:sz="4" w:space="0" w:color="auto"/>
              <w:right w:val="single" w:sz="18" w:space="0" w:color="auto"/>
            </w:tcBorders>
            <w:vAlign w:val="center"/>
          </w:tcPr>
          <w:p w:rsidR="00084397" w:rsidRPr="00927042" w:rsidRDefault="00084397" w:rsidP="00084397">
            <w:pPr>
              <w:jc w:val="center"/>
              <w:cnfStyle w:val="000000100000"/>
              <w:rPr>
                <w:sz w:val="18"/>
                <w:szCs w:val="18"/>
              </w:rPr>
            </w:pPr>
          </w:p>
        </w:tc>
      </w:tr>
      <w:tr w:rsidR="00084397" w:rsidRPr="00927042" w:rsidTr="00084397">
        <w:trPr>
          <w:cantSplit/>
        </w:trPr>
        <w:tc>
          <w:tcPr>
            <w:cnfStyle w:val="001000000000"/>
            <w:tcW w:w="975" w:type="pct"/>
            <w:tcBorders>
              <w:top w:val="single" w:sz="4" w:space="0" w:color="auto"/>
              <w:left w:val="single" w:sz="18" w:space="0" w:color="auto"/>
              <w:bottom w:val="single" w:sz="4" w:space="0" w:color="auto"/>
              <w:right w:val="single" w:sz="4" w:space="0" w:color="auto"/>
            </w:tcBorders>
            <w:vAlign w:val="center"/>
          </w:tcPr>
          <w:p w:rsidR="00084397" w:rsidRPr="00927042" w:rsidRDefault="00084397" w:rsidP="00084397">
            <w:pPr>
              <w:jc w:val="center"/>
              <w:rPr>
                <w:b w:val="0"/>
                <w:sz w:val="18"/>
                <w:szCs w:val="18"/>
              </w:rPr>
            </w:pPr>
            <w:r w:rsidRPr="00927042">
              <w:rPr>
                <w:b w:val="0"/>
                <w:sz w:val="18"/>
                <w:szCs w:val="18"/>
              </w:rPr>
              <w:lastRenderedPageBreak/>
              <w:t>122 – Erdészeti gépek</w:t>
            </w:r>
          </w:p>
        </w:tc>
        <w:tc>
          <w:tcPr>
            <w:tcW w:w="2560" w:type="pct"/>
            <w:gridSpan w:val="3"/>
            <w:tcBorders>
              <w:top w:val="single" w:sz="4" w:space="0" w:color="auto"/>
              <w:left w:val="single" w:sz="4" w:space="0" w:color="auto"/>
              <w:bottom w:val="single" w:sz="4" w:space="0" w:color="auto"/>
              <w:right w:val="single" w:sz="4" w:space="0" w:color="auto"/>
            </w:tcBorders>
            <w:vAlign w:val="center"/>
          </w:tcPr>
          <w:p w:rsidR="00084397" w:rsidRPr="00927042" w:rsidRDefault="00B22814" w:rsidP="00681E28">
            <w:pPr>
              <w:jc w:val="center"/>
              <w:cnfStyle w:val="000000000000"/>
              <w:rPr>
                <w:sz w:val="18"/>
                <w:szCs w:val="18"/>
              </w:rPr>
            </w:pPr>
            <w:r>
              <w:rPr>
                <w:b/>
                <w:sz w:val="18"/>
                <w:szCs w:val="18"/>
              </w:rPr>
              <w:t>S</w:t>
            </w:r>
            <w:r w:rsidR="00084397" w:rsidRPr="003E3817">
              <w:rPr>
                <w:b/>
                <w:sz w:val="18"/>
                <w:szCs w:val="18"/>
              </w:rPr>
              <w:t>tatisztikai</w:t>
            </w:r>
            <w:r w:rsidR="00084397">
              <w:rPr>
                <w:sz w:val="18"/>
                <w:szCs w:val="18"/>
              </w:rPr>
              <w:t xml:space="preserve"> </w:t>
            </w:r>
            <w:r w:rsidR="00084397" w:rsidRPr="003E3817">
              <w:rPr>
                <w:b/>
                <w:sz w:val="18"/>
                <w:szCs w:val="18"/>
              </w:rPr>
              <w:t>elemzést</w:t>
            </w:r>
            <w:r w:rsidR="00084397">
              <w:rPr>
                <w:sz w:val="18"/>
                <w:szCs w:val="18"/>
              </w:rPr>
              <w:t xml:space="preserve"> vég</w:t>
            </w:r>
            <w:r>
              <w:rPr>
                <w:sz w:val="18"/>
                <w:szCs w:val="18"/>
              </w:rPr>
              <w:t>e</w:t>
            </w:r>
            <w:r w:rsidR="00084397">
              <w:rPr>
                <w:sz w:val="18"/>
                <w:szCs w:val="18"/>
              </w:rPr>
              <w:t>z</w:t>
            </w:r>
            <w:r>
              <w:rPr>
                <w:sz w:val="18"/>
                <w:szCs w:val="18"/>
              </w:rPr>
              <w:t>t</w:t>
            </w:r>
            <w:r w:rsidR="00084397">
              <w:rPr>
                <w:sz w:val="18"/>
                <w:szCs w:val="18"/>
              </w:rPr>
              <w:t xml:space="preserve">ünk a támogatási kérelmekben benyújtott kiadási tételekre vonatkozóan </w:t>
            </w:r>
          </w:p>
        </w:tc>
        <w:tc>
          <w:tcPr>
            <w:tcW w:w="696" w:type="pct"/>
            <w:gridSpan w:val="2"/>
            <w:tcBorders>
              <w:top w:val="single" w:sz="4" w:space="0" w:color="auto"/>
              <w:left w:val="single" w:sz="4" w:space="0" w:color="auto"/>
              <w:bottom w:val="single" w:sz="4" w:space="0" w:color="auto"/>
              <w:right w:val="single" w:sz="4" w:space="0" w:color="auto"/>
            </w:tcBorders>
            <w:vAlign w:val="center"/>
          </w:tcPr>
          <w:p w:rsidR="00084397" w:rsidRPr="00927042" w:rsidRDefault="00084397" w:rsidP="00084397">
            <w:pPr>
              <w:jc w:val="center"/>
              <w:cnfStyle w:val="000000000000"/>
              <w:rPr>
                <w:sz w:val="18"/>
                <w:szCs w:val="18"/>
              </w:rPr>
            </w:pPr>
            <w:r w:rsidRPr="003E3817">
              <w:rPr>
                <w:i/>
                <w:sz w:val="18"/>
                <w:szCs w:val="18"/>
              </w:rPr>
              <w:t>Az elemzést - a jelenleg megítélt t</w:t>
            </w:r>
            <w:r w:rsidRPr="003E3817">
              <w:rPr>
                <w:i/>
                <w:sz w:val="18"/>
                <w:szCs w:val="18"/>
              </w:rPr>
              <w:t>á</w:t>
            </w:r>
            <w:r w:rsidRPr="003E3817">
              <w:rPr>
                <w:i/>
                <w:sz w:val="18"/>
                <w:szCs w:val="18"/>
              </w:rPr>
              <w:t>mogatások csekély mé</w:t>
            </w:r>
            <w:r w:rsidRPr="003E3817">
              <w:rPr>
                <w:i/>
                <w:sz w:val="18"/>
                <w:szCs w:val="18"/>
              </w:rPr>
              <w:t>r</w:t>
            </w:r>
            <w:r w:rsidRPr="003E3817">
              <w:rPr>
                <w:i/>
                <w:sz w:val="18"/>
                <w:szCs w:val="18"/>
              </w:rPr>
              <w:t>téke miatt – nem lehet</w:t>
            </w:r>
            <w:r w:rsidR="00B22814">
              <w:rPr>
                <w:i/>
                <w:sz w:val="18"/>
                <w:szCs w:val="18"/>
              </w:rPr>
              <w:t>ett</w:t>
            </w:r>
            <w:r w:rsidRPr="003E3817">
              <w:rPr>
                <w:i/>
                <w:sz w:val="18"/>
                <w:szCs w:val="18"/>
              </w:rPr>
              <w:t xml:space="preserve"> elvégezni</w:t>
            </w:r>
            <w:r>
              <w:rPr>
                <w:i/>
                <w:sz w:val="18"/>
                <w:szCs w:val="18"/>
              </w:rPr>
              <w:t>.</w:t>
            </w:r>
          </w:p>
        </w:tc>
        <w:tc>
          <w:tcPr>
            <w:tcW w:w="769" w:type="pct"/>
            <w:tcBorders>
              <w:top w:val="single" w:sz="4" w:space="0" w:color="auto"/>
              <w:left w:val="single" w:sz="4" w:space="0" w:color="auto"/>
              <w:bottom w:val="single" w:sz="4" w:space="0" w:color="auto"/>
              <w:right w:val="single" w:sz="18" w:space="0" w:color="auto"/>
            </w:tcBorders>
            <w:vAlign w:val="center"/>
          </w:tcPr>
          <w:p w:rsidR="00084397" w:rsidRPr="00927042" w:rsidRDefault="00084397" w:rsidP="00681E28">
            <w:pPr>
              <w:jc w:val="center"/>
              <w:cnfStyle w:val="000000000000"/>
              <w:rPr>
                <w:sz w:val="18"/>
                <w:szCs w:val="18"/>
              </w:rPr>
            </w:pPr>
            <w:r w:rsidRPr="003E3817">
              <w:rPr>
                <w:b/>
                <w:sz w:val="18"/>
                <w:szCs w:val="18"/>
              </w:rPr>
              <w:t>Import</w:t>
            </w:r>
            <w:r>
              <w:rPr>
                <w:sz w:val="18"/>
                <w:szCs w:val="18"/>
              </w:rPr>
              <w:t xml:space="preserve"> és </w:t>
            </w:r>
            <w:r w:rsidRPr="003E3817">
              <w:rPr>
                <w:b/>
                <w:sz w:val="18"/>
                <w:szCs w:val="18"/>
              </w:rPr>
              <w:t>ÁFA</w:t>
            </w:r>
            <w:r>
              <w:rPr>
                <w:sz w:val="18"/>
                <w:szCs w:val="18"/>
              </w:rPr>
              <w:t xml:space="preserve"> növekmény vizsgálatot vég</w:t>
            </w:r>
            <w:r w:rsidR="00B22814">
              <w:rPr>
                <w:sz w:val="18"/>
                <w:szCs w:val="18"/>
              </w:rPr>
              <w:t>e</w:t>
            </w:r>
            <w:r>
              <w:rPr>
                <w:sz w:val="18"/>
                <w:szCs w:val="18"/>
              </w:rPr>
              <w:t>z</w:t>
            </w:r>
            <w:r w:rsidR="00B22814">
              <w:rPr>
                <w:sz w:val="18"/>
                <w:szCs w:val="18"/>
              </w:rPr>
              <w:t>t</w:t>
            </w:r>
            <w:r>
              <w:rPr>
                <w:sz w:val="18"/>
                <w:szCs w:val="18"/>
              </w:rPr>
              <w:t xml:space="preserve">ünk </w:t>
            </w:r>
          </w:p>
        </w:tc>
      </w:tr>
      <w:tr w:rsidR="00084397" w:rsidRPr="00927042" w:rsidTr="00084397">
        <w:trPr>
          <w:cnfStyle w:val="000000100000"/>
          <w:cantSplit/>
        </w:trPr>
        <w:tc>
          <w:tcPr>
            <w:cnfStyle w:val="001000000000"/>
            <w:tcW w:w="975" w:type="pct"/>
            <w:tcBorders>
              <w:top w:val="single" w:sz="4" w:space="0" w:color="auto"/>
              <w:left w:val="single" w:sz="18" w:space="0" w:color="auto"/>
              <w:bottom w:val="single" w:sz="4" w:space="0" w:color="auto"/>
              <w:right w:val="single" w:sz="4" w:space="0" w:color="auto"/>
            </w:tcBorders>
            <w:vAlign w:val="center"/>
          </w:tcPr>
          <w:p w:rsidR="00084397" w:rsidRPr="00927042" w:rsidRDefault="00084397" w:rsidP="00084397">
            <w:pPr>
              <w:jc w:val="center"/>
              <w:rPr>
                <w:b w:val="0"/>
                <w:sz w:val="18"/>
                <w:szCs w:val="18"/>
              </w:rPr>
            </w:pPr>
            <w:r w:rsidRPr="00927042">
              <w:rPr>
                <w:b w:val="0"/>
                <w:sz w:val="18"/>
                <w:szCs w:val="18"/>
              </w:rPr>
              <w:t xml:space="preserve">123 – </w:t>
            </w:r>
            <w:r>
              <w:rPr>
                <w:b w:val="0"/>
                <w:sz w:val="18"/>
                <w:szCs w:val="18"/>
              </w:rPr>
              <w:t>ÉLIP</w:t>
            </w:r>
          </w:p>
        </w:tc>
        <w:tc>
          <w:tcPr>
            <w:tcW w:w="2560" w:type="pct"/>
            <w:gridSpan w:val="3"/>
            <w:tcBorders>
              <w:top w:val="single" w:sz="4" w:space="0" w:color="auto"/>
              <w:left w:val="single" w:sz="4" w:space="0" w:color="auto"/>
              <w:bottom w:val="single" w:sz="4" w:space="0" w:color="auto"/>
              <w:right w:val="single" w:sz="4" w:space="0" w:color="auto"/>
            </w:tcBorders>
            <w:vAlign w:val="center"/>
          </w:tcPr>
          <w:p w:rsidR="00084397" w:rsidRPr="00927042" w:rsidRDefault="00084397" w:rsidP="00681E28">
            <w:pPr>
              <w:jc w:val="center"/>
              <w:cnfStyle w:val="000000100000"/>
              <w:rPr>
                <w:sz w:val="18"/>
                <w:szCs w:val="18"/>
              </w:rPr>
            </w:pPr>
            <w:r>
              <w:rPr>
                <w:b/>
                <w:sz w:val="18"/>
                <w:szCs w:val="18"/>
              </w:rPr>
              <w:t>S</w:t>
            </w:r>
            <w:r w:rsidRPr="003E3817">
              <w:rPr>
                <w:b/>
                <w:sz w:val="18"/>
                <w:szCs w:val="18"/>
              </w:rPr>
              <w:t>tatisztikai</w:t>
            </w:r>
            <w:r>
              <w:rPr>
                <w:sz w:val="18"/>
                <w:szCs w:val="18"/>
              </w:rPr>
              <w:t xml:space="preserve"> </w:t>
            </w:r>
            <w:r w:rsidRPr="003E3817">
              <w:rPr>
                <w:b/>
                <w:sz w:val="18"/>
                <w:szCs w:val="18"/>
              </w:rPr>
              <w:t>elemzést</w:t>
            </w:r>
            <w:r>
              <w:rPr>
                <w:sz w:val="18"/>
                <w:szCs w:val="18"/>
              </w:rPr>
              <w:t xml:space="preserve"> vég</w:t>
            </w:r>
            <w:r w:rsidR="00B22814">
              <w:rPr>
                <w:sz w:val="18"/>
                <w:szCs w:val="18"/>
              </w:rPr>
              <w:t>e</w:t>
            </w:r>
            <w:r>
              <w:rPr>
                <w:sz w:val="18"/>
                <w:szCs w:val="18"/>
              </w:rPr>
              <w:t>z</w:t>
            </w:r>
            <w:r w:rsidR="00B22814">
              <w:rPr>
                <w:sz w:val="18"/>
                <w:szCs w:val="18"/>
              </w:rPr>
              <w:t>t</w:t>
            </w:r>
            <w:r>
              <w:rPr>
                <w:sz w:val="18"/>
                <w:szCs w:val="18"/>
              </w:rPr>
              <w:t>ünk támogatási kérelmekben benyújtott árbevétel és létszám, valamint kiadási tétel ad</w:t>
            </w:r>
            <w:r>
              <w:rPr>
                <w:sz w:val="18"/>
                <w:szCs w:val="18"/>
              </w:rPr>
              <w:t>a</w:t>
            </w:r>
            <w:r>
              <w:rPr>
                <w:sz w:val="18"/>
                <w:szCs w:val="18"/>
              </w:rPr>
              <w:t>tok, továbbá az OPTEN Mérlegtár árbevétel és létszám ad</w:t>
            </w:r>
            <w:r>
              <w:rPr>
                <w:sz w:val="18"/>
                <w:szCs w:val="18"/>
              </w:rPr>
              <w:t>a</w:t>
            </w:r>
            <w:r>
              <w:rPr>
                <w:sz w:val="18"/>
                <w:szCs w:val="18"/>
              </w:rPr>
              <w:t>tok felhasználásával.</w:t>
            </w:r>
          </w:p>
        </w:tc>
        <w:tc>
          <w:tcPr>
            <w:tcW w:w="696" w:type="pct"/>
            <w:gridSpan w:val="2"/>
            <w:tcBorders>
              <w:top w:val="single" w:sz="4" w:space="0" w:color="auto"/>
              <w:left w:val="single" w:sz="4" w:space="0" w:color="auto"/>
              <w:bottom w:val="single" w:sz="4" w:space="0" w:color="auto"/>
              <w:right w:val="single" w:sz="4" w:space="0" w:color="auto"/>
            </w:tcBorders>
            <w:vAlign w:val="center"/>
          </w:tcPr>
          <w:p w:rsidR="00084397" w:rsidRPr="00927042" w:rsidRDefault="00084397" w:rsidP="00084397">
            <w:pPr>
              <w:jc w:val="center"/>
              <w:cnfStyle w:val="000000100000"/>
              <w:rPr>
                <w:sz w:val="18"/>
                <w:szCs w:val="18"/>
              </w:rPr>
            </w:pPr>
            <w:r w:rsidRPr="003E3817">
              <w:rPr>
                <w:i/>
                <w:sz w:val="18"/>
                <w:szCs w:val="18"/>
              </w:rPr>
              <w:t>Az elemzést - a jelenleg megítélt t</w:t>
            </w:r>
            <w:r w:rsidRPr="003E3817">
              <w:rPr>
                <w:i/>
                <w:sz w:val="18"/>
                <w:szCs w:val="18"/>
              </w:rPr>
              <w:t>á</w:t>
            </w:r>
            <w:r w:rsidRPr="003E3817">
              <w:rPr>
                <w:i/>
                <w:sz w:val="18"/>
                <w:szCs w:val="18"/>
              </w:rPr>
              <w:t>mogatások csekély mé</w:t>
            </w:r>
            <w:r w:rsidRPr="003E3817">
              <w:rPr>
                <w:i/>
                <w:sz w:val="18"/>
                <w:szCs w:val="18"/>
              </w:rPr>
              <w:t>r</w:t>
            </w:r>
            <w:r w:rsidRPr="003E3817">
              <w:rPr>
                <w:i/>
                <w:sz w:val="18"/>
                <w:szCs w:val="18"/>
              </w:rPr>
              <w:t>téke miatt – nem lehet</w:t>
            </w:r>
            <w:r w:rsidR="00B22814">
              <w:rPr>
                <w:i/>
                <w:sz w:val="18"/>
                <w:szCs w:val="18"/>
              </w:rPr>
              <w:t>ett</w:t>
            </w:r>
            <w:r w:rsidRPr="003E3817">
              <w:rPr>
                <w:i/>
                <w:sz w:val="18"/>
                <w:szCs w:val="18"/>
              </w:rPr>
              <w:t xml:space="preserve"> elvégezni</w:t>
            </w:r>
            <w:r>
              <w:rPr>
                <w:i/>
                <w:sz w:val="18"/>
                <w:szCs w:val="18"/>
              </w:rPr>
              <w:t>.</w:t>
            </w:r>
          </w:p>
        </w:tc>
        <w:tc>
          <w:tcPr>
            <w:tcW w:w="769" w:type="pct"/>
            <w:tcBorders>
              <w:top w:val="single" w:sz="4" w:space="0" w:color="auto"/>
              <w:left w:val="single" w:sz="4" w:space="0" w:color="auto"/>
              <w:bottom w:val="single" w:sz="4" w:space="0" w:color="auto"/>
              <w:right w:val="single" w:sz="18" w:space="0" w:color="auto"/>
            </w:tcBorders>
            <w:vAlign w:val="center"/>
          </w:tcPr>
          <w:p w:rsidR="00084397" w:rsidRPr="00927042" w:rsidRDefault="00084397" w:rsidP="00681E28">
            <w:pPr>
              <w:jc w:val="center"/>
              <w:cnfStyle w:val="000000100000"/>
              <w:rPr>
                <w:sz w:val="18"/>
                <w:szCs w:val="18"/>
              </w:rPr>
            </w:pPr>
            <w:r w:rsidRPr="003E3817">
              <w:rPr>
                <w:b/>
                <w:sz w:val="18"/>
                <w:szCs w:val="18"/>
              </w:rPr>
              <w:t>Import</w:t>
            </w:r>
            <w:r>
              <w:rPr>
                <w:sz w:val="18"/>
                <w:szCs w:val="18"/>
              </w:rPr>
              <w:t xml:space="preserve"> és </w:t>
            </w:r>
            <w:r w:rsidRPr="003E3817">
              <w:rPr>
                <w:b/>
                <w:sz w:val="18"/>
                <w:szCs w:val="18"/>
              </w:rPr>
              <w:t>ÁFA</w:t>
            </w:r>
            <w:r>
              <w:rPr>
                <w:sz w:val="18"/>
                <w:szCs w:val="18"/>
              </w:rPr>
              <w:t xml:space="preserve"> növekmény vizsgálatot vég</w:t>
            </w:r>
            <w:r w:rsidR="00B22814">
              <w:rPr>
                <w:sz w:val="18"/>
                <w:szCs w:val="18"/>
              </w:rPr>
              <w:t>e</w:t>
            </w:r>
            <w:r>
              <w:rPr>
                <w:sz w:val="18"/>
                <w:szCs w:val="18"/>
              </w:rPr>
              <w:t>z</w:t>
            </w:r>
            <w:r w:rsidR="00B22814">
              <w:rPr>
                <w:sz w:val="18"/>
                <w:szCs w:val="18"/>
              </w:rPr>
              <w:t>t</w:t>
            </w:r>
            <w:r>
              <w:rPr>
                <w:sz w:val="18"/>
                <w:szCs w:val="18"/>
              </w:rPr>
              <w:t xml:space="preserve">ünk </w:t>
            </w:r>
          </w:p>
        </w:tc>
      </w:tr>
      <w:tr w:rsidR="00084397" w:rsidRPr="00927042" w:rsidTr="00084397">
        <w:trPr>
          <w:cantSplit/>
        </w:trPr>
        <w:tc>
          <w:tcPr>
            <w:cnfStyle w:val="001000000000"/>
            <w:tcW w:w="975" w:type="pct"/>
            <w:tcBorders>
              <w:top w:val="single" w:sz="4" w:space="0" w:color="auto"/>
              <w:left w:val="single" w:sz="18" w:space="0" w:color="auto"/>
              <w:bottom w:val="single" w:sz="4" w:space="0" w:color="auto"/>
              <w:right w:val="single" w:sz="4" w:space="0" w:color="auto"/>
            </w:tcBorders>
            <w:vAlign w:val="center"/>
          </w:tcPr>
          <w:p w:rsidR="00084397" w:rsidRPr="00927042" w:rsidRDefault="00084397" w:rsidP="00084397">
            <w:pPr>
              <w:jc w:val="center"/>
              <w:rPr>
                <w:b w:val="0"/>
                <w:sz w:val="18"/>
                <w:szCs w:val="18"/>
              </w:rPr>
            </w:pPr>
            <w:r w:rsidRPr="00927042">
              <w:rPr>
                <w:b w:val="0"/>
                <w:sz w:val="18"/>
                <w:szCs w:val="18"/>
              </w:rPr>
              <w:t>142 – Termelői cs</w:t>
            </w:r>
            <w:r w:rsidRPr="00927042">
              <w:rPr>
                <w:b w:val="0"/>
                <w:sz w:val="18"/>
                <w:szCs w:val="18"/>
              </w:rPr>
              <w:t>o</w:t>
            </w:r>
            <w:r w:rsidRPr="00927042">
              <w:rPr>
                <w:b w:val="0"/>
                <w:sz w:val="18"/>
                <w:szCs w:val="18"/>
              </w:rPr>
              <w:t>portok</w:t>
            </w:r>
          </w:p>
        </w:tc>
        <w:tc>
          <w:tcPr>
            <w:tcW w:w="4025" w:type="pct"/>
            <w:gridSpan w:val="6"/>
            <w:tcBorders>
              <w:top w:val="single" w:sz="4" w:space="0" w:color="auto"/>
              <w:left w:val="single" w:sz="4" w:space="0" w:color="auto"/>
              <w:bottom w:val="single" w:sz="4" w:space="0" w:color="auto"/>
              <w:right w:val="single" w:sz="18" w:space="0" w:color="auto"/>
            </w:tcBorders>
            <w:vAlign w:val="center"/>
          </w:tcPr>
          <w:p w:rsidR="00084397" w:rsidRPr="009F011C" w:rsidRDefault="00B22814" w:rsidP="00681E28">
            <w:pPr>
              <w:jc w:val="center"/>
              <w:cnfStyle w:val="000000000000"/>
              <w:rPr>
                <w:sz w:val="18"/>
                <w:szCs w:val="18"/>
              </w:rPr>
            </w:pPr>
            <w:r>
              <w:rPr>
                <w:sz w:val="18"/>
                <w:szCs w:val="18"/>
              </w:rPr>
              <w:t>Mivel a TCS tagok gazdasági adatai nem álltak rendelkezésre, ezért kvantitatív elemzést nem tudtunk végezni.</w:t>
            </w:r>
          </w:p>
        </w:tc>
      </w:tr>
      <w:tr w:rsidR="00084397" w:rsidRPr="00927042" w:rsidTr="00681E28">
        <w:trPr>
          <w:cnfStyle w:val="000000100000"/>
          <w:cantSplit/>
        </w:trPr>
        <w:tc>
          <w:tcPr>
            <w:cnfStyle w:val="001000000000"/>
            <w:tcW w:w="975" w:type="pct"/>
            <w:tcBorders>
              <w:top w:val="single" w:sz="4" w:space="0" w:color="auto"/>
              <w:left w:val="single" w:sz="18" w:space="0" w:color="auto"/>
              <w:bottom w:val="single" w:sz="4" w:space="0" w:color="auto"/>
              <w:right w:val="single" w:sz="4" w:space="0" w:color="auto"/>
            </w:tcBorders>
            <w:vAlign w:val="center"/>
          </w:tcPr>
          <w:p w:rsidR="00084397" w:rsidRPr="00927042" w:rsidRDefault="00084397" w:rsidP="00084397">
            <w:pPr>
              <w:jc w:val="center"/>
              <w:rPr>
                <w:b w:val="0"/>
                <w:sz w:val="18"/>
                <w:szCs w:val="18"/>
              </w:rPr>
            </w:pPr>
            <w:r w:rsidRPr="00927042">
              <w:rPr>
                <w:b w:val="0"/>
                <w:sz w:val="18"/>
                <w:szCs w:val="18"/>
              </w:rPr>
              <w:t>212 - KAT</w:t>
            </w:r>
          </w:p>
        </w:tc>
        <w:tc>
          <w:tcPr>
            <w:tcW w:w="852" w:type="pct"/>
            <w:tcBorders>
              <w:top w:val="single" w:sz="4" w:space="0" w:color="auto"/>
              <w:left w:val="single" w:sz="4" w:space="0" w:color="auto"/>
              <w:bottom w:val="single" w:sz="4" w:space="0" w:color="auto"/>
              <w:right w:val="single" w:sz="2" w:space="0" w:color="auto"/>
            </w:tcBorders>
            <w:vAlign w:val="center"/>
          </w:tcPr>
          <w:p w:rsidR="00084397" w:rsidRPr="00367105" w:rsidRDefault="004938BD" w:rsidP="00681E28">
            <w:pPr>
              <w:jc w:val="center"/>
              <w:cnfStyle w:val="000000100000"/>
              <w:rPr>
                <w:i/>
                <w:sz w:val="18"/>
                <w:szCs w:val="18"/>
              </w:rPr>
            </w:pPr>
            <w:r>
              <w:rPr>
                <w:sz w:val="18"/>
                <w:szCs w:val="18"/>
              </w:rPr>
              <w:t>-</w:t>
            </w:r>
          </w:p>
        </w:tc>
        <w:tc>
          <w:tcPr>
            <w:tcW w:w="3173" w:type="pct"/>
            <w:gridSpan w:val="5"/>
            <w:tcBorders>
              <w:top w:val="single" w:sz="4" w:space="0" w:color="auto"/>
              <w:left w:val="single" w:sz="2" w:space="0" w:color="auto"/>
              <w:bottom w:val="single" w:sz="4" w:space="0" w:color="auto"/>
              <w:right w:val="single" w:sz="18" w:space="0" w:color="auto"/>
            </w:tcBorders>
            <w:vAlign w:val="center"/>
          </w:tcPr>
          <w:p w:rsidR="00084397" w:rsidRPr="00367105" w:rsidRDefault="00084397" w:rsidP="00084397">
            <w:pPr>
              <w:jc w:val="center"/>
              <w:cnfStyle w:val="000000100000"/>
              <w:rPr>
                <w:i/>
                <w:sz w:val="18"/>
                <w:szCs w:val="18"/>
              </w:rPr>
            </w:pPr>
            <w:r w:rsidRPr="004C1BBB">
              <w:rPr>
                <w:i/>
                <w:sz w:val="18"/>
                <w:szCs w:val="18"/>
              </w:rPr>
              <w:t>Az Előzetes Értékelő Jelentés</w:t>
            </w:r>
            <w:r>
              <w:rPr>
                <w:i/>
                <w:sz w:val="18"/>
                <w:szCs w:val="18"/>
              </w:rPr>
              <w:t>ben nem terveztük vizsgálni.</w:t>
            </w:r>
          </w:p>
        </w:tc>
      </w:tr>
      <w:tr w:rsidR="00084397" w:rsidRPr="00927042" w:rsidTr="00681E28">
        <w:trPr>
          <w:cantSplit/>
        </w:trPr>
        <w:tc>
          <w:tcPr>
            <w:cnfStyle w:val="001000000000"/>
            <w:tcW w:w="975" w:type="pct"/>
            <w:tcBorders>
              <w:top w:val="single" w:sz="4" w:space="0" w:color="auto"/>
              <w:left w:val="single" w:sz="18" w:space="0" w:color="auto"/>
              <w:bottom w:val="single" w:sz="4" w:space="0" w:color="auto"/>
              <w:right w:val="single" w:sz="4" w:space="0" w:color="auto"/>
            </w:tcBorders>
            <w:vAlign w:val="center"/>
          </w:tcPr>
          <w:p w:rsidR="00084397" w:rsidRPr="00927042" w:rsidRDefault="00084397" w:rsidP="00084397">
            <w:pPr>
              <w:jc w:val="center"/>
              <w:rPr>
                <w:b w:val="0"/>
                <w:sz w:val="18"/>
                <w:szCs w:val="18"/>
              </w:rPr>
            </w:pPr>
            <w:r w:rsidRPr="00927042">
              <w:rPr>
                <w:b w:val="0"/>
                <w:sz w:val="18"/>
                <w:szCs w:val="18"/>
              </w:rPr>
              <w:t xml:space="preserve">213 – </w:t>
            </w:r>
            <w:proofErr w:type="spellStart"/>
            <w:r w:rsidRPr="00927042">
              <w:rPr>
                <w:b w:val="0"/>
                <w:sz w:val="18"/>
                <w:szCs w:val="18"/>
              </w:rPr>
              <w:t>Natura</w:t>
            </w:r>
            <w:proofErr w:type="spellEnd"/>
            <w:r>
              <w:rPr>
                <w:b w:val="0"/>
                <w:sz w:val="18"/>
                <w:szCs w:val="18"/>
              </w:rPr>
              <w:t xml:space="preserve"> </w:t>
            </w:r>
            <w:r w:rsidRPr="00927042">
              <w:rPr>
                <w:b w:val="0"/>
                <w:sz w:val="18"/>
                <w:szCs w:val="18"/>
              </w:rPr>
              <w:t>2000</w:t>
            </w:r>
          </w:p>
        </w:tc>
        <w:tc>
          <w:tcPr>
            <w:tcW w:w="852" w:type="pct"/>
            <w:tcBorders>
              <w:top w:val="single" w:sz="4" w:space="0" w:color="auto"/>
              <w:left w:val="single" w:sz="4" w:space="0" w:color="auto"/>
              <w:bottom w:val="single" w:sz="4" w:space="0" w:color="auto"/>
              <w:right w:val="single" w:sz="2" w:space="0" w:color="auto"/>
            </w:tcBorders>
            <w:vAlign w:val="center"/>
          </w:tcPr>
          <w:p w:rsidR="00084397" w:rsidRPr="009F011C" w:rsidRDefault="004938BD" w:rsidP="00681E28">
            <w:pPr>
              <w:jc w:val="center"/>
              <w:cnfStyle w:val="000000000000"/>
              <w:rPr>
                <w:sz w:val="18"/>
                <w:szCs w:val="18"/>
              </w:rPr>
            </w:pPr>
            <w:r>
              <w:rPr>
                <w:sz w:val="18"/>
                <w:szCs w:val="18"/>
              </w:rPr>
              <w:t>-</w:t>
            </w:r>
          </w:p>
        </w:tc>
        <w:tc>
          <w:tcPr>
            <w:tcW w:w="3173" w:type="pct"/>
            <w:gridSpan w:val="5"/>
            <w:tcBorders>
              <w:top w:val="single" w:sz="4" w:space="0" w:color="auto"/>
              <w:left w:val="single" w:sz="2" w:space="0" w:color="auto"/>
              <w:bottom w:val="single" w:sz="4" w:space="0" w:color="auto"/>
              <w:right w:val="single" w:sz="18" w:space="0" w:color="auto"/>
            </w:tcBorders>
            <w:vAlign w:val="center"/>
          </w:tcPr>
          <w:p w:rsidR="00084397" w:rsidRPr="00927042" w:rsidRDefault="00084397" w:rsidP="00084397">
            <w:pPr>
              <w:jc w:val="center"/>
              <w:cnfStyle w:val="000000000000"/>
              <w:rPr>
                <w:sz w:val="18"/>
                <w:szCs w:val="18"/>
              </w:rPr>
            </w:pPr>
            <w:r w:rsidRPr="004C1BBB">
              <w:rPr>
                <w:i/>
                <w:sz w:val="18"/>
                <w:szCs w:val="18"/>
              </w:rPr>
              <w:t>Az Előzetes Értékelő Jelentés</w:t>
            </w:r>
            <w:r>
              <w:rPr>
                <w:i/>
                <w:sz w:val="18"/>
                <w:szCs w:val="18"/>
              </w:rPr>
              <w:t>ben nem terveztük vizsgálni.</w:t>
            </w:r>
          </w:p>
        </w:tc>
      </w:tr>
      <w:tr w:rsidR="00084397" w:rsidRPr="00927042" w:rsidTr="00084397">
        <w:trPr>
          <w:cnfStyle w:val="000000100000"/>
          <w:cantSplit/>
        </w:trPr>
        <w:tc>
          <w:tcPr>
            <w:cnfStyle w:val="001000000000"/>
            <w:tcW w:w="975" w:type="pct"/>
            <w:tcBorders>
              <w:top w:val="single" w:sz="4" w:space="0" w:color="auto"/>
              <w:left w:val="single" w:sz="18" w:space="0" w:color="auto"/>
              <w:bottom w:val="single" w:sz="4" w:space="0" w:color="auto"/>
              <w:right w:val="single" w:sz="4" w:space="0" w:color="auto"/>
            </w:tcBorders>
            <w:vAlign w:val="center"/>
          </w:tcPr>
          <w:p w:rsidR="00084397" w:rsidRPr="00927042" w:rsidRDefault="00084397" w:rsidP="00084397">
            <w:pPr>
              <w:jc w:val="center"/>
              <w:rPr>
                <w:b w:val="0"/>
                <w:sz w:val="18"/>
                <w:szCs w:val="18"/>
              </w:rPr>
            </w:pPr>
            <w:r w:rsidRPr="00927042">
              <w:rPr>
                <w:b w:val="0"/>
                <w:sz w:val="18"/>
                <w:szCs w:val="18"/>
              </w:rPr>
              <w:t>214 – AKG</w:t>
            </w:r>
          </w:p>
        </w:tc>
        <w:tc>
          <w:tcPr>
            <w:tcW w:w="2560" w:type="pct"/>
            <w:gridSpan w:val="3"/>
            <w:tcBorders>
              <w:top w:val="single" w:sz="4" w:space="0" w:color="auto"/>
              <w:left w:val="single" w:sz="4" w:space="0" w:color="auto"/>
              <w:bottom w:val="single" w:sz="4" w:space="0" w:color="auto"/>
              <w:right w:val="single" w:sz="4" w:space="0" w:color="auto"/>
            </w:tcBorders>
            <w:vAlign w:val="center"/>
          </w:tcPr>
          <w:p w:rsidR="00084397" w:rsidRPr="00927042" w:rsidRDefault="000E5C0B" w:rsidP="00681E28">
            <w:pPr>
              <w:jc w:val="center"/>
              <w:cnfStyle w:val="000000100000"/>
              <w:rPr>
                <w:sz w:val="18"/>
                <w:szCs w:val="18"/>
              </w:rPr>
            </w:pPr>
            <w:r>
              <w:rPr>
                <w:b/>
                <w:sz w:val="18"/>
                <w:szCs w:val="18"/>
              </w:rPr>
              <w:t>-</w:t>
            </w:r>
          </w:p>
        </w:tc>
        <w:tc>
          <w:tcPr>
            <w:tcW w:w="1465" w:type="pct"/>
            <w:gridSpan w:val="3"/>
            <w:tcBorders>
              <w:top w:val="single" w:sz="4" w:space="0" w:color="auto"/>
              <w:left w:val="single" w:sz="4" w:space="0" w:color="auto"/>
              <w:bottom w:val="single" w:sz="4" w:space="0" w:color="auto"/>
              <w:right w:val="single" w:sz="18" w:space="0" w:color="auto"/>
            </w:tcBorders>
            <w:vAlign w:val="center"/>
          </w:tcPr>
          <w:p w:rsidR="00084397" w:rsidRPr="00B33B3F" w:rsidRDefault="00084397" w:rsidP="00084397">
            <w:pPr>
              <w:jc w:val="center"/>
              <w:cnfStyle w:val="000000100000"/>
              <w:rPr>
                <w:i/>
                <w:sz w:val="18"/>
                <w:szCs w:val="18"/>
              </w:rPr>
            </w:pPr>
            <w:r w:rsidRPr="004C1BBB">
              <w:rPr>
                <w:i/>
                <w:sz w:val="18"/>
                <w:szCs w:val="18"/>
              </w:rPr>
              <w:t>Az Előzetes Értékelő Jelentés</w:t>
            </w:r>
            <w:r>
              <w:rPr>
                <w:i/>
                <w:sz w:val="18"/>
                <w:szCs w:val="18"/>
              </w:rPr>
              <w:t>ben nem terveztük vizsgálni.</w:t>
            </w:r>
          </w:p>
        </w:tc>
      </w:tr>
      <w:tr w:rsidR="00084397" w:rsidRPr="00927042" w:rsidTr="00084397">
        <w:trPr>
          <w:cantSplit/>
        </w:trPr>
        <w:tc>
          <w:tcPr>
            <w:cnfStyle w:val="001000000000"/>
            <w:tcW w:w="975" w:type="pct"/>
            <w:tcBorders>
              <w:top w:val="single" w:sz="4" w:space="0" w:color="auto"/>
              <w:left w:val="single" w:sz="18" w:space="0" w:color="auto"/>
              <w:bottom w:val="single" w:sz="4" w:space="0" w:color="auto"/>
              <w:right w:val="single" w:sz="4" w:space="0" w:color="auto"/>
            </w:tcBorders>
            <w:vAlign w:val="center"/>
          </w:tcPr>
          <w:p w:rsidR="00084397" w:rsidRPr="00927042" w:rsidRDefault="00084397" w:rsidP="00084397">
            <w:pPr>
              <w:jc w:val="center"/>
              <w:rPr>
                <w:b w:val="0"/>
                <w:sz w:val="18"/>
                <w:szCs w:val="18"/>
              </w:rPr>
            </w:pPr>
            <w:r w:rsidRPr="00927042">
              <w:rPr>
                <w:b w:val="0"/>
                <w:sz w:val="18"/>
                <w:szCs w:val="18"/>
              </w:rPr>
              <w:t xml:space="preserve">221 – </w:t>
            </w:r>
            <w:proofErr w:type="spellStart"/>
            <w:r w:rsidRPr="00927042">
              <w:rPr>
                <w:b w:val="0"/>
                <w:sz w:val="18"/>
                <w:szCs w:val="18"/>
              </w:rPr>
              <w:t>MgTE</w:t>
            </w:r>
            <w:proofErr w:type="spellEnd"/>
          </w:p>
        </w:tc>
        <w:tc>
          <w:tcPr>
            <w:tcW w:w="4025" w:type="pct"/>
            <w:gridSpan w:val="6"/>
            <w:tcBorders>
              <w:top w:val="single" w:sz="4" w:space="0" w:color="auto"/>
              <w:left w:val="single" w:sz="4" w:space="0" w:color="auto"/>
              <w:bottom w:val="single" w:sz="4" w:space="0" w:color="auto"/>
              <w:right w:val="single" w:sz="18" w:space="0" w:color="auto"/>
            </w:tcBorders>
            <w:vAlign w:val="center"/>
          </w:tcPr>
          <w:p w:rsidR="00084397" w:rsidRPr="003928D4" w:rsidRDefault="004938BD" w:rsidP="00681E28">
            <w:pPr>
              <w:jc w:val="center"/>
              <w:cnfStyle w:val="000000000000"/>
              <w:rPr>
                <w:sz w:val="18"/>
                <w:szCs w:val="18"/>
              </w:rPr>
            </w:pPr>
            <w:r>
              <w:rPr>
                <w:sz w:val="18"/>
                <w:szCs w:val="18"/>
              </w:rPr>
              <w:t>A projektek érdemi gazdasági hatást csak a telepítések letermelése után (5-10 év múlva) vált</w:t>
            </w:r>
            <w:r>
              <w:rPr>
                <w:sz w:val="18"/>
                <w:szCs w:val="18"/>
              </w:rPr>
              <w:t>a</w:t>
            </w:r>
            <w:r>
              <w:rPr>
                <w:sz w:val="18"/>
                <w:szCs w:val="18"/>
              </w:rPr>
              <w:t>nak ki, így nem volt mód ilyen elemzés elvégzésére.</w:t>
            </w:r>
          </w:p>
        </w:tc>
      </w:tr>
      <w:tr w:rsidR="00084397" w:rsidRPr="00927042" w:rsidTr="00084397">
        <w:trPr>
          <w:cnfStyle w:val="000000100000"/>
          <w:cantSplit/>
        </w:trPr>
        <w:tc>
          <w:tcPr>
            <w:cnfStyle w:val="001000000000"/>
            <w:tcW w:w="975" w:type="pct"/>
            <w:tcBorders>
              <w:top w:val="single" w:sz="4" w:space="0" w:color="auto"/>
              <w:left w:val="single" w:sz="18" w:space="0" w:color="auto"/>
              <w:bottom w:val="single" w:sz="4" w:space="0" w:color="auto"/>
              <w:right w:val="single" w:sz="4" w:space="0" w:color="auto"/>
            </w:tcBorders>
            <w:vAlign w:val="center"/>
          </w:tcPr>
          <w:p w:rsidR="00084397" w:rsidRPr="00927042" w:rsidRDefault="00084397" w:rsidP="00084397">
            <w:pPr>
              <w:jc w:val="center"/>
              <w:rPr>
                <w:b w:val="0"/>
                <w:sz w:val="18"/>
                <w:szCs w:val="18"/>
              </w:rPr>
            </w:pPr>
            <w:r w:rsidRPr="00927042">
              <w:rPr>
                <w:b w:val="0"/>
                <w:sz w:val="18"/>
                <w:szCs w:val="18"/>
              </w:rPr>
              <w:t xml:space="preserve">312 – </w:t>
            </w:r>
            <w:proofErr w:type="spellStart"/>
            <w:r w:rsidRPr="00927042">
              <w:rPr>
                <w:b w:val="0"/>
                <w:sz w:val="18"/>
                <w:szCs w:val="18"/>
              </w:rPr>
              <w:t>Mikrovállalkozás</w:t>
            </w:r>
            <w:proofErr w:type="spellEnd"/>
          </w:p>
        </w:tc>
        <w:tc>
          <w:tcPr>
            <w:tcW w:w="2560" w:type="pct"/>
            <w:gridSpan w:val="3"/>
            <w:tcBorders>
              <w:top w:val="single" w:sz="4" w:space="0" w:color="auto"/>
              <w:left w:val="single" w:sz="4" w:space="0" w:color="auto"/>
              <w:bottom w:val="single" w:sz="4" w:space="0" w:color="auto"/>
              <w:right w:val="single" w:sz="4" w:space="0" w:color="auto"/>
            </w:tcBorders>
            <w:vAlign w:val="center"/>
          </w:tcPr>
          <w:p w:rsidR="00084397" w:rsidRPr="00927042" w:rsidRDefault="004938BD" w:rsidP="00681E28">
            <w:pPr>
              <w:jc w:val="center"/>
              <w:cnfStyle w:val="000000100000"/>
              <w:rPr>
                <w:sz w:val="18"/>
                <w:szCs w:val="18"/>
              </w:rPr>
            </w:pPr>
            <w:r>
              <w:rPr>
                <w:b/>
                <w:sz w:val="18"/>
                <w:szCs w:val="18"/>
              </w:rPr>
              <w:t>S</w:t>
            </w:r>
            <w:r w:rsidR="00084397" w:rsidRPr="003E3817">
              <w:rPr>
                <w:b/>
                <w:sz w:val="18"/>
                <w:szCs w:val="18"/>
              </w:rPr>
              <w:t>tatisztikai</w:t>
            </w:r>
            <w:r w:rsidR="00084397">
              <w:rPr>
                <w:sz w:val="18"/>
                <w:szCs w:val="18"/>
              </w:rPr>
              <w:t xml:space="preserve"> </w:t>
            </w:r>
            <w:r w:rsidR="00084397" w:rsidRPr="003E3817">
              <w:rPr>
                <w:b/>
                <w:sz w:val="18"/>
                <w:szCs w:val="18"/>
              </w:rPr>
              <w:t>elemzést</w:t>
            </w:r>
            <w:r w:rsidR="00084397">
              <w:rPr>
                <w:sz w:val="18"/>
                <w:szCs w:val="18"/>
              </w:rPr>
              <w:t xml:space="preserve"> vég</w:t>
            </w:r>
            <w:r>
              <w:rPr>
                <w:sz w:val="18"/>
                <w:szCs w:val="18"/>
              </w:rPr>
              <w:t>e</w:t>
            </w:r>
            <w:r w:rsidR="00084397">
              <w:rPr>
                <w:sz w:val="18"/>
                <w:szCs w:val="18"/>
              </w:rPr>
              <w:t>z</w:t>
            </w:r>
            <w:r>
              <w:rPr>
                <w:sz w:val="18"/>
                <w:szCs w:val="18"/>
              </w:rPr>
              <w:t>t</w:t>
            </w:r>
            <w:r w:rsidR="00084397">
              <w:rPr>
                <w:sz w:val="18"/>
                <w:szCs w:val="18"/>
              </w:rPr>
              <w:t xml:space="preserve">ünk a támogatási kérelmekben benyújtott kiadási tételekre vonatkozóan </w:t>
            </w:r>
          </w:p>
        </w:tc>
        <w:tc>
          <w:tcPr>
            <w:tcW w:w="1465" w:type="pct"/>
            <w:gridSpan w:val="3"/>
            <w:tcBorders>
              <w:top w:val="single" w:sz="4" w:space="0" w:color="auto"/>
              <w:left w:val="single" w:sz="4" w:space="0" w:color="auto"/>
              <w:bottom w:val="single" w:sz="4" w:space="0" w:color="auto"/>
              <w:right w:val="single" w:sz="18" w:space="0" w:color="auto"/>
            </w:tcBorders>
            <w:vAlign w:val="center"/>
          </w:tcPr>
          <w:p w:rsidR="00084397" w:rsidRPr="00927042" w:rsidRDefault="00084397" w:rsidP="00084397">
            <w:pPr>
              <w:jc w:val="center"/>
              <w:cnfStyle w:val="000000100000"/>
              <w:rPr>
                <w:sz w:val="18"/>
                <w:szCs w:val="18"/>
              </w:rPr>
            </w:pPr>
            <w:r w:rsidRPr="004C1BBB">
              <w:rPr>
                <w:i/>
                <w:sz w:val="18"/>
                <w:szCs w:val="18"/>
              </w:rPr>
              <w:t>Az Előzetes Értékelő Jelentés</w:t>
            </w:r>
            <w:r>
              <w:rPr>
                <w:i/>
                <w:sz w:val="18"/>
                <w:szCs w:val="18"/>
              </w:rPr>
              <w:t>ben nem terveztük vizsgálni.</w:t>
            </w:r>
          </w:p>
        </w:tc>
      </w:tr>
      <w:tr w:rsidR="00084397" w:rsidRPr="00927042" w:rsidTr="00084397">
        <w:trPr>
          <w:cantSplit/>
        </w:trPr>
        <w:tc>
          <w:tcPr>
            <w:cnfStyle w:val="001000000000"/>
            <w:tcW w:w="975" w:type="pct"/>
            <w:tcBorders>
              <w:top w:val="single" w:sz="4" w:space="0" w:color="auto"/>
              <w:left w:val="single" w:sz="18" w:space="0" w:color="auto"/>
              <w:bottom w:val="single" w:sz="4" w:space="0" w:color="auto"/>
              <w:right w:val="single" w:sz="4" w:space="0" w:color="auto"/>
            </w:tcBorders>
            <w:vAlign w:val="center"/>
          </w:tcPr>
          <w:p w:rsidR="00084397" w:rsidRPr="00927042" w:rsidRDefault="00084397" w:rsidP="00084397">
            <w:pPr>
              <w:jc w:val="center"/>
              <w:rPr>
                <w:b w:val="0"/>
                <w:sz w:val="18"/>
                <w:szCs w:val="18"/>
              </w:rPr>
            </w:pPr>
            <w:r w:rsidRPr="00927042">
              <w:rPr>
                <w:b w:val="0"/>
                <w:sz w:val="18"/>
                <w:szCs w:val="18"/>
              </w:rPr>
              <w:t>313 – Turizmus</w:t>
            </w:r>
          </w:p>
        </w:tc>
        <w:tc>
          <w:tcPr>
            <w:tcW w:w="2560" w:type="pct"/>
            <w:gridSpan w:val="3"/>
            <w:tcBorders>
              <w:top w:val="single" w:sz="4" w:space="0" w:color="auto"/>
              <w:left w:val="single" w:sz="4" w:space="0" w:color="auto"/>
              <w:bottom w:val="single" w:sz="4" w:space="0" w:color="auto"/>
              <w:right w:val="single" w:sz="4" w:space="0" w:color="auto"/>
            </w:tcBorders>
            <w:vAlign w:val="center"/>
          </w:tcPr>
          <w:p w:rsidR="00084397" w:rsidRPr="00927042" w:rsidRDefault="004938BD" w:rsidP="00681E28">
            <w:pPr>
              <w:jc w:val="center"/>
              <w:cnfStyle w:val="000000000000"/>
              <w:rPr>
                <w:sz w:val="18"/>
                <w:szCs w:val="18"/>
              </w:rPr>
            </w:pPr>
            <w:r>
              <w:rPr>
                <w:b/>
                <w:sz w:val="18"/>
                <w:szCs w:val="18"/>
              </w:rPr>
              <w:t>S</w:t>
            </w:r>
            <w:r w:rsidR="00084397" w:rsidRPr="003E3817">
              <w:rPr>
                <w:b/>
                <w:sz w:val="18"/>
                <w:szCs w:val="18"/>
              </w:rPr>
              <w:t>tatisztikai</w:t>
            </w:r>
            <w:r w:rsidR="00084397">
              <w:rPr>
                <w:sz w:val="18"/>
                <w:szCs w:val="18"/>
              </w:rPr>
              <w:t xml:space="preserve"> </w:t>
            </w:r>
            <w:r w:rsidR="00084397" w:rsidRPr="003E3817">
              <w:rPr>
                <w:b/>
                <w:sz w:val="18"/>
                <w:szCs w:val="18"/>
              </w:rPr>
              <w:t>elemzést</w:t>
            </w:r>
            <w:r w:rsidR="00084397">
              <w:rPr>
                <w:sz w:val="18"/>
                <w:szCs w:val="18"/>
              </w:rPr>
              <w:t xml:space="preserve"> vég</w:t>
            </w:r>
            <w:r>
              <w:rPr>
                <w:sz w:val="18"/>
                <w:szCs w:val="18"/>
              </w:rPr>
              <w:t>e</w:t>
            </w:r>
            <w:r w:rsidR="00084397">
              <w:rPr>
                <w:sz w:val="18"/>
                <w:szCs w:val="18"/>
              </w:rPr>
              <w:t>z</w:t>
            </w:r>
            <w:r>
              <w:rPr>
                <w:sz w:val="18"/>
                <w:szCs w:val="18"/>
              </w:rPr>
              <w:t>t</w:t>
            </w:r>
            <w:r w:rsidR="00084397">
              <w:rPr>
                <w:sz w:val="18"/>
                <w:szCs w:val="18"/>
              </w:rPr>
              <w:t xml:space="preserve">ünk a támogatási kérelmekben benyújtott kiadási tételekre vonatkozóan </w:t>
            </w:r>
          </w:p>
        </w:tc>
        <w:tc>
          <w:tcPr>
            <w:tcW w:w="1465" w:type="pct"/>
            <w:gridSpan w:val="3"/>
            <w:tcBorders>
              <w:top w:val="single" w:sz="4" w:space="0" w:color="auto"/>
              <w:left w:val="single" w:sz="4" w:space="0" w:color="auto"/>
              <w:bottom w:val="single" w:sz="4" w:space="0" w:color="auto"/>
              <w:right w:val="single" w:sz="18" w:space="0" w:color="auto"/>
            </w:tcBorders>
            <w:vAlign w:val="center"/>
          </w:tcPr>
          <w:p w:rsidR="00084397" w:rsidRPr="00927042" w:rsidRDefault="00084397" w:rsidP="00084397">
            <w:pPr>
              <w:jc w:val="center"/>
              <w:cnfStyle w:val="000000000000"/>
              <w:rPr>
                <w:sz w:val="18"/>
                <w:szCs w:val="18"/>
              </w:rPr>
            </w:pPr>
            <w:r w:rsidRPr="004C1BBB">
              <w:rPr>
                <w:i/>
                <w:sz w:val="18"/>
                <w:szCs w:val="18"/>
              </w:rPr>
              <w:t>Az Előzetes Értékelő Jelentés</w:t>
            </w:r>
            <w:r>
              <w:rPr>
                <w:i/>
                <w:sz w:val="18"/>
                <w:szCs w:val="18"/>
              </w:rPr>
              <w:t>ben nem terveztük vizsgálni.</w:t>
            </w:r>
          </w:p>
        </w:tc>
      </w:tr>
      <w:tr w:rsidR="00084397" w:rsidRPr="00927042" w:rsidTr="00B22814">
        <w:trPr>
          <w:cnfStyle w:val="000000100000"/>
          <w:cantSplit/>
        </w:trPr>
        <w:tc>
          <w:tcPr>
            <w:cnfStyle w:val="001000000000"/>
            <w:tcW w:w="975" w:type="pct"/>
            <w:tcBorders>
              <w:top w:val="single" w:sz="4" w:space="0" w:color="auto"/>
              <w:left w:val="single" w:sz="18" w:space="0" w:color="auto"/>
            </w:tcBorders>
            <w:vAlign w:val="center"/>
          </w:tcPr>
          <w:p w:rsidR="00084397" w:rsidRPr="00927042" w:rsidRDefault="00084397" w:rsidP="00084397">
            <w:pPr>
              <w:jc w:val="center"/>
              <w:rPr>
                <w:b w:val="0"/>
                <w:sz w:val="18"/>
                <w:szCs w:val="18"/>
              </w:rPr>
            </w:pPr>
            <w:r w:rsidRPr="00927042">
              <w:rPr>
                <w:b w:val="0"/>
                <w:sz w:val="18"/>
                <w:szCs w:val="18"/>
              </w:rPr>
              <w:t>321 - Tanyabusz</w:t>
            </w:r>
          </w:p>
        </w:tc>
        <w:tc>
          <w:tcPr>
            <w:tcW w:w="3163" w:type="pct"/>
            <w:gridSpan w:val="4"/>
            <w:tcBorders>
              <w:top w:val="single" w:sz="4" w:space="0" w:color="auto"/>
              <w:bottom w:val="single" w:sz="18" w:space="0" w:color="auto"/>
              <w:right w:val="single" w:sz="2" w:space="0" w:color="auto"/>
            </w:tcBorders>
            <w:vAlign w:val="center"/>
          </w:tcPr>
          <w:p w:rsidR="00084397" w:rsidRPr="004C1BBB" w:rsidRDefault="00681E28" w:rsidP="00084397">
            <w:pPr>
              <w:jc w:val="center"/>
              <w:cnfStyle w:val="000000100000"/>
              <w:rPr>
                <w:i/>
                <w:sz w:val="18"/>
                <w:szCs w:val="18"/>
              </w:rPr>
            </w:pPr>
            <w:r w:rsidRPr="004C1BBB">
              <w:rPr>
                <w:i/>
                <w:sz w:val="18"/>
                <w:szCs w:val="18"/>
              </w:rPr>
              <w:t>Az Előzetes Értékelő Jelentés</w:t>
            </w:r>
            <w:r>
              <w:rPr>
                <w:i/>
                <w:sz w:val="18"/>
                <w:szCs w:val="18"/>
              </w:rPr>
              <w:t>ben nem terveztük vizsgálni.</w:t>
            </w:r>
          </w:p>
        </w:tc>
        <w:tc>
          <w:tcPr>
            <w:tcW w:w="861" w:type="pct"/>
            <w:gridSpan w:val="2"/>
            <w:tcBorders>
              <w:top w:val="single" w:sz="4" w:space="0" w:color="auto"/>
              <w:left w:val="single" w:sz="2" w:space="0" w:color="auto"/>
              <w:bottom w:val="single" w:sz="18" w:space="0" w:color="auto"/>
              <w:right w:val="single" w:sz="18" w:space="0" w:color="auto"/>
            </w:tcBorders>
            <w:vAlign w:val="center"/>
          </w:tcPr>
          <w:p w:rsidR="00084397" w:rsidRPr="00927042" w:rsidRDefault="00084397" w:rsidP="00681E28">
            <w:pPr>
              <w:jc w:val="center"/>
              <w:cnfStyle w:val="000000100000"/>
              <w:rPr>
                <w:sz w:val="18"/>
                <w:szCs w:val="18"/>
              </w:rPr>
            </w:pPr>
            <w:r w:rsidRPr="003E3817">
              <w:rPr>
                <w:b/>
                <w:sz w:val="18"/>
                <w:szCs w:val="18"/>
              </w:rPr>
              <w:t>Import</w:t>
            </w:r>
            <w:r>
              <w:rPr>
                <w:sz w:val="18"/>
                <w:szCs w:val="18"/>
              </w:rPr>
              <w:t xml:space="preserve"> és </w:t>
            </w:r>
            <w:r w:rsidRPr="003E3817">
              <w:rPr>
                <w:b/>
                <w:sz w:val="18"/>
                <w:szCs w:val="18"/>
              </w:rPr>
              <w:t>ÁFA</w:t>
            </w:r>
            <w:r>
              <w:rPr>
                <w:sz w:val="18"/>
                <w:szCs w:val="18"/>
              </w:rPr>
              <w:t xml:space="preserve"> növekmény viz</w:t>
            </w:r>
            <w:r>
              <w:rPr>
                <w:sz w:val="18"/>
                <w:szCs w:val="18"/>
              </w:rPr>
              <w:t>s</w:t>
            </w:r>
            <w:r>
              <w:rPr>
                <w:sz w:val="18"/>
                <w:szCs w:val="18"/>
              </w:rPr>
              <w:t>gálatot vég</w:t>
            </w:r>
            <w:r w:rsidR="00B22814">
              <w:rPr>
                <w:sz w:val="18"/>
                <w:szCs w:val="18"/>
              </w:rPr>
              <w:t>e</w:t>
            </w:r>
            <w:r>
              <w:rPr>
                <w:sz w:val="18"/>
                <w:szCs w:val="18"/>
              </w:rPr>
              <w:t>z</w:t>
            </w:r>
            <w:r w:rsidR="00B22814">
              <w:rPr>
                <w:sz w:val="18"/>
                <w:szCs w:val="18"/>
              </w:rPr>
              <w:t>t</w:t>
            </w:r>
            <w:r>
              <w:rPr>
                <w:sz w:val="18"/>
                <w:szCs w:val="18"/>
              </w:rPr>
              <w:t xml:space="preserve">ünk </w:t>
            </w:r>
          </w:p>
        </w:tc>
      </w:tr>
    </w:tbl>
    <w:bookmarkStart w:id="2" w:name="_Ref277065656"/>
    <w:bookmarkStart w:id="3" w:name="_Ref276985936"/>
    <w:p w:rsidR="00084397" w:rsidRDefault="003F44DC" w:rsidP="00084397">
      <w:pPr>
        <w:pStyle w:val="Caption"/>
        <w:spacing w:before="120"/>
        <w:jc w:val="center"/>
        <w:rPr>
          <w:color w:val="auto"/>
        </w:rPr>
      </w:pPr>
      <w:r>
        <w:rPr>
          <w:color w:val="auto"/>
        </w:rPr>
        <w:fldChar w:fldCharType="begin"/>
      </w:r>
      <w:r w:rsidR="00084397">
        <w:rPr>
          <w:color w:val="auto"/>
        </w:rPr>
        <w:instrText xml:space="preserve"> SEQ táblázat \* ARABIC </w:instrText>
      </w:r>
      <w:r>
        <w:rPr>
          <w:color w:val="auto"/>
        </w:rPr>
        <w:fldChar w:fldCharType="separate"/>
      </w:r>
      <w:bookmarkStart w:id="4" w:name="_Ref277872378"/>
      <w:r w:rsidR="002D1B7A">
        <w:rPr>
          <w:noProof/>
          <w:color w:val="auto"/>
        </w:rPr>
        <w:t>1</w:t>
      </w:r>
      <w:bookmarkEnd w:id="4"/>
      <w:r>
        <w:rPr>
          <w:color w:val="auto"/>
        </w:rPr>
        <w:fldChar w:fldCharType="end"/>
      </w:r>
      <w:r w:rsidR="00084397" w:rsidRPr="00795C31">
        <w:rPr>
          <w:color w:val="auto"/>
        </w:rPr>
        <w:t xml:space="preserve">. </w:t>
      </w:r>
      <w:bookmarkStart w:id="5" w:name="_Ref276985929"/>
      <w:r w:rsidR="00084397" w:rsidRPr="00795C31">
        <w:rPr>
          <w:color w:val="auto"/>
        </w:rPr>
        <w:t>táblázat</w:t>
      </w:r>
      <w:bookmarkEnd w:id="2"/>
      <w:r w:rsidR="00084397">
        <w:rPr>
          <w:color w:val="auto"/>
        </w:rPr>
        <w:t>: Az Előzetes Értékelő Jelentésben egyeztetett vizsgálatok státusza</w:t>
      </w:r>
      <w:r w:rsidR="00084397">
        <w:rPr>
          <w:rStyle w:val="FootnoteReference"/>
          <w:color w:val="auto"/>
        </w:rPr>
        <w:footnoteReference w:id="1"/>
      </w:r>
      <w:bookmarkEnd w:id="3"/>
      <w:bookmarkEnd w:id="5"/>
    </w:p>
    <w:p w:rsidR="00084397" w:rsidRDefault="00084397" w:rsidP="000E5C0B">
      <w:pPr>
        <w:pStyle w:val="HUNHeading1"/>
        <w:pageBreakBefore w:val="0"/>
        <w:ind w:left="357" w:hanging="357"/>
      </w:pPr>
      <w:bookmarkStart w:id="6" w:name="_Ref277926241"/>
      <w:bookmarkStart w:id="7" w:name="_Toc278793270"/>
      <w:bookmarkStart w:id="8" w:name="_Toc279359346"/>
      <w:r>
        <w:lastRenderedPageBreak/>
        <w:t>Ökonometriai elemzés</w:t>
      </w:r>
      <w:bookmarkEnd w:id="6"/>
      <w:bookmarkEnd w:id="7"/>
      <w:r w:rsidR="004938BD">
        <w:t xml:space="preserve"> ismertetése</w:t>
      </w:r>
      <w:bookmarkEnd w:id="8"/>
    </w:p>
    <w:p w:rsidR="00084397" w:rsidRDefault="00084397" w:rsidP="00084397">
      <w:pPr>
        <w:jc w:val="both"/>
      </w:pPr>
      <w:r>
        <w:t xml:space="preserve">Az Új Magyarország Vidékfejlesztési Program </w:t>
      </w:r>
      <w:r w:rsidRPr="005608A1">
        <w:t>gazdasági hatásait</w:t>
      </w:r>
      <w:r>
        <w:t xml:space="preserve"> vizsgáló </w:t>
      </w:r>
      <w:proofErr w:type="spellStart"/>
      <w:r>
        <w:t>ökonometriai</w:t>
      </w:r>
      <w:proofErr w:type="spellEnd"/>
      <w:r>
        <w:t xml:space="preserve"> modellt az Agrárga</w:t>
      </w:r>
      <w:r>
        <w:t>z</w:t>
      </w:r>
      <w:r>
        <w:t>dasági Kutató Intézet (továbbiakban AKI) által üzemeltetett FADN (</w:t>
      </w:r>
      <w:r w:rsidRPr="00C31367">
        <w:rPr>
          <w:i/>
        </w:rPr>
        <w:t xml:space="preserve">Farm </w:t>
      </w:r>
      <w:proofErr w:type="spellStart"/>
      <w:r w:rsidRPr="00C31367">
        <w:rPr>
          <w:i/>
        </w:rPr>
        <w:t>Accountancy</w:t>
      </w:r>
      <w:proofErr w:type="spellEnd"/>
      <w:r w:rsidRPr="00C31367">
        <w:rPr>
          <w:i/>
        </w:rPr>
        <w:t xml:space="preserve"> Data Network</w:t>
      </w:r>
      <w:r>
        <w:t>) tesz</w:t>
      </w:r>
      <w:r>
        <w:t>t</w:t>
      </w:r>
      <w:r>
        <w:t xml:space="preserve">üzemi adatbázis alapján állítottuk </w:t>
      </w:r>
      <w:proofErr w:type="gramStart"/>
      <w:r>
        <w:t>össze</w:t>
      </w:r>
      <w:bookmarkStart w:id="9" w:name="_Ref276994106"/>
      <w:r>
        <w:rPr>
          <w:rStyle w:val="FootnoteReference"/>
        </w:rPr>
        <w:footnoteReference w:id="2"/>
      </w:r>
      <w:bookmarkEnd w:id="9"/>
      <w:r>
        <w:t>.</w:t>
      </w:r>
      <w:proofErr w:type="gramEnd"/>
      <w:r>
        <w:t xml:space="preserve"> Az elemzés célja megmutatni a FADN tesztüzemi adatain keresztül a beruházási jellegű támogatások (</w:t>
      </w:r>
      <w:r w:rsidR="004938BD">
        <w:t>I</w:t>
      </w:r>
      <w:r>
        <w:t>. tengely) és a területalapú kifizetések (</w:t>
      </w:r>
      <w:r w:rsidR="004938BD">
        <w:t>II</w:t>
      </w:r>
      <w:r>
        <w:t xml:space="preserve">. tengely) hatásait egy ún. </w:t>
      </w:r>
      <w:r w:rsidRPr="00A15B96">
        <w:rPr>
          <w:i/>
        </w:rPr>
        <w:t>long</w:t>
      </w:r>
      <w:r w:rsidRPr="00A15B96">
        <w:rPr>
          <w:i/>
        </w:rPr>
        <w:t>i</w:t>
      </w:r>
      <w:r w:rsidRPr="00A15B96">
        <w:rPr>
          <w:i/>
        </w:rPr>
        <w:t>tudinális</w:t>
      </w:r>
      <w:r>
        <w:t xml:space="preserve"> modellben. A tesztüzemi rendszerben a SAPS, a TOP-UP és ÚMVP </w:t>
      </w:r>
      <w:r w:rsidR="004938BD">
        <w:t>támogatásai</w:t>
      </w:r>
      <w:r>
        <w:t xml:space="preserve"> </w:t>
      </w:r>
      <w:r w:rsidR="004938BD">
        <w:t xml:space="preserve">mind </w:t>
      </w:r>
      <w:r>
        <w:t>megtalálhat</w:t>
      </w:r>
      <w:r>
        <w:t>ó</w:t>
      </w:r>
      <w:r>
        <w:t>ak az üzemek adatai között. Az évente rögzített adatbázis közel kétezer üzeméből kiegyensúlyozottan</w:t>
      </w:r>
      <w:r>
        <w:rPr>
          <w:rStyle w:val="FootnoteReference"/>
        </w:rPr>
        <w:footnoteReference w:id="3"/>
      </w:r>
      <w:r>
        <w:t xml:space="preserve"> cs</w:t>
      </w:r>
      <w:r>
        <w:t>u</w:t>
      </w:r>
      <w:r>
        <w:t xml:space="preserve">pán 1490 üzem használható. Ezekből </w:t>
      </w:r>
      <w:r w:rsidR="004938BD">
        <w:t xml:space="preserve">a </w:t>
      </w:r>
      <w:r>
        <w:t>vizsgálható mintaszám megőrzése miatt legfeljebb kéttípusú bo</w:t>
      </w:r>
      <w:r>
        <w:t>n</w:t>
      </w:r>
      <w:r>
        <w:t>tást használunk: beruházási támogatásokat</w:t>
      </w:r>
      <w:r>
        <w:rPr>
          <w:rStyle w:val="FootnoteReference"/>
        </w:rPr>
        <w:footnoteReference w:id="4"/>
      </w:r>
      <w:r>
        <w:t xml:space="preserve"> és területalapú támogatásokat </w:t>
      </w:r>
      <w:r w:rsidR="004938BD">
        <w:t xml:space="preserve">(több szempontú bontásnál a vizsgálható mintaszám drasztikusan lecsökkent volna). </w:t>
      </w:r>
      <w:r>
        <w:t>Ez utóbbinál külön választottuk az agrár-környezetgazdálkodáshoz</w:t>
      </w:r>
      <w:r w:rsidR="004938BD">
        <w:t xml:space="preserve"> (AKG)</w:t>
      </w:r>
      <w:r>
        <w:t xml:space="preserve"> köthető kifizetése</w:t>
      </w:r>
      <w:r w:rsidR="004938BD">
        <w:t xml:space="preserve">ket a </w:t>
      </w:r>
      <w:proofErr w:type="spellStart"/>
      <w:r w:rsidR="004938BD">
        <w:t>SAPS-tól</w:t>
      </w:r>
      <w:proofErr w:type="spellEnd"/>
      <w:r w:rsidR="004938BD">
        <w:t>.</w:t>
      </w:r>
      <w:r>
        <w:t xml:space="preserve"> </w:t>
      </w:r>
      <w:r w:rsidR="004938BD">
        <w:t>A</w:t>
      </w:r>
      <w:r>
        <w:t xml:space="preserve"> KAT és NATURA 2000 jogcímek</w:t>
      </w:r>
      <w:r w:rsidR="004938BD">
        <w:t>et</w:t>
      </w:r>
      <w:r>
        <w:t xml:space="preserve"> – e</w:t>
      </w:r>
      <w:r>
        <w:t>l</w:t>
      </w:r>
      <w:r>
        <w:t>enyésző mintaszámuk miatt - nem szerepel</w:t>
      </w:r>
      <w:r w:rsidR="004938BD">
        <w:t>tettük a vizsgált mintában</w:t>
      </w:r>
      <w:r>
        <w:t>. A mintaszám csökkenésének elker</w:t>
      </w:r>
      <w:r>
        <w:t>ü</w:t>
      </w:r>
      <w:r>
        <w:t>lését szem előtt tartva nem választottuk szét az üzemeket regionális csoportokra.</w:t>
      </w:r>
    </w:p>
    <w:p w:rsidR="00084397" w:rsidRDefault="00084397" w:rsidP="00084397">
      <w:pPr>
        <w:pStyle w:val="HUNNormal"/>
      </w:pPr>
      <w:r>
        <w:t xml:space="preserve">Az </w:t>
      </w:r>
      <w:proofErr w:type="spellStart"/>
      <w:r>
        <w:t>AKI-val</w:t>
      </w:r>
      <w:proofErr w:type="spellEnd"/>
      <w:r>
        <w:t xml:space="preserve"> folytatott egyeztetések és a nemzetközi szakirodalom feldolgozása után választottuk ki a megfel</w:t>
      </w:r>
      <w:r>
        <w:t>e</w:t>
      </w:r>
      <w:r>
        <w:t>lő magyarázó változóinkat. Előzetesen fontos megjegyeznünk, hogy az ÚMVP 2007-es indulását követően a legtöbb kifizetés 2009-ben történt, a támogatási kérelmek 2010. június 30-i állapota alapján a legtöbb pr</w:t>
      </w:r>
      <w:r>
        <w:t>o</w:t>
      </w:r>
      <w:r>
        <w:t xml:space="preserve">jekt </w:t>
      </w:r>
      <w:r w:rsidR="004938BD">
        <w:t>lezárása még nem történt meg</w:t>
      </w:r>
      <w:r>
        <w:t xml:space="preserve">. Ezek hatásainak </w:t>
      </w:r>
      <w:r w:rsidR="004938BD">
        <w:t>jelentkezését</w:t>
      </w:r>
      <w:r>
        <w:t xml:space="preserve"> természetesen csak részlegesen vagy egyáltalán nem várhatjuk. A területalapú támogatások </w:t>
      </w:r>
      <w:r w:rsidR="004938BD">
        <w:t xml:space="preserve">egy része </w:t>
      </w:r>
      <w:r>
        <w:t xml:space="preserve">(elsősorban az AKG) még az NVT keretén belül kerültek kifizetésre, ami – az 1320/2006/EC rendeletben megjelölt determinációs lehetőség folytán – folytatódott az ÚMVP kereteinek terhére is. </w:t>
      </w:r>
    </w:p>
    <w:p w:rsidR="00084397" w:rsidRDefault="00084397" w:rsidP="00084397">
      <w:pPr>
        <w:pStyle w:val="HUNNormal"/>
      </w:pPr>
      <w:r>
        <w:t xml:space="preserve">Az </w:t>
      </w:r>
      <w:proofErr w:type="spellStart"/>
      <w:r>
        <w:t>ökonometriai</w:t>
      </w:r>
      <w:proofErr w:type="spellEnd"/>
      <w:r>
        <w:t xml:space="preserve"> modell bemutatásakor részletesen kitérünk az értékelési munka módszertani alapjainak és sajátosságainak, továbbá - az értékeléshez felhasznált adatok, információk alapján – az értékelés korláta</w:t>
      </w:r>
      <w:r>
        <w:t>i</w:t>
      </w:r>
      <w:r>
        <w:t>nak ismertetésére.</w:t>
      </w:r>
    </w:p>
    <w:p w:rsidR="00084397" w:rsidRDefault="00084397" w:rsidP="00084397">
      <w:pPr>
        <w:pStyle w:val="HUNHeading2"/>
        <w:ind w:left="432"/>
      </w:pPr>
      <w:r>
        <w:t xml:space="preserve"> </w:t>
      </w:r>
      <w:bookmarkStart w:id="10" w:name="_Toc278793271"/>
      <w:bookmarkStart w:id="11" w:name="_Toc279359347"/>
      <w:r>
        <w:t>Módszertani leírás</w:t>
      </w:r>
      <w:bookmarkEnd w:id="10"/>
      <w:bookmarkEnd w:id="11"/>
    </w:p>
    <w:p w:rsidR="00084397" w:rsidRDefault="00084397" w:rsidP="00084397">
      <w:pPr>
        <w:pStyle w:val="HUNHeading3"/>
        <w:ind w:left="504"/>
      </w:pPr>
      <w:bookmarkStart w:id="12" w:name="_Toc278793272"/>
      <w:bookmarkStart w:id="13" w:name="_Toc279359348"/>
      <w:r>
        <w:t>Eredményszemléletűség a FADN adataiban</w:t>
      </w:r>
      <w:bookmarkEnd w:id="12"/>
      <w:bookmarkEnd w:id="13"/>
    </w:p>
    <w:p w:rsidR="00084397" w:rsidRDefault="00084397" w:rsidP="00084397">
      <w:pPr>
        <w:jc w:val="both"/>
      </w:pPr>
      <w:r>
        <w:t>Az Agrárgazdasági Kutatóintézet által üzemeltetett FADN adatbázisba az üzemek könyvelőirodákon keresztül juttatják el számviteli adataikat. Ezzel kapcsolatban fontos kitérni arra, hogy ezek a számok eredménysze</w:t>
      </w:r>
      <w:r>
        <w:t>m</w:t>
      </w:r>
      <w:r>
        <w:t xml:space="preserve">léletben értendőek, ami a mi esetünkben azért fontos, mert </w:t>
      </w:r>
      <w:r w:rsidR="004938BD">
        <w:t xml:space="preserve">ebben a rendszerben </w:t>
      </w:r>
      <w:r>
        <w:t>a támogatások megítél</w:t>
      </w:r>
      <w:r>
        <w:t>é</w:t>
      </w:r>
      <w:r>
        <w:t xml:space="preserve">sének pillanatában (támogató határozat dátuma) az üzem </w:t>
      </w:r>
      <w:r w:rsidRPr="00980B04">
        <w:rPr>
          <w:i/>
        </w:rPr>
        <w:t>elméletileg</w:t>
      </w:r>
      <w:r>
        <w:t xml:space="preserve"> megkapja a támogatást, és azt le is könyveli. Az üzemek a kifizetések során esetleg eltérő összegeket a következő évi korrekciós sorra vezetik </w:t>
      </w:r>
      <w:r>
        <w:lastRenderedPageBreak/>
        <w:t>majd fel. Elemzésünkben ezek a korrekciók nem szerepelnek, mivel a támogatási összegek alapján elke</w:t>
      </w:r>
      <w:r>
        <w:t>z</w:t>
      </w:r>
      <w:r>
        <w:t xml:space="preserve">dett projektek hatását kívántuk elsősorban vizsgálni, és nem a pontosan kifizetett </w:t>
      </w:r>
      <w:proofErr w:type="gramStart"/>
      <w:r>
        <w:t>összegeket</w:t>
      </w:r>
      <w:r>
        <w:rPr>
          <w:rStyle w:val="FootnoteReference"/>
        </w:rPr>
        <w:footnoteReference w:id="5"/>
      </w:r>
      <w:r>
        <w:t>.</w:t>
      </w:r>
      <w:proofErr w:type="gramEnd"/>
      <w:r>
        <w:t xml:space="preserve"> </w:t>
      </w:r>
      <w:r w:rsidR="004938BD">
        <w:t>Ez a megk</w:t>
      </w:r>
      <w:r w:rsidR="004938BD">
        <w:t>ö</w:t>
      </w:r>
      <w:r w:rsidR="004938BD">
        <w:t xml:space="preserve">zelítés jobban megfelel az utófinanszírozott projektek valós megvalósítási logikájának. </w:t>
      </w:r>
      <w:r>
        <w:t>Ugyanakkor az is el</w:t>
      </w:r>
      <w:r>
        <w:t>ő</w:t>
      </w:r>
      <w:r>
        <w:t>fordulhat, hogy a támogatás megítélése után nem közvetlenül kezdődik meg a beruházás/fejlesztés, ezt azonban nem állt módunkban kiszűrni, mivel a FADN adatbázis szigorú anonimitása miatt nem lehet</w:t>
      </w:r>
      <w:r w:rsidR="004938BD">
        <w:t>ett</w:t>
      </w:r>
      <w:r>
        <w:t xml:space="preserve"> az MVH támogatási adataival összekapcsolni a rendszerben részt vevő üzemek </w:t>
      </w:r>
      <w:r w:rsidR="004938BD">
        <w:t>adatait</w:t>
      </w:r>
      <w:r>
        <w:t>.</w:t>
      </w:r>
    </w:p>
    <w:p w:rsidR="00084397" w:rsidRDefault="00084397" w:rsidP="00084397">
      <w:pPr>
        <w:pStyle w:val="HUNHeading3"/>
        <w:ind w:left="504"/>
      </w:pPr>
      <w:bookmarkStart w:id="14" w:name="_Ref276132525"/>
      <w:bookmarkStart w:id="15" w:name="_Toc278793273"/>
      <w:bookmarkStart w:id="16" w:name="_Toc279359349"/>
      <w:r>
        <w:t>Beruházási támogatások hatásának késése</w:t>
      </w:r>
      <w:bookmarkEnd w:id="14"/>
      <w:bookmarkEnd w:id="15"/>
      <w:bookmarkEnd w:id="16"/>
    </w:p>
    <w:p w:rsidR="00084397" w:rsidRDefault="00084397" w:rsidP="00084397">
      <w:pPr>
        <w:jc w:val="both"/>
      </w:pPr>
      <w:r>
        <w:t>Az agrárgazdasági kutatásokból látszó általános tapasztalat, hogy a beruházási támogatások az üzemek eredményeiben többnyire késéssel jelennek meg, és eleinte</w:t>
      </w:r>
      <w:r w:rsidR="004938BD">
        <w:t xml:space="preserve"> inkább</w:t>
      </w:r>
      <w:r>
        <w:t xml:space="preserve"> eredményt rontó tényezőnek számít</w:t>
      </w:r>
      <w:r>
        <w:t>a</w:t>
      </w:r>
      <w:r>
        <w:t xml:space="preserve">nak. Az építkezési beruházásokra mindez fokozottabban, míg a gépvásárlásokra kevésbé érvényes. Bár ezt a késést teljesen kiszűrni nem tudjuk (főként egy </w:t>
      </w:r>
      <w:r w:rsidR="004938BD">
        <w:t>félidei</w:t>
      </w:r>
      <w:r>
        <w:t xml:space="preserve"> értékelés időzítéséből fakadóan), a modellben a függő változóinkat igyekszünk nem eredményességhez, hanem hozzáadott értékhez és munkaerőegységhez kötni. Javasoljuk azonban az ex-post elemzés készítőinek az adózás előtti eredmény vizsgálatát </w:t>
      </w:r>
      <w:r w:rsidR="004938BD">
        <w:t xml:space="preserve">is </w:t>
      </w:r>
      <w:r>
        <w:t>a támogatások függvényében a lentebb feltárt módszertani megfontolásokat figyelembe véve.</w:t>
      </w:r>
    </w:p>
    <w:p w:rsidR="00084397" w:rsidRDefault="00084397" w:rsidP="00084397">
      <w:pPr>
        <w:pStyle w:val="HUNHeading3"/>
        <w:ind w:left="504"/>
      </w:pPr>
      <w:bookmarkStart w:id="17" w:name="_Toc278793274"/>
      <w:bookmarkStart w:id="18" w:name="_Toc279359350"/>
      <w:r>
        <w:t>Nettó hozzáadott érték és Éves munkaerőegység vizsgálata</w:t>
      </w:r>
      <w:bookmarkEnd w:id="17"/>
      <w:bookmarkEnd w:id="18"/>
    </w:p>
    <w:p w:rsidR="00084397" w:rsidRDefault="00084397" w:rsidP="00084397">
      <w:pPr>
        <w:jc w:val="both"/>
      </w:pPr>
      <w:r>
        <w:t xml:space="preserve">Az éves nettó árbevételnél finomabb változónak tekintjük </w:t>
      </w:r>
      <w:proofErr w:type="gramStart"/>
      <w:r>
        <w:t>az</w:t>
      </w:r>
      <w:proofErr w:type="gramEnd"/>
      <w:r>
        <w:t xml:space="preserve"> AKI által is alkalmazott</w:t>
      </w:r>
      <w:r>
        <w:rPr>
          <w:rStyle w:val="FootnoteReference"/>
        </w:rPr>
        <w:footnoteReference w:id="6"/>
      </w:r>
      <w:r>
        <w:t xml:space="preserve"> nettó hozzáadott érték </w:t>
      </w:r>
      <w:r w:rsidR="004938BD">
        <w:t>alkalmazását</w:t>
      </w:r>
      <w:r>
        <w:t xml:space="preserve"> függő változóként a modellben. Ezt a bruttó hozzáadott értékből származtatjuk (levonva abból az értékcsökkenést), aminek a számítása a következőképpen történik:</w:t>
      </w:r>
    </w:p>
    <w:p w:rsidR="00084397" w:rsidRDefault="00084397" w:rsidP="00084397">
      <w:pPr>
        <w:jc w:val="both"/>
      </w:pPr>
      <w:r w:rsidRPr="008D15F6">
        <w:rPr>
          <w:i/>
        </w:rPr>
        <w:t>Bruttó termelési érték – folyó termelő felhasználás – adók</w:t>
      </w:r>
      <w:r>
        <w:t xml:space="preserve">. A későbbiekben </w:t>
      </w:r>
      <w:proofErr w:type="gramStart"/>
      <w:r>
        <w:t>az</w:t>
      </w:r>
      <w:proofErr w:type="gramEnd"/>
      <w:r>
        <w:t xml:space="preserve"> AKI 2009. évi kérdőívének cellahivatkozásaival fejtjük ki a nettó hozzáadott érték pontos meghatározását. Ezzel a mutatóval becsüljük az üzemek gazdasági potenciáljának, </w:t>
      </w:r>
      <w:r w:rsidRPr="000077DA">
        <w:rPr>
          <w:b/>
          <w:i/>
        </w:rPr>
        <w:t>jövedelmezőségének</w:t>
      </w:r>
      <w:r>
        <w:t xml:space="preserve"> </w:t>
      </w:r>
      <w:r w:rsidRPr="000077DA">
        <w:rPr>
          <w:b/>
          <w:i/>
        </w:rPr>
        <w:t>fejlődését</w:t>
      </w:r>
      <w:r>
        <w:t xml:space="preserve"> az évek során a támogatások tükr</w:t>
      </w:r>
      <w:r>
        <w:t>é</w:t>
      </w:r>
      <w:r>
        <w:t>ben. Ezt a mutatót annak érdekében választ</w:t>
      </w:r>
      <w:r w:rsidR="004938BD">
        <w:t>ottu</w:t>
      </w:r>
      <w:r>
        <w:t>k, hogy egy egyéni és társas gazdaságok tekintetében is összehasonlítható kategóriát tudjunk haszn</w:t>
      </w:r>
      <w:r w:rsidR="004938BD">
        <w:t xml:space="preserve">álni, mivel a Magyarországon mezőgazdasági </w:t>
      </w:r>
      <w:r>
        <w:t>termelést végző 90 ezer üzem között nagy a méret és jellegbeli szóródás, ami megnehezíti az arányos teljesítmények összevet</w:t>
      </w:r>
      <w:r>
        <w:t>é</w:t>
      </w:r>
      <w:r>
        <w:t xml:space="preserve">sét. Az </w:t>
      </w:r>
      <w:proofErr w:type="spellStart"/>
      <w:r>
        <w:t>AKI-val</w:t>
      </w:r>
      <w:proofErr w:type="spellEnd"/>
      <w:r>
        <w:t xml:space="preserve"> egyeztetve jutottunk arra az álláspontra, hogy a bruttó hozzáadott értékből levonva az érté</w:t>
      </w:r>
      <w:r>
        <w:t>k</w:t>
      </w:r>
      <w:r>
        <w:t>csökkenést egy olyan mérőszámhoz jutunk, ami a legkisebb torzítással méri a mintán az üzemek gazdasági erejét.</w:t>
      </w:r>
    </w:p>
    <w:p w:rsidR="00084397" w:rsidRDefault="00084397" w:rsidP="00084397">
      <w:pPr>
        <w:jc w:val="both"/>
      </w:pPr>
      <w:r>
        <w:t xml:space="preserve">Az Éves Munkaerőegység (ÉME) használata egyrészt egy Európai Uniós standardból adódik, másrészt pedig az egyéni és társas üzemek/gazdaságok egyenértékes </w:t>
      </w:r>
      <w:r w:rsidRPr="000077DA">
        <w:t>munkateljesítmény</w:t>
      </w:r>
      <w:r>
        <w:t xml:space="preserve"> mutatója. Definíciója: egy teljes munkaidőben foglalkoztatott, koránál és egészségi állapotánál fogva teljes értékű munkavégzésre alkalmas dolgozó éves munkaidő-teljesítménye, munkaórában – 2200 óra/év standardra vetítve. Ezzel a mutatóval becsüljük a támogatások </w:t>
      </w:r>
      <w:r w:rsidRPr="000077DA">
        <w:rPr>
          <w:b/>
          <w:i/>
        </w:rPr>
        <w:t>foglalkoztatási</w:t>
      </w:r>
      <w:r>
        <w:t xml:space="preserve"> </w:t>
      </w:r>
      <w:r w:rsidRPr="000077DA">
        <w:rPr>
          <w:b/>
          <w:i/>
        </w:rPr>
        <w:t>hatását</w:t>
      </w:r>
      <w:r>
        <w:t>. Amennyiben a munkaerőegység a támogatásoknak k</w:t>
      </w:r>
      <w:r>
        <w:t>ö</w:t>
      </w:r>
      <w:r>
        <w:t>szönhetően növekszik, úgy azt úgy értelmezzük, hogy a korábbi állapothoz képest addicionális munkaerőt kell alkalmazni.</w:t>
      </w:r>
    </w:p>
    <w:p w:rsidR="00084397" w:rsidRDefault="00084397" w:rsidP="00084397">
      <w:pPr>
        <w:jc w:val="both"/>
      </w:pPr>
      <w:r>
        <w:t xml:space="preserve">A két mutató hányadosát (Nettó hozzáadott érték/Éves Munkaerőegység) tekintjük </w:t>
      </w:r>
      <w:r w:rsidRPr="000077DA">
        <w:rPr>
          <w:b/>
          <w:i/>
        </w:rPr>
        <w:t>munkatermelékenységi</w:t>
      </w:r>
      <w:r>
        <w:t xml:space="preserve"> </w:t>
      </w:r>
      <w:r w:rsidRPr="000077DA">
        <w:rPr>
          <w:b/>
          <w:i/>
        </w:rPr>
        <w:t>mutatónak</w:t>
      </w:r>
      <w:r>
        <w:t>, és az elemzéseket erre nézve végezzük el az Előzetes Értékelő Jelentésben leírtaknak megfel</w:t>
      </w:r>
      <w:r>
        <w:t>e</w:t>
      </w:r>
      <w:r>
        <w:t>lően.</w:t>
      </w:r>
    </w:p>
    <w:p w:rsidR="00084397" w:rsidRDefault="00084397" w:rsidP="00084397">
      <w:pPr>
        <w:pStyle w:val="HUNHeading3"/>
        <w:ind w:left="504"/>
      </w:pPr>
      <w:bookmarkStart w:id="19" w:name="_Toc278793275"/>
      <w:bookmarkStart w:id="20" w:name="_Toc279359351"/>
      <w:r>
        <w:lastRenderedPageBreak/>
        <w:t>Kiegyensúlyozott panel vizsgálat 2006 és 2009 között</w:t>
      </w:r>
      <w:bookmarkEnd w:id="19"/>
      <w:bookmarkEnd w:id="20"/>
    </w:p>
    <w:p w:rsidR="00084397" w:rsidRDefault="004938BD" w:rsidP="00084397">
      <w:pPr>
        <w:jc w:val="both"/>
      </w:pPr>
      <w:proofErr w:type="gramStart"/>
      <w:r>
        <w:t>Az</w:t>
      </w:r>
      <w:proofErr w:type="gramEnd"/>
      <w:r>
        <w:t xml:space="preserve"> AKI adatbázisából a</w:t>
      </w:r>
      <w:r w:rsidR="00084397">
        <w:t xml:space="preserve"> 2006 és 2009 között</w:t>
      </w:r>
      <w:r>
        <w:t>i adatokat</w:t>
      </w:r>
      <w:r w:rsidR="00084397">
        <w:t xml:space="preserve"> kértük el abból a célból, hogy az Új Magyarország Vidékfejlesztési Program programozási időszakát megelőzően is rendelkezzünk bázis </w:t>
      </w:r>
      <w:r>
        <w:t>értékekkel</w:t>
      </w:r>
      <w:r w:rsidR="00084397">
        <w:t xml:space="preserve"> az elemz</w:t>
      </w:r>
      <w:r w:rsidR="00084397">
        <w:t>é</w:t>
      </w:r>
      <w:r w:rsidR="00084397">
        <w:t xml:space="preserve">sünkben. Az </w:t>
      </w:r>
      <w:proofErr w:type="spellStart"/>
      <w:r w:rsidR="00084397">
        <w:t>ökonometriában</w:t>
      </w:r>
      <w:proofErr w:type="spellEnd"/>
      <w:r w:rsidR="00084397">
        <w:t xml:space="preserve"> a több időszakon keresztül átívelő keresztmetszeti adatsorokat </w:t>
      </w:r>
      <w:r w:rsidR="00084397" w:rsidRPr="00595EED">
        <w:rPr>
          <w:i/>
        </w:rPr>
        <w:t>panel</w:t>
      </w:r>
      <w:r w:rsidR="00084397">
        <w:t xml:space="preserve"> vagy </w:t>
      </w:r>
      <w:r w:rsidR="00084397" w:rsidRPr="00595EED">
        <w:rPr>
          <w:i/>
        </w:rPr>
        <w:t>longitudinális</w:t>
      </w:r>
      <w:r w:rsidR="00084397">
        <w:t xml:space="preserve"> adatoknak nevezzük. Az évek során az üzemek egyedi FADN azonosítói nem változhatnak, így egyértelműen be lehet azonosítani egy üzem adott évi aranykorona, tárgyi eszköz állomány, beruházási t</w:t>
      </w:r>
      <w:r w:rsidR="00084397">
        <w:t>á</w:t>
      </w:r>
      <w:r w:rsidR="00084397">
        <w:t>mogatás, EUME, ÉME vagy hozzáadott érték adatait. Ha minden évre megtalálható az adatbázisban ugya</w:t>
      </w:r>
      <w:r w:rsidR="00084397">
        <w:t>n</w:t>
      </w:r>
      <w:r w:rsidR="00084397">
        <w:t xml:space="preserve">annak a </w:t>
      </w:r>
      <w:proofErr w:type="spellStart"/>
      <w:r w:rsidR="00084397">
        <w:t>számosságú</w:t>
      </w:r>
      <w:proofErr w:type="spellEnd"/>
      <w:r w:rsidR="00084397">
        <w:t xml:space="preserve"> mintának minden adata, akkor azt az adatbázist kiegyensúlyozott panelnek (</w:t>
      </w:r>
      <w:proofErr w:type="spellStart"/>
      <w:r w:rsidR="00084397" w:rsidRPr="00A0062F">
        <w:rPr>
          <w:i/>
        </w:rPr>
        <w:t>balanced</w:t>
      </w:r>
      <w:proofErr w:type="spellEnd"/>
      <w:r w:rsidR="00084397" w:rsidRPr="00A0062F">
        <w:rPr>
          <w:i/>
        </w:rPr>
        <w:t xml:space="preserve"> panel</w:t>
      </w:r>
      <w:r w:rsidR="00084397">
        <w:t xml:space="preserve">) tekintjük. Ez jelen esetben a minta hozzávetőleg 1950 üzeméből 1490-re történő szűkítésével volt elérhető. Ezek azok az üzemek, amelyeknek adatai mind a négy vizsgált évben rendelkezésre állnak. Ezt a mintát </w:t>
      </w:r>
      <w:proofErr w:type="gramStart"/>
      <w:r w:rsidR="00084397">
        <w:t>az</w:t>
      </w:r>
      <w:proofErr w:type="gramEnd"/>
      <w:r w:rsidR="00084397">
        <w:t xml:space="preserve"> AKI súlyozási szisztémája alapján továbbra is reprezentatívnak tekinthetjük, amennyiben arra a 90 ezer árutermelő üzemre összpontosítunk az agráriumban, melyek</w:t>
      </w:r>
      <w:r>
        <w:t xml:space="preserve"> az AKI megközelítése szerint</w:t>
      </w:r>
      <w:r w:rsidR="00084397">
        <w:t xml:space="preserve"> valós hozz</w:t>
      </w:r>
      <w:r w:rsidR="00084397">
        <w:t>á</w:t>
      </w:r>
      <w:r w:rsidR="00084397">
        <w:t>adott értékkel hozzájárulnak az ország GDP-jéhez.</w:t>
      </w:r>
    </w:p>
    <w:p w:rsidR="00084397" w:rsidRDefault="00084397" w:rsidP="00084397">
      <w:pPr>
        <w:jc w:val="both"/>
      </w:pPr>
      <w:r>
        <w:t>Ez a minőségű, kiegyensúlyozott adathalmaz az egyszerű keresztmetszeti vizsgálatoknál többre is enged következtetni a következő egyszerű megfontolások alapján.</w:t>
      </w:r>
    </w:p>
    <w:p w:rsidR="00084397" w:rsidRDefault="00084397" w:rsidP="00084397">
      <w:pPr>
        <w:pStyle w:val="HUNHeading4"/>
        <w:ind w:left="648"/>
      </w:pPr>
      <w:bookmarkStart w:id="21" w:name="_Ref275875043"/>
      <w:proofErr w:type="spellStart"/>
      <w:r>
        <w:t>Ökonometriai</w:t>
      </w:r>
      <w:proofErr w:type="spellEnd"/>
      <w:r>
        <w:t xml:space="preserve"> háttér (modell típusok)</w:t>
      </w:r>
      <w:r>
        <w:rPr>
          <w:rStyle w:val="FootnoteReference"/>
        </w:rPr>
        <w:footnoteReference w:id="7"/>
      </w:r>
      <w:bookmarkEnd w:id="21"/>
    </w:p>
    <w:p w:rsidR="00084397" w:rsidRDefault="00084397" w:rsidP="00084397">
      <w:pPr>
        <w:jc w:val="both"/>
      </w:pPr>
      <w:r>
        <w:t xml:space="preserve">Többféle panel modelltípust ismerünk, mint például a konstans együtthatók, fixed </w:t>
      </w:r>
      <w:proofErr w:type="spellStart"/>
      <w:r>
        <w:t>effects</w:t>
      </w:r>
      <w:proofErr w:type="spellEnd"/>
      <w:r>
        <w:t xml:space="preserve"> és random </w:t>
      </w:r>
      <w:proofErr w:type="spellStart"/>
      <w:r>
        <w:t>effects</w:t>
      </w:r>
      <w:proofErr w:type="spellEnd"/>
      <w:r>
        <w:t xml:space="preserve"> modelleket, dinamikus paneleket és különböző kovariancia struktúrákat kezelő típusokat. Elsődlegesen az </w:t>
      </w:r>
      <w:proofErr w:type="spellStart"/>
      <w:r>
        <w:t>autokorreláció</w:t>
      </w:r>
      <w:proofErr w:type="spellEnd"/>
      <w:r>
        <w:t xml:space="preserve"> és </w:t>
      </w:r>
      <w:proofErr w:type="spellStart"/>
      <w:r>
        <w:t>heteroszkedaszticitás</w:t>
      </w:r>
      <w:proofErr w:type="spellEnd"/>
      <w:r>
        <w:t xml:space="preserve"> kezelésére</w:t>
      </w:r>
      <w:r>
        <w:rPr>
          <w:rStyle w:val="FootnoteReference"/>
        </w:rPr>
        <w:footnoteReference w:id="8"/>
      </w:r>
      <w:r>
        <w:t xml:space="preserve"> fókuszálunk, melyek a hagyományos becslési eljárást a legismertebb módon tudják torzítani.</w:t>
      </w:r>
    </w:p>
    <w:p w:rsidR="00084397" w:rsidRDefault="00084397" w:rsidP="00084397">
      <w:pPr>
        <w:jc w:val="both"/>
      </w:pPr>
      <w:r>
        <w:t xml:space="preserve">A </w:t>
      </w:r>
      <w:r w:rsidRPr="000935A4">
        <w:rPr>
          <w:b/>
        </w:rPr>
        <w:t>konstans együtthatók módszerében</w:t>
      </w:r>
      <w:r>
        <w:t xml:space="preserve"> a panel szerkezetnek nincs igazán jelentősége, miáltal egy vegyített legkisebb négyzetek alapján becsült adatbázis regresszióról van szó. Ez az alapmodell akkor állja meg a helyét, ha sem az időnek, sem pedig a keresztmetszeti különbségeknek nincs statisztikai jelentősége, és a változóink „együttesen” tekintve is magyarázóerővel bírnak egymásra nézve. Ez az a kiindulási pont, aho</w:t>
      </w:r>
      <w:r>
        <w:t>n</w:t>
      </w:r>
      <w:r>
        <w:t>nan tovább lehet lépni a becsült egyenlet és módszerek, megszorítások bonyolításával.</w:t>
      </w:r>
    </w:p>
    <w:p w:rsidR="00084397" w:rsidRDefault="00084397" w:rsidP="00084397">
      <w:pPr>
        <w:jc w:val="both"/>
      </w:pPr>
      <w:r>
        <w:t xml:space="preserve">A </w:t>
      </w:r>
      <w:r w:rsidRPr="000935A4">
        <w:rPr>
          <w:b/>
        </w:rPr>
        <w:t xml:space="preserve">fixed </w:t>
      </w:r>
      <w:proofErr w:type="spellStart"/>
      <w:r w:rsidRPr="000935A4">
        <w:rPr>
          <w:b/>
        </w:rPr>
        <w:t>effects</w:t>
      </w:r>
      <w:proofErr w:type="spellEnd"/>
      <w:r w:rsidRPr="000935A4">
        <w:rPr>
          <w:b/>
        </w:rPr>
        <w:t xml:space="preserve"> modellben</w:t>
      </w:r>
      <w:r>
        <w:t>, ha az időbeli különbségeket elhanyagolhatónak tekintjük, és a keresztmetszeti differenciákra koncentrálunk, akkor a minta egyes egységeihez bináris (</w:t>
      </w:r>
      <w:proofErr w:type="spellStart"/>
      <w:r w:rsidRPr="00595EED">
        <w:rPr>
          <w:i/>
        </w:rPr>
        <w:t>dummy</w:t>
      </w:r>
      <w:proofErr w:type="spellEnd"/>
      <w:r>
        <w:t>) változót rendelhetünk, ami a regressziós egyenest elemenként tudja mozgatni az ordináta (függőleges) tengely mentén (</w:t>
      </w:r>
      <w:proofErr w:type="spellStart"/>
      <w:r w:rsidRPr="00595EED">
        <w:rPr>
          <w:i/>
        </w:rPr>
        <w:t>drift</w:t>
      </w:r>
      <w:proofErr w:type="spellEnd"/>
      <w:r>
        <w:t xml:space="preserve">). Mivel minden évben ugyanazt a csoport vagy elemi-üzemi hatást tételezzük fel, fix hatásnak nevezzük a módszert. Ha a függő változó első differenciáját becsülnénk a továbbiakban, akkor a fenti </w:t>
      </w:r>
      <w:proofErr w:type="spellStart"/>
      <w:r>
        <w:t>dummy</w:t>
      </w:r>
      <w:proofErr w:type="spellEnd"/>
      <w:r>
        <w:t xml:space="preserve"> változók kiesnének a rendszerből. Tehát „szinten” (</w:t>
      </w:r>
      <w:proofErr w:type="spellStart"/>
      <w:r w:rsidRPr="00C31C3B">
        <w:rPr>
          <w:i/>
        </w:rPr>
        <w:t>level</w:t>
      </w:r>
      <w:proofErr w:type="spellEnd"/>
      <w:r>
        <w:t>) becsülve a változókat még használhatjuk a fix hatásokért felelős változ</w:t>
      </w:r>
      <w:r>
        <w:t>ó</w:t>
      </w:r>
      <w:r>
        <w:t>kat, differenciát becsülve már nincs jelentőségük. A fix hatás egyébként becsülhető az évekre is, de ekkor ezeket a keresztmetszet minden elemére változatlannak kellene feltételeznünk, amivel előzetesen is hibát követhetnénk el, mivel pl.: egy aszályos év nem sújthatja ugyanúgy az országban tevékenykedő (vagy le</w:t>
      </w:r>
      <w:r>
        <w:t>g</w:t>
      </w:r>
      <w:r>
        <w:t xml:space="preserve">alábbis a </w:t>
      </w:r>
      <w:proofErr w:type="spellStart"/>
      <w:r>
        <w:t>FADN-ben</w:t>
      </w:r>
      <w:proofErr w:type="spellEnd"/>
      <w:r>
        <w:t xml:space="preserve"> megtalálható) összes mezőgazdasági üzemet. A helyes modell kiválasztása közben ügyeltünk arra, hogy a modellek magyarázó ereje, egyszerűsége és csak az indokolt feltételezések száma növekedjen. Mivel a keresztmetszeti fixed </w:t>
      </w:r>
      <w:proofErr w:type="spellStart"/>
      <w:r>
        <w:t>effects</w:t>
      </w:r>
      <w:proofErr w:type="spellEnd"/>
      <w:r>
        <w:t xml:space="preserve"> modell a teljes mintán képez </w:t>
      </w:r>
      <w:proofErr w:type="spellStart"/>
      <w:r>
        <w:t>dummy</w:t>
      </w:r>
      <w:proofErr w:type="spellEnd"/>
      <w:r>
        <w:t xml:space="preserve"> változókat, a modell </w:t>
      </w:r>
      <w:r>
        <w:lastRenderedPageBreak/>
        <w:t xml:space="preserve">szabadságfoka drasztikusan lecsökken, így a becslés, noha konzisztens, semmiképpen sem hatékony, és az ellenőrző tesztek ereje is lecsökken. Fennállhat a változók közötti </w:t>
      </w:r>
      <w:proofErr w:type="spellStart"/>
      <w:r>
        <w:t>multikollinearitás</w:t>
      </w:r>
      <w:proofErr w:type="spellEnd"/>
      <w:r>
        <w:t xml:space="preserve"> veszélye is, ami miatt a becslőmátrix rangja nem lenne teljes, de erről később ejtünk szót.</w:t>
      </w:r>
    </w:p>
    <w:p w:rsidR="00084397" w:rsidRDefault="00084397" w:rsidP="00084397">
      <w:pPr>
        <w:jc w:val="both"/>
      </w:pPr>
      <w:r>
        <w:t xml:space="preserve">A </w:t>
      </w:r>
      <w:r w:rsidRPr="000935A4">
        <w:rPr>
          <w:b/>
        </w:rPr>
        <w:t xml:space="preserve">random </w:t>
      </w:r>
      <w:proofErr w:type="spellStart"/>
      <w:r w:rsidRPr="000935A4">
        <w:rPr>
          <w:b/>
        </w:rPr>
        <w:t>effects</w:t>
      </w:r>
      <w:proofErr w:type="spellEnd"/>
      <w:r w:rsidRPr="000935A4">
        <w:rPr>
          <w:b/>
        </w:rPr>
        <w:t xml:space="preserve"> modellben</w:t>
      </w:r>
      <w:r>
        <w:t xml:space="preserve"> az előzőhöz hasonlóan lehet kapcsolni a hatásokat a keresztmetszeti és időbeli megfigyelésekhez, azonban az ordináta tengely metszetét nem gondoljuk egyértelműnek, hanem egy elos</w:t>
      </w:r>
      <w:r>
        <w:t>z</w:t>
      </w:r>
      <w:r>
        <w:t>lásból származóan (egy várható érték és egy hibatag segítségével) választjuk meg. Ennek feltétele azonban, hogy ez a nem megfigyelhető hatás korrelálatlan legyen a magyarázó változóinkkal, mivel csak ekkor tudjuk megfelelően beépíteni a modellünkbe. Ezt a módszert is használhatjuk időben és keresztmetszetben eg</w:t>
      </w:r>
      <w:r>
        <w:t>y</w:t>
      </w:r>
      <w:r>
        <w:t>aránt, illetve együtt a kettőn (</w:t>
      </w:r>
      <w:proofErr w:type="spellStart"/>
      <w:r w:rsidRPr="000935A4">
        <w:rPr>
          <w:b/>
        </w:rPr>
        <w:t>two-way</w:t>
      </w:r>
      <w:proofErr w:type="spellEnd"/>
      <w:r w:rsidRPr="000935A4">
        <w:rPr>
          <w:b/>
        </w:rPr>
        <w:t xml:space="preserve"> random </w:t>
      </w:r>
      <w:proofErr w:type="spellStart"/>
      <w:r w:rsidRPr="000935A4">
        <w:rPr>
          <w:b/>
        </w:rPr>
        <w:t>effects</w:t>
      </w:r>
      <w:proofErr w:type="spellEnd"/>
      <w:r>
        <w:t xml:space="preserve">), mivel kiegyensúlyozott panel adatbázison dolgozunk, ami megengedi ezt a lehetőséget. Fontos megjegyezni, hogy a random </w:t>
      </w:r>
      <w:proofErr w:type="spellStart"/>
      <w:r>
        <w:t>effects</w:t>
      </w:r>
      <w:proofErr w:type="spellEnd"/>
      <w:r>
        <w:t xml:space="preserve"> modell </w:t>
      </w:r>
      <w:proofErr w:type="spellStart"/>
      <w:r>
        <w:t>autoregresszív</w:t>
      </w:r>
      <w:proofErr w:type="spellEnd"/>
      <w:r>
        <w:t xml:space="preserve"> tago</w:t>
      </w:r>
      <w:r>
        <w:t>k</w:t>
      </w:r>
      <w:r>
        <w:t xml:space="preserve">kal együtt nem becsülhető, így </w:t>
      </w:r>
      <w:proofErr w:type="spellStart"/>
      <w:r>
        <w:t>diszjunkt</w:t>
      </w:r>
      <w:proofErr w:type="spellEnd"/>
      <w:r>
        <w:t xml:space="preserve"> modellekként kell rájuk tekintetünk a későbbiekben az általunk választott becslési eljárásokban is.</w:t>
      </w:r>
    </w:p>
    <w:p w:rsidR="00084397" w:rsidRDefault="00084397" w:rsidP="00084397">
      <w:pPr>
        <w:jc w:val="both"/>
      </w:pPr>
      <w:r>
        <w:t>A hatás specifikációs teszt eredménye a döntő annak meghatározásában, hogy fix vagy random hatásokban érdemes gondolkoznunk. Többnyire a nem teljes populációt fedő keresztmetszeti hatásokat jobb rando</w:t>
      </w:r>
      <w:r>
        <w:t>m</w:t>
      </w:r>
      <w:r>
        <w:t xml:space="preserve">ként kezelni, míg a fix hatások a teljes sokaságot lefedő megfigyeléseink esetén vezetnek sikerre. </w:t>
      </w:r>
    </w:p>
    <w:p w:rsidR="00084397" w:rsidRDefault="00084397" w:rsidP="00084397">
      <w:pPr>
        <w:jc w:val="both"/>
      </w:pPr>
      <w:r>
        <w:t xml:space="preserve">Kézenfekvő még egy hosszabb időhorizonton az eredményváltozók első differenciáját (diszkrét modellben egy időszaki differenciát értünk ez alatt) vizsgálni, amit dinamikus panel modellnek is nevezünk az </w:t>
      </w:r>
      <w:proofErr w:type="spellStart"/>
      <w:r>
        <w:t>ökonometriában</w:t>
      </w:r>
      <w:proofErr w:type="spellEnd"/>
      <w:r>
        <w:t xml:space="preserve">. Jelen esetben ez azt jelenti, hogy a 4 év megfigyeléseiből 3 időszaknyi különbséget tudunk képezni, és ennek összefüggéseit tudjuk vizsgálni a magyarázó változókkal. Ez a modellcsalád kapcsolódik a </w:t>
      </w:r>
      <w:r w:rsidRPr="000935A4">
        <w:rPr>
          <w:b/>
        </w:rPr>
        <w:t xml:space="preserve">General </w:t>
      </w:r>
      <w:proofErr w:type="spellStart"/>
      <w:r w:rsidRPr="000935A4">
        <w:rPr>
          <w:b/>
        </w:rPr>
        <w:t>Method</w:t>
      </w:r>
      <w:proofErr w:type="spellEnd"/>
      <w:r w:rsidRPr="000935A4">
        <w:rPr>
          <w:b/>
        </w:rPr>
        <w:t xml:space="preserve"> of </w:t>
      </w:r>
      <w:proofErr w:type="spellStart"/>
      <w:r w:rsidRPr="000935A4">
        <w:rPr>
          <w:b/>
        </w:rPr>
        <w:t>Moments</w:t>
      </w:r>
      <w:proofErr w:type="spellEnd"/>
      <w:r w:rsidRPr="000935A4">
        <w:rPr>
          <w:b/>
        </w:rPr>
        <w:t xml:space="preserve"> módszer</w:t>
      </w:r>
      <w:r>
        <w:t xml:space="preserve">hez, és az egyszerű </w:t>
      </w:r>
      <w:r>
        <w:rPr>
          <w:i/>
        </w:rPr>
        <w:t>első d</w:t>
      </w:r>
      <w:r w:rsidRPr="009A0EF1">
        <w:rPr>
          <w:i/>
        </w:rPr>
        <w:t>ifferencia</w:t>
      </w:r>
      <w:r>
        <w:t xml:space="preserve"> mellett az </w:t>
      </w:r>
      <w:r w:rsidRPr="009A0EF1">
        <w:rPr>
          <w:i/>
        </w:rPr>
        <w:t>ortogonális eltérések</w:t>
      </w:r>
      <w:r>
        <w:t xml:space="preserve"> modellje is vizsgálható. A kettő közötti különbség a transzformáció után feltételezett hiba eloszlásokban rejlik. Ezen modell becsléséhez instrumentumok megadása is kötelező, ami az </w:t>
      </w:r>
      <w:proofErr w:type="spellStart"/>
      <w:r>
        <w:t>endogenitás</w:t>
      </w:r>
      <w:proofErr w:type="spellEnd"/>
      <w:r>
        <w:t xml:space="preserve"> kezelésére fe</w:t>
      </w:r>
      <w:r>
        <w:t>l</w:t>
      </w:r>
      <w:r>
        <w:t>tehetően a legjobb megoldás (</w:t>
      </w:r>
      <w:proofErr w:type="spellStart"/>
      <w:r w:rsidRPr="000935A4">
        <w:rPr>
          <w:b/>
        </w:rPr>
        <w:t>Two-Stage-Least-Squares</w:t>
      </w:r>
      <w:r>
        <w:t>-ként</w:t>
      </w:r>
      <w:proofErr w:type="spellEnd"/>
      <w:r>
        <w:t xml:space="preserve"> egyszerűbb, </w:t>
      </w:r>
      <w:proofErr w:type="spellStart"/>
      <w:r w:rsidRPr="00250981">
        <w:rPr>
          <w:b/>
        </w:rPr>
        <w:t>GMM</w:t>
      </w:r>
      <w:r>
        <w:t>-ként</w:t>
      </w:r>
      <w:proofErr w:type="spellEnd"/>
      <w:r>
        <w:t xml:space="preserve"> bonyolultabb form</w:t>
      </w:r>
      <w:r>
        <w:t>á</w:t>
      </w:r>
      <w:r>
        <w:t>ban), de erről részletesebben később beszélünk.</w:t>
      </w:r>
    </w:p>
    <w:p w:rsidR="00084397" w:rsidRDefault="00084397" w:rsidP="00084397">
      <w:pPr>
        <w:jc w:val="both"/>
      </w:pPr>
      <w:r>
        <w:t xml:space="preserve">Itt említenénk meg újra az </w:t>
      </w:r>
      <w:proofErr w:type="spellStart"/>
      <w:r w:rsidRPr="00250981">
        <w:rPr>
          <w:b/>
        </w:rPr>
        <w:t>autoregresszív</w:t>
      </w:r>
      <w:proofErr w:type="spellEnd"/>
      <w:r>
        <w:t xml:space="preserve"> magyarázó tag csatolásának és becslésének lehetőségét, amely a dinamikus modellek egy esete, mivel a függő változó előző időszaki megvalósulási értékét nem egészében, hanem csak részben veszi figyelembe. E részlegesség mértékét a modellen belül nem-lineáris módon b</w:t>
      </w:r>
      <w:r>
        <w:t>e</w:t>
      </w:r>
      <w:r>
        <w:t>csülni tudjuk. Ez a modellcsalád a regressziós egyenes ordináta metszetét tologató hatásbecslésekkel nem kompatibilis. A következőkben a becslések során felmerülő problémákat és kezelésüket mutatjuk be, majd a tanulságokat leszűrve kiválasztjuk a becsülendő modelleket, amelyek értékelhetőségét fontosnak tartjuk.</w:t>
      </w:r>
    </w:p>
    <w:p w:rsidR="00084397" w:rsidRDefault="00084397" w:rsidP="00084397">
      <w:pPr>
        <w:pStyle w:val="HUNHeading4"/>
        <w:ind w:left="648"/>
      </w:pPr>
      <w:bookmarkStart w:id="22" w:name="_Ref277048189"/>
      <w:proofErr w:type="spellStart"/>
      <w:r>
        <w:t>Autokorreláció</w:t>
      </w:r>
      <w:proofErr w:type="spellEnd"/>
      <w:r>
        <w:t xml:space="preserve">, </w:t>
      </w:r>
      <w:proofErr w:type="spellStart"/>
      <w:r>
        <w:t>endogenitás</w:t>
      </w:r>
      <w:proofErr w:type="spellEnd"/>
      <w:r>
        <w:t xml:space="preserve">, </w:t>
      </w:r>
      <w:proofErr w:type="spellStart"/>
      <w:r>
        <w:t>multikollinearitás</w:t>
      </w:r>
      <w:proofErr w:type="spellEnd"/>
      <w:r>
        <w:t xml:space="preserve"> és </w:t>
      </w:r>
      <w:proofErr w:type="spellStart"/>
      <w:r>
        <w:t>heteroszkedaszticitás</w:t>
      </w:r>
      <w:proofErr w:type="spellEnd"/>
      <w:r>
        <w:t xml:space="preserve"> kez</w:t>
      </w:r>
      <w:r>
        <w:t>e</w:t>
      </w:r>
      <w:r>
        <w:t>lése, illetve instrumentális változók (IV) megválasztásának lehetőségei</w:t>
      </w:r>
      <w:bookmarkEnd w:id="22"/>
    </w:p>
    <w:p w:rsidR="00084397" w:rsidRDefault="00084397" w:rsidP="00084397">
      <w:pPr>
        <w:pStyle w:val="HUNNormal"/>
      </w:pPr>
      <w:r>
        <w:t xml:space="preserve">Az </w:t>
      </w:r>
      <w:proofErr w:type="spellStart"/>
      <w:r>
        <w:t>ökonometriában</w:t>
      </w:r>
      <w:proofErr w:type="spellEnd"/>
      <w:r>
        <w:t xml:space="preserve"> ismert a hagyományos, legkisebb négyzetek módszere alapján becsült regressziós egyenlet torzítását okozó többféle tényező. Ezek közül a fejezetcímben felsoroltunk néhányat, melyek a mi esetünkben is fennállhatnak, ezért kezelésükre figyelmet kell fordítanunk. Az alábbiakban használt néhány kifejezés definíciója a következő:</w:t>
      </w:r>
    </w:p>
    <w:p w:rsidR="00084397" w:rsidRDefault="00084397" w:rsidP="00071630">
      <w:pPr>
        <w:pStyle w:val="HUNNormal"/>
        <w:numPr>
          <w:ilvl w:val="0"/>
          <w:numId w:val="37"/>
        </w:numPr>
      </w:pPr>
      <w:r>
        <w:t xml:space="preserve">Becslési egyenlet: </w:t>
      </w:r>
      <w:r>
        <w:rPr>
          <w:b/>
          <w:i/>
        </w:rPr>
        <w:t>y = X*ß+u</w:t>
      </w:r>
      <w:r>
        <w:t>, ahol</w:t>
      </w:r>
    </w:p>
    <w:p w:rsidR="00084397" w:rsidRDefault="00084397" w:rsidP="00071630">
      <w:pPr>
        <w:pStyle w:val="HUNNormal"/>
        <w:numPr>
          <w:ilvl w:val="0"/>
          <w:numId w:val="37"/>
        </w:numPr>
      </w:pPr>
      <w:r>
        <w:t xml:space="preserve">y: a függő, magyarázandó változó vektora, mérete: </w:t>
      </w:r>
      <w:r>
        <w:rPr>
          <w:i/>
        </w:rPr>
        <w:t>n x 1;</w:t>
      </w:r>
    </w:p>
    <w:p w:rsidR="00084397" w:rsidRDefault="00084397" w:rsidP="00071630">
      <w:pPr>
        <w:pStyle w:val="HUNNormal"/>
        <w:numPr>
          <w:ilvl w:val="0"/>
          <w:numId w:val="37"/>
        </w:numPr>
      </w:pPr>
      <w:r>
        <w:t xml:space="preserve">X: a független, magyarázó változók mátrixa, mérete: </w:t>
      </w:r>
      <w:r w:rsidRPr="00331525">
        <w:rPr>
          <w:i/>
        </w:rPr>
        <w:t>n x k</w:t>
      </w:r>
      <w:r>
        <w:t>;</w:t>
      </w:r>
    </w:p>
    <w:p w:rsidR="00084397" w:rsidRDefault="00084397" w:rsidP="00071630">
      <w:pPr>
        <w:pStyle w:val="HUNNormal"/>
        <w:numPr>
          <w:ilvl w:val="0"/>
          <w:numId w:val="37"/>
        </w:numPr>
      </w:pPr>
      <w:r>
        <w:t xml:space="preserve">ß: a regressziós egyenes koefficiensei, mérete: </w:t>
      </w:r>
      <w:r w:rsidRPr="00331525">
        <w:rPr>
          <w:i/>
        </w:rPr>
        <w:t>k x 1</w:t>
      </w:r>
      <w:r>
        <w:t>;</w:t>
      </w:r>
    </w:p>
    <w:p w:rsidR="00084397" w:rsidRDefault="00084397" w:rsidP="00071630">
      <w:pPr>
        <w:pStyle w:val="HUNNormal"/>
        <w:numPr>
          <w:ilvl w:val="0"/>
          <w:numId w:val="37"/>
        </w:numPr>
      </w:pPr>
      <w:r>
        <w:t xml:space="preserve">u: hiba vagy </w:t>
      </w:r>
      <w:proofErr w:type="spellStart"/>
      <w:r>
        <w:t>reziduális</w:t>
      </w:r>
      <w:proofErr w:type="spellEnd"/>
      <w:r>
        <w:t xml:space="preserve"> tag, nem megfigyelt hatások, mérete: </w:t>
      </w:r>
      <w:r w:rsidRPr="00831BD5">
        <w:rPr>
          <w:i/>
        </w:rPr>
        <w:t>n x 1</w:t>
      </w:r>
      <w:r>
        <w:t>.</w:t>
      </w:r>
    </w:p>
    <w:p w:rsidR="00084397" w:rsidRDefault="00084397" w:rsidP="00084397">
      <w:pPr>
        <w:pStyle w:val="HUNNormal"/>
      </w:pPr>
      <w:r>
        <w:lastRenderedPageBreak/>
        <w:t xml:space="preserve">Az </w:t>
      </w:r>
      <w:proofErr w:type="spellStart"/>
      <w:r w:rsidRPr="00250981">
        <w:rPr>
          <w:b/>
        </w:rPr>
        <w:t>autokorreláció</w:t>
      </w:r>
      <w:proofErr w:type="spellEnd"/>
      <w:r>
        <w:t xml:space="preserve"> jelenlétének jelentése az, hogy a becsült egyenletünk hibatagjai legalább első fokon (egy késleltetéssel) előző idei megvalósulásuk által nagyban magyarázottak, ami arra utal, hogy a függő változó aktuális értékének becslésekor nem szabad figyelmen kívül hagyni az előző évi értéket. Ennek jelét a </w:t>
      </w:r>
      <w:proofErr w:type="spellStart"/>
      <w:r w:rsidRPr="000935A4">
        <w:rPr>
          <w:b/>
        </w:rPr>
        <w:t>Durbin-Watson</w:t>
      </w:r>
      <w:proofErr w:type="spellEnd"/>
      <w:r w:rsidRPr="000935A4">
        <w:rPr>
          <w:b/>
        </w:rPr>
        <w:t xml:space="preserve"> statisztika</w:t>
      </w:r>
      <w:r>
        <w:t xml:space="preserve"> mutatja, amely 0 és 4 közötti értéket vehet fel, azonban </w:t>
      </w:r>
      <w:r w:rsidRPr="000935A4">
        <w:rPr>
          <w:b/>
          <w:i/>
        </w:rPr>
        <w:t>a megengedhető sáv 1,5 és 2,5 között húzódik</w:t>
      </w:r>
      <w:r>
        <w:t xml:space="preserve">. Ezen kívül eső értékekre már ellenőrizni érdemes egy </w:t>
      </w:r>
      <w:proofErr w:type="spellStart"/>
      <w:r w:rsidRPr="00250981">
        <w:rPr>
          <w:b/>
        </w:rPr>
        <w:t>autoregresszív</w:t>
      </w:r>
      <w:proofErr w:type="spellEnd"/>
      <w:r>
        <w:t xml:space="preserve"> tag csatolásával az egyenletünk magyarázó erejének változását, és a </w:t>
      </w:r>
      <w:proofErr w:type="spellStart"/>
      <w:r>
        <w:t>reziduálisokra</w:t>
      </w:r>
      <w:proofErr w:type="spellEnd"/>
      <w:r>
        <w:t xml:space="preserve"> tett normalitási feltételek </w:t>
      </w:r>
      <w:proofErr w:type="gramStart"/>
      <w:r>
        <w:t>teljesülését</w:t>
      </w:r>
      <w:r>
        <w:rPr>
          <w:rStyle w:val="FootnoteReference"/>
        </w:rPr>
        <w:footnoteReference w:id="9"/>
      </w:r>
      <w:r>
        <w:t>.</w:t>
      </w:r>
      <w:proofErr w:type="gramEnd"/>
    </w:p>
    <w:p w:rsidR="00084397" w:rsidRDefault="00084397" w:rsidP="00084397">
      <w:pPr>
        <w:pStyle w:val="HUNNormal"/>
      </w:pPr>
      <w:r>
        <w:t>A regresszió analízis fundamentális feltevése, hogy a magyarázó változók és a hiba tag között nincs semm</w:t>
      </w:r>
      <w:r>
        <w:t>i</w:t>
      </w:r>
      <w:r>
        <w:t>féle korreláció. Ha ez a feltétel megsérül (és a független változóink nincsenek rosszul mérve), akkor besz</w:t>
      </w:r>
      <w:r>
        <w:t>é</w:t>
      </w:r>
      <w:r>
        <w:t xml:space="preserve">lünk </w:t>
      </w:r>
      <w:proofErr w:type="spellStart"/>
      <w:r w:rsidRPr="00250981">
        <w:rPr>
          <w:b/>
        </w:rPr>
        <w:t>endogenitásról</w:t>
      </w:r>
      <w:proofErr w:type="spellEnd"/>
      <w:r>
        <w:t xml:space="preserve"> (a független változók nem eléggé függetlenek). Az </w:t>
      </w:r>
      <w:proofErr w:type="spellStart"/>
      <w:r>
        <w:t>endogenitás</w:t>
      </w:r>
      <w:proofErr w:type="spellEnd"/>
      <w:r>
        <w:t xml:space="preserve"> problémája legkönnye</w:t>
      </w:r>
      <w:r>
        <w:t>b</w:t>
      </w:r>
      <w:r>
        <w:t xml:space="preserve">ben az </w:t>
      </w:r>
      <w:r w:rsidRPr="000935A4">
        <w:rPr>
          <w:b/>
        </w:rPr>
        <w:t>instrumentális változók használatával</w:t>
      </w:r>
      <w:r>
        <w:t xml:space="preserve"> és </w:t>
      </w:r>
      <w:r w:rsidRPr="000935A4">
        <w:rPr>
          <w:b/>
        </w:rPr>
        <w:t>két-lépcsős becslési eljárással</w:t>
      </w:r>
      <w:r>
        <w:t xml:space="preserve"> küszöbölhető ki. Az instr</w:t>
      </w:r>
      <w:r>
        <w:t>u</w:t>
      </w:r>
      <w:r>
        <w:t xml:space="preserve">mentumokról később kívánunk beszélni, elöljáróban csak annyit szeretnénk leírni, hogy az </w:t>
      </w:r>
      <w:proofErr w:type="spellStart"/>
      <w:r>
        <w:t>IV-nek</w:t>
      </w:r>
      <w:proofErr w:type="spellEnd"/>
      <w:r>
        <w:rPr>
          <w:rStyle w:val="FootnoteReference"/>
        </w:rPr>
        <w:footnoteReference w:id="10"/>
      </w:r>
      <w:r>
        <w:t xml:space="preserve"> teljesít</w:t>
      </w:r>
      <w:r>
        <w:t>e</w:t>
      </w:r>
      <w:r>
        <w:t xml:space="preserve">nie kell a következő két feltételt: (1) korreláljon a független változókkal; (2) valóban legyen független a hiba tagtól. Jelen esetben ez az előzetes „szelekciós” hatásként felfogható </w:t>
      </w:r>
      <w:proofErr w:type="spellStart"/>
      <w:r>
        <w:t>endogenitás</w:t>
      </w:r>
      <w:proofErr w:type="spellEnd"/>
      <w:r>
        <w:t xml:space="preserve"> probléma annyiban érinti a mintánkat, hogy nem tudhatjuk a támogatottakról, hogy milyen nettó hozzáadott értékű növekedési pote</w:t>
      </w:r>
      <w:r>
        <w:t>n</w:t>
      </w:r>
      <w:r>
        <w:t xml:space="preserve">ciállal rendelkeztek előzetesen, a támogatást megelőzően, így nem tudjuk elválasztani a támogatás hatását az egyéb nem megfigyelhető hatásoktól. </w:t>
      </w:r>
    </w:p>
    <w:p w:rsidR="00084397" w:rsidRDefault="00084397" w:rsidP="00084397">
      <w:pPr>
        <w:pStyle w:val="HUNNormal"/>
      </w:pPr>
      <w:proofErr w:type="spellStart"/>
      <w:r w:rsidRPr="00250981">
        <w:rPr>
          <w:b/>
        </w:rPr>
        <w:t>Multikollinearitás</w:t>
      </w:r>
      <w:proofErr w:type="spellEnd"/>
      <w:r>
        <w:t xml:space="preserve"> alatt azt értjük, mikor a független változóink közötti korreláció igen magas. Ha egy vált</w:t>
      </w:r>
      <w:r>
        <w:t>o</w:t>
      </w:r>
      <w:r>
        <w:t xml:space="preserve">zónkat át tudjuk alakítani néhány </w:t>
      </w:r>
      <w:proofErr w:type="spellStart"/>
      <w:r w:rsidRPr="00250981">
        <w:rPr>
          <w:i/>
        </w:rPr>
        <w:t>affin</w:t>
      </w:r>
      <w:proofErr w:type="spellEnd"/>
      <w:r>
        <w:t xml:space="preserve"> transzformációval, hogy felvegye egy másik változónk értékeit, akkor egzakt </w:t>
      </w:r>
      <w:proofErr w:type="spellStart"/>
      <w:r>
        <w:t>kollinearitásról</w:t>
      </w:r>
      <w:proofErr w:type="spellEnd"/>
      <w:r>
        <w:t xml:space="preserve"> beszélünk, és a becslésünk (koefficiens vektorunk) nem tükrözi hűen egy magyarázó változónkhoz tartozó </w:t>
      </w:r>
      <w:proofErr w:type="spellStart"/>
      <w:r w:rsidRPr="00047461">
        <w:rPr>
          <w:i/>
        </w:rPr>
        <w:t>ceteris</w:t>
      </w:r>
      <w:proofErr w:type="spellEnd"/>
      <w:r w:rsidRPr="00047461">
        <w:rPr>
          <w:i/>
        </w:rPr>
        <w:t xml:space="preserve"> </w:t>
      </w:r>
      <w:proofErr w:type="spellStart"/>
      <w:r w:rsidRPr="00047461">
        <w:rPr>
          <w:i/>
        </w:rPr>
        <w:t>paribus</w:t>
      </w:r>
      <w:proofErr w:type="spellEnd"/>
      <w:r>
        <w:t xml:space="preserve"> hatást, illetve nagyban megnövekedhet az együttható standard hibája, ami miatt kivehetünk olyan változót is a modellből, amire szükség lenne. Ez a veszély többnyire a túl nagy </w:t>
      </w:r>
      <w:proofErr w:type="spellStart"/>
      <w:r>
        <w:t>számosságú</w:t>
      </w:r>
      <w:proofErr w:type="spellEnd"/>
      <w:r>
        <w:t xml:space="preserve"> magyarázó változók megválasztásával nő, viszont a minta nagyságának növekedésével csö</w:t>
      </w:r>
      <w:r>
        <w:t>k</w:t>
      </w:r>
      <w:r>
        <w:t xml:space="preserve">ken, így érdemes a modellváltozóink számát kontrollálnunk, amennyire lehetséges, fundamentális érvelés alapján. Az általunk használt mintaszám elegendőnek tekinthető a </w:t>
      </w:r>
      <w:proofErr w:type="spellStart"/>
      <w:r>
        <w:t>multikollinearitás</w:t>
      </w:r>
      <w:proofErr w:type="spellEnd"/>
      <w:r>
        <w:t xml:space="preserve"> kivédésére, illetve a korrelációs mátrixot is figyelembe véve választottuk ki a lehetőleg egymástól is független változóinkat.</w:t>
      </w:r>
    </w:p>
    <w:p w:rsidR="00084397" w:rsidRDefault="00084397" w:rsidP="00084397">
      <w:pPr>
        <w:pStyle w:val="HUNNormal"/>
      </w:pPr>
      <w:proofErr w:type="spellStart"/>
      <w:r w:rsidRPr="00250981">
        <w:rPr>
          <w:b/>
        </w:rPr>
        <w:t>Heteroszkedaszticitás</w:t>
      </w:r>
      <w:proofErr w:type="spellEnd"/>
      <w:r>
        <w:t xml:space="preserve"> a keresztmetszeti vagy időbeli síkon is azt jelenti, hogy adataink varianciája időben vagy térben nem állandó. A becsléseink többnyire felteszik a </w:t>
      </w:r>
      <w:proofErr w:type="spellStart"/>
      <w:r>
        <w:t>reziduális</w:t>
      </w:r>
      <w:proofErr w:type="spellEnd"/>
      <w:r>
        <w:t xml:space="preserve"> tagról, hogy varianciája (szórása) állandó, azonban ez a feltétel sokszor megsérülhet az adataink sokszínűsége folytán, ami bár a koefficie</w:t>
      </w:r>
      <w:r>
        <w:t>n</w:t>
      </w:r>
      <w:r>
        <w:t xml:space="preserve">seket nem torzítja, a standard hibáikat már igen, így közvetve a </w:t>
      </w:r>
      <w:proofErr w:type="spellStart"/>
      <w:r>
        <w:t>szignifikancia</w:t>
      </w:r>
      <w:proofErr w:type="spellEnd"/>
      <w:r>
        <w:t xml:space="preserve"> szintjükre tehető megállapít</w:t>
      </w:r>
      <w:r>
        <w:t>á</w:t>
      </w:r>
      <w:r>
        <w:t>sainkat is. Így mindenképpen figyelembe kell vennünk az egyes változók együtthatóinak vizsgálatakor, hogy a zaj (</w:t>
      </w:r>
      <w:proofErr w:type="spellStart"/>
      <w:r>
        <w:t>reziduum</w:t>
      </w:r>
      <w:proofErr w:type="spellEnd"/>
      <w:r>
        <w:t xml:space="preserve">) állandó szórással bír-e, és ha nem, akkor megfelelő módon megnöveljük a standard hibák nagyságát, így reálisabb, megbízhatóbb becsléshez jutva. Panel </w:t>
      </w:r>
      <w:proofErr w:type="spellStart"/>
      <w:r>
        <w:t>ökonometriában</w:t>
      </w:r>
      <w:proofErr w:type="spellEnd"/>
      <w:r>
        <w:t xml:space="preserve"> többféle súlyozási módszer és megközelítés létezik, amivel korrigálni lehet a változók hibáit. Ilyenek a k</w:t>
      </w:r>
      <w:r w:rsidRPr="00F42424">
        <w:t>eresztmetszeti vagy időbeli SUR (</w:t>
      </w:r>
      <w:proofErr w:type="spellStart"/>
      <w:r w:rsidRPr="00F42424">
        <w:t>Seemingly</w:t>
      </w:r>
      <w:proofErr w:type="spellEnd"/>
      <w:r w:rsidRPr="00F42424">
        <w:t xml:space="preserve"> </w:t>
      </w:r>
      <w:proofErr w:type="spellStart"/>
      <w:r w:rsidRPr="00F42424">
        <w:t>Unrelated</w:t>
      </w:r>
      <w:proofErr w:type="spellEnd"/>
      <w:r w:rsidRPr="00F42424">
        <w:t xml:space="preserve"> </w:t>
      </w:r>
      <w:proofErr w:type="spellStart"/>
      <w:r w:rsidRPr="00F42424">
        <w:t>Regression</w:t>
      </w:r>
      <w:proofErr w:type="spellEnd"/>
      <w:r w:rsidRPr="00F42424">
        <w:t xml:space="preserve">) és PCSE (Panel </w:t>
      </w:r>
      <w:proofErr w:type="spellStart"/>
      <w:r w:rsidRPr="00F42424">
        <w:t>Corrected</w:t>
      </w:r>
      <w:proofErr w:type="spellEnd"/>
      <w:r w:rsidRPr="00F42424">
        <w:t xml:space="preserve"> Standard </w:t>
      </w:r>
      <w:proofErr w:type="spellStart"/>
      <w:r w:rsidRPr="00F42424">
        <w:t>Error</w:t>
      </w:r>
      <w:proofErr w:type="spellEnd"/>
      <w:r w:rsidRPr="00F42424">
        <w:t>) robosztus hibák</w:t>
      </w:r>
      <w:r>
        <w:t xml:space="preserve"> </w:t>
      </w:r>
      <w:r w:rsidRPr="00F42424">
        <w:t>használata</w:t>
      </w:r>
      <w:r>
        <w:t xml:space="preserve"> is.</w:t>
      </w:r>
      <w:r w:rsidRPr="00F42424">
        <w:t xml:space="preserve"> </w:t>
      </w:r>
    </w:p>
    <w:p w:rsidR="00084397" w:rsidRDefault="00084397" w:rsidP="00084397">
      <w:pPr>
        <w:pStyle w:val="HUNNormal"/>
      </w:pPr>
      <w:r w:rsidRPr="00250981">
        <w:rPr>
          <w:b/>
        </w:rPr>
        <w:t>Instrumentális változók</w:t>
      </w:r>
      <w:r>
        <w:t xml:space="preserve"> megválasztásának lehetőségeiről azért fontos szólnunk, mert egyrészt a fentebb említett </w:t>
      </w:r>
      <w:proofErr w:type="spellStart"/>
      <w:r>
        <w:t>endogenitás</w:t>
      </w:r>
      <w:proofErr w:type="spellEnd"/>
      <w:r>
        <w:t xml:space="preserve"> probléma kezelésére ez az egyik lehetőség, másrészt a becsülni kívánt modellek egy részének elengedhetetlen feltétele az instrumentum lista (pl.: General </w:t>
      </w:r>
      <w:proofErr w:type="spellStart"/>
      <w:r>
        <w:t>Method</w:t>
      </w:r>
      <w:proofErr w:type="spellEnd"/>
      <w:r>
        <w:t xml:space="preserve"> of </w:t>
      </w:r>
      <w:proofErr w:type="spellStart"/>
      <w:r>
        <w:t>Moments</w:t>
      </w:r>
      <w:proofErr w:type="spellEnd"/>
      <w:r>
        <w:t>). A kiválasztás alapelvei közé tartozik, hogy az instrumentum:</w:t>
      </w:r>
    </w:p>
    <w:p w:rsidR="00084397" w:rsidRDefault="00084397" w:rsidP="00071630">
      <w:pPr>
        <w:pStyle w:val="HUNNormal"/>
        <w:numPr>
          <w:ilvl w:val="0"/>
          <w:numId w:val="39"/>
        </w:numPr>
      </w:pPr>
      <w:r>
        <w:lastRenderedPageBreak/>
        <w:t>legyen független a becslés hibatagjától;</w:t>
      </w:r>
    </w:p>
    <w:p w:rsidR="00084397" w:rsidRDefault="00084397" w:rsidP="00071630">
      <w:pPr>
        <w:pStyle w:val="HUNNormal"/>
        <w:numPr>
          <w:ilvl w:val="0"/>
          <w:numId w:val="39"/>
        </w:numPr>
      </w:pPr>
      <w:r>
        <w:t>korreláljon a független változóinkkal.</w:t>
      </w:r>
    </w:p>
    <w:p w:rsidR="00084397" w:rsidRDefault="00084397" w:rsidP="00084397">
      <w:pPr>
        <w:pStyle w:val="HUNNormal"/>
      </w:pPr>
      <w:r>
        <w:t xml:space="preserve">Ezek alapján azok a változók, amelyek a </w:t>
      </w:r>
      <w:proofErr w:type="spellStart"/>
      <w:r>
        <w:t>multikollinearitás</w:t>
      </w:r>
      <w:proofErr w:type="spellEnd"/>
      <w:r>
        <w:t xml:space="preserve"> veszélye miatt kieshetnek a rendszerünkből, de a függő változóinkkal kevésbé szoros viszonyban állnak, nagy eséllyel kerülhetnek fel az instrumentum listára. Ennek eldöntésére a korábban említett korrelációs mátrixot (lásd </w:t>
      </w:r>
      <w:r w:rsidR="003F44DC">
        <w:fldChar w:fldCharType="begin"/>
      </w:r>
      <w:r>
        <w:instrText xml:space="preserve"> REF _Ref276990043 \h </w:instrText>
      </w:r>
      <w:r w:rsidR="003F44DC">
        <w:fldChar w:fldCharType="separate"/>
      </w:r>
      <w:r w:rsidR="002D1B7A">
        <w:rPr>
          <w:noProof/>
        </w:rPr>
        <w:t>5</w:t>
      </w:r>
      <w:r w:rsidR="002D1B7A" w:rsidRPr="00834E5D">
        <w:t>. táblázat</w:t>
      </w:r>
      <w:r w:rsidR="003F44DC">
        <w:fldChar w:fldCharType="end"/>
      </w:r>
      <w:r>
        <w:t>) és intuitív, fundamentális é</w:t>
      </w:r>
      <w:r>
        <w:t>r</w:t>
      </w:r>
      <w:r>
        <w:t>veket használunk az egyes becslések során.</w:t>
      </w:r>
    </w:p>
    <w:p w:rsidR="00084397" w:rsidRDefault="00084397" w:rsidP="00084397">
      <w:pPr>
        <w:pStyle w:val="HUNHeading4"/>
        <w:ind w:left="648"/>
      </w:pPr>
      <w:bookmarkStart w:id="23" w:name="_Ref275876817"/>
      <w:r>
        <w:t>Választott modellek</w:t>
      </w:r>
      <w:bookmarkEnd w:id="23"/>
    </w:p>
    <w:p w:rsidR="00084397" w:rsidRDefault="00084397" w:rsidP="00084397">
      <w:pPr>
        <w:pStyle w:val="HUNNormal"/>
        <w:spacing w:after="360"/>
      </w:pPr>
      <w:r>
        <w:t>A választott modellek az egyszerűbbtől a komplexebb irányba haladva fejlődnek. A modellek szabadságf</w:t>
      </w:r>
      <w:r>
        <w:t>o</w:t>
      </w:r>
      <w:r>
        <w:t xml:space="preserve">kokkal igazított </w:t>
      </w:r>
      <w:r w:rsidRPr="00250981">
        <w:rPr>
          <w:b/>
        </w:rPr>
        <w:t>magyarázó ereje</w:t>
      </w:r>
      <w:r>
        <w:t xml:space="preserve"> (</w:t>
      </w:r>
      <w:proofErr w:type="spellStart"/>
      <w:r>
        <w:t>adjusted</w:t>
      </w:r>
      <w:proofErr w:type="spellEnd"/>
      <w:r>
        <w:t xml:space="preserve"> </w:t>
      </w:r>
      <w:proofErr w:type="spellStart"/>
      <w:r>
        <w:t>R-squared</w:t>
      </w:r>
      <w:proofErr w:type="spellEnd"/>
      <w:r>
        <w:t xml:space="preserve">) és a változók egyedi t-statisztikájából származtatott </w:t>
      </w:r>
      <w:proofErr w:type="spellStart"/>
      <w:r>
        <w:t>szignifikanciát</w:t>
      </w:r>
      <w:proofErr w:type="spellEnd"/>
      <w:r>
        <w:t xml:space="preserve"> mérő </w:t>
      </w:r>
      <w:proofErr w:type="spellStart"/>
      <w:r w:rsidRPr="00250981">
        <w:rPr>
          <w:b/>
        </w:rPr>
        <w:t>p-érték</w:t>
      </w:r>
      <w:proofErr w:type="spellEnd"/>
      <w:r>
        <w:t xml:space="preserve"> játszott főszerepet a különböző specifikációk elbírálásában egy modellcsaládon belül. Figyelemmel kísértük még az elsőrendű </w:t>
      </w:r>
      <w:proofErr w:type="spellStart"/>
      <w:r>
        <w:t>autokorreláció</w:t>
      </w:r>
      <w:proofErr w:type="spellEnd"/>
      <w:r>
        <w:t xml:space="preserve"> tesztjéül szolgáló </w:t>
      </w:r>
      <w:proofErr w:type="spellStart"/>
      <w:r w:rsidRPr="00250981">
        <w:rPr>
          <w:b/>
        </w:rPr>
        <w:t>Durbin-Watson</w:t>
      </w:r>
      <w:proofErr w:type="spellEnd"/>
      <w:r w:rsidRPr="00250981">
        <w:rPr>
          <w:b/>
        </w:rPr>
        <w:t xml:space="preserve"> statisztikák</w:t>
      </w:r>
      <w:r>
        <w:t xml:space="preserve"> értékét is. Néhány esetben, mikor egy változóhoz kapcsolódó </w:t>
      </w:r>
      <w:proofErr w:type="spellStart"/>
      <w:r>
        <w:t>nullhipotézis</w:t>
      </w:r>
      <w:proofErr w:type="spellEnd"/>
      <w:r>
        <w:t xml:space="preserve"> megtartása (azaz az együttható értéke 0) is fontos eredménynek tekinthető, szándékosan szerepeltetjük a modellt - a fenti elméleti háttérre és megfontolásokra végig reflektálva. Lentebb az </w:t>
      </w:r>
      <w:r w:rsidR="003F44DC">
        <w:fldChar w:fldCharType="begin"/>
      </w:r>
      <w:r>
        <w:instrText xml:space="preserve"> REF _Ref276994723 \h </w:instrText>
      </w:r>
      <w:r w:rsidR="003F44DC">
        <w:fldChar w:fldCharType="separate"/>
      </w:r>
      <w:r w:rsidR="002D1B7A">
        <w:rPr>
          <w:noProof/>
        </w:rPr>
        <w:t>1</w:t>
      </w:r>
      <w:r w:rsidR="002D1B7A" w:rsidRPr="00D87CA4">
        <w:t>. ábra</w:t>
      </w:r>
      <w:r w:rsidR="003F44DC">
        <w:fldChar w:fldCharType="end"/>
      </w:r>
      <w:r>
        <w:t xml:space="preserve"> mutatja a választott modelleket és kapcsolataikat.</w:t>
      </w:r>
    </w:p>
    <w:p w:rsidR="00084397" w:rsidRDefault="00084397" w:rsidP="00084397">
      <w:pPr>
        <w:pStyle w:val="HUNNormal"/>
        <w:keepNext/>
        <w:jc w:val="center"/>
      </w:pPr>
      <w:r>
        <w:rPr>
          <w:noProof/>
        </w:rPr>
        <w:drawing>
          <wp:inline distT="0" distB="0" distL="0" distR="0">
            <wp:extent cx="4546385" cy="4320000"/>
            <wp:effectExtent l="19050" t="0" r="6565" b="0"/>
            <wp:docPr id="74" name="Picture 73" descr="model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s.bmp"/>
                    <pic:cNvPicPr/>
                  </pic:nvPicPr>
                  <pic:blipFill>
                    <a:blip r:embed="rId11" cstate="print"/>
                    <a:stretch>
                      <a:fillRect/>
                    </a:stretch>
                  </pic:blipFill>
                  <pic:spPr>
                    <a:xfrm>
                      <a:off x="0" y="0"/>
                      <a:ext cx="4546385" cy="4320000"/>
                    </a:xfrm>
                    <a:prstGeom prst="rect">
                      <a:avLst/>
                    </a:prstGeom>
                  </pic:spPr>
                </pic:pic>
              </a:graphicData>
            </a:graphic>
          </wp:inline>
        </w:drawing>
      </w:r>
    </w:p>
    <w:bookmarkStart w:id="24" w:name="_Ref276994723"/>
    <w:p w:rsidR="00084397" w:rsidRPr="00D87CA4" w:rsidRDefault="003F44DC" w:rsidP="00084397">
      <w:pPr>
        <w:pStyle w:val="Caption"/>
        <w:spacing w:before="240"/>
        <w:jc w:val="center"/>
        <w:rPr>
          <w:color w:val="auto"/>
        </w:rPr>
      </w:pPr>
      <w:r w:rsidRPr="00D87CA4">
        <w:rPr>
          <w:color w:val="auto"/>
        </w:rPr>
        <w:fldChar w:fldCharType="begin"/>
      </w:r>
      <w:r w:rsidR="00084397" w:rsidRPr="00D87CA4">
        <w:rPr>
          <w:color w:val="auto"/>
        </w:rPr>
        <w:instrText xml:space="preserve"> SEQ ábra \* ARABIC </w:instrText>
      </w:r>
      <w:r w:rsidRPr="00D87CA4">
        <w:rPr>
          <w:color w:val="auto"/>
        </w:rPr>
        <w:fldChar w:fldCharType="separate"/>
      </w:r>
      <w:bookmarkStart w:id="25" w:name="_Ref276999981"/>
      <w:r w:rsidR="002D1B7A">
        <w:rPr>
          <w:noProof/>
          <w:color w:val="auto"/>
        </w:rPr>
        <w:t>1</w:t>
      </w:r>
      <w:bookmarkEnd w:id="25"/>
      <w:r w:rsidRPr="00D87CA4">
        <w:rPr>
          <w:color w:val="auto"/>
        </w:rPr>
        <w:fldChar w:fldCharType="end"/>
      </w:r>
      <w:r w:rsidR="00084397" w:rsidRPr="00D87CA4">
        <w:rPr>
          <w:color w:val="auto"/>
        </w:rPr>
        <w:t>. ábra</w:t>
      </w:r>
      <w:bookmarkEnd w:id="24"/>
      <w:r w:rsidR="00084397" w:rsidRPr="00D87CA4">
        <w:rPr>
          <w:color w:val="auto"/>
        </w:rPr>
        <w:t>: A választott modellek és kapcsolataik</w:t>
      </w:r>
    </w:p>
    <w:p w:rsidR="00084397" w:rsidRDefault="00084397" w:rsidP="00084397">
      <w:pPr>
        <w:pStyle w:val="HUNNormal"/>
      </w:pPr>
      <w:r>
        <w:t xml:space="preserve">Mivel három függő változót kívánunk magyarázni, a támogatások hatását ezekre minden esetben külön-külön vizsgáljuk meg. A </w:t>
      </w:r>
      <w:proofErr w:type="spellStart"/>
      <w:r>
        <w:t>heteroszkedaszticitás</w:t>
      </w:r>
      <w:proofErr w:type="spellEnd"/>
      <w:r>
        <w:t xml:space="preserve"> jelenlétét a keresztmetszetben látjuk erősebbnek, és a White-</w:t>
      </w:r>
      <w:r>
        <w:lastRenderedPageBreak/>
        <w:t xml:space="preserve">féle keresztmetszeti, illetve a PCSE panel korrigált keresztmetszeti robosztus hibák használatát preferáljuk a többivel szemben. A modellek bemutatása a </w:t>
      </w:r>
      <w:r w:rsidR="003F44DC">
        <w:fldChar w:fldCharType="begin"/>
      </w:r>
      <w:r>
        <w:instrText xml:space="preserve"> REF _Ref276995470 \w \h </w:instrText>
      </w:r>
      <w:r w:rsidR="003F44DC">
        <w:fldChar w:fldCharType="separate"/>
      </w:r>
      <w:r w:rsidR="002D1B7A">
        <w:t>3.2.1</w:t>
      </w:r>
      <w:r w:rsidR="003F44DC">
        <w:fldChar w:fldCharType="end"/>
      </w:r>
      <w:r>
        <w:t xml:space="preserve"> alfejezettel kezdődik.</w:t>
      </w:r>
    </w:p>
    <w:p w:rsidR="00084397" w:rsidRDefault="00084397" w:rsidP="004938BD">
      <w:pPr>
        <w:pStyle w:val="HUNHeading2"/>
        <w:ind w:left="432"/>
      </w:pPr>
      <w:bookmarkStart w:id="26" w:name="_Ref278093367"/>
      <w:bookmarkStart w:id="27" w:name="_Toc278793276"/>
      <w:bookmarkStart w:id="28" w:name="_Toc279359352"/>
      <w:r>
        <w:t>Modellek és eredmények</w:t>
      </w:r>
      <w:bookmarkEnd w:id="26"/>
      <w:bookmarkEnd w:id="27"/>
      <w:bookmarkEnd w:id="28"/>
    </w:p>
    <w:p w:rsidR="00084397" w:rsidRDefault="00084397" w:rsidP="00084397">
      <w:pPr>
        <w:jc w:val="both"/>
      </w:pPr>
      <w:r>
        <w:t>A kiegyensúlyozott panel elkészítése során arra törekedtünk, hogy az alábbi táblázatban (</w:t>
      </w:r>
      <w:r w:rsidR="003F44DC">
        <w:fldChar w:fldCharType="begin"/>
      </w:r>
      <w:r>
        <w:instrText xml:space="preserve"> REF _Ref276736503 \h </w:instrText>
      </w:r>
      <w:r w:rsidR="003F44DC">
        <w:fldChar w:fldCharType="separate"/>
      </w:r>
      <w:r w:rsidR="002D1B7A">
        <w:rPr>
          <w:noProof/>
        </w:rPr>
        <w:t>2</w:t>
      </w:r>
      <w:r w:rsidR="002D1B7A" w:rsidRPr="00834E5D">
        <w:t>. táblázat</w:t>
      </w:r>
      <w:r w:rsidR="003F44DC">
        <w:fldChar w:fldCharType="end"/>
      </w:r>
      <w:r>
        <w:t>) fels</w:t>
      </w:r>
      <w:r>
        <w:t>o</w:t>
      </w:r>
      <w:r>
        <w:t>rolt változóink minden üzemre minden évben teljesek legyenek. Így kaptuk meg azt a szűkített mintát, amely egy évben 1490 megfigyelést tartalmaz 2006 és 2009 között, összesen 5960 darabot minden változónkra.</w:t>
      </w:r>
    </w:p>
    <w:tbl>
      <w:tblPr>
        <w:tblStyle w:val="MediumShading1-Accent2"/>
        <w:tblW w:w="0" w:type="auto"/>
        <w:tblLook w:val="04A0"/>
      </w:tblPr>
      <w:tblGrid>
        <w:gridCol w:w="4606"/>
        <w:gridCol w:w="4606"/>
      </w:tblGrid>
      <w:tr w:rsidR="00084397" w:rsidTr="00084397">
        <w:trPr>
          <w:cnfStyle w:val="100000000000"/>
        </w:trPr>
        <w:tc>
          <w:tcPr>
            <w:cnfStyle w:val="001000000000"/>
            <w:tcW w:w="9212" w:type="dxa"/>
            <w:gridSpan w:val="2"/>
          </w:tcPr>
          <w:p w:rsidR="00084397" w:rsidRDefault="00084397" w:rsidP="00084397">
            <w:pPr>
              <w:jc w:val="center"/>
            </w:pPr>
            <w:proofErr w:type="gramStart"/>
            <w:r>
              <w:t>Modell változóink</w:t>
            </w:r>
            <w:proofErr w:type="gramEnd"/>
          </w:p>
        </w:tc>
      </w:tr>
      <w:tr w:rsidR="00084397" w:rsidTr="00084397">
        <w:trPr>
          <w:cnfStyle w:val="000000100000"/>
        </w:trPr>
        <w:tc>
          <w:tcPr>
            <w:cnfStyle w:val="001000000000"/>
            <w:tcW w:w="4606" w:type="dxa"/>
          </w:tcPr>
          <w:p w:rsidR="00084397" w:rsidRPr="00790C70" w:rsidRDefault="00084397" w:rsidP="00084397">
            <w:pPr>
              <w:jc w:val="center"/>
              <w:rPr>
                <w:b w:val="0"/>
              </w:rPr>
            </w:pPr>
            <w:r w:rsidRPr="00790C70">
              <w:t>Függő változó</w:t>
            </w:r>
            <w:r>
              <w:t>i</w:t>
            </w:r>
            <w:r w:rsidRPr="00790C70">
              <w:t>nk</w:t>
            </w:r>
          </w:p>
        </w:tc>
        <w:tc>
          <w:tcPr>
            <w:tcW w:w="4606" w:type="dxa"/>
          </w:tcPr>
          <w:p w:rsidR="00084397" w:rsidRPr="002620A0" w:rsidRDefault="00084397" w:rsidP="00084397">
            <w:pPr>
              <w:jc w:val="center"/>
              <w:cnfStyle w:val="000000100000"/>
              <w:rPr>
                <w:b/>
              </w:rPr>
            </w:pPr>
            <w:r w:rsidRPr="002620A0">
              <w:rPr>
                <w:b/>
              </w:rPr>
              <w:t>Független változóink</w:t>
            </w:r>
          </w:p>
        </w:tc>
      </w:tr>
      <w:tr w:rsidR="00084397" w:rsidTr="00084397">
        <w:trPr>
          <w:cnfStyle w:val="000000010000"/>
        </w:trPr>
        <w:tc>
          <w:tcPr>
            <w:cnfStyle w:val="001000000000"/>
            <w:tcW w:w="4606" w:type="dxa"/>
          </w:tcPr>
          <w:p w:rsidR="00084397" w:rsidRPr="002620A0" w:rsidRDefault="00084397" w:rsidP="00084397">
            <w:pPr>
              <w:rPr>
                <w:b w:val="0"/>
                <w:i/>
              </w:rPr>
            </w:pPr>
            <w:r>
              <w:rPr>
                <w:i/>
              </w:rPr>
              <w:t xml:space="preserve">NH, Nettó hozzáadott érték – forrás: AKI </w:t>
            </w:r>
            <w:proofErr w:type="gramStart"/>
            <w:r>
              <w:rPr>
                <w:i/>
              </w:rPr>
              <w:t>kiegész</w:t>
            </w:r>
            <w:r>
              <w:rPr>
                <w:i/>
              </w:rPr>
              <w:t>í</w:t>
            </w:r>
            <w:r>
              <w:rPr>
                <w:i/>
              </w:rPr>
              <w:t>tés</w:t>
            </w:r>
            <w:bookmarkStart w:id="29" w:name="_Ref276487157"/>
            <w:r>
              <w:rPr>
                <w:rStyle w:val="FootnoteReference"/>
                <w:i/>
              </w:rPr>
              <w:footnoteReference w:id="11"/>
            </w:r>
            <w:bookmarkEnd w:id="29"/>
            <w:r>
              <w:rPr>
                <w:i/>
              </w:rPr>
              <w:t>.</w:t>
            </w:r>
            <w:proofErr w:type="gramEnd"/>
          </w:p>
        </w:tc>
        <w:tc>
          <w:tcPr>
            <w:tcW w:w="4606" w:type="dxa"/>
          </w:tcPr>
          <w:p w:rsidR="00084397" w:rsidRDefault="00084397" w:rsidP="00084397">
            <w:pPr>
              <w:cnfStyle w:val="000000010000"/>
              <w:rPr>
                <w:i/>
              </w:rPr>
            </w:pPr>
            <w:r w:rsidRPr="002563F7">
              <w:rPr>
                <w:b/>
                <w:i/>
              </w:rPr>
              <w:t>FEJTAM</w:t>
            </w:r>
            <w:r>
              <w:rPr>
                <w:i/>
              </w:rPr>
              <w:t xml:space="preserve">, </w:t>
            </w:r>
            <w:r w:rsidRPr="002620A0">
              <w:rPr>
                <w:i/>
              </w:rPr>
              <w:t xml:space="preserve">Tőketartalékból fejlesztési célú, vissza nem fizetendő agrártámogatás: </w:t>
            </w:r>
            <w:r>
              <w:rPr>
                <w:i/>
              </w:rPr>
              <w:t>m</w:t>
            </w:r>
            <w:r w:rsidRPr="002620A0">
              <w:rPr>
                <w:i/>
              </w:rPr>
              <w:t>3511</w:t>
            </w:r>
          </w:p>
        </w:tc>
      </w:tr>
      <w:tr w:rsidR="00084397" w:rsidTr="00084397">
        <w:trPr>
          <w:cnfStyle w:val="000000100000"/>
        </w:trPr>
        <w:tc>
          <w:tcPr>
            <w:cnfStyle w:val="001000000000"/>
            <w:tcW w:w="4606" w:type="dxa"/>
          </w:tcPr>
          <w:p w:rsidR="00084397" w:rsidRPr="002563F7" w:rsidRDefault="00084397" w:rsidP="00084397">
            <w:pPr>
              <w:rPr>
                <w:b w:val="0"/>
                <w:i/>
                <w:sz w:val="16"/>
                <w:szCs w:val="16"/>
              </w:rPr>
            </w:pPr>
            <w:r>
              <w:rPr>
                <w:i/>
              </w:rPr>
              <w:t>MUNKA</w:t>
            </w:r>
            <w:r w:rsidRPr="000935A4">
              <w:rPr>
                <w:i/>
              </w:rPr>
              <w:t>, Éves Munkaerőegység: 2200 óra/év sta</w:t>
            </w:r>
            <w:r w:rsidRPr="000935A4">
              <w:rPr>
                <w:i/>
              </w:rPr>
              <w:t>n</w:t>
            </w:r>
            <w:r w:rsidRPr="000935A4">
              <w:rPr>
                <w:i/>
              </w:rPr>
              <w:t>dardra vetített munkateljesítmény</w:t>
            </w:r>
          </w:p>
        </w:tc>
        <w:tc>
          <w:tcPr>
            <w:tcW w:w="4606" w:type="dxa"/>
          </w:tcPr>
          <w:p w:rsidR="00084397" w:rsidRDefault="00084397" w:rsidP="00084397">
            <w:pPr>
              <w:cnfStyle w:val="000000100000"/>
              <w:rPr>
                <w:i/>
              </w:rPr>
            </w:pPr>
            <w:r w:rsidRPr="002563F7">
              <w:rPr>
                <w:b/>
                <w:i/>
              </w:rPr>
              <w:t>AKG</w:t>
            </w:r>
            <w:r>
              <w:rPr>
                <w:i/>
              </w:rPr>
              <w:t>, Agrár-környezetgazdálkodási támogatás (n</w:t>
            </w:r>
            <w:r>
              <w:rPr>
                <w:i/>
              </w:rPr>
              <w:t>ö</w:t>
            </w:r>
            <w:r>
              <w:rPr>
                <w:i/>
              </w:rPr>
              <w:t>vénytermesztés)</w:t>
            </w:r>
            <w:r w:rsidRPr="002C0678">
              <w:rPr>
                <w:i/>
              </w:rPr>
              <w:t xml:space="preserve">: </w:t>
            </w:r>
            <w:r>
              <w:rPr>
                <w:i/>
              </w:rPr>
              <w:t>m</w:t>
            </w:r>
            <w:r w:rsidRPr="002C0678">
              <w:rPr>
                <w:i/>
              </w:rPr>
              <w:t>7049_08</w:t>
            </w:r>
          </w:p>
        </w:tc>
      </w:tr>
      <w:tr w:rsidR="00084397" w:rsidTr="00084397">
        <w:trPr>
          <w:cnfStyle w:val="000000010000"/>
        </w:trPr>
        <w:tc>
          <w:tcPr>
            <w:cnfStyle w:val="001000000000"/>
            <w:tcW w:w="4606" w:type="dxa"/>
            <w:vMerge w:val="restart"/>
          </w:tcPr>
          <w:p w:rsidR="00084397" w:rsidRPr="00B35278" w:rsidRDefault="00084397" w:rsidP="00084397">
            <w:pPr>
              <w:rPr>
                <w:i/>
              </w:rPr>
            </w:pPr>
            <w:r>
              <w:rPr>
                <w:i/>
              </w:rPr>
              <w:t>TERM</w:t>
            </w:r>
            <w:r w:rsidRPr="000935A4">
              <w:rPr>
                <w:i/>
              </w:rPr>
              <w:t>, Munkatermelékenységi mutató, a két fenti változó hányadosából képeztük: NH/MUNKA</w:t>
            </w:r>
          </w:p>
        </w:tc>
        <w:tc>
          <w:tcPr>
            <w:tcW w:w="4606" w:type="dxa"/>
          </w:tcPr>
          <w:p w:rsidR="00084397" w:rsidRDefault="00084397" w:rsidP="00084397">
            <w:pPr>
              <w:cnfStyle w:val="000000010000"/>
              <w:rPr>
                <w:i/>
              </w:rPr>
            </w:pPr>
            <w:r w:rsidRPr="00F42424">
              <w:rPr>
                <w:b/>
                <w:i/>
              </w:rPr>
              <w:t>SAPS</w:t>
            </w:r>
            <w:r>
              <w:rPr>
                <w:i/>
              </w:rPr>
              <w:t xml:space="preserve">, </w:t>
            </w:r>
            <w:r w:rsidRPr="002C0678">
              <w:rPr>
                <w:i/>
              </w:rPr>
              <w:t xml:space="preserve">SAPS támogatás: </w:t>
            </w:r>
            <w:r>
              <w:rPr>
                <w:i/>
              </w:rPr>
              <w:t>m</w:t>
            </w:r>
            <w:r w:rsidRPr="002C0678">
              <w:rPr>
                <w:i/>
              </w:rPr>
              <w:t>7049_04</w:t>
            </w:r>
          </w:p>
        </w:tc>
      </w:tr>
      <w:tr w:rsidR="00084397" w:rsidRPr="002C0678" w:rsidTr="00084397">
        <w:trPr>
          <w:cnfStyle w:val="000000100000"/>
        </w:trPr>
        <w:tc>
          <w:tcPr>
            <w:cnfStyle w:val="001000000000"/>
            <w:tcW w:w="4606" w:type="dxa"/>
            <w:vMerge/>
          </w:tcPr>
          <w:p w:rsidR="00084397" w:rsidRPr="002C0678" w:rsidRDefault="00084397" w:rsidP="00084397">
            <w:pPr>
              <w:rPr>
                <w:b w:val="0"/>
                <w:i/>
              </w:rPr>
            </w:pPr>
          </w:p>
        </w:tc>
        <w:tc>
          <w:tcPr>
            <w:tcW w:w="4606" w:type="dxa"/>
          </w:tcPr>
          <w:p w:rsidR="00084397" w:rsidRDefault="00084397" w:rsidP="00084397">
            <w:pPr>
              <w:cnfStyle w:val="000000100000"/>
              <w:rPr>
                <w:i/>
              </w:rPr>
            </w:pPr>
            <w:r w:rsidRPr="002563F7">
              <w:rPr>
                <w:b/>
                <w:i/>
              </w:rPr>
              <w:t>TOTALTAM</w:t>
            </w:r>
            <w:r>
              <w:rPr>
                <w:i/>
              </w:rPr>
              <w:t xml:space="preserve">, </w:t>
            </w:r>
            <w:r w:rsidRPr="002620A0">
              <w:rPr>
                <w:i/>
              </w:rPr>
              <w:t xml:space="preserve">Visszafizetési kötelezettség nélküli </w:t>
            </w:r>
            <w:r>
              <w:rPr>
                <w:i/>
              </w:rPr>
              <w:t>kö</w:t>
            </w:r>
            <w:r>
              <w:rPr>
                <w:i/>
              </w:rPr>
              <w:t>z</w:t>
            </w:r>
            <w:r>
              <w:rPr>
                <w:i/>
              </w:rPr>
              <w:t xml:space="preserve">vetlen </w:t>
            </w:r>
            <w:r w:rsidRPr="002620A0">
              <w:rPr>
                <w:i/>
              </w:rPr>
              <w:t xml:space="preserve">támogatások </w:t>
            </w:r>
            <w:proofErr w:type="gramStart"/>
            <w:r>
              <w:rPr>
                <w:i/>
              </w:rPr>
              <w:t>összesen</w:t>
            </w:r>
            <w:r>
              <w:rPr>
                <w:rStyle w:val="FootnoteReference"/>
                <w:i/>
              </w:rPr>
              <w:footnoteReference w:id="12"/>
            </w:r>
            <w:r w:rsidRPr="002620A0">
              <w:rPr>
                <w:i/>
              </w:rPr>
              <w:t>:</w:t>
            </w:r>
            <w:proofErr w:type="gramEnd"/>
            <w:r w:rsidRPr="002620A0">
              <w:rPr>
                <w:i/>
              </w:rPr>
              <w:t xml:space="preserve"> </w:t>
            </w:r>
            <w:r>
              <w:rPr>
                <w:i/>
              </w:rPr>
              <w:t>m</w:t>
            </w:r>
            <w:r w:rsidRPr="002620A0">
              <w:rPr>
                <w:i/>
              </w:rPr>
              <w:t>4221, 7219</w:t>
            </w:r>
          </w:p>
        </w:tc>
      </w:tr>
      <w:tr w:rsidR="00084397" w:rsidRPr="002C0678" w:rsidTr="00084397">
        <w:trPr>
          <w:cnfStyle w:val="000000010000"/>
        </w:trPr>
        <w:tc>
          <w:tcPr>
            <w:cnfStyle w:val="001000000000"/>
            <w:tcW w:w="4606" w:type="dxa"/>
            <w:vMerge/>
          </w:tcPr>
          <w:p w:rsidR="00084397" w:rsidRPr="002C0678" w:rsidRDefault="00084397" w:rsidP="00084397">
            <w:pPr>
              <w:rPr>
                <w:b w:val="0"/>
                <w:i/>
              </w:rPr>
            </w:pPr>
          </w:p>
        </w:tc>
        <w:tc>
          <w:tcPr>
            <w:tcW w:w="4606" w:type="dxa"/>
          </w:tcPr>
          <w:p w:rsidR="00084397" w:rsidRDefault="00084397" w:rsidP="00084397">
            <w:pPr>
              <w:cnfStyle w:val="000000010000"/>
              <w:rPr>
                <w:i/>
              </w:rPr>
            </w:pPr>
            <w:r w:rsidRPr="00F42424">
              <w:rPr>
                <w:b/>
                <w:i/>
              </w:rPr>
              <w:t>TARSAS</w:t>
            </w:r>
            <w:r>
              <w:rPr>
                <w:i/>
              </w:rPr>
              <w:t xml:space="preserve">, Társas vagy egyéni gazdaság: </w:t>
            </w:r>
            <w:proofErr w:type="spellStart"/>
            <w:r>
              <w:rPr>
                <w:i/>
              </w:rPr>
              <w:t>dummy</w:t>
            </w:r>
            <w:proofErr w:type="spellEnd"/>
            <w:r>
              <w:rPr>
                <w:i/>
              </w:rPr>
              <w:t xml:space="preserve"> változó (1/0), forrás: AKI kiegészítés</w:t>
            </w:r>
          </w:p>
        </w:tc>
      </w:tr>
      <w:tr w:rsidR="00084397" w:rsidRPr="002C0678" w:rsidTr="00084397">
        <w:trPr>
          <w:cnfStyle w:val="000000100000"/>
        </w:trPr>
        <w:tc>
          <w:tcPr>
            <w:cnfStyle w:val="001000000000"/>
            <w:tcW w:w="4606" w:type="dxa"/>
            <w:vMerge/>
          </w:tcPr>
          <w:p w:rsidR="00084397" w:rsidRPr="002C0678" w:rsidRDefault="00084397" w:rsidP="00084397">
            <w:pPr>
              <w:rPr>
                <w:b w:val="0"/>
                <w:i/>
              </w:rPr>
            </w:pPr>
          </w:p>
        </w:tc>
        <w:tc>
          <w:tcPr>
            <w:tcW w:w="4606" w:type="dxa"/>
          </w:tcPr>
          <w:p w:rsidR="00084397" w:rsidRDefault="00084397" w:rsidP="00084397">
            <w:pPr>
              <w:cnfStyle w:val="000000100000"/>
              <w:rPr>
                <w:i/>
              </w:rPr>
            </w:pPr>
            <w:r>
              <w:rPr>
                <w:b/>
                <w:i/>
              </w:rPr>
              <w:t xml:space="preserve">EUME, </w:t>
            </w:r>
            <w:r>
              <w:rPr>
                <w:i/>
              </w:rPr>
              <w:t>a gazdaság európai méretegységben kifej</w:t>
            </w:r>
            <w:r>
              <w:rPr>
                <w:i/>
              </w:rPr>
              <w:t>e</w:t>
            </w:r>
            <w:r>
              <w:rPr>
                <w:i/>
              </w:rPr>
              <w:t>zett standard fedezeti hozzájárulása (forrás: AKI)</w:t>
            </w:r>
          </w:p>
        </w:tc>
      </w:tr>
      <w:tr w:rsidR="00084397" w:rsidRPr="002C0678" w:rsidTr="00084397">
        <w:trPr>
          <w:cnfStyle w:val="000000010000"/>
        </w:trPr>
        <w:tc>
          <w:tcPr>
            <w:cnfStyle w:val="001000000000"/>
            <w:tcW w:w="4606" w:type="dxa"/>
            <w:vMerge/>
          </w:tcPr>
          <w:p w:rsidR="00084397" w:rsidRPr="002C0678" w:rsidRDefault="00084397" w:rsidP="00084397">
            <w:pPr>
              <w:rPr>
                <w:b w:val="0"/>
                <w:i/>
              </w:rPr>
            </w:pPr>
          </w:p>
        </w:tc>
        <w:tc>
          <w:tcPr>
            <w:tcW w:w="4606" w:type="dxa"/>
          </w:tcPr>
          <w:p w:rsidR="00084397" w:rsidRDefault="00084397" w:rsidP="00084397">
            <w:pPr>
              <w:cnfStyle w:val="000000010000"/>
              <w:rPr>
                <w:i/>
              </w:rPr>
            </w:pPr>
            <w:r>
              <w:rPr>
                <w:b/>
                <w:i/>
              </w:rPr>
              <w:t xml:space="preserve">BERUHAZAS, </w:t>
            </w:r>
            <w:r>
              <w:rPr>
                <w:i/>
              </w:rPr>
              <w:t>adott évben történt összes bruttó beruházás mértéke, forrás: AKI kiegészítés</w:t>
            </w:r>
          </w:p>
        </w:tc>
      </w:tr>
      <w:tr w:rsidR="00084397" w:rsidRPr="002C0678" w:rsidTr="00084397">
        <w:trPr>
          <w:cnfStyle w:val="000000100000"/>
        </w:trPr>
        <w:tc>
          <w:tcPr>
            <w:cnfStyle w:val="001000000000"/>
            <w:tcW w:w="4606" w:type="dxa"/>
            <w:vMerge/>
          </w:tcPr>
          <w:p w:rsidR="00084397" w:rsidRPr="002C0678" w:rsidRDefault="00084397" w:rsidP="00084397">
            <w:pPr>
              <w:rPr>
                <w:b w:val="0"/>
                <w:i/>
              </w:rPr>
            </w:pPr>
          </w:p>
        </w:tc>
        <w:tc>
          <w:tcPr>
            <w:tcW w:w="4606" w:type="dxa"/>
          </w:tcPr>
          <w:p w:rsidR="00084397" w:rsidRDefault="00084397" w:rsidP="00084397">
            <w:pPr>
              <w:keepNext/>
              <w:cnfStyle w:val="000000100000"/>
              <w:rPr>
                <w:i/>
              </w:rPr>
            </w:pPr>
            <w:r>
              <w:rPr>
                <w:b/>
                <w:i/>
              </w:rPr>
              <w:t xml:space="preserve">TARGYI, </w:t>
            </w:r>
            <w:r>
              <w:rPr>
                <w:i/>
              </w:rPr>
              <w:t>adott évhez tartozó tárgyi eszköz állomány nagysága: m5079_03</w:t>
            </w:r>
          </w:p>
        </w:tc>
      </w:tr>
    </w:tbl>
    <w:bookmarkStart w:id="30" w:name="_Ref276736503"/>
    <w:bookmarkStart w:id="31" w:name="_Ref276736499"/>
    <w:p w:rsidR="00084397" w:rsidRPr="00834E5D" w:rsidRDefault="003F44DC" w:rsidP="00084397">
      <w:pPr>
        <w:pStyle w:val="Caption"/>
        <w:spacing w:before="240"/>
        <w:jc w:val="center"/>
        <w:rPr>
          <w:color w:val="auto"/>
        </w:rPr>
      </w:pPr>
      <w:r>
        <w:rPr>
          <w:color w:val="auto"/>
        </w:rPr>
        <w:fldChar w:fldCharType="begin"/>
      </w:r>
      <w:r w:rsidR="00084397">
        <w:rPr>
          <w:color w:val="auto"/>
        </w:rPr>
        <w:instrText xml:space="preserve"> SEQ táblázat \* ARABIC </w:instrText>
      </w:r>
      <w:r>
        <w:rPr>
          <w:color w:val="auto"/>
        </w:rPr>
        <w:fldChar w:fldCharType="separate"/>
      </w:r>
      <w:r w:rsidR="002D1B7A">
        <w:rPr>
          <w:noProof/>
          <w:color w:val="auto"/>
        </w:rPr>
        <w:t>2</w:t>
      </w:r>
      <w:r>
        <w:rPr>
          <w:color w:val="auto"/>
        </w:rPr>
        <w:fldChar w:fldCharType="end"/>
      </w:r>
      <w:r w:rsidR="00084397" w:rsidRPr="00834E5D">
        <w:rPr>
          <w:color w:val="auto"/>
        </w:rPr>
        <w:t>. táblázat</w:t>
      </w:r>
      <w:bookmarkEnd w:id="30"/>
      <w:r w:rsidR="00084397">
        <w:rPr>
          <w:color w:val="auto"/>
        </w:rPr>
        <w:t>: A modellek változói</w:t>
      </w:r>
      <w:bookmarkEnd w:id="31"/>
    </w:p>
    <w:p w:rsidR="00084397" w:rsidRDefault="00084397" w:rsidP="00084397">
      <w:pPr>
        <w:spacing w:after="240"/>
        <w:jc w:val="both"/>
      </w:pPr>
      <w:r>
        <w:t xml:space="preserve">A modellek kiépítése a </w:t>
      </w:r>
      <w:proofErr w:type="spellStart"/>
      <w:r w:rsidRPr="00834E5D">
        <w:rPr>
          <w:i/>
        </w:rPr>
        <w:t>Quantitative</w:t>
      </w:r>
      <w:proofErr w:type="spellEnd"/>
      <w:r w:rsidRPr="00834E5D">
        <w:rPr>
          <w:i/>
        </w:rPr>
        <w:t xml:space="preserve"> Micro Software</w:t>
      </w:r>
      <w:r>
        <w:t xml:space="preserve"> által készített </w:t>
      </w:r>
      <w:proofErr w:type="spellStart"/>
      <w:r w:rsidRPr="00834E5D">
        <w:rPr>
          <w:i/>
        </w:rPr>
        <w:t>EViews</w:t>
      </w:r>
      <w:proofErr w:type="spellEnd"/>
      <w:r>
        <w:t xml:space="preserve"> nevű alkalmazásban történt, ami a legmodernebb statisztikai és </w:t>
      </w:r>
      <w:proofErr w:type="spellStart"/>
      <w:r>
        <w:t>ökonometriai</w:t>
      </w:r>
      <w:proofErr w:type="spellEnd"/>
      <w:r>
        <w:t xml:space="preserve"> elméleti módszerek gyakorlati alkalmazását tette lehetővé, a </w:t>
      </w:r>
      <w:r w:rsidR="003F44DC">
        <w:fldChar w:fldCharType="begin"/>
      </w:r>
      <w:r>
        <w:instrText xml:space="preserve"> REF _Ref275875043 \w \h </w:instrText>
      </w:r>
      <w:r w:rsidR="003F44DC">
        <w:fldChar w:fldCharType="separate"/>
      </w:r>
      <w:r w:rsidR="002D1B7A">
        <w:t>3.1.4.1</w:t>
      </w:r>
      <w:r w:rsidR="003F44DC">
        <w:fldChar w:fldCharType="end"/>
      </w:r>
      <w:r>
        <w:t>. alfejezetben bemutatottak mentén. Az alaphipotézis minden esetben a magyarázó változók együt</w:t>
      </w:r>
      <w:r>
        <w:t>t</w:t>
      </w:r>
      <w:r>
        <w:lastRenderedPageBreak/>
        <w:t xml:space="preserve">hatóinak jelentéktelensége volt, amivel szemben az alternatív hipotézist </w:t>
      </w:r>
      <w:r w:rsidRPr="00303DD6">
        <w:rPr>
          <w:b/>
          <w:i/>
          <w:u w:val="single"/>
        </w:rPr>
        <w:t xml:space="preserve">5%-os </w:t>
      </w:r>
      <w:proofErr w:type="spellStart"/>
      <w:r w:rsidRPr="00303DD6">
        <w:rPr>
          <w:b/>
          <w:i/>
          <w:u w:val="single"/>
        </w:rPr>
        <w:t>szignifikancia</w:t>
      </w:r>
      <w:proofErr w:type="spellEnd"/>
      <w:r w:rsidRPr="00303DD6">
        <w:rPr>
          <w:b/>
          <w:i/>
          <w:u w:val="single"/>
        </w:rPr>
        <w:t xml:space="preserve"> szint</w:t>
      </w:r>
      <w:r>
        <w:t xml:space="preserve"> mellett fogadtuk el. A </w:t>
      </w:r>
      <w:r w:rsidR="003F44DC">
        <w:fldChar w:fldCharType="begin"/>
      </w:r>
      <w:r>
        <w:instrText xml:space="preserve"> REF _Ref276993823 \h </w:instrText>
      </w:r>
      <w:r w:rsidR="003F44DC">
        <w:fldChar w:fldCharType="separate"/>
      </w:r>
      <w:r w:rsidR="002D1B7A">
        <w:rPr>
          <w:noProof/>
        </w:rPr>
        <w:t>3</w:t>
      </w:r>
      <w:r w:rsidR="002D1B7A" w:rsidRPr="00834E5D">
        <w:t>. táblázat</w:t>
      </w:r>
      <w:r w:rsidR="003F44DC">
        <w:fldChar w:fldCharType="end"/>
      </w:r>
      <w:r w:rsidRPr="00725881">
        <w:t xml:space="preserve"> és a </w:t>
      </w:r>
      <w:fldSimple w:instr=" REF _Ref276736776 \h  \* MERGEFORMAT ">
        <w:r w:rsidR="002D1B7A">
          <w:rPr>
            <w:noProof/>
          </w:rPr>
          <w:t>4</w:t>
        </w:r>
        <w:r w:rsidR="002D1B7A" w:rsidRPr="00834E5D">
          <w:t>. táblázat</w:t>
        </w:r>
      </w:fldSimple>
      <w:r w:rsidRPr="00725881">
        <w:t xml:space="preserve"> a változóink leíró statisztikáit mutatja két részletben. A</w:t>
      </w:r>
      <w:r>
        <w:t>z</w:t>
      </w:r>
      <w:r w:rsidRPr="00725881">
        <w:t xml:space="preserve"> </w:t>
      </w:r>
      <w:fldSimple w:instr=" REF _Ref276990043 \h  \* MERGEFORMAT ">
        <w:r w:rsidR="002D1B7A">
          <w:rPr>
            <w:noProof/>
          </w:rPr>
          <w:t>5</w:t>
        </w:r>
        <w:r w:rsidR="002D1B7A" w:rsidRPr="00834E5D">
          <w:t>. táblázat</w:t>
        </w:r>
      </w:fldSimple>
      <w:r w:rsidRPr="00725881">
        <w:t xml:space="preserve"> a változóink közötti korrelációt mutatja táblázatos formában. </w:t>
      </w:r>
      <w:r>
        <w:t xml:space="preserve">A </w:t>
      </w:r>
      <w:r w:rsidR="003F44DC">
        <w:fldChar w:fldCharType="begin"/>
      </w:r>
      <w:r>
        <w:instrText xml:space="preserve"> REF _Ref276736735 \h </w:instrText>
      </w:r>
      <w:r w:rsidR="003F44DC">
        <w:fldChar w:fldCharType="separate"/>
      </w:r>
      <w:r w:rsidR="002D1B7A">
        <w:rPr>
          <w:noProof/>
        </w:rPr>
        <w:t>6</w:t>
      </w:r>
      <w:r w:rsidR="002D1B7A" w:rsidRPr="00CC58AC">
        <w:t>. táblázat</w:t>
      </w:r>
      <w:r w:rsidR="003F44DC">
        <w:fldChar w:fldCharType="end"/>
      </w:r>
      <w:r>
        <w:t xml:space="preserve"> </w:t>
      </w:r>
      <w:r w:rsidRPr="00725881">
        <w:t>a beruházási és a terület alapú támogatások megoszlását mutatja a mintában évről évre.</w:t>
      </w:r>
    </w:p>
    <w:p w:rsidR="00084397" w:rsidRDefault="00084397" w:rsidP="00084397">
      <w:pPr>
        <w:jc w:val="center"/>
      </w:pPr>
      <w:r w:rsidRPr="00C33C8D">
        <w:rPr>
          <w:noProof/>
        </w:rPr>
        <w:drawing>
          <wp:inline distT="0" distB="0" distL="0" distR="0">
            <wp:extent cx="5724525" cy="1743075"/>
            <wp:effectExtent l="19050" t="19050" r="66675" b="2857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24525" cy="174307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bookmarkStart w:id="32" w:name="_Ref276993823"/>
    <w:p w:rsidR="00084397" w:rsidRDefault="003F44DC" w:rsidP="00084397">
      <w:pPr>
        <w:pStyle w:val="Caption"/>
        <w:jc w:val="center"/>
        <w:rPr>
          <w:color w:val="auto"/>
        </w:rPr>
      </w:pPr>
      <w:r>
        <w:rPr>
          <w:color w:val="auto"/>
        </w:rPr>
        <w:fldChar w:fldCharType="begin"/>
      </w:r>
      <w:r w:rsidR="00084397">
        <w:rPr>
          <w:color w:val="auto"/>
        </w:rPr>
        <w:instrText xml:space="preserve"> SEQ táblázat \* ARABIC </w:instrText>
      </w:r>
      <w:r>
        <w:rPr>
          <w:color w:val="auto"/>
        </w:rPr>
        <w:fldChar w:fldCharType="separate"/>
      </w:r>
      <w:r w:rsidR="002D1B7A">
        <w:rPr>
          <w:noProof/>
          <w:color w:val="auto"/>
        </w:rPr>
        <w:t>3</w:t>
      </w:r>
      <w:r>
        <w:rPr>
          <w:color w:val="auto"/>
        </w:rPr>
        <w:fldChar w:fldCharType="end"/>
      </w:r>
      <w:r w:rsidR="00084397" w:rsidRPr="00834E5D">
        <w:rPr>
          <w:color w:val="auto"/>
        </w:rPr>
        <w:t>. táblázat</w:t>
      </w:r>
      <w:bookmarkEnd w:id="32"/>
      <w:r w:rsidR="00084397" w:rsidRPr="00834E5D">
        <w:rPr>
          <w:color w:val="auto"/>
        </w:rPr>
        <w:t>: A változóink leíró statisztikája (</w:t>
      </w:r>
      <w:proofErr w:type="spellStart"/>
      <w:r w:rsidR="00084397" w:rsidRPr="00834E5D">
        <w:rPr>
          <w:color w:val="auto"/>
        </w:rPr>
        <w:t>eFt</w:t>
      </w:r>
      <w:proofErr w:type="spellEnd"/>
      <w:r w:rsidR="00084397" w:rsidRPr="00834E5D">
        <w:rPr>
          <w:color w:val="auto"/>
        </w:rPr>
        <w:t>, kivéve az Éves Munkaerőegységet</w:t>
      </w:r>
      <w:r w:rsidR="00084397">
        <w:rPr>
          <w:color w:val="auto"/>
        </w:rPr>
        <w:t>, és Termelékenységet</w:t>
      </w:r>
      <w:r w:rsidR="00084397" w:rsidRPr="00834E5D">
        <w:rPr>
          <w:color w:val="auto"/>
        </w:rPr>
        <w:t>)</w:t>
      </w:r>
    </w:p>
    <w:p w:rsidR="00084397" w:rsidRDefault="00084397" w:rsidP="00084397">
      <w:pPr>
        <w:keepNext/>
        <w:jc w:val="center"/>
      </w:pPr>
      <w:r w:rsidRPr="00C33C8D">
        <w:rPr>
          <w:noProof/>
        </w:rPr>
        <w:drawing>
          <wp:inline distT="0" distB="0" distL="0" distR="0">
            <wp:extent cx="5818505" cy="1745552"/>
            <wp:effectExtent l="19050" t="19050" r="48895" b="26098"/>
            <wp:docPr id="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818505" cy="1745552"/>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bookmarkStart w:id="33" w:name="_Ref276736776"/>
    <w:bookmarkStart w:id="34" w:name="_Ref276979883"/>
    <w:p w:rsidR="00084397" w:rsidRPr="00834E5D" w:rsidRDefault="003F44DC" w:rsidP="00084397">
      <w:pPr>
        <w:pStyle w:val="Caption"/>
        <w:jc w:val="center"/>
        <w:rPr>
          <w:color w:val="auto"/>
        </w:rPr>
      </w:pPr>
      <w:r>
        <w:rPr>
          <w:color w:val="auto"/>
        </w:rPr>
        <w:fldChar w:fldCharType="begin"/>
      </w:r>
      <w:r w:rsidR="00084397">
        <w:rPr>
          <w:color w:val="auto"/>
        </w:rPr>
        <w:instrText xml:space="preserve"> SEQ táblázat \* ARABIC </w:instrText>
      </w:r>
      <w:r>
        <w:rPr>
          <w:color w:val="auto"/>
        </w:rPr>
        <w:fldChar w:fldCharType="separate"/>
      </w:r>
      <w:r w:rsidR="002D1B7A">
        <w:rPr>
          <w:noProof/>
          <w:color w:val="auto"/>
        </w:rPr>
        <w:t>4</w:t>
      </w:r>
      <w:r>
        <w:rPr>
          <w:color w:val="auto"/>
        </w:rPr>
        <w:fldChar w:fldCharType="end"/>
      </w:r>
      <w:r w:rsidR="00084397" w:rsidRPr="00834E5D">
        <w:rPr>
          <w:color w:val="auto"/>
        </w:rPr>
        <w:t>. táblázat</w:t>
      </w:r>
      <w:bookmarkEnd w:id="33"/>
      <w:r w:rsidR="00084397" w:rsidRPr="00834E5D">
        <w:rPr>
          <w:color w:val="auto"/>
        </w:rPr>
        <w:t>: A változóink leíró statisztikája (folytatás</w:t>
      </w:r>
      <w:r w:rsidR="00084397">
        <w:rPr>
          <w:color w:val="auto"/>
        </w:rPr>
        <w:t xml:space="preserve">, </w:t>
      </w:r>
      <w:proofErr w:type="spellStart"/>
      <w:r w:rsidR="00084397">
        <w:rPr>
          <w:color w:val="auto"/>
        </w:rPr>
        <w:t>eFt</w:t>
      </w:r>
      <w:proofErr w:type="spellEnd"/>
      <w:r w:rsidR="00084397">
        <w:rPr>
          <w:color w:val="auto"/>
        </w:rPr>
        <w:t xml:space="preserve"> kivéve az</w:t>
      </w:r>
      <w:r w:rsidR="00084397" w:rsidRPr="00834E5D">
        <w:rPr>
          <w:color w:val="auto"/>
        </w:rPr>
        <w:t xml:space="preserve"> Európai Méretegységet)</w:t>
      </w:r>
      <w:bookmarkEnd w:id="34"/>
    </w:p>
    <w:p w:rsidR="00084397" w:rsidRDefault="00084397" w:rsidP="00084397">
      <w:pPr>
        <w:jc w:val="both"/>
      </w:pPr>
      <w:r w:rsidRPr="00725881">
        <w:t xml:space="preserve">Amint azt a </w:t>
      </w:r>
      <w:r w:rsidR="003F44DC">
        <w:fldChar w:fldCharType="begin"/>
      </w:r>
      <w:r>
        <w:instrText xml:space="preserve"> REF _Ref276993823 \h </w:instrText>
      </w:r>
      <w:r w:rsidR="003F44DC">
        <w:fldChar w:fldCharType="separate"/>
      </w:r>
      <w:r w:rsidR="002D1B7A">
        <w:rPr>
          <w:noProof/>
        </w:rPr>
        <w:t>3</w:t>
      </w:r>
      <w:r w:rsidR="002D1B7A" w:rsidRPr="00834E5D">
        <w:t>. táblázat</w:t>
      </w:r>
      <w:r w:rsidR="003F44DC">
        <w:fldChar w:fldCharType="end"/>
      </w:r>
      <w:r>
        <w:t xml:space="preserve"> és </w:t>
      </w:r>
      <w:r w:rsidR="003F44DC">
        <w:fldChar w:fldCharType="begin"/>
      </w:r>
      <w:r>
        <w:instrText xml:space="preserve"> REF _Ref276736776 \h </w:instrText>
      </w:r>
      <w:r w:rsidR="003F44DC">
        <w:fldChar w:fldCharType="separate"/>
      </w:r>
      <w:r w:rsidR="002D1B7A">
        <w:rPr>
          <w:noProof/>
        </w:rPr>
        <w:t>4</w:t>
      </w:r>
      <w:r w:rsidR="002D1B7A" w:rsidRPr="00834E5D">
        <w:t>. táblázat</w:t>
      </w:r>
      <w:r w:rsidR="003F44DC">
        <w:fldChar w:fldCharType="end"/>
      </w:r>
      <w:r>
        <w:t xml:space="preserve"> </w:t>
      </w:r>
      <w:r w:rsidRPr="00725881">
        <w:t>is mutatja, noha a négy évet egyben kezelve nem egyszerű értelmezést adni az átlag</w:t>
      </w:r>
      <w:r>
        <w:t xml:space="preserve">nak, úgy tekinthetjük, hogy minden üzem négy megfigyeléssel (négy év) járult hozzá az átlag kiszámításához, azaz ezek most az éves átlagok átlagai. A nettó hozzáadott érték esetében ez 25,8 millió forintot jelent, munkakapacitás tekintetében 5,4 </w:t>
      </w:r>
      <w:proofErr w:type="spellStart"/>
      <w:r>
        <w:t>ÉME-t</w:t>
      </w:r>
      <w:proofErr w:type="spellEnd"/>
      <w:r>
        <w:t xml:space="preserve"> (</w:t>
      </w:r>
      <w:r w:rsidR="003F44DC">
        <w:fldChar w:fldCharType="begin"/>
      </w:r>
      <w:r>
        <w:instrText xml:space="preserve"> REF _Ref276993823 \h </w:instrText>
      </w:r>
      <w:r w:rsidR="003F44DC">
        <w:fldChar w:fldCharType="separate"/>
      </w:r>
      <w:r w:rsidR="002D1B7A">
        <w:rPr>
          <w:noProof/>
        </w:rPr>
        <w:t>3</w:t>
      </w:r>
      <w:r w:rsidR="002D1B7A" w:rsidRPr="00834E5D">
        <w:t>. táblázat</w:t>
      </w:r>
      <w:r w:rsidR="003F44DC">
        <w:fldChar w:fldCharType="end"/>
      </w:r>
      <w:r>
        <w:t>). Ennek megfelelően az átlagos termel</w:t>
      </w:r>
      <w:r>
        <w:t>é</w:t>
      </w:r>
      <w:r>
        <w:t xml:space="preserve">kenység </w:t>
      </w:r>
      <w:proofErr w:type="spellStart"/>
      <w:r>
        <w:t>ÉMÉ-nként</w:t>
      </w:r>
      <w:proofErr w:type="spellEnd"/>
      <w:r>
        <w:t xml:space="preserve"> 5,7 millió forint</w:t>
      </w:r>
      <w:r w:rsidRPr="00725881">
        <w:t>. Azonban figyelemreméltó, hogy a termelékenységi mutató extrém ért</w:t>
      </w:r>
      <w:r w:rsidRPr="00725881">
        <w:t>é</w:t>
      </w:r>
      <w:r w:rsidRPr="00725881">
        <w:t>kekkel bír (maximum és minimum értékek egyaránt</w:t>
      </w:r>
      <w:r>
        <w:t xml:space="preserve"> kiugróak</w:t>
      </w:r>
      <w:r w:rsidRPr="00725881">
        <w:t>). A torzítatlan</w:t>
      </w:r>
      <w:r>
        <w:t xml:space="preserve"> becslés érdekében a termel</w:t>
      </w:r>
      <w:r>
        <w:t>é</w:t>
      </w:r>
      <w:r>
        <w:t>kenység abszolút értékben 100.000-et meghaladó értékeit nem vettük figyelembe, mivel nagyon eltolta vo</w:t>
      </w:r>
      <w:r>
        <w:t>l</w:t>
      </w:r>
      <w:r>
        <w:t>na a mintánk értelmezhetőségét. Az átlagos AKG támogatás 1,7 millió forint volt (</w:t>
      </w:r>
      <w:r w:rsidR="003F44DC">
        <w:fldChar w:fldCharType="begin"/>
      </w:r>
      <w:r>
        <w:instrText xml:space="preserve"> REF _Ref276993823 \h </w:instrText>
      </w:r>
      <w:r w:rsidR="003F44DC">
        <w:fldChar w:fldCharType="separate"/>
      </w:r>
      <w:r w:rsidR="002D1B7A">
        <w:rPr>
          <w:noProof/>
        </w:rPr>
        <w:t>3</w:t>
      </w:r>
      <w:r w:rsidR="002D1B7A" w:rsidRPr="00834E5D">
        <w:t>. táblázat</w:t>
      </w:r>
      <w:r w:rsidR="003F44DC">
        <w:fldChar w:fldCharType="end"/>
      </w:r>
      <w:r>
        <w:t xml:space="preserve">), míg </w:t>
      </w:r>
      <w:proofErr w:type="spellStart"/>
      <w:r>
        <w:t>SAPS-ból</w:t>
      </w:r>
      <w:proofErr w:type="spellEnd"/>
      <w:r>
        <w:t xml:space="preserve"> ugyanez 6,5 millió forintra rúg. Fejlesztési támogatást átlagosan 7,1 millió forintot kaptak az üzemek (</w:t>
      </w:r>
      <w:r w:rsidR="003F44DC">
        <w:fldChar w:fldCharType="begin"/>
      </w:r>
      <w:r>
        <w:instrText xml:space="preserve"> REF _Ref276736776 \h </w:instrText>
      </w:r>
      <w:r w:rsidR="003F44DC">
        <w:fldChar w:fldCharType="separate"/>
      </w:r>
      <w:r w:rsidR="002D1B7A">
        <w:rPr>
          <w:noProof/>
        </w:rPr>
        <w:t>4</w:t>
      </w:r>
      <w:r w:rsidR="002D1B7A" w:rsidRPr="00834E5D">
        <w:t>. táblázat</w:t>
      </w:r>
      <w:r w:rsidR="003F44DC">
        <w:fldChar w:fldCharType="end"/>
      </w:r>
      <w:r>
        <w:t>).</w:t>
      </w:r>
    </w:p>
    <w:p w:rsidR="00084397" w:rsidRDefault="00084397" w:rsidP="00084397">
      <w:pPr>
        <w:jc w:val="both"/>
      </w:pPr>
      <w:r>
        <w:t>Az átlagos üzemméret 85,9 EUME (</w:t>
      </w:r>
      <w:r w:rsidR="003F44DC">
        <w:fldChar w:fldCharType="begin"/>
      </w:r>
      <w:r>
        <w:instrText xml:space="preserve"> REF _Ref276736776 \h </w:instrText>
      </w:r>
      <w:r w:rsidR="003F44DC">
        <w:fldChar w:fldCharType="separate"/>
      </w:r>
      <w:r w:rsidR="002D1B7A">
        <w:rPr>
          <w:noProof/>
        </w:rPr>
        <w:t>4</w:t>
      </w:r>
      <w:r w:rsidR="002D1B7A" w:rsidRPr="00834E5D">
        <w:t>. táblázat</w:t>
      </w:r>
      <w:r w:rsidR="003F44DC">
        <w:fldChar w:fldCharType="end"/>
      </w:r>
      <w:r>
        <w:t>), azonban a mediánt érdemes itt figyelnünk (27,56), mivel ez az a középső üzemméret, ami alatt és felett az üzemek 50-50%-</w:t>
      </w:r>
      <w:proofErr w:type="gramStart"/>
      <w:r>
        <w:t>a</w:t>
      </w:r>
      <w:proofErr w:type="gramEnd"/>
      <w:r>
        <w:t xml:space="preserve"> elhelyezkedik. Mindez rávilágít a hazai birtokszerkezet duális jellegére: a kevés számú nagybirtok jelentősen emeli az átlagos birtokméretet, a j</w:t>
      </w:r>
      <w:r>
        <w:t>e</w:t>
      </w:r>
      <w:r>
        <w:t xml:space="preserve">lentős számú „törpebirtok” rovására. </w:t>
      </w:r>
    </w:p>
    <w:p w:rsidR="00084397" w:rsidRDefault="00084397" w:rsidP="00084397">
      <w:pPr>
        <w:jc w:val="both"/>
      </w:pPr>
      <w:r>
        <w:t xml:space="preserve">Látszik, hogy csak a 2 EUME feletti gazdaságok kerültek be a </w:t>
      </w:r>
      <w:proofErr w:type="spellStart"/>
      <w:r>
        <w:t>FADN-be</w:t>
      </w:r>
      <w:proofErr w:type="spellEnd"/>
      <w:r>
        <w:t xml:space="preserve"> (lásd </w:t>
      </w:r>
      <w:r w:rsidR="003F44DC">
        <w:fldChar w:fldCharType="begin"/>
      </w:r>
      <w:r>
        <w:instrText xml:space="preserve"> NOTEREF _Ref276994106 \h </w:instrText>
      </w:r>
      <w:r w:rsidR="003F44DC">
        <w:fldChar w:fldCharType="separate"/>
      </w:r>
      <w:r w:rsidR="002D1B7A">
        <w:t>2</w:t>
      </w:r>
      <w:r w:rsidR="003F44DC">
        <w:fldChar w:fldCharType="end"/>
      </w:r>
      <w:r>
        <w:t>. lábjegyzet), a minimum érték 2,01 (</w:t>
      </w:r>
      <w:r w:rsidR="003F44DC">
        <w:fldChar w:fldCharType="begin"/>
      </w:r>
      <w:r>
        <w:instrText xml:space="preserve"> REF _Ref276736776 \h </w:instrText>
      </w:r>
      <w:r w:rsidR="003F44DC">
        <w:fldChar w:fldCharType="separate"/>
      </w:r>
      <w:r w:rsidR="002D1B7A">
        <w:rPr>
          <w:noProof/>
        </w:rPr>
        <w:t>4</w:t>
      </w:r>
      <w:r w:rsidR="002D1B7A" w:rsidRPr="00834E5D">
        <w:t>. táblázat</w:t>
      </w:r>
      <w:r w:rsidR="003F44DC">
        <w:fldChar w:fldCharType="end"/>
      </w:r>
      <w:r>
        <w:t>).</w:t>
      </w:r>
    </w:p>
    <w:p w:rsidR="00084397" w:rsidRDefault="00084397" w:rsidP="00084397">
      <w:pPr>
        <w:keepNext/>
        <w:jc w:val="center"/>
      </w:pPr>
      <w:r w:rsidRPr="001677A4">
        <w:rPr>
          <w:noProof/>
        </w:rPr>
        <w:lastRenderedPageBreak/>
        <w:drawing>
          <wp:inline distT="0" distB="0" distL="0" distR="0">
            <wp:extent cx="5818505" cy="1265395"/>
            <wp:effectExtent l="19050" t="19050" r="48895" b="10955"/>
            <wp:docPr id="7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818505" cy="126539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bookmarkStart w:id="35" w:name="_Ref276990043"/>
    <w:bookmarkStart w:id="36" w:name="_Ref276994737"/>
    <w:p w:rsidR="00084397" w:rsidRPr="00834E5D" w:rsidRDefault="003F44DC" w:rsidP="00084397">
      <w:pPr>
        <w:pStyle w:val="Caption"/>
        <w:jc w:val="center"/>
        <w:rPr>
          <w:color w:val="auto"/>
        </w:rPr>
      </w:pPr>
      <w:r>
        <w:rPr>
          <w:color w:val="auto"/>
        </w:rPr>
        <w:fldChar w:fldCharType="begin"/>
      </w:r>
      <w:r w:rsidR="00084397">
        <w:rPr>
          <w:color w:val="auto"/>
        </w:rPr>
        <w:instrText xml:space="preserve"> SEQ táblázat \* ARABIC </w:instrText>
      </w:r>
      <w:r>
        <w:rPr>
          <w:color w:val="auto"/>
        </w:rPr>
        <w:fldChar w:fldCharType="separate"/>
      </w:r>
      <w:r w:rsidR="002D1B7A">
        <w:rPr>
          <w:noProof/>
          <w:color w:val="auto"/>
        </w:rPr>
        <w:t>5</w:t>
      </w:r>
      <w:r>
        <w:rPr>
          <w:color w:val="auto"/>
        </w:rPr>
        <w:fldChar w:fldCharType="end"/>
      </w:r>
      <w:r w:rsidR="00084397" w:rsidRPr="00834E5D">
        <w:rPr>
          <w:color w:val="auto"/>
        </w:rPr>
        <w:t>. táblázat</w:t>
      </w:r>
      <w:bookmarkEnd w:id="35"/>
      <w:r w:rsidR="00084397" w:rsidRPr="00834E5D">
        <w:rPr>
          <w:color w:val="auto"/>
        </w:rPr>
        <w:t>: Korrelációs együtthatók mátrixa</w:t>
      </w:r>
      <w:bookmarkEnd w:id="36"/>
    </w:p>
    <w:p w:rsidR="00084397" w:rsidRDefault="00084397" w:rsidP="00084397">
      <w:pPr>
        <w:jc w:val="both"/>
      </w:pPr>
      <w:r>
        <w:t xml:space="preserve">A fenti </w:t>
      </w:r>
      <w:r w:rsidR="003F44DC">
        <w:fldChar w:fldCharType="begin"/>
      </w:r>
      <w:r>
        <w:instrText xml:space="preserve"> REF _Ref276990043 \h </w:instrText>
      </w:r>
      <w:r w:rsidR="003F44DC">
        <w:fldChar w:fldCharType="separate"/>
      </w:r>
      <w:r w:rsidR="002D1B7A">
        <w:rPr>
          <w:noProof/>
        </w:rPr>
        <w:t>5</w:t>
      </w:r>
      <w:r w:rsidR="002D1B7A" w:rsidRPr="00834E5D">
        <w:t>. táblázat</w:t>
      </w:r>
      <w:r w:rsidR="003F44DC">
        <w:fldChar w:fldCharType="end"/>
      </w:r>
      <w:r>
        <w:t xml:space="preserve"> alapján erős a korreláció a nettó hozzáadott érték (NH) és az éves munkaerőegység (MUNKA) között (0,88), valamint a támogatások illetve az EUME és a nettó hozzáadott érték között. Nyilvá</w:t>
      </w:r>
      <w:r>
        <w:t>n</w:t>
      </w:r>
      <w:r>
        <w:t>való korreláció van a TOTALTAM és AKG, valamint SAPS között. A tárgyi eszköz állomány és EUME erős poz</w:t>
      </w:r>
      <w:r>
        <w:t>i</w:t>
      </w:r>
      <w:r>
        <w:t>tív összefüggést mutatnak, de az EUME meglepő módon az ÉME és a TOTALTAM változóinkkal van közel lineáris viszonyban (0,94-es érték). Ez a táblázatunk a későbbiekben hasznosnak bizonyul az instrument</w:t>
      </w:r>
      <w:r>
        <w:t>u</w:t>
      </w:r>
      <w:r>
        <w:t xml:space="preserve">mok kiválasztásában, a </w:t>
      </w:r>
      <w:proofErr w:type="spellStart"/>
      <w:r>
        <w:t>multikollinearitás</w:t>
      </w:r>
      <w:proofErr w:type="spellEnd"/>
      <w:r>
        <w:t xml:space="preserve"> megértésében és a modellek értelmezéseiben.</w:t>
      </w:r>
    </w:p>
    <w:p w:rsidR="00084397" w:rsidRDefault="00084397" w:rsidP="00084397">
      <w:pPr>
        <w:keepNext/>
        <w:jc w:val="center"/>
      </w:pPr>
      <w:r w:rsidRPr="003C2CA1">
        <w:rPr>
          <w:noProof/>
        </w:rPr>
        <w:drawing>
          <wp:inline distT="0" distB="0" distL="0" distR="0">
            <wp:extent cx="4352925" cy="1313180"/>
            <wp:effectExtent l="19050" t="19050" r="66675" b="2032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352925" cy="131318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bookmarkStart w:id="37" w:name="_Ref276736735"/>
    <w:p w:rsidR="00084397" w:rsidRPr="00CC58AC" w:rsidRDefault="003F44DC" w:rsidP="00084397">
      <w:pPr>
        <w:pStyle w:val="Caption"/>
        <w:jc w:val="center"/>
        <w:rPr>
          <w:color w:val="auto"/>
        </w:rPr>
      </w:pPr>
      <w:r>
        <w:rPr>
          <w:color w:val="auto"/>
        </w:rPr>
        <w:fldChar w:fldCharType="begin"/>
      </w:r>
      <w:r w:rsidR="00084397">
        <w:rPr>
          <w:color w:val="auto"/>
        </w:rPr>
        <w:instrText xml:space="preserve"> SEQ táblázat \* ARABIC </w:instrText>
      </w:r>
      <w:r>
        <w:rPr>
          <w:color w:val="auto"/>
        </w:rPr>
        <w:fldChar w:fldCharType="separate"/>
      </w:r>
      <w:r w:rsidR="002D1B7A">
        <w:rPr>
          <w:noProof/>
          <w:color w:val="auto"/>
        </w:rPr>
        <w:t>6</w:t>
      </w:r>
      <w:r>
        <w:rPr>
          <w:color w:val="auto"/>
        </w:rPr>
        <w:fldChar w:fldCharType="end"/>
      </w:r>
      <w:r w:rsidR="00084397" w:rsidRPr="00CC58AC">
        <w:rPr>
          <w:color w:val="auto"/>
        </w:rPr>
        <w:t>. táblázat</w:t>
      </w:r>
      <w:bookmarkEnd w:id="37"/>
      <w:r w:rsidR="00084397" w:rsidRPr="00CC58AC">
        <w:rPr>
          <w:color w:val="auto"/>
        </w:rPr>
        <w:t>: Támogatások megoszlása</w:t>
      </w:r>
    </w:p>
    <w:p w:rsidR="00084397" w:rsidRDefault="00084397" w:rsidP="00084397">
      <w:pPr>
        <w:jc w:val="both"/>
      </w:pPr>
      <w:r>
        <w:t xml:space="preserve">A </w:t>
      </w:r>
      <w:r w:rsidR="003F44DC">
        <w:fldChar w:fldCharType="begin"/>
      </w:r>
      <w:r>
        <w:instrText xml:space="preserve"> REF _Ref276736735 \h </w:instrText>
      </w:r>
      <w:r w:rsidR="003F44DC">
        <w:fldChar w:fldCharType="separate"/>
      </w:r>
      <w:r w:rsidR="002D1B7A">
        <w:rPr>
          <w:noProof/>
        </w:rPr>
        <w:t>6</w:t>
      </w:r>
      <w:r w:rsidR="002D1B7A" w:rsidRPr="00CC58AC">
        <w:t>. táblázat</w:t>
      </w:r>
      <w:r w:rsidR="003F44DC">
        <w:fldChar w:fldCharType="end"/>
      </w:r>
      <w:r>
        <w:t>on látszik, hogy az évek során az általunk kiemelt beruházási típusú és agrár-környezetgazdálkodási területalapú</w:t>
      </w:r>
      <w:r w:rsidRPr="005E226A">
        <w:t xml:space="preserve"> támogatásokból</w:t>
      </w:r>
      <w:r>
        <w:t xml:space="preserve"> számszerűen hányan részesültek, vagyis kiket tekinth</w:t>
      </w:r>
      <w:r>
        <w:t>e</w:t>
      </w:r>
      <w:r>
        <w:t>tünk támogatottaknak, és kiket kontrollcsoportnak a FADN adatbázisában. Nem jelöltük itt a SAPS támog</w:t>
      </w:r>
      <w:r>
        <w:t>a</w:t>
      </w:r>
      <w:r>
        <w:t xml:space="preserve">tást élvezők arányát. Egészen a 2009-es évig kiegyensúlyozottnak tekinthetjük a mintát, azonban 2009-ben közel 200-al nőtt a támogatottak száma. Mivel mi végig az előző időszaki támogatások hatását vizsgáljuk, a 2009-es támogatások a mi szempontunkból irrelevánsak. Azonban később – egy ex-post elemzés keretében – fontos figyelemmel követni a </w:t>
      </w:r>
      <w:proofErr w:type="spellStart"/>
      <w:r>
        <w:t>FADN-en</w:t>
      </w:r>
      <w:proofErr w:type="spellEnd"/>
      <w:r>
        <w:t xml:space="preserve"> belüli támogatottsági arányok eltolódását, és ennek hatásait egy panel </w:t>
      </w:r>
      <w:proofErr w:type="spellStart"/>
      <w:r>
        <w:t>ökonometriai</w:t>
      </w:r>
      <w:proofErr w:type="spellEnd"/>
      <w:r>
        <w:t xml:space="preserve"> elemzésre.</w:t>
      </w:r>
    </w:p>
    <w:p w:rsidR="00084397" w:rsidRDefault="00084397" w:rsidP="00084397">
      <w:pPr>
        <w:jc w:val="both"/>
      </w:pPr>
      <w:r>
        <w:t>Miután megvizsgáltuk a változóink leíró statisztikáit, a</w:t>
      </w:r>
      <w:r w:rsidRPr="0049250B">
        <w:t xml:space="preserve"> </w:t>
      </w:r>
      <w:fldSimple w:instr=" REF _Ref275876817 \w \h  \* MERGEFORMAT ">
        <w:r w:rsidR="002D1B7A">
          <w:t>3.1.4.3</w:t>
        </w:r>
      </w:fldSimple>
      <w:r w:rsidRPr="0049250B">
        <w:t xml:space="preserve"> alfejezetben tisztázottak alapján</w:t>
      </w:r>
      <w:r>
        <w:t xml:space="preserve"> és az </w:t>
      </w:r>
      <w:r w:rsidR="003F44DC">
        <w:fldChar w:fldCharType="begin"/>
      </w:r>
      <w:r>
        <w:instrText xml:space="preserve"> REF _Ref276994723 \h </w:instrText>
      </w:r>
      <w:r w:rsidR="003F44DC">
        <w:fldChar w:fldCharType="separate"/>
      </w:r>
      <w:r w:rsidR="002D1B7A">
        <w:rPr>
          <w:noProof/>
        </w:rPr>
        <w:t>1</w:t>
      </w:r>
      <w:r w:rsidR="002D1B7A" w:rsidRPr="00D87CA4">
        <w:t>. ábra</w:t>
      </w:r>
      <w:r w:rsidR="003F44DC">
        <w:fldChar w:fldCharType="end"/>
      </w:r>
      <w:r>
        <w:t xml:space="preserve"> mentén bemutatjuk a fejlesztett modelleket</w:t>
      </w:r>
      <w:r w:rsidRPr="0049250B">
        <w:t xml:space="preserve"> a támogatások vizsgálatára.</w:t>
      </w:r>
    </w:p>
    <w:p w:rsidR="00084397" w:rsidRDefault="00084397" w:rsidP="00084397">
      <w:pPr>
        <w:pStyle w:val="HUNHeading3"/>
        <w:ind w:left="504"/>
      </w:pPr>
      <w:bookmarkStart w:id="38" w:name="_Ref276995470"/>
      <w:bookmarkStart w:id="39" w:name="_Ref277062902"/>
      <w:bookmarkStart w:id="40" w:name="_Toc278793277"/>
      <w:bookmarkStart w:id="41" w:name="_Toc279359353"/>
      <w:r>
        <w:t xml:space="preserve">Panel </w:t>
      </w:r>
      <w:proofErr w:type="spellStart"/>
      <w:r>
        <w:t>Least</w:t>
      </w:r>
      <w:proofErr w:type="spellEnd"/>
      <w:r>
        <w:t xml:space="preserve"> </w:t>
      </w:r>
      <w:proofErr w:type="spellStart"/>
      <w:r>
        <w:t>Squares</w:t>
      </w:r>
      <w:bookmarkEnd w:id="38"/>
      <w:bookmarkEnd w:id="39"/>
      <w:bookmarkEnd w:id="40"/>
      <w:bookmarkEnd w:id="41"/>
      <w:proofErr w:type="spellEnd"/>
    </w:p>
    <w:p w:rsidR="00084397" w:rsidRPr="00FE61DE" w:rsidRDefault="00084397" w:rsidP="00084397">
      <w:pPr>
        <w:pStyle w:val="HUNNormal"/>
      </w:pPr>
      <w:r>
        <w:t xml:space="preserve">Az első modellünk a legegyszerűbb, négy év adatait és keresztmetszeti mintáját egyben kezelő </w:t>
      </w:r>
      <w:r w:rsidRPr="000935A4">
        <w:rPr>
          <w:b/>
        </w:rPr>
        <w:t xml:space="preserve">Panel </w:t>
      </w:r>
      <w:proofErr w:type="spellStart"/>
      <w:r w:rsidRPr="000935A4">
        <w:rPr>
          <w:b/>
        </w:rPr>
        <w:t>Least</w:t>
      </w:r>
      <w:proofErr w:type="spellEnd"/>
      <w:r w:rsidRPr="000935A4">
        <w:rPr>
          <w:b/>
        </w:rPr>
        <w:t xml:space="preserve"> </w:t>
      </w:r>
      <w:proofErr w:type="spellStart"/>
      <w:r w:rsidRPr="000935A4">
        <w:rPr>
          <w:b/>
        </w:rPr>
        <w:t>Squares</w:t>
      </w:r>
      <w:proofErr w:type="spellEnd"/>
      <w:r w:rsidRPr="000935A4">
        <w:rPr>
          <w:b/>
        </w:rPr>
        <w:t xml:space="preserve"> modell</w:t>
      </w:r>
      <w:r>
        <w:t>. Ebből az alapmodellből indulunk ki az együtthatók vizsgálatánál, és a következő modellek fejlesztésénél. A modelljeinkben az előző időszaki fejlesztési támogatások (</w:t>
      </w:r>
      <w:proofErr w:type="gramStart"/>
      <w:r>
        <w:t>FEJTAM(</w:t>
      </w:r>
      <w:proofErr w:type="gramEnd"/>
      <w:r>
        <w:t>-1)) és az agrár-</w:t>
      </w:r>
      <w:r>
        <w:lastRenderedPageBreak/>
        <w:t>környezetgazdálkodási (AKG(-1)) területalapú támogatások hatásait keressük, miközben kontrollálunk</w:t>
      </w:r>
      <w:r>
        <w:rPr>
          <w:rStyle w:val="FootnoteReference"/>
        </w:rPr>
        <w:footnoteReference w:id="13"/>
      </w:r>
      <w:r>
        <w:t xml:space="preserve"> a gazdaságok méretére (EUME), jogi jellegére (TARSAS) és a SAPS területalapú támogatásokra (SAPS(-1)).  </w:t>
      </w:r>
    </w:p>
    <w:p w:rsidR="00084397" w:rsidRDefault="00084397" w:rsidP="00084397">
      <w:pPr>
        <w:pStyle w:val="HUNNormal"/>
        <w:keepNext/>
        <w:jc w:val="center"/>
      </w:pPr>
      <w:r w:rsidRPr="001E6041">
        <w:rPr>
          <w:noProof/>
        </w:rPr>
        <w:drawing>
          <wp:inline distT="0" distB="0" distL="0" distR="0">
            <wp:extent cx="5818505" cy="3371167"/>
            <wp:effectExtent l="19050" t="19050" r="48895" b="19733"/>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818505" cy="3371167"/>
                    </a:xfrm>
                    <a:prstGeom prst="rect">
                      <a:avLst/>
                    </a:prstGeom>
                    <a:ln>
                      <a:noFill/>
                    </a:ln>
                    <a:effectLst>
                      <a:outerShdw blurRad="50800" dist="38100" dir="2700000" algn="tl" rotWithShape="0">
                        <a:prstClr val="black">
                          <a:alpha val="40000"/>
                        </a:prstClr>
                      </a:outerShdw>
                    </a:effectLst>
                  </pic:spPr>
                </pic:pic>
              </a:graphicData>
            </a:graphic>
          </wp:inline>
        </w:drawing>
      </w:r>
    </w:p>
    <w:bookmarkStart w:id="42" w:name="_Ref277000021"/>
    <w:bookmarkStart w:id="43" w:name="_Ref276999972"/>
    <w:p w:rsidR="00084397" w:rsidRPr="00CC58AC" w:rsidRDefault="003F44DC" w:rsidP="00084397">
      <w:pPr>
        <w:pStyle w:val="Caption"/>
        <w:jc w:val="center"/>
        <w:rPr>
          <w:color w:val="auto"/>
        </w:rPr>
      </w:pPr>
      <w:r w:rsidRPr="00CC58AC">
        <w:rPr>
          <w:color w:val="auto"/>
        </w:rPr>
        <w:fldChar w:fldCharType="begin"/>
      </w:r>
      <w:r w:rsidR="00084397" w:rsidRPr="00CC58AC">
        <w:rPr>
          <w:color w:val="auto"/>
        </w:rPr>
        <w:instrText xml:space="preserve"> SEQ ábra \* ARABIC </w:instrText>
      </w:r>
      <w:r w:rsidRPr="00CC58AC">
        <w:rPr>
          <w:color w:val="auto"/>
        </w:rPr>
        <w:fldChar w:fldCharType="separate"/>
      </w:r>
      <w:bookmarkStart w:id="44" w:name="_Ref276999966"/>
      <w:r w:rsidR="002D1B7A">
        <w:rPr>
          <w:noProof/>
          <w:color w:val="auto"/>
        </w:rPr>
        <w:t>2</w:t>
      </w:r>
      <w:bookmarkEnd w:id="44"/>
      <w:r w:rsidRPr="00CC58AC">
        <w:rPr>
          <w:color w:val="auto"/>
        </w:rPr>
        <w:fldChar w:fldCharType="end"/>
      </w:r>
      <w:r w:rsidR="00084397" w:rsidRPr="00CC58AC">
        <w:rPr>
          <w:color w:val="auto"/>
        </w:rPr>
        <w:t>. ábra</w:t>
      </w:r>
      <w:bookmarkEnd w:id="42"/>
      <w:r w:rsidR="00084397" w:rsidRPr="00CC58AC">
        <w:rPr>
          <w:color w:val="auto"/>
        </w:rPr>
        <w:t xml:space="preserve">: Panel </w:t>
      </w:r>
      <w:proofErr w:type="spellStart"/>
      <w:r w:rsidR="00084397" w:rsidRPr="00CC58AC">
        <w:rPr>
          <w:color w:val="auto"/>
        </w:rPr>
        <w:t>Least</w:t>
      </w:r>
      <w:proofErr w:type="spellEnd"/>
      <w:r w:rsidR="00084397" w:rsidRPr="00CC58AC">
        <w:rPr>
          <w:color w:val="auto"/>
        </w:rPr>
        <w:t xml:space="preserve"> </w:t>
      </w:r>
      <w:proofErr w:type="spellStart"/>
      <w:r w:rsidR="00084397" w:rsidRPr="00CC58AC">
        <w:rPr>
          <w:color w:val="auto"/>
        </w:rPr>
        <w:t>Squares</w:t>
      </w:r>
      <w:proofErr w:type="spellEnd"/>
      <w:r w:rsidR="00084397" w:rsidRPr="00CC58AC">
        <w:rPr>
          <w:color w:val="auto"/>
        </w:rPr>
        <w:t xml:space="preserve"> becslés - NH</w:t>
      </w:r>
      <w:bookmarkEnd w:id="43"/>
    </w:p>
    <w:p w:rsidR="00084397" w:rsidRDefault="00084397" w:rsidP="00084397">
      <w:pPr>
        <w:pStyle w:val="HUNNormal"/>
      </w:pPr>
      <w:r>
        <w:t xml:space="preserve">A nettó hozzáadott értéket vizsgáló Panel </w:t>
      </w:r>
      <w:proofErr w:type="spellStart"/>
      <w:r>
        <w:t>Least</w:t>
      </w:r>
      <w:proofErr w:type="spellEnd"/>
      <w:r>
        <w:t xml:space="preserve"> </w:t>
      </w:r>
      <w:proofErr w:type="spellStart"/>
      <w:r>
        <w:t>Squares</w:t>
      </w:r>
      <w:proofErr w:type="spellEnd"/>
      <w:r>
        <w:t xml:space="preserve"> modellt a </w:t>
      </w:r>
      <w:r w:rsidR="003F44DC">
        <w:fldChar w:fldCharType="begin"/>
      </w:r>
      <w:r>
        <w:instrText xml:space="preserve"> REF _Ref277000021 \h </w:instrText>
      </w:r>
      <w:r w:rsidR="003F44DC">
        <w:fldChar w:fldCharType="separate"/>
      </w:r>
      <w:r w:rsidR="002D1B7A">
        <w:rPr>
          <w:noProof/>
        </w:rPr>
        <w:t>2</w:t>
      </w:r>
      <w:r w:rsidR="002D1B7A" w:rsidRPr="00CC58AC">
        <w:t>. ábra</w:t>
      </w:r>
      <w:r w:rsidR="003F44DC">
        <w:fldChar w:fldCharType="end"/>
      </w:r>
      <w:r>
        <w:t xml:space="preserve"> mutatja. A támogatásokat (FEJTAM, AKG, SAPS) </w:t>
      </w:r>
      <w:r w:rsidRPr="007E09E5">
        <w:t>együtt</w:t>
      </w:r>
      <w:r>
        <w:t xml:space="preserve"> jelenítjük meg, ezzel próbálva meg kiszűrni azt, hogy tévesen csak valamelyi</w:t>
      </w:r>
      <w:r>
        <w:t>k</w:t>
      </w:r>
      <w:r>
        <w:t xml:space="preserve">nek tulajdonítsunk hatást. </w:t>
      </w:r>
      <w:r w:rsidRPr="007E09E5">
        <w:t xml:space="preserve">Az ábrán pirossal </w:t>
      </w:r>
      <w:r>
        <w:t xml:space="preserve">kiemeltük a </w:t>
      </w:r>
      <w:proofErr w:type="spellStart"/>
      <w:r>
        <w:t>p-értékeket</w:t>
      </w:r>
      <w:proofErr w:type="spellEnd"/>
      <w:r w:rsidRPr="007E09E5">
        <w:t>,</w:t>
      </w:r>
      <w:r>
        <w:t xml:space="preserve"> hogy megmutassuk, hogy a beruházási támogatások hatása nem szignifikáns a modellben (a </w:t>
      </w:r>
      <w:proofErr w:type="spellStart"/>
      <w:r>
        <w:t>p-érték</w:t>
      </w:r>
      <w:proofErr w:type="spellEnd"/>
      <w:r>
        <w:t xml:space="preserve"> 57,5%, ami az 5%-os határt messze meghala</w:t>
      </w:r>
      <w:r>
        <w:t>d</w:t>
      </w:r>
      <w:r>
        <w:t>ja</w:t>
      </w:r>
      <w:proofErr w:type="gramStart"/>
      <w:r>
        <w:t>)</w:t>
      </w:r>
      <w:r>
        <w:rPr>
          <w:rStyle w:val="FootnoteReference"/>
        </w:rPr>
        <w:footnoteReference w:id="14"/>
      </w:r>
      <w:r>
        <w:t>.</w:t>
      </w:r>
      <w:proofErr w:type="gramEnd"/>
      <w:r>
        <w:t xml:space="preserve"> Ilyen esetben az irányt (előjelet) sem tekintjük mérvadónak, mivel statisztikailag az együtthatót null</w:t>
      </w:r>
      <w:r>
        <w:t>á</w:t>
      </w:r>
      <w:r>
        <w:t>nak kell tekintenünk. A szabadságfokokkal igazított R-négyzet</w:t>
      </w:r>
      <w:r>
        <w:rPr>
          <w:rStyle w:val="FootnoteReference"/>
        </w:rPr>
        <w:footnoteReference w:id="15"/>
      </w:r>
      <w:r>
        <w:t xml:space="preserve"> szerint a független változóink a függő vált</w:t>
      </w:r>
      <w:r>
        <w:t>o</w:t>
      </w:r>
      <w:r>
        <w:t xml:space="preserve">zó alakulását 75%-ban magyarázzák. Egészében a modell nem elvethető, ahogy az F-statisztika értéke és a valószínűsége is </w:t>
      </w:r>
      <w:proofErr w:type="gramStart"/>
      <w:r>
        <w:t>mutatja</w:t>
      </w:r>
      <w:r>
        <w:rPr>
          <w:rStyle w:val="FootnoteReference"/>
        </w:rPr>
        <w:footnoteReference w:id="16"/>
      </w:r>
      <w:r>
        <w:t>,</w:t>
      </w:r>
      <w:proofErr w:type="gramEnd"/>
      <w:r>
        <w:t xml:space="preserve"> az </w:t>
      </w:r>
      <w:r w:rsidRPr="000935A4">
        <w:rPr>
          <w:b/>
        </w:rPr>
        <w:t>EUME és az előző időszaki SAPS támogatás erősen szignifikáns együtthatói közelítően jól magyarázzák a nettó hozzáadott értéket</w:t>
      </w:r>
      <w:r>
        <w:t xml:space="preserve">. A következő módon interpretálhatjuk a szignifikáns koefficienseink (EUME, </w:t>
      </w:r>
      <w:proofErr w:type="gramStart"/>
      <w:r>
        <w:t>SAPS(</w:t>
      </w:r>
      <w:proofErr w:type="gramEnd"/>
      <w:r>
        <w:t>-1)) értékét:</w:t>
      </w:r>
    </w:p>
    <w:p w:rsidR="00084397" w:rsidRDefault="00084397" w:rsidP="00071630">
      <w:pPr>
        <w:pStyle w:val="HUNNormal"/>
        <w:numPr>
          <w:ilvl w:val="0"/>
          <w:numId w:val="40"/>
        </w:numPr>
      </w:pPr>
      <w:r>
        <w:t xml:space="preserve">1 </w:t>
      </w:r>
      <w:proofErr w:type="spellStart"/>
      <w:r>
        <w:t>EUME-vel</w:t>
      </w:r>
      <w:proofErr w:type="spellEnd"/>
      <w:r>
        <w:t xml:space="preserve"> magasabb standard fedezeti hozzájárulás </w:t>
      </w:r>
      <w:proofErr w:type="spellStart"/>
      <w:r>
        <w:t>ceteris</w:t>
      </w:r>
      <w:proofErr w:type="spellEnd"/>
      <w:r>
        <w:t xml:space="preserve"> </w:t>
      </w:r>
      <w:proofErr w:type="spellStart"/>
      <w:r>
        <w:t>paribus</w:t>
      </w:r>
      <w:proofErr w:type="spellEnd"/>
      <w:r>
        <w:t xml:space="preserve"> (minden más változatlansága mellett) 167 ezer Ft-nyi nettó hozzáadott érték növekedést jelent a modell tanúsága szerint.</w:t>
      </w:r>
    </w:p>
    <w:p w:rsidR="00084397" w:rsidRDefault="00084397" w:rsidP="00071630">
      <w:pPr>
        <w:pStyle w:val="HUNNormal"/>
        <w:numPr>
          <w:ilvl w:val="0"/>
          <w:numId w:val="40"/>
        </w:numPr>
      </w:pPr>
      <w:r>
        <w:lastRenderedPageBreak/>
        <w:t>1000 Ft SAPS támogatás 1788 Ft formájában képes tükröződni átlagosan a nettó hozzáadott é</w:t>
      </w:r>
      <w:r>
        <w:t>r</w:t>
      </w:r>
      <w:r>
        <w:t xml:space="preserve">tékben minden egyéb változót ugyanazon a szinten tartva. </w:t>
      </w:r>
    </w:p>
    <w:p w:rsidR="00084397" w:rsidRDefault="00084397" w:rsidP="00084397">
      <w:pPr>
        <w:pStyle w:val="HUNNormal"/>
      </w:pPr>
      <w:r>
        <w:t>Mivel a támogatásoknál a hozzáadott értéket megelőző időszak értékeit vesszük figyelembe, a mintánk ig</w:t>
      </w:r>
      <w:r>
        <w:t>a</w:t>
      </w:r>
      <w:r>
        <w:t>zításra szorul, például 2007-es hozzáadott értéket tudunk vizsgálni a 2006-os támogatások adataival. Így elveszítjük a 2006-os hozzáadott érték információt, és a 2009-es támogatási információt, de ezeket nem tudnánk konzisztensen elemezni, mivel nincs 2005-ös támogatásunk illetve 2010 hozzáadott értékünk. Ez azonban természetes, hiszen legfeljebb az előző évi támogatásoknak lehet hatása a nettó hozzáadott érté</w:t>
      </w:r>
      <w:r>
        <w:t>k</w:t>
      </w:r>
      <w:r>
        <w:t>re, sőt voltaképpen a beruházási támogatások két évvel megelőző értékét is figyelembe vehetnénk. A spec</w:t>
      </w:r>
      <w:r>
        <w:t>i</w:t>
      </w:r>
      <w:r>
        <w:t>fikációk között futtattunk ilyen modellt is, de kevésbé szignifikáns eredményekre jutottunk.</w:t>
      </w:r>
    </w:p>
    <w:p w:rsidR="00084397" w:rsidRDefault="00084397" w:rsidP="00084397">
      <w:pPr>
        <w:pStyle w:val="HUNNormal"/>
      </w:pPr>
      <w:r>
        <w:t xml:space="preserve">A keresztmetszeti </w:t>
      </w:r>
      <w:proofErr w:type="spellStart"/>
      <w:r>
        <w:t>heteroszkedaszticitás</w:t>
      </w:r>
      <w:proofErr w:type="spellEnd"/>
      <w:r>
        <w:t xml:space="preserve"> jelenléte miatt (</w:t>
      </w:r>
      <w:r w:rsidR="003F44DC">
        <w:fldChar w:fldCharType="begin"/>
      </w:r>
      <w:r>
        <w:instrText xml:space="preserve"> REF _Ref276045384 \h </w:instrText>
      </w:r>
      <w:r w:rsidR="003F44DC">
        <w:fldChar w:fldCharType="separate"/>
      </w:r>
      <w:r w:rsidR="002D1B7A">
        <w:rPr>
          <w:noProof/>
        </w:rPr>
        <w:t>4</w:t>
      </w:r>
      <w:r w:rsidR="002D1B7A" w:rsidRPr="00CC58AC">
        <w:t>. ábra</w:t>
      </w:r>
      <w:r w:rsidR="003F44DC">
        <w:fldChar w:fldCharType="end"/>
      </w:r>
      <w:r>
        <w:t>) miatt White-féle hibákat használtunk.</w:t>
      </w:r>
    </w:p>
    <w:p w:rsidR="00084397" w:rsidRDefault="00084397" w:rsidP="00084397">
      <w:pPr>
        <w:pStyle w:val="HUNNormal"/>
      </w:pPr>
      <w:r>
        <w:t xml:space="preserve">A következőkben a </w:t>
      </w:r>
      <w:r w:rsidRPr="000935A4">
        <w:rPr>
          <w:b/>
        </w:rPr>
        <w:t>foglalkoztatási hatást</w:t>
      </w:r>
      <w:r>
        <w:t xml:space="preserve"> vizsgáló modellt elemezzük.</w:t>
      </w:r>
    </w:p>
    <w:p w:rsidR="00084397" w:rsidRDefault="00084397" w:rsidP="00084397">
      <w:pPr>
        <w:pStyle w:val="HUNNormal"/>
        <w:keepNext/>
        <w:jc w:val="center"/>
      </w:pPr>
      <w:r w:rsidRPr="00A41067">
        <w:rPr>
          <w:noProof/>
        </w:rPr>
        <w:drawing>
          <wp:inline distT="0" distB="0" distL="0" distR="0">
            <wp:extent cx="5818505" cy="3371167"/>
            <wp:effectExtent l="19050" t="19050" r="48895" b="19733"/>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5818505" cy="3371167"/>
                    </a:xfrm>
                    <a:prstGeom prst="rect">
                      <a:avLst/>
                    </a:prstGeom>
                    <a:ln>
                      <a:noFill/>
                    </a:ln>
                    <a:effectLst>
                      <a:outerShdw blurRad="50800" dist="38100" dir="2700000" algn="tl" rotWithShape="0">
                        <a:prstClr val="black">
                          <a:alpha val="40000"/>
                        </a:prstClr>
                      </a:outerShdw>
                    </a:effectLst>
                  </pic:spPr>
                </pic:pic>
              </a:graphicData>
            </a:graphic>
          </wp:inline>
        </w:drawing>
      </w:r>
    </w:p>
    <w:bookmarkStart w:id="45" w:name="_Ref276736805"/>
    <w:p w:rsidR="00084397" w:rsidRPr="00CC58AC" w:rsidRDefault="003F44DC" w:rsidP="00084397">
      <w:pPr>
        <w:pStyle w:val="Caption"/>
        <w:jc w:val="center"/>
        <w:rPr>
          <w:color w:val="auto"/>
        </w:rPr>
      </w:pPr>
      <w:r w:rsidRPr="00CC58AC">
        <w:rPr>
          <w:color w:val="auto"/>
        </w:rPr>
        <w:fldChar w:fldCharType="begin"/>
      </w:r>
      <w:r w:rsidR="00084397" w:rsidRPr="00CC58AC">
        <w:rPr>
          <w:color w:val="auto"/>
        </w:rPr>
        <w:instrText xml:space="preserve"> SEQ ábra \* ARABIC </w:instrText>
      </w:r>
      <w:r w:rsidRPr="00CC58AC">
        <w:rPr>
          <w:color w:val="auto"/>
        </w:rPr>
        <w:fldChar w:fldCharType="separate"/>
      </w:r>
      <w:r w:rsidR="002D1B7A">
        <w:rPr>
          <w:noProof/>
          <w:color w:val="auto"/>
        </w:rPr>
        <w:t>3</w:t>
      </w:r>
      <w:r w:rsidRPr="00CC58AC">
        <w:rPr>
          <w:color w:val="auto"/>
        </w:rPr>
        <w:fldChar w:fldCharType="end"/>
      </w:r>
      <w:r w:rsidR="00084397" w:rsidRPr="00CC58AC">
        <w:rPr>
          <w:color w:val="auto"/>
        </w:rPr>
        <w:t>. ábra</w:t>
      </w:r>
      <w:bookmarkEnd w:id="45"/>
      <w:r w:rsidR="00084397" w:rsidRPr="00CC58AC">
        <w:rPr>
          <w:color w:val="auto"/>
        </w:rPr>
        <w:t xml:space="preserve">: Panel </w:t>
      </w:r>
      <w:proofErr w:type="spellStart"/>
      <w:r w:rsidR="00084397" w:rsidRPr="00CC58AC">
        <w:rPr>
          <w:color w:val="auto"/>
        </w:rPr>
        <w:t>Least</w:t>
      </w:r>
      <w:proofErr w:type="spellEnd"/>
      <w:r w:rsidR="00084397" w:rsidRPr="00CC58AC">
        <w:rPr>
          <w:color w:val="auto"/>
        </w:rPr>
        <w:t xml:space="preserve"> </w:t>
      </w:r>
      <w:proofErr w:type="spellStart"/>
      <w:r w:rsidR="00084397" w:rsidRPr="00CC58AC">
        <w:rPr>
          <w:color w:val="auto"/>
        </w:rPr>
        <w:t>Squares</w:t>
      </w:r>
      <w:proofErr w:type="spellEnd"/>
      <w:r w:rsidR="00084397" w:rsidRPr="00CC58AC">
        <w:rPr>
          <w:color w:val="auto"/>
        </w:rPr>
        <w:t xml:space="preserve"> - MUNKA </w:t>
      </w:r>
    </w:p>
    <w:p w:rsidR="00084397" w:rsidRDefault="00084397" w:rsidP="00084397">
      <w:pPr>
        <w:pStyle w:val="HUNNormal"/>
      </w:pPr>
      <w:r>
        <w:t xml:space="preserve">A foglalkoztatási hatást mérő egyszerű Panel </w:t>
      </w:r>
      <w:proofErr w:type="spellStart"/>
      <w:r>
        <w:t>Least</w:t>
      </w:r>
      <w:proofErr w:type="spellEnd"/>
      <w:r>
        <w:t xml:space="preserve"> </w:t>
      </w:r>
      <w:proofErr w:type="spellStart"/>
      <w:r>
        <w:t>Squares</w:t>
      </w:r>
      <w:proofErr w:type="spellEnd"/>
      <w:r>
        <w:t xml:space="preserve"> becslést a </w:t>
      </w:r>
      <w:r w:rsidR="003F44DC">
        <w:fldChar w:fldCharType="begin"/>
      </w:r>
      <w:r>
        <w:instrText xml:space="preserve"> REF _Ref276736805 \h </w:instrText>
      </w:r>
      <w:r w:rsidR="003F44DC">
        <w:fldChar w:fldCharType="separate"/>
      </w:r>
      <w:r w:rsidR="002D1B7A">
        <w:rPr>
          <w:noProof/>
        </w:rPr>
        <w:t>3</w:t>
      </w:r>
      <w:r w:rsidR="002D1B7A" w:rsidRPr="00CC58AC">
        <w:t>. ábra</w:t>
      </w:r>
      <w:r w:rsidR="003F44DC">
        <w:fldChar w:fldCharType="end"/>
      </w:r>
      <w:r>
        <w:t xml:space="preserve"> mutatja. Vastagon szedve és pirossal kiemelve láthatóak azok a sorok az ábrán, amelyeknek az értelmezésével a modellről döntünk. Lá</w:t>
      </w:r>
      <w:r>
        <w:t>t</w:t>
      </w:r>
      <w:r>
        <w:t xml:space="preserve">hatjuk, hogy a </w:t>
      </w:r>
      <w:proofErr w:type="gramStart"/>
      <w:r>
        <w:t>FEJTAM(</w:t>
      </w:r>
      <w:proofErr w:type="gramEnd"/>
      <w:r>
        <w:t>-1)</w:t>
      </w:r>
      <w:proofErr w:type="spellStart"/>
      <w:r>
        <w:t>-hez</w:t>
      </w:r>
      <w:proofErr w:type="spellEnd"/>
      <w:r>
        <w:t xml:space="preserve"> tartozó </w:t>
      </w:r>
      <w:proofErr w:type="spellStart"/>
      <w:r>
        <w:t>p-érték</w:t>
      </w:r>
      <w:proofErr w:type="spellEnd"/>
      <w:r>
        <w:t xml:space="preserve"> (0,0674) az 5%-os </w:t>
      </w:r>
      <w:proofErr w:type="spellStart"/>
      <w:r>
        <w:t>szignifikancia</w:t>
      </w:r>
      <w:proofErr w:type="spellEnd"/>
      <w:r>
        <w:t xml:space="preserve"> küszöb felett található, azaz a beruházási támogatások hatását nem tekinthetjük szignifikánsnak.</w:t>
      </w:r>
    </w:p>
    <w:p w:rsidR="00084397" w:rsidRDefault="00084397" w:rsidP="00084397">
      <w:pPr>
        <w:pStyle w:val="HUNNormal"/>
      </w:pPr>
      <w:r>
        <w:t xml:space="preserve">A pirossal kiemelt </w:t>
      </w:r>
      <w:proofErr w:type="spellStart"/>
      <w:r>
        <w:t>Durbin-Watson</w:t>
      </w:r>
      <w:proofErr w:type="spellEnd"/>
      <w:r>
        <w:t xml:space="preserve"> statisztika értéke hamis regresszióra utal, ami miatt </w:t>
      </w:r>
      <w:r w:rsidRPr="000935A4">
        <w:rPr>
          <w:b/>
        </w:rPr>
        <w:t>ezt a specifikációt magas magyarázóereje ellenére nem értékeljük</w:t>
      </w:r>
      <w:r>
        <w:t>. (</w:t>
      </w:r>
      <w:r w:rsidR="003F44DC">
        <w:fldChar w:fldCharType="begin"/>
      </w:r>
      <w:r>
        <w:instrText xml:space="preserve"> REF _Ref276736805 \h </w:instrText>
      </w:r>
      <w:r w:rsidR="003F44DC">
        <w:fldChar w:fldCharType="separate"/>
      </w:r>
      <w:r w:rsidR="002D1B7A">
        <w:rPr>
          <w:noProof/>
        </w:rPr>
        <w:t>3</w:t>
      </w:r>
      <w:r w:rsidR="002D1B7A" w:rsidRPr="00CC58AC">
        <w:t>. ábra</w:t>
      </w:r>
      <w:r w:rsidR="003F44DC">
        <w:fldChar w:fldCharType="end"/>
      </w:r>
      <w:r>
        <w:t>)</w:t>
      </w:r>
    </w:p>
    <w:p w:rsidR="00084397" w:rsidRDefault="00084397" w:rsidP="00084397">
      <w:pPr>
        <w:pStyle w:val="HUNNormal"/>
        <w:keepNext/>
        <w:jc w:val="center"/>
      </w:pPr>
      <w:r>
        <w:rPr>
          <w:noProof/>
        </w:rPr>
        <w:lastRenderedPageBreak/>
        <w:drawing>
          <wp:inline distT="0" distB="0" distL="0" distR="0">
            <wp:extent cx="3508711" cy="2880000"/>
            <wp:effectExtent l="19050" t="19050" r="53639" b="1560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3508711" cy="2880000"/>
                    </a:xfrm>
                    <a:prstGeom prst="rect">
                      <a:avLst/>
                    </a:prstGeom>
                    <a:ln>
                      <a:noFill/>
                    </a:ln>
                    <a:effectLst>
                      <a:outerShdw blurRad="50800" dist="38100" dir="2700000" algn="tl" rotWithShape="0">
                        <a:prstClr val="black">
                          <a:alpha val="40000"/>
                        </a:prstClr>
                      </a:outerShdw>
                    </a:effectLst>
                  </pic:spPr>
                </pic:pic>
              </a:graphicData>
            </a:graphic>
          </wp:inline>
        </w:drawing>
      </w:r>
    </w:p>
    <w:bookmarkStart w:id="46" w:name="_Ref276045384"/>
    <w:p w:rsidR="00084397" w:rsidRPr="00CC58AC" w:rsidRDefault="003F44DC" w:rsidP="00084397">
      <w:pPr>
        <w:pStyle w:val="Caption"/>
        <w:jc w:val="center"/>
        <w:rPr>
          <w:color w:val="auto"/>
        </w:rPr>
      </w:pPr>
      <w:r w:rsidRPr="00CC58AC">
        <w:rPr>
          <w:color w:val="auto"/>
        </w:rPr>
        <w:fldChar w:fldCharType="begin"/>
      </w:r>
      <w:r w:rsidR="00084397" w:rsidRPr="00CC58AC">
        <w:rPr>
          <w:color w:val="auto"/>
        </w:rPr>
        <w:instrText xml:space="preserve"> SEQ ábra \* ARABIC </w:instrText>
      </w:r>
      <w:r w:rsidRPr="00CC58AC">
        <w:rPr>
          <w:color w:val="auto"/>
        </w:rPr>
        <w:fldChar w:fldCharType="separate"/>
      </w:r>
      <w:bookmarkStart w:id="47" w:name="_Ref277048058"/>
      <w:r w:rsidR="002D1B7A">
        <w:rPr>
          <w:noProof/>
          <w:color w:val="auto"/>
        </w:rPr>
        <w:t>4</w:t>
      </w:r>
      <w:bookmarkEnd w:id="47"/>
      <w:r w:rsidRPr="00CC58AC">
        <w:rPr>
          <w:color w:val="auto"/>
        </w:rPr>
        <w:fldChar w:fldCharType="end"/>
      </w:r>
      <w:r w:rsidR="00084397" w:rsidRPr="00CC58AC">
        <w:rPr>
          <w:color w:val="auto"/>
        </w:rPr>
        <w:t>. ábra</w:t>
      </w:r>
      <w:bookmarkEnd w:id="46"/>
      <w:r w:rsidR="00084397" w:rsidRPr="00CC58AC">
        <w:rPr>
          <w:color w:val="auto"/>
        </w:rPr>
        <w:t xml:space="preserve">: Standardizált </w:t>
      </w:r>
      <w:proofErr w:type="spellStart"/>
      <w:r w:rsidR="00084397" w:rsidRPr="00CC58AC">
        <w:rPr>
          <w:color w:val="auto"/>
        </w:rPr>
        <w:t>reziduálisok</w:t>
      </w:r>
      <w:proofErr w:type="spellEnd"/>
      <w:r w:rsidR="00084397" w:rsidRPr="00CC58AC">
        <w:rPr>
          <w:color w:val="auto"/>
        </w:rPr>
        <w:t xml:space="preserve"> ábrája (Panel </w:t>
      </w:r>
      <w:proofErr w:type="spellStart"/>
      <w:r w:rsidR="00084397" w:rsidRPr="00CC58AC">
        <w:rPr>
          <w:color w:val="auto"/>
        </w:rPr>
        <w:t>Least</w:t>
      </w:r>
      <w:proofErr w:type="spellEnd"/>
      <w:r w:rsidR="00084397" w:rsidRPr="00CC58AC">
        <w:rPr>
          <w:color w:val="auto"/>
        </w:rPr>
        <w:t xml:space="preserve"> </w:t>
      </w:r>
      <w:proofErr w:type="spellStart"/>
      <w:r w:rsidR="00084397" w:rsidRPr="00CC58AC">
        <w:rPr>
          <w:color w:val="auto"/>
        </w:rPr>
        <w:t>Squares</w:t>
      </w:r>
      <w:proofErr w:type="spellEnd"/>
      <w:r w:rsidR="00084397" w:rsidRPr="00CC58AC">
        <w:rPr>
          <w:color w:val="auto"/>
        </w:rPr>
        <w:t>, MUNKA)</w:t>
      </w:r>
    </w:p>
    <w:p w:rsidR="00084397" w:rsidRDefault="00084397" w:rsidP="00084397">
      <w:pPr>
        <w:jc w:val="both"/>
      </w:pPr>
      <w:r>
        <w:t xml:space="preserve">A </w:t>
      </w:r>
      <w:r w:rsidR="003F44DC">
        <w:fldChar w:fldCharType="begin"/>
      </w:r>
      <w:r>
        <w:instrText xml:space="preserve"> REF _Ref276045384 \h </w:instrText>
      </w:r>
      <w:r w:rsidR="003F44DC">
        <w:fldChar w:fldCharType="separate"/>
      </w:r>
      <w:r w:rsidR="002D1B7A">
        <w:rPr>
          <w:noProof/>
        </w:rPr>
        <w:t>4</w:t>
      </w:r>
      <w:r w:rsidR="002D1B7A" w:rsidRPr="00CC58AC">
        <w:t>. ábra</w:t>
      </w:r>
      <w:r w:rsidR="003F44DC">
        <w:fldChar w:fldCharType="end"/>
      </w:r>
      <w:r>
        <w:t xml:space="preserve"> mutatja a </w:t>
      </w:r>
      <w:r w:rsidR="003F44DC">
        <w:fldChar w:fldCharType="begin"/>
      </w:r>
      <w:r>
        <w:instrText xml:space="preserve"> REF _Ref276736805 \h </w:instrText>
      </w:r>
      <w:r w:rsidR="003F44DC">
        <w:fldChar w:fldCharType="separate"/>
      </w:r>
      <w:r w:rsidR="002D1B7A">
        <w:rPr>
          <w:noProof/>
        </w:rPr>
        <w:t>3</w:t>
      </w:r>
      <w:r w:rsidR="002D1B7A" w:rsidRPr="00CC58AC">
        <w:t>. ábra</w:t>
      </w:r>
      <w:r w:rsidR="003F44DC">
        <w:fldChar w:fldCharType="end"/>
      </w:r>
      <w:r>
        <w:t xml:space="preserve"> egyenletének </w:t>
      </w:r>
      <w:r w:rsidRPr="00952E00">
        <w:rPr>
          <w:b/>
          <w:i/>
        </w:rPr>
        <w:t>hibatagját</w:t>
      </w:r>
      <w:r>
        <w:t xml:space="preserve"> (lásd: </w:t>
      </w:r>
      <w:r w:rsidR="003F44DC">
        <w:fldChar w:fldCharType="begin"/>
      </w:r>
      <w:r>
        <w:instrText xml:space="preserve"> REF _Ref277048189 \n \h </w:instrText>
      </w:r>
      <w:r w:rsidR="003F44DC">
        <w:fldChar w:fldCharType="separate"/>
      </w:r>
      <w:r w:rsidR="002D1B7A">
        <w:t>3.1.4.2</w:t>
      </w:r>
      <w:r w:rsidR="003F44DC">
        <w:fldChar w:fldCharType="end"/>
      </w:r>
      <w:r>
        <w:t xml:space="preserve"> alfejezet). Előfordulnak magyarázat nélkül maradt kilógó értékek, és nem mondható el az egyenletes szóródás sem (lásd: </w:t>
      </w:r>
      <w:proofErr w:type="spellStart"/>
      <w:r>
        <w:t>heteroszkedaszticitás</w:t>
      </w:r>
      <w:proofErr w:type="spellEnd"/>
      <w:r>
        <w:t>).</w:t>
      </w:r>
    </w:p>
    <w:p w:rsidR="00084397" w:rsidRDefault="00084397" w:rsidP="00084397">
      <w:pPr>
        <w:jc w:val="both"/>
      </w:pPr>
      <w:r>
        <w:t>Térjünk át a harmadik függő változónk, a termelékenység vizsgálatára.</w:t>
      </w:r>
    </w:p>
    <w:p w:rsidR="00084397" w:rsidRDefault="00084397" w:rsidP="00084397">
      <w:pPr>
        <w:keepNext/>
        <w:jc w:val="center"/>
      </w:pPr>
      <w:r w:rsidRPr="00730840">
        <w:rPr>
          <w:noProof/>
        </w:rPr>
        <w:drawing>
          <wp:inline distT="0" distB="0" distL="0" distR="0">
            <wp:extent cx="5281367" cy="3060000"/>
            <wp:effectExtent l="19050" t="19050" r="52633" b="2610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5281367" cy="3060000"/>
                    </a:xfrm>
                    <a:prstGeom prst="rect">
                      <a:avLst/>
                    </a:prstGeom>
                    <a:ln>
                      <a:noFill/>
                    </a:ln>
                    <a:effectLst>
                      <a:outerShdw blurRad="50800" dist="38100" dir="2700000" algn="tl" rotWithShape="0">
                        <a:prstClr val="black">
                          <a:alpha val="40000"/>
                        </a:prstClr>
                      </a:outerShdw>
                    </a:effectLst>
                  </pic:spPr>
                </pic:pic>
              </a:graphicData>
            </a:graphic>
          </wp:inline>
        </w:drawing>
      </w:r>
    </w:p>
    <w:bookmarkStart w:id="48" w:name="_Ref277048247"/>
    <w:p w:rsidR="00084397" w:rsidRPr="00CC58AC" w:rsidRDefault="003F44DC" w:rsidP="00084397">
      <w:pPr>
        <w:pStyle w:val="Caption"/>
        <w:jc w:val="center"/>
        <w:rPr>
          <w:color w:val="auto"/>
        </w:rPr>
      </w:pPr>
      <w:r w:rsidRPr="00CC58AC">
        <w:rPr>
          <w:color w:val="auto"/>
        </w:rPr>
        <w:fldChar w:fldCharType="begin"/>
      </w:r>
      <w:r w:rsidR="00084397" w:rsidRPr="00CC58AC">
        <w:rPr>
          <w:color w:val="auto"/>
        </w:rPr>
        <w:instrText xml:space="preserve"> SEQ ábra \* ARABIC </w:instrText>
      </w:r>
      <w:r w:rsidRPr="00CC58AC">
        <w:rPr>
          <w:color w:val="auto"/>
        </w:rPr>
        <w:fldChar w:fldCharType="separate"/>
      </w:r>
      <w:r w:rsidR="002D1B7A">
        <w:rPr>
          <w:noProof/>
          <w:color w:val="auto"/>
        </w:rPr>
        <w:t>5</w:t>
      </w:r>
      <w:r w:rsidRPr="00CC58AC">
        <w:rPr>
          <w:color w:val="auto"/>
        </w:rPr>
        <w:fldChar w:fldCharType="end"/>
      </w:r>
      <w:r w:rsidR="00084397" w:rsidRPr="00CC58AC">
        <w:rPr>
          <w:color w:val="auto"/>
        </w:rPr>
        <w:t>. ábra</w:t>
      </w:r>
      <w:bookmarkEnd w:id="48"/>
      <w:r w:rsidR="00084397" w:rsidRPr="00CC58AC">
        <w:rPr>
          <w:color w:val="auto"/>
        </w:rPr>
        <w:t xml:space="preserve">: Panel </w:t>
      </w:r>
      <w:proofErr w:type="spellStart"/>
      <w:r w:rsidR="00084397" w:rsidRPr="00CC58AC">
        <w:rPr>
          <w:color w:val="auto"/>
        </w:rPr>
        <w:t>Least</w:t>
      </w:r>
      <w:proofErr w:type="spellEnd"/>
      <w:r w:rsidR="00084397" w:rsidRPr="00CC58AC">
        <w:rPr>
          <w:color w:val="auto"/>
        </w:rPr>
        <w:t xml:space="preserve"> </w:t>
      </w:r>
      <w:proofErr w:type="spellStart"/>
      <w:r w:rsidR="00084397" w:rsidRPr="00CC58AC">
        <w:rPr>
          <w:color w:val="auto"/>
        </w:rPr>
        <w:t>Squares</w:t>
      </w:r>
      <w:proofErr w:type="spellEnd"/>
      <w:r w:rsidR="00084397" w:rsidRPr="00CC58AC">
        <w:rPr>
          <w:color w:val="auto"/>
        </w:rPr>
        <w:t xml:space="preserve"> – TERM</w:t>
      </w:r>
    </w:p>
    <w:p w:rsidR="00084397" w:rsidRPr="00730840" w:rsidRDefault="00084397" w:rsidP="00084397">
      <w:pPr>
        <w:jc w:val="both"/>
      </w:pPr>
      <w:r>
        <w:t xml:space="preserve">Az </w:t>
      </w:r>
      <w:r w:rsidR="003F44DC">
        <w:fldChar w:fldCharType="begin"/>
      </w:r>
      <w:r>
        <w:instrText xml:space="preserve"> REF _Ref277048247 \h </w:instrText>
      </w:r>
      <w:r w:rsidR="003F44DC">
        <w:fldChar w:fldCharType="separate"/>
      </w:r>
      <w:r w:rsidR="002D1B7A">
        <w:rPr>
          <w:noProof/>
        </w:rPr>
        <w:t>5</w:t>
      </w:r>
      <w:r w:rsidR="002D1B7A" w:rsidRPr="00CC58AC">
        <w:t>. ábra</w:t>
      </w:r>
      <w:r w:rsidR="003F44DC">
        <w:fldChar w:fldCharType="end"/>
      </w:r>
      <w:r>
        <w:t xml:space="preserve"> mutatja </w:t>
      </w:r>
      <w:r w:rsidRPr="000935A4">
        <w:rPr>
          <w:b/>
        </w:rPr>
        <w:t xml:space="preserve">a termelékenység </w:t>
      </w:r>
      <w:r>
        <w:t xml:space="preserve">egyszerű Panel </w:t>
      </w:r>
      <w:proofErr w:type="spellStart"/>
      <w:r>
        <w:t>Least</w:t>
      </w:r>
      <w:proofErr w:type="spellEnd"/>
      <w:r>
        <w:t xml:space="preserve"> </w:t>
      </w:r>
      <w:proofErr w:type="spellStart"/>
      <w:r>
        <w:t>Squares</w:t>
      </w:r>
      <w:proofErr w:type="spellEnd"/>
      <w:r>
        <w:t xml:space="preserve"> becslését. Vastagon szedve és pirossal kiemelve láthatóak azok a sorok az ábrán, amelyeknek az értelmezésével a modellről döntünk. A támogat</w:t>
      </w:r>
      <w:r>
        <w:t>á</w:t>
      </w:r>
      <w:r>
        <w:t xml:space="preserve">sok hatása nem szignifikáns (a </w:t>
      </w:r>
      <w:proofErr w:type="spellStart"/>
      <w:r>
        <w:t>p-értékek</w:t>
      </w:r>
      <w:proofErr w:type="spellEnd"/>
      <w:r>
        <w:t xml:space="preserve"> magasan 5% felett találhatóak a támogatások sorain), a regresszió kifejezetten rosszul sikerült, szinte 0 magyarázóerővel (</w:t>
      </w:r>
      <w:proofErr w:type="spellStart"/>
      <w:r>
        <w:t>adjusted</w:t>
      </w:r>
      <w:proofErr w:type="spellEnd"/>
      <w:r>
        <w:t xml:space="preserve"> </w:t>
      </w:r>
      <w:proofErr w:type="spellStart"/>
      <w:r>
        <w:t>R-squared</w:t>
      </w:r>
      <w:proofErr w:type="spellEnd"/>
      <w:r>
        <w:t xml:space="preserve">) és alacsony </w:t>
      </w:r>
      <w:proofErr w:type="spellStart"/>
      <w:r>
        <w:t>Durbin-Watson</w:t>
      </w:r>
      <w:proofErr w:type="spellEnd"/>
      <w:r>
        <w:t xml:space="preserve"> st</w:t>
      </w:r>
      <w:r>
        <w:t>a</w:t>
      </w:r>
      <w:r>
        <w:t xml:space="preserve">tisztikával (1,083). Emiatt </w:t>
      </w:r>
      <w:r w:rsidRPr="000935A4">
        <w:rPr>
          <w:b/>
        </w:rPr>
        <w:t xml:space="preserve">a modell további értelmezése </w:t>
      </w:r>
      <w:r>
        <w:rPr>
          <w:b/>
        </w:rPr>
        <w:t>nem javasolt</w:t>
      </w:r>
      <w:r>
        <w:t>.</w:t>
      </w:r>
    </w:p>
    <w:p w:rsidR="00084397" w:rsidRDefault="00084397" w:rsidP="00084397">
      <w:pPr>
        <w:pStyle w:val="HUNHeading3"/>
        <w:ind w:left="504"/>
      </w:pPr>
      <w:bookmarkStart w:id="49" w:name="_Ref277062909"/>
      <w:bookmarkStart w:id="50" w:name="_Toc278793278"/>
      <w:bookmarkStart w:id="51" w:name="_Toc279359354"/>
      <w:r>
        <w:lastRenderedPageBreak/>
        <w:t xml:space="preserve">Fixed </w:t>
      </w:r>
      <w:proofErr w:type="spellStart"/>
      <w:r>
        <w:t>Effects</w:t>
      </w:r>
      <w:bookmarkEnd w:id="49"/>
      <w:bookmarkEnd w:id="50"/>
      <w:bookmarkEnd w:id="51"/>
      <w:proofErr w:type="spellEnd"/>
    </w:p>
    <w:p w:rsidR="00084397" w:rsidRPr="00E1798C" w:rsidRDefault="00084397" w:rsidP="00084397">
      <w:pPr>
        <w:pStyle w:val="HUNNormal"/>
      </w:pPr>
      <w:r>
        <w:t xml:space="preserve">A Panel </w:t>
      </w:r>
      <w:proofErr w:type="spellStart"/>
      <w:r>
        <w:t>Least</w:t>
      </w:r>
      <w:proofErr w:type="spellEnd"/>
      <w:r>
        <w:t xml:space="preserve"> </w:t>
      </w:r>
      <w:proofErr w:type="spellStart"/>
      <w:r>
        <w:t>Squares</w:t>
      </w:r>
      <w:proofErr w:type="spellEnd"/>
      <w:r>
        <w:t xml:space="preserve"> modellt követően megvizsgáljuk a </w:t>
      </w:r>
      <w:r w:rsidRPr="000935A4">
        <w:rPr>
          <w:b/>
        </w:rPr>
        <w:t>fix hatások modelljét</w:t>
      </w:r>
      <w:r>
        <w:t>, amiben mind keresztmetsz</w:t>
      </w:r>
      <w:r>
        <w:t>e</w:t>
      </w:r>
      <w:r>
        <w:t xml:space="preserve">ti, mind periódusra jellemző </w:t>
      </w:r>
      <w:proofErr w:type="spellStart"/>
      <w:r>
        <w:t>dummy</w:t>
      </w:r>
      <w:proofErr w:type="spellEnd"/>
      <w:r>
        <w:t xml:space="preserve"> (bináris) változókat illesztünk az egyetlenbe. Ezáltal a modell szaba</w:t>
      </w:r>
      <w:r>
        <w:t>d</w:t>
      </w:r>
      <w:r>
        <w:t>ságfoka erősen lecsökken, ami az ezt a tényt is figyelembe vevő teszteket, mutatókat erősen torzíthatja. Először a nettó hozzáadott értéket, majd a foglalkoztatási kapacitást és végül a termelékenységet vizsgáljuk.</w:t>
      </w:r>
    </w:p>
    <w:p w:rsidR="00084397" w:rsidRDefault="00084397" w:rsidP="00084397">
      <w:pPr>
        <w:keepNext/>
        <w:jc w:val="center"/>
      </w:pPr>
      <w:r w:rsidRPr="00E7789B">
        <w:rPr>
          <w:noProof/>
        </w:rPr>
        <w:drawing>
          <wp:inline distT="0" distB="0" distL="0" distR="0">
            <wp:extent cx="4099772" cy="2880000"/>
            <wp:effectExtent l="19050" t="19050" r="53128" b="1560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4099772" cy="2880000"/>
                    </a:xfrm>
                    <a:prstGeom prst="rect">
                      <a:avLst/>
                    </a:prstGeom>
                    <a:ln>
                      <a:noFill/>
                    </a:ln>
                    <a:effectLst>
                      <a:outerShdw blurRad="50800" dist="38100" dir="2700000" algn="tl" rotWithShape="0">
                        <a:prstClr val="black">
                          <a:alpha val="40000"/>
                        </a:prstClr>
                      </a:outerShdw>
                    </a:effectLst>
                  </pic:spPr>
                </pic:pic>
              </a:graphicData>
            </a:graphic>
          </wp:inline>
        </w:drawing>
      </w:r>
    </w:p>
    <w:bookmarkStart w:id="52" w:name="_Ref277048802"/>
    <w:p w:rsidR="00084397" w:rsidRPr="00CC58AC" w:rsidRDefault="003F44DC" w:rsidP="00084397">
      <w:pPr>
        <w:pStyle w:val="Caption"/>
        <w:jc w:val="center"/>
        <w:rPr>
          <w:color w:val="auto"/>
        </w:rPr>
      </w:pPr>
      <w:r w:rsidRPr="00CC58AC">
        <w:rPr>
          <w:color w:val="auto"/>
        </w:rPr>
        <w:fldChar w:fldCharType="begin"/>
      </w:r>
      <w:r w:rsidR="00084397" w:rsidRPr="00CC58AC">
        <w:rPr>
          <w:color w:val="auto"/>
        </w:rPr>
        <w:instrText xml:space="preserve"> SEQ ábra \* ARABIC </w:instrText>
      </w:r>
      <w:r w:rsidRPr="00CC58AC">
        <w:rPr>
          <w:color w:val="auto"/>
        </w:rPr>
        <w:fldChar w:fldCharType="separate"/>
      </w:r>
      <w:r w:rsidR="002D1B7A">
        <w:rPr>
          <w:noProof/>
          <w:color w:val="auto"/>
        </w:rPr>
        <w:t>6</w:t>
      </w:r>
      <w:r w:rsidRPr="00CC58AC">
        <w:rPr>
          <w:color w:val="auto"/>
        </w:rPr>
        <w:fldChar w:fldCharType="end"/>
      </w:r>
      <w:r w:rsidR="00084397" w:rsidRPr="00CC58AC">
        <w:rPr>
          <w:color w:val="auto"/>
        </w:rPr>
        <w:t>. ábra</w:t>
      </w:r>
      <w:bookmarkEnd w:id="52"/>
      <w:r w:rsidR="00084397" w:rsidRPr="00CC58AC">
        <w:rPr>
          <w:color w:val="auto"/>
        </w:rPr>
        <w:t xml:space="preserve">: Fixed </w:t>
      </w:r>
      <w:proofErr w:type="spellStart"/>
      <w:r w:rsidR="00084397" w:rsidRPr="00CC58AC">
        <w:rPr>
          <w:color w:val="auto"/>
        </w:rPr>
        <w:t>Effects</w:t>
      </w:r>
      <w:proofErr w:type="spellEnd"/>
      <w:r w:rsidR="00084397" w:rsidRPr="00CC58AC">
        <w:rPr>
          <w:color w:val="auto"/>
        </w:rPr>
        <w:t xml:space="preserve"> (LS) – NH</w:t>
      </w:r>
    </w:p>
    <w:p w:rsidR="00084397" w:rsidRDefault="00084397" w:rsidP="00084397">
      <w:pPr>
        <w:jc w:val="both"/>
      </w:pPr>
      <w:r>
        <w:t xml:space="preserve">A </w:t>
      </w:r>
      <w:r w:rsidR="003F44DC">
        <w:fldChar w:fldCharType="begin"/>
      </w:r>
      <w:r>
        <w:instrText xml:space="preserve"> REF _Ref277048802 \h </w:instrText>
      </w:r>
      <w:r w:rsidR="003F44DC">
        <w:fldChar w:fldCharType="separate"/>
      </w:r>
      <w:r w:rsidR="002D1B7A">
        <w:rPr>
          <w:noProof/>
        </w:rPr>
        <w:t>6</w:t>
      </w:r>
      <w:r w:rsidR="002D1B7A" w:rsidRPr="00CC58AC">
        <w:t>. ábra</w:t>
      </w:r>
      <w:r w:rsidR="003F44DC">
        <w:fldChar w:fldCharType="end"/>
      </w:r>
      <w:r>
        <w:t xml:space="preserve"> mutatja a </w:t>
      </w:r>
      <w:r w:rsidRPr="000935A4">
        <w:rPr>
          <w:b/>
        </w:rPr>
        <w:t xml:space="preserve">nettó hozzáadott érték </w:t>
      </w:r>
      <w:r>
        <w:t xml:space="preserve">Fixed </w:t>
      </w:r>
      <w:proofErr w:type="spellStart"/>
      <w:r>
        <w:t>Effects</w:t>
      </w:r>
      <w:proofErr w:type="spellEnd"/>
      <w:r>
        <w:t xml:space="preserve"> modelljét. Vastagon szedve és pirossal kiemelve láthatóak azok a sorok az ábrán, amelyeknek az értelmezésével a modellről döntünk. A támogatások hatása ebben a modellben kevésbé kimutatható, mint korábban (</w:t>
      </w:r>
      <w:r w:rsidR="003F44DC">
        <w:fldChar w:fldCharType="begin"/>
      </w:r>
      <w:r>
        <w:instrText xml:space="preserve"> REF _Ref277000021 \h </w:instrText>
      </w:r>
      <w:r w:rsidR="003F44DC">
        <w:fldChar w:fldCharType="separate"/>
      </w:r>
      <w:r w:rsidR="002D1B7A">
        <w:rPr>
          <w:noProof/>
        </w:rPr>
        <w:t>2</w:t>
      </w:r>
      <w:r w:rsidR="002D1B7A" w:rsidRPr="00CC58AC">
        <w:t>. ábra</w:t>
      </w:r>
      <w:r w:rsidR="003F44DC">
        <w:fldChar w:fldCharType="end"/>
      </w:r>
      <w:r>
        <w:t xml:space="preserve">), noha a modell magyarázó ereje nőtt a keresztmetszeti és periódus </w:t>
      </w:r>
      <w:proofErr w:type="spellStart"/>
      <w:r>
        <w:t>dummyk</w:t>
      </w:r>
      <w:proofErr w:type="spellEnd"/>
      <w:r>
        <w:t xml:space="preserve"> használatának hatására (</w:t>
      </w:r>
      <w:proofErr w:type="spellStart"/>
      <w:r>
        <w:t>adjusted</w:t>
      </w:r>
      <w:proofErr w:type="spellEnd"/>
      <w:r>
        <w:t xml:space="preserve"> </w:t>
      </w:r>
      <w:proofErr w:type="spellStart"/>
      <w:r>
        <w:t>R-squared</w:t>
      </w:r>
      <w:proofErr w:type="spellEnd"/>
      <w:r>
        <w:t xml:space="preserve">: 81,7%). Azonban a </w:t>
      </w:r>
      <w:proofErr w:type="spellStart"/>
      <w:r>
        <w:t>Durbin-Watson</w:t>
      </w:r>
      <w:proofErr w:type="spellEnd"/>
      <w:r>
        <w:t xml:space="preserve"> (továbbiakban DW) statisztika 4-hez közeli értéke a becslés helyességét erősen kétségbe vonja, és az EUME </w:t>
      </w:r>
      <w:proofErr w:type="spellStart"/>
      <w:r>
        <w:t>szignifikanciája</w:t>
      </w:r>
      <w:proofErr w:type="spellEnd"/>
      <w:r>
        <w:t xml:space="preserve"> is eltűnt (</w:t>
      </w:r>
      <w:proofErr w:type="spellStart"/>
      <w:r>
        <w:t>p-érték</w:t>
      </w:r>
      <w:proofErr w:type="spellEnd"/>
      <w:r>
        <w:t xml:space="preserve">: 0,34), ezért </w:t>
      </w:r>
      <w:r w:rsidRPr="000935A4">
        <w:rPr>
          <w:b/>
        </w:rPr>
        <w:t xml:space="preserve">további következtetéseket nem vonnánk le </w:t>
      </w:r>
      <w:r>
        <w:rPr>
          <w:b/>
        </w:rPr>
        <w:t xml:space="preserve">ebből </w:t>
      </w:r>
      <w:r w:rsidRPr="000935A4">
        <w:rPr>
          <w:b/>
        </w:rPr>
        <w:t>a modellből</w:t>
      </w:r>
      <w:r>
        <w:t>. További specifikációk vizsgálatára van szükség.</w:t>
      </w:r>
    </w:p>
    <w:p w:rsidR="00084397" w:rsidRDefault="00084397" w:rsidP="00084397">
      <w:pPr>
        <w:jc w:val="both"/>
      </w:pPr>
      <w:r>
        <w:t>A következőkben ugyanezt a modellt a munkakapacitásra nézzük meg.</w:t>
      </w:r>
    </w:p>
    <w:p w:rsidR="00084397" w:rsidRDefault="00084397" w:rsidP="00084397">
      <w:pPr>
        <w:keepNext/>
        <w:jc w:val="center"/>
      </w:pPr>
      <w:r w:rsidRPr="003C0AAE">
        <w:rPr>
          <w:noProof/>
        </w:rPr>
        <w:lastRenderedPageBreak/>
        <w:drawing>
          <wp:inline distT="0" distB="0" distL="0" distR="0">
            <wp:extent cx="4092600" cy="2880000"/>
            <wp:effectExtent l="19050" t="19050" r="60300" b="1560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4092600" cy="2880000"/>
                    </a:xfrm>
                    <a:prstGeom prst="rect">
                      <a:avLst/>
                    </a:prstGeom>
                    <a:ln>
                      <a:noFill/>
                    </a:ln>
                    <a:effectLst>
                      <a:outerShdw blurRad="50800" dist="38100" dir="2700000" algn="tl" rotWithShape="0">
                        <a:prstClr val="black">
                          <a:alpha val="40000"/>
                        </a:prstClr>
                      </a:outerShdw>
                    </a:effectLst>
                  </pic:spPr>
                </pic:pic>
              </a:graphicData>
            </a:graphic>
          </wp:inline>
        </w:drawing>
      </w:r>
    </w:p>
    <w:bookmarkStart w:id="53" w:name="_Ref277000172"/>
    <w:p w:rsidR="00084397" w:rsidRPr="00CC58AC" w:rsidRDefault="003F44DC" w:rsidP="00084397">
      <w:pPr>
        <w:pStyle w:val="Caption"/>
        <w:jc w:val="center"/>
        <w:rPr>
          <w:color w:val="auto"/>
        </w:rPr>
      </w:pPr>
      <w:r w:rsidRPr="00CC58AC">
        <w:rPr>
          <w:color w:val="auto"/>
        </w:rPr>
        <w:fldChar w:fldCharType="begin"/>
      </w:r>
      <w:r w:rsidR="00084397" w:rsidRPr="00CC58AC">
        <w:rPr>
          <w:color w:val="auto"/>
        </w:rPr>
        <w:instrText xml:space="preserve"> SEQ ábra \* ARABIC </w:instrText>
      </w:r>
      <w:r w:rsidRPr="00CC58AC">
        <w:rPr>
          <w:color w:val="auto"/>
        </w:rPr>
        <w:fldChar w:fldCharType="separate"/>
      </w:r>
      <w:r w:rsidR="002D1B7A">
        <w:rPr>
          <w:noProof/>
          <w:color w:val="auto"/>
        </w:rPr>
        <w:t>7</w:t>
      </w:r>
      <w:r w:rsidRPr="00CC58AC">
        <w:rPr>
          <w:color w:val="auto"/>
        </w:rPr>
        <w:fldChar w:fldCharType="end"/>
      </w:r>
      <w:r w:rsidR="00084397" w:rsidRPr="00CC58AC">
        <w:rPr>
          <w:color w:val="auto"/>
        </w:rPr>
        <w:t>. ábra</w:t>
      </w:r>
      <w:bookmarkEnd w:id="53"/>
      <w:r w:rsidR="00084397" w:rsidRPr="00CC58AC">
        <w:rPr>
          <w:color w:val="auto"/>
        </w:rPr>
        <w:t xml:space="preserve">: Fixed </w:t>
      </w:r>
      <w:proofErr w:type="spellStart"/>
      <w:r w:rsidR="00084397" w:rsidRPr="00CC58AC">
        <w:rPr>
          <w:color w:val="auto"/>
        </w:rPr>
        <w:t>Effects</w:t>
      </w:r>
      <w:proofErr w:type="spellEnd"/>
      <w:r w:rsidR="00084397" w:rsidRPr="00CC58AC">
        <w:rPr>
          <w:color w:val="auto"/>
        </w:rPr>
        <w:t xml:space="preserve"> (LS) – MUNKA</w:t>
      </w:r>
    </w:p>
    <w:p w:rsidR="00084397" w:rsidRDefault="00084397" w:rsidP="00084397">
      <w:pPr>
        <w:pStyle w:val="HUNNormal"/>
      </w:pPr>
      <w:r>
        <w:t xml:space="preserve">A </w:t>
      </w:r>
      <w:r w:rsidRPr="000935A4">
        <w:rPr>
          <w:b/>
        </w:rPr>
        <w:t>foglalkoztatási hatást</w:t>
      </w:r>
      <w:r>
        <w:t xml:space="preserve"> mérő egyszerű Fixed </w:t>
      </w:r>
      <w:proofErr w:type="spellStart"/>
      <w:r>
        <w:t>Effects</w:t>
      </w:r>
      <w:proofErr w:type="spellEnd"/>
      <w:r>
        <w:t xml:space="preserve"> becslést a </w:t>
      </w:r>
      <w:r w:rsidR="003F44DC">
        <w:fldChar w:fldCharType="begin"/>
      </w:r>
      <w:r>
        <w:instrText xml:space="preserve"> REF _Ref277000172 \h </w:instrText>
      </w:r>
      <w:r w:rsidR="003F44DC">
        <w:fldChar w:fldCharType="separate"/>
      </w:r>
      <w:r w:rsidR="002D1B7A">
        <w:rPr>
          <w:noProof/>
        </w:rPr>
        <w:t>7</w:t>
      </w:r>
      <w:r w:rsidR="002D1B7A" w:rsidRPr="00CC58AC">
        <w:t>. ábra</w:t>
      </w:r>
      <w:r w:rsidR="003F44DC">
        <w:fldChar w:fldCharType="end"/>
      </w:r>
      <w:r>
        <w:t xml:space="preserve"> mutatja. Vastagon szedve és pirossal kiemelve láthatóak azok a sorok az ábrán, amelyeknek az értelmezésével a modellről döntünk.</w:t>
      </w:r>
    </w:p>
    <w:p w:rsidR="00084397" w:rsidRDefault="00084397" w:rsidP="00084397">
      <w:pPr>
        <w:jc w:val="both"/>
      </w:pPr>
      <w:r>
        <w:t xml:space="preserve">Kevésbé mutatható ki a támogatások hatása, mint a Panel </w:t>
      </w:r>
      <w:proofErr w:type="spellStart"/>
      <w:r>
        <w:t>Least</w:t>
      </w:r>
      <w:proofErr w:type="spellEnd"/>
      <w:r>
        <w:t xml:space="preserve"> </w:t>
      </w:r>
      <w:proofErr w:type="spellStart"/>
      <w:r>
        <w:t>Squares</w:t>
      </w:r>
      <w:proofErr w:type="spellEnd"/>
      <w:r>
        <w:t xml:space="preserve"> becslésben (</w:t>
      </w:r>
      <w:r w:rsidR="003F44DC">
        <w:fldChar w:fldCharType="begin"/>
      </w:r>
      <w:r>
        <w:instrText xml:space="preserve"> REF _Ref276736805 \h </w:instrText>
      </w:r>
      <w:r w:rsidR="003F44DC">
        <w:fldChar w:fldCharType="separate"/>
      </w:r>
      <w:r w:rsidR="002D1B7A">
        <w:rPr>
          <w:noProof/>
        </w:rPr>
        <w:t>3</w:t>
      </w:r>
      <w:r w:rsidR="002D1B7A" w:rsidRPr="00CC58AC">
        <w:t>. ábra</w:t>
      </w:r>
      <w:r w:rsidR="003F44DC">
        <w:fldChar w:fldCharType="end"/>
      </w:r>
      <w:r>
        <w:t>), viszont a modell magyarázó ereje nagyon megnőtt (</w:t>
      </w:r>
      <w:proofErr w:type="spellStart"/>
      <w:r>
        <w:t>adjusted</w:t>
      </w:r>
      <w:proofErr w:type="spellEnd"/>
      <w:r>
        <w:t xml:space="preserve"> </w:t>
      </w:r>
      <w:proofErr w:type="spellStart"/>
      <w:r>
        <w:t>R-squared</w:t>
      </w:r>
      <w:proofErr w:type="spellEnd"/>
      <w:r>
        <w:t xml:space="preserve"> 98,5%). Ez azonban szinte teljes mértékben a fix hatások használatának tudható be, a többi </w:t>
      </w:r>
      <w:proofErr w:type="spellStart"/>
      <w:r>
        <w:t>regresszor</w:t>
      </w:r>
      <w:proofErr w:type="spellEnd"/>
      <w:r>
        <w:t xml:space="preserve"> kisebb mértékben járul hozzá a magyarázathoz (az F-statisztika értéke: 205,02, ami, bár szignifikáns, nem mondható kiugrónak). A </w:t>
      </w:r>
      <w:proofErr w:type="gramStart"/>
      <w:r>
        <w:t>modell jelzés</w:t>
      </w:r>
      <w:proofErr w:type="gramEnd"/>
      <w:r>
        <w:t xml:space="preserve"> értékűnek tekinthető abból a szempontból, hogy bár az AKG(-1) a lehető legkevésbé mozog együtt a modellel (</w:t>
      </w:r>
      <w:proofErr w:type="spellStart"/>
      <w:r>
        <w:t>p-érték</w:t>
      </w:r>
      <w:proofErr w:type="spellEnd"/>
      <w:r>
        <w:t xml:space="preserve"> 99,9%!) </w:t>
      </w:r>
      <w:proofErr w:type="gramStart"/>
      <w:r>
        <w:t>a</w:t>
      </w:r>
      <w:proofErr w:type="gramEnd"/>
      <w:r>
        <w:t xml:space="preserve"> fix hatások miatt, az EUME és a SAPS továbbra is az 5%-os </w:t>
      </w:r>
      <w:proofErr w:type="spellStart"/>
      <w:r>
        <w:t>szignifikancia</w:t>
      </w:r>
      <w:proofErr w:type="spellEnd"/>
      <w:r>
        <w:t xml:space="preserve"> küszöb alatt találhatóak. Ez azt jelenti számunkra, hogy valóban indokolt kontrollálnunk ezekre a változókra a támogatások magyar</w:t>
      </w:r>
      <w:r>
        <w:t>á</w:t>
      </w:r>
      <w:r>
        <w:t>zata közben.</w:t>
      </w:r>
    </w:p>
    <w:p w:rsidR="00084397" w:rsidRDefault="00084397" w:rsidP="00084397">
      <w:pPr>
        <w:jc w:val="both"/>
      </w:pPr>
      <w:r>
        <w:t>Térjünk át a harmadik függő változónk, a munkatermelékenység vizsgálatára.</w:t>
      </w:r>
    </w:p>
    <w:p w:rsidR="00084397" w:rsidRDefault="00084397" w:rsidP="00084397">
      <w:pPr>
        <w:keepNext/>
        <w:jc w:val="center"/>
      </w:pPr>
      <w:r w:rsidRPr="009B6CF7">
        <w:rPr>
          <w:noProof/>
        </w:rPr>
        <w:lastRenderedPageBreak/>
        <w:drawing>
          <wp:inline distT="0" distB="0" distL="0" distR="0">
            <wp:extent cx="4092600" cy="2880000"/>
            <wp:effectExtent l="19050" t="19050" r="60300" b="15600"/>
            <wp:docPr id="2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4092600" cy="2880000"/>
                    </a:xfrm>
                    <a:prstGeom prst="rect">
                      <a:avLst/>
                    </a:prstGeom>
                    <a:ln>
                      <a:noFill/>
                    </a:ln>
                    <a:effectLst>
                      <a:outerShdw blurRad="50800" dist="38100" dir="2700000" algn="tl" rotWithShape="0">
                        <a:prstClr val="black">
                          <a:alpha val="40000"/>
                        </a:prstClr>
                      </a:outerShdw>
                    </a:effectLst>
                  </pic:spPr>
                </pic:pic>
              </a:graphicData>
            </a:graphic>
          </wp:inline>
        </w:drawing>
      </w:r>
    </w:p>
    <w:bookmarkStart w:id="54" w:name="_Ref277051340"/>
    <w:p w:rsidR="00084397" w:rsidRPr="00CC58AC" w:rsidRDefault="003F44DC" w:rsidP="00084397">
      <w:pPr>
        <w:pStyle w:val="Caption"/>
        <w:jc w:val="center"/>
        <w:rPr>
          <w:color w:val="auto"/>
        </w:rPr>
      </w:pPr>
      <w:r w:rsidRPr="00CC58AC">
        <w:rPr>
          <w:color w:val="auto"/>
        </w:rPr>
        <w:fldChar w:fldCharType="begin"/>
      </w:r>
      <w:r w:rsidR="00084397" w:rsidRPr="00CC58AC">
        <w:rPr>
          <w:color w:val="auto"/>
        </w:rPr>
        <w:instrText xml:space="preserve"> SEQ ábra \* ARABIC </w:instrText>
      </w:r>
      <w:r w:rsidRPr="00CC58AC">
        <w:rPr>
          <w:color w:val="auto"/>
        </w:rPr>
        <w:fldChar w:fldCharType="separate"/>
      </w:r>
      <w:r w:rsidR="002D1B7A">
        <w:rPr>
          <w:noProof/>
          <w:color w:val="auto"/>
        </w:rPr>
        <w:t>8</w:t>
      </w:r>
      <w:r w:rsidRPr="00CC58AC">
        <w:rPr>
          <w:color w:val="auto"/>
        </w:rPr>
        <w:fldChar w:fldCharType="end"/>
      </w:r>
      <w:r w:rsidR="00084397" w:rsidRPr="00CC58AC">
        <w:rPr>
          <w:color w:val="auto"/>
        </w:rPr>
        <w:t>. ábra</w:t>
      </w:r>
      <w:bookmarkEnd w:id="54"/>
      <w:r w:rsidR="00084397" w:rsidRPr="00CC58AC">
        <w:rPr>
          <w:color w:val="auto"/>
        </w:rPr>
        <w:t xml:space="preserve">: Fixed </w:t>
      </w:r>
      <w:proofErr w:type="spellStart"/>
      <w:r w:rsidR="00084397" w:rsidRPr="00CC58AC">
        <w:rPr>
          <w:color w:val="auto"/>
        </w:rPr>
        <w:t>Effects</w:t>
      </w:r>
      <w:proofErr w:type="spellEnd"/>
      <w:r w:rsidR="00084397" w:rsidRPr="00CC58AC">
        <w:rPr>
          <w:color w:val="auto"/>
        </w:rPr>
        <w:t xml:space="preserve"> (LS) – TERM</w:t>
      </w:r>
    </w:p>
    <w:p w:rsidR="00084397" w:rsidRDefault="00084397" w:rsidP="00084397">
      <w:pPr>
        <w:jc w:val="both"/>
      </w:pPr>
      <w:r>
        <w:t xml:space="preserve">A </w:t>
      </w:r>
      <w:r w:rsidR="003F44DC">
        <w:fldChar w:fldCharType="begin"/>
      </w:r>
      <w:r>
        <w:instrText xml:space="preserve"> REF _Ref277051340 \h </w:instrText>
      </w:r>
      <w:r w:rsidR="003F44DC">
        <w:fldChar w:fldCharType="separate"/>
      </w:r>
      <w:r w:rsidR="002D1B7A">
        <w:rPr>
          <w:noProof/>
        </w:rPr>
        <w:t>8</w:t>
      </w:r>
      <w:r w:rsidR="002D1B7A" w:rsidRPr="00CC58AC">
        <w:t>. ábra</w:t>
      </w:r>
      <w:r w:rsidR="003F44DC">
        <w:fldChar w:fldCharType="end"/>
      </w:r>
      <w:r>
        <w:t xml:space="preserve"> mutatja a </w:t>
      </w:r>
      <w:r w:rsidRPr="000935A4">
        <w:rPr>
          <w:b/>
        </w:rPr>
        <w:t>munkatermelékenység</w:t>
      </w:r>
      <w:r>
        <w:t xml:space="preserve"> Fixed </w:t>
      </w:r>
      <w:proofErr w:type="spellStart"/>
      <w:r>
        <w:t>Effects</w:t>
      </w:r>
      <w:proofErr w:type="spellEnd"/>
      <w:r>
        <w:t xml:space="preserve"> modelljét. Vastagon szedve és pirossal kiemelve láthatóak azok a sorok az ábrán, amelyeknek az értelmezésével a modellről döntünk.</w:t>
      </w:r>
    </w:p>
    <w:p w:rsidR="00084397" w:rsidRDefault="00084397" w:rsidP="00084397">
      <w:pPr>
        <w:jc w:val="both"/>
      </w:pPr>
      <w:r>
        <w:t>Noha a magyarázó erő (</w:t>
      </w:r>
      <w:proofErr w:type="spellStart"/>
      <w:r>
        <w:t>adjusted</w:t>
      </w:r>
      <w:proofErr w:type="spellEnd"/>
      <w:r>
        <w:t xml:space="preserve"> </w:t>
      </w:r>
      <w:proofErr w:type="spellStart"/>
      <w:r>
        <w:t>R-squared</w:t>
      </w:r>
      <w:proofErr w:type="spellEnd"/>
      <w:r>
        <w:t xml:space="preserve">) nőtt a Panel </w:t>
      </w:r>
      <w:proofErr w:type="spellStart"/>
      <w:r>
        <w:t>Least</w:t>
      </w:r>
      <w:proofErr w:type="spellEnd"/>
      <w:r>
        <w:t xml:space="preserve"> </w:t>
      </w:r>
      <w:proofErr w:type="spellStart"/>
      <w:r>
        <w:t>Squares</w:t>
      </w:r>
      <w:proofErr w:type="spellEnd"/>
      <w:r>
        <w:t xml:space="preserve"> (</w:t>
      </w:r>
      <w:r w:rsidR="003F44DC">
        <w:fldChar w:fldCharType="begin"/>
      </w:r>
      <w:r>
        <w:instrText xml:space="preserve"> REF _Ref277048247 \h </w:instrText>
      </w:r>
      <w:r w:rsidR="003F44DC">
        <w:fldChar w:fldCharType="separate"/>
      </w:r>
      <w:r w:rsidR="002D1B7A">
        <w:rPr>
          <w:noProof/>
        </w:rPr>
        <w:t>5</w:t>
      </w:r>
      <w:r w:rsidR="002D1B7A" w:rsidRPr="00CC58AC">
        <w:t>. ábra</w:t>
      </w:r>
      <w:r w:rsidR="003F44DC">
        <w:fldChar w:fldCharType="end"/>
      </w:r>
      <w:r>
        <w:t xml:space="preserve">) becsléshez képest (0,46 szemben a 0,01-el), </w:t>
      </w:r>
      <w:r w:rsidRPr="000935A4">
        <w:rPr>
          <w:b/>
        </w:rPr>
        <w:t>a támogatások hatását nem tudjuk kimutatni benne</w:t>
      </w:r>
      <w:r>
        <w:t xml:space="preserve"> (</w:t>
      </w:r>
      <w:proofErr w:type="spellStart"/>
      <w:r>
        <w:t>p-értékek</w:t>
      </w:r>
      <w:proofErr w:type="spellEnd"/>
      <w:r>
        <w:t xml:space="preserve"> 5% felett állnak a v</w:t>
      </w:r>
      <w:r>
        <w:t>o</w:t>
      </w:r>
      <w:r>
        <w:t xml:space="preserve">natkozó sorokban, pirossal megjelölve), és a DW statisztika is átlépi azt a </w:t>
      </w:r>
      <w:proofErr w:type="gramStart"/>
      <w:r>
        <w:t>határt</w:t>
      </w:r>
      <w:r>
        <w:rPr>
          <w:rStyle w:val="FootnoteReference"/>
        </w:rPr>
        <w:footnoteReference w:id="17"/>
      </w:r>
      <w:r>
        <w:t>,</w:t>
      </w:r>
      <w:proofErr w:type="gramEnd"/>
      <w:r>
        <w:t xml:space="preserve"> aminél érdemes elgo</w:t>
      </w:r>
      <w:r>
        <w:t>n</w:t>
      </w:r>
      <w:r>
        <w:t>dolkozni a specifikáció helyességén. Sajnos az idáig szignifikáns EUME és SAPS változónk kirívó mértékű jelentéktelenséget mutat (</w:t>
      </w:r>
      <w:proofErr w:type="spellStart"/>
      <w:r>
        <w:t>p-értékek</w:t>
      </w:r>
      <w:proofErr w:type="spellEnd"/>
      <w:r>
        <w:t xml:space="preserve"> 90% felett!), ami további kérdéseket vet fel a modell sikerével kapcs</w:t>
      </w:r>
      <w:r>
        <w:t>o</w:t>
      </w:r>
      <w:r>
        <w:t>latban.</w:t>
      </w:r>
    </w:p>
    <w:p w:rsidR="00084397" w:rsidRDefault="00084397" w:rsidP="00084397">
      <w:pPr>
        <w:jc w:val="both"/>
      </w:pPr>
      <w:r>
        <w:t xml:space="preserve">További becslési eljárások tesztelése mellett döntünk, a következő modellünk a panel </w:t>
      </w:r>
      <w:proofErr w:type="spellStart"/>
      <w:r>
        <w:t>ökonometriában</w:t>
      </w:r>
      <w:proofErr w:type="spellEnd"/>
      <w:r>
        <w:t xml:space="preserve"> jól ismert random </w:t>
      </w:r>
      <w:proofErr w:type="spellStart"/>
      <w:r>
        <w:t>effects</w:t>
      </w:r>
      <w:proofErr w:type="spellEnd"/>
      <w:r>
        <w:t xml:space="preserve"> specifikációk családja.</w:t>
      </w:r>
    </w:p>
    <w:p w:rsidR="00084397" w:rsidRDefault="00084397" w:rsidP="00084397">
      <w:pPr>
        <w:pStyle w:val="HUNHeading3"/>
        <w:ind w:left="504"/>
      </w:pPr>
      <w:bookmarkStart w:id="55" w:name="_Ref277062918"/>
      <w:bookmarkStart w:id="56" w:name="_Toc278793279"/>
      <w:bookmarkStart w:id="57" w:name="_Toc279359355"/>
      <w:r>
        <w:t xml:space="preserve">Random </w:t>
      </w:r>
      <w:proofErr w:type="spellStart"/>
      <w:r>
        <w:t>Effects</w:t>
      </w:r>
      <w:bookmarkEnd w:id="55"/>
      <w:bookmarkEnd w:id="56"/>
      <w:bookmarkEnd w:id="57"/>
      <w:proofErr w:type="spellEnd"/>
    </w:p>
    <w:p w:rsidR="00084397" w:rsidRDefault="00084397" w:rsidP="00084397">
      <w:pPr>
        <w:pStyle w:val="HUNNormal"/>
      </w:pPr>
      <w:r>
        <w:t xml:space="preserve">A Fixed </w:t>
      </w:r>
      <w:proofErr w:type="spellStart"/>
      <w:r>
        <w:t>Effects</w:t>
      </w:r>
      <w:proofErr w:type="spellEnd"/>
      <w:r>
        <w:t xml:space="preserve"> modell után a konstansra a keresztmetszeten egy eloszlásból veszünk mintát, ahogy a ra</w:t>
      </w:r>
      <w:r>
        <w:t>n</w:t>
      </w:r>
      <w:r>
        <w:t xml:space="preserve">dom </w:t>
      </w:r>
      <w:proofErr w:type="spellStart"/>
      <w:r>
        <w:t>effects</w:t>
      </w:r>
      <w:proofErr w:type="spellEnd"/>
      <w:r>
        <w:t xml:space="preserve"> becslés módszere szerint történik. Itt már a hagyományos legkisebb négyzetek módszerének becslőmátrixa apróbb változtatásokon megy keresztül, így általánosítottan kell becsülnünk a modellt (GLS). Emiatt a White-féle </w:t>
      </w:r>
      <w:proofErr w:type="spellStart"/>
      <w:r>
        <w:t>heteroszkedaszticitás-konzisztens</w:t>
      </w:r>
      <w:proofErr w:type="spellEnd"/>
      <w:r>
        <w:t xml:space="preserve"> robosztus hibák helyett áttérünk - a </w:t>
      </w:r>
      <w:proofErr w:type="spellStart"/>
      <w:r>
        <w:t>Generalized</w:t>
      </w:r>
      <w:proofErr w:type="spellEnd"/>
      <w:r>
        <w:t xml:space="preserve"> LS becslések során - a PCSE (Panel </w:t>
      </w:r>
      <w:proofErr w:type="spellStart"/>
      <w:r>
        <w:t>corrected</w:t>
      </w:r>
      <w:proofErr w:type="spellEnd"/>
      <w:r>
        <w:t xml:space="preserve"> standard </w:t>
      </w:r>
      <w:proofErr w:type="spellStart"/>
      <w:r>
        <w:t>errors</w:t>
      </w:r>
      <w:proofErr w:type="spellEnd"/>
      <w:r>
        <w:t>) hibák használatára. Ezek a struktúrák a változ</w:t>
      </w:r>
      <w:r>
        <w:t>ó</w:t>
      </w:r>
      <w:r>
        <w:t xml:space="preserve">ink együtthatóit nem, csupán a standard hibáikat érintik, amikből a t-statisztikák és </w:t>
      </w:r>
      <w:proofErr w:type="spellStart"/>
      <w:r>
        <w:t>szignifikancia</w:t>
      </w:r>
      <w:proofErr w:type="spellEnd"/>
      <w:r>
        <w:t xml:space="preserve"> szintek számolódnak. A modelljeink kevésbé megbízhatóak lennének, ha nem korrigálnák ilyen módon a hibákat, hiszen akkor olyan változónk is jelentős szerephez jutna, ami egyébiránt nem indokolt.</w:t>
      </w:r>
    </w:p>
    <w:p w:rsidR="00084397" w:rsidRPr="007F00FB" w:rsidRDefault="00084397" w:rsidP="00084397">
      <w:pPr>
        <w:pStyle w:val="HUNNormal"/>
      </w:pPr>
      <w:r>
        <w:t xml:space="preserve">Első random </w:t>
      </w:r>
      <w:proofErr w:type="spellStart"/>
      <w:r>
        <w:t>effects</w:t>
      </w:r>
      <w:proofErr w:type="spellEnd"/>
      <w:r>
        <w:t xml:space="preserve"> modellünket a nettó hozzáadott érték vizsgálatára készítettük.</w:t>
      </w:r>
    </w:p>
    <w:p w:rsidR="00084397" w:rsidRDefault="00084397" w:rsidP="00084397">
      <w:pPr>
        <w:keepNext/>
        <w:jc w:val="center"/>
      </w:pPr>
      <w:r w:rsidRPr="00F2127D">
        <w:rPr>
          <w:noProof/>
        </w:rPr>
        <w:lastRenderedPageBreak/>
        <w:drawing>
          <wp:inline distT="0" distB="0" distL="0" distR="0">
            <wp:extent cx="4905905" cy="4320000"/>
            <wp:effectExtent l="19050" t="19050" r="66145" b="23400"/>
            <wp:docPr id="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srcRect/>
                    <a:stretch>
                      <a:fillRect/>
                    </a:stretch>
                  </pic:blipFill>
                  <pic:spPr bwMode="auto">
                    <a:xfrm>
                      <a:off x="0" y="0"/>
                      <a:ext cx="4905905" cy="4320000"/>
                    </a:xfrm>
                    <a:prstGeom prst="rect">
                      <a:avLst/>
                    </a:prstGeom>
                    <a:ln>
                      <a:noFill/>
                    </a:ln>
                    <a:effectLst>
                      <a:outerShdw blurRad="50800" dist="38100" dir="2700000" algn="tl" rotWithShape="0">
                        <a:prstClr val="black">
                          <a:alpha val="40000"/>
                        </a:prstClr>
                      </a:outerShdw>
                    </a:effectLst>
                  </pic:spPr>
                </pic:pic>
              </a:graphicData>
            </a:graphic>
          </wp:inline>
        </w:drawing>
      </w:r>
    </w:p>
    <w:bookmarkStart w:id="58" w:name="_Ref277053378"/>
    <w:p w:rsidR="00084397" w:rsidRPr="00CC58AC" w:rsidRDefault="003F44DC" w:rsidP="00084397">
      <w:pPr>
        <w:pStyle w:val="Caption"/>
        <w:jc w:val="center"/>
        <w:rPr>
          <w:color w:val="auto"/>
        </w:rPr>
      </w:pPr>
      <w:r w:rsidRPr="00CC58AC">
        <w:rPr>
          <w:color w:val="auto"/>
        </w:rPr>
        <w:fldChar w:fldCharType="begin"/>
      </w:r>
      <w:r w:rsidR="00084397" w:rsidRPr="00CC58AC">
        <w:rPr>
          <w:color w:val="auto"/>
        </w:rPr>
        <w:instrText xml:space="preserve"> SEQ ábra \* ARABIC </w:instrText>
      </w:r>
      <w:r w:rsidRPr="00CC58AC">
        <w:rPr>
          <w:color w:val="auto"/>
        </w:rPr>
        <w:fldChar w:fldCharType="separate"/>
      </w:r>
      <w:r w:rsidR="002D1B7A">
        <w:rPr>
          <w:noProof/>
          <w:color w:val="auto"/>
        </w:rPr>
        <w:t>9</w:t>
      </w:r>
      <w:r w:rsidRPr="00CC58AC">
        <w:rPr>
          <w:color w:val="auto"/>
        </w:rPr>
        <w:fldChar w:fldCharType="end"/>
      </w:r>
      <w:r w:rsidR="00084397" w:rsidRPr="00CC58AC">
        <w:rPr>
          <w:color w:val="auto"/>
        </w:rPr>
        <w:t>. ábra</w:t>
      </w:r>
      <w:bookmarkEnd w:id="58"/>
      <w:r w:rsidR="00084397" w:rsidRPr="00CC58AC">
        <w:rPr>
          <w:color w:val="auto"/>
        </w:rPr>
        <w:t xml:space="preserve">: Random </w:t>
      </w:r>
      <w:proofErr w:type="spellStart"/>
      <w:r w:rsidR="00084397" w:rsidRPr="00CC58AC">
        <w:rPr>
          <w:color w:val="auto"/>
        </w:rPr>
        <w:t>Effects</w:t>
      </w:r>
      <w:proofErr w:type="spellEnd"/>
      <w:r w:rsidR="00084397" w:rsidRPr="00CC58AC">
        <w:rPr>
          <w:color w:val="auto"/>
        </w:rPr>
        <w:t xml:space="preserve"> (GLS) – NH</w:t>
      </w:r>
    </w:p>
    <w:p w:rsidR="00084397" w:rsidRDefault="00084397" w:rsidP="00084397">
      <w:pPr>
        <w:jc w:val="both"/>
      </w:pPr>
      <w:r>
        <w:t xml:space="preserve">A </w:t>
      </w:r>
      <w:r w:rsidRPr="000935A4">
        <w:rPr>
          <w:b/>
        </w:rPr>
        <w:t>nettó hozzáadott érték</w:t>
      </w:r>
      <w:r>
        <w:t xml:space="preserve"> random </w:t>
      </w:r>
      <w:proofErr w:type="spellStart"/>
      <w:r>
        <w:t>effects</w:t>
      </w:r>
      <w:proofErr w:type="spellEnd"/>
      <w:r>
        <w:t xml:space="preserve"> modelljét mutatja a </w:t>
      </w:r>
      <w:r w:rsidR="003F44DC">
        <w:fldChar w:fldCharType="begin"/>
      </w:r>
      <w:r>
        <w:instrText xml:space="preserve"> REF _Ref277053378 \h </w:instrText>
      </w:r>
      <w:r w:rsidR="003F44DC">
        <w:fldChar w:fldCharType="separate"/>
      </w:r>
      <w:r w:rsidR="002D1B7A">
        <w:rPr>
          <w:noProof/>
        </w:rPr>
        <w:t>9</w:t>
      </w:r>
      <w:r w:rsidR="002D1B7A" w:rsidRPr="00CC58AC">
        <w:t>. ábra</w:t>
      </w:r>
      <w:r w:rsidR="003F44DC">
        <w:fldChar w:fldCharType="end"/>
      </w:r>
      <w:r>
        <w:t>. Vastagon szedve és pirossal kiemelve láthatóak azok a sorok az ábrán, amelyeknek az értelmezésével a modellről döntünk.</w:t>
      </w:r>
    </w:p>
    <w:p w:rsidR="00084397" w:rsidRDefault="00084397" w:rsidP="00084397">
      <w:pPr>
        <w:jc w:val="both"/>
      </w:pPr>
      <w:r>
        <w:t xml:space="preserve">A </w:t>
      </w:r>
      <w:r w:rsidRPr="000935A4">
        <w:rPr>
          <w:b/>
        </w:rPr>
        <w:t>támogatások hatása jelentéktelen</w:t>
      </w:r>
      <w:r>
        <w:t xml:space="preserve">, amint azt a pirossal kiemelt </w:t>
      </w:r>
      <w:proofErr w:type="spellStart"/>
      <w:r>
        <w:t>p-értékek</w:t>
      </w:r>
      <w:proofErr w:type="spellEnd"/>
      <w:r>
        <w:t xml:space="preserve"> is jelzik (0,77 és 0,37). Így az együtthatók előjelét sem vesszük figyelembe, mivel statisztikailag nulla értéket vesznek fel. A modell magy</w:t>
      </w:r>
      <w:r>
        <w:t>a</w:t>
      </w:r>
      <w:r>
        <w:t>rázó ereje (</w:t>
      </w:r>
      <w:proofErr w:type="spellStart"/>
      <w:r>
        <w:t>Weighted</w:t>
      </w:r>
      <w:proofErr w:type="spellEnd"/>
      <w:r>
        <w:t xml:space="preserve"> </w:t>
      </w:r>
      <w:proofErr w:type="spellStart"/>
      <w:r>
        <w:t>statistics</w:t>
      </w:r>
      <w:proofErr w:type="spellEnd"/>
      <w:r>
        <w:t xml:space="preserve">, </w:t>
      </w:r>
      <w:proofErr w:type="spellStart"/>
      <w:r>
        <w:t>adjusted</w:t>
      </w:r>
      <w:proofErr w:type="spellEnd"/>
      <w:r>
        <w:t xml:space="preserve"> </w:t>
      </w:r>
      <w:proofErr w:type="spellStart"/>
      <w:r>
        <w:t>R-squared</w:t>
      </w:r>
      <w:proofErr w:type="spellEnd"/>
      <w:r>
        <w:t>: 67,2%) alacsonyabb, mint a fix hatás modellben (</w:t>
      </w:r>
      <w:r w:rsidR="003F44DC">
        <w:fldChar w:fldCharType="begin"/>
      </w:r>
      <w:r>
        <w:instrText xml:space="preserve"> REF _Ref277048802 \h </w:instrText>
      </w:r>
      <w:r w:rsidR="003F44DC">
        <w:fldChar w:fldCharType="separate"/>
      </w:r>
      <w:r w:rsidR="002D1B7A">
        <w:rPr>
          <w:noProof/>
        </w:rPr>
        <w:t>6</w:t>
      </w:r>
      <w:r w:rsidR="002D1B7A" w:rsidRPr="00CC58AC">
        <w:t>. á</w:t>
      </w:r>
      <w:r w:rsidR="002D1B7A" w:rsidRPr="00CC58AC">
        <w:t>b</w:t>
      </w:r>
      <w:r w:rsidR="002D1B7A" w:rsidRPr="00CC58AC">
        <w:t>ra</w:t>
      </w:r>
      <w:r w:rsidR="003F44DC">
        <w:fldChar w:fldCharType="end"/>
      </w:r>
      <w:r>
        <w:t xml:space="preserve">). Ezen felül a panel szintű varianciából az egyedi, </w:t>
      </w:r>
      <w:proofErr w:type="spellStart"/>
      <w:r>
        <w:t>idioszinkratikus</w:t>
      </w:r>
      <w:proofErr w:type="spellEnd"/>
      <w:r>
        <w:t xml:space="preserve"> hibák többet magyaráznak (</w:t>
      </w:r>
      <w:proofErr w:type="spellStart"/>
      <w:r>
        <w:t>cross-section</w:t>
      </w:r>
      <w:proofErr w:type="spellEnd"/>
      <w:r>
        <w:t xml:space="preserve"> random S</w:t>
      </w:r>
      <w:proofErr w:type="gramStart"/>
      <w:r>
        <w:t>.D</w:t>
      </w:r>
      <w:proofErr w:type="gramEnd"/>
      <w:r>
        <w:t>/</w:t>
      </w:r>
      <w:proofErr w:type="spellStart"/>
      <w:r>
        <w:t>Rho</w:t>
      </w:r>
      <w:proofErr w:type="spellEnd"/>
      <w:r>
        <w:t xml:space="preserve">: 20%), így ebben az esetben a random és a fixed </w:t>
      </w:r>
      <w:proofErr w:type="spellStart"/>
      <w:r>
        <w:t>effects</w:t>
      </w:r>
      <w:proofErr w:type="spellEnd"/>
      <w:r>
        <w:t xml:space="preserve"> modell közül érdemesebb inkább a fix hatás modelleket becsülni. Mivel azonban a fix hatás modell nem hozott jó eredményt, </w:t>
      </w:r>
      <w:r w:rsidRPr="000935A4">
        <w:rPr>
          <w:b/>
        </w:rPr>
        <w:t>más m</w:t>
      </w:r>
      <w:r w:rsidRPr="000935A4">
        <w:rPr>
          <w:b/>
        </w:rPr>
        <w:t>o</w:t>
      </w:r>
      <w:r w:rsidRPr="000935A4">
        <w:rPr>
          <w:b/>
        </w:rPr>
        <w:t>dellt fogunk vizsgálni a nettó hozzáadott értékre a későbbiekben</w:t>
      </w:r>
      <w:r>
        <w:t>. Az látszik azonban, hogy a méret (EUME), az üzemek egyéni vagy társas gazdaság mivolta (TARSAS) és a SAPS rendelkezik magyarázóerővel a nettó hozzáadott érték esetében az eddigi modelljeinkben, így ezek kontrolláló funkcióját fontos megőriznünk.</w:t>
      </w:r>
    </w:p>
    <w:p w:rsidR="00084397" w:rsidRPr="00822A05" w:rsidRDefault="00084397" w:rsidP="00084397">
      <w:pPr>
        <w:jc w:val="both"/>
      </w:pPr>
      <w:r>
        <w:t xml:space="preserve">Nézzük meg most a foglalkoztatási kapacitást vizsgáló random </w:t>
      </w:r>
      <w:proofErr w:type="spellStart"/>
      <w:r>
        <w:t>effects</w:t>
      </w:r>
      <w:proofErr w:type="spellEnd"/>
      <w:r>
        <w:t xml:space="preserve"> modellt.</w:t>
      </w:r>
    </w:p>
    <w:p w:rsidR="00084397" w:rsidRDefault="00084397" w:rsidP="00084397">
      <w:pPr>
        <w:keepNext/>
        <w:jc w:val="center"/>
      </w:pPr>
      <w:r w:rsidRPr="002436BD">
        <w:rPr>
          <w:noProof/>
        </w:rPr>
        <w:lastRenderedPageBreak/>
        <w:drawing>
          <wp:inline distT="0" distB="0" distL="0" distR="0">
            <wp:extent cx="4907429" cy="4320000"/>
            <wp:effectExtent l="19050" t="19050" r="64621" b="23400"/>
            <wp:docPr id="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4907429" cy="4320000"/>
                    </a:xfrm>
                    <a:prstGeom prst="rect">
                      <a:avLst/>
                    </a:prstGeom>
                    <a:ln>
                      <a:noFill/>
                    </a:ln>
                    <a:effectLst>
                      <a:outerShdw blurRad="50800" dist="38100" dir="2700000" algn="tl" rotWithShape="0">
                        <a:prstClr val="black">
                          <a:alpha val="40000"/>
                        </a:prstClr>
                      </a:outerShdw>
                    </a:effectLst>
                  </pic:spPr>
                </pic:pic>
              </a:graphicData>
            </a:graphic>
          </wp:inline>
        </w:drawing>
      </w:r>
    </w:p>
    <w:bookmarkStart w:id="59" w:name="_Ref277056552"/>
    <w:p w:rsidR="00084397" w:rsidRPr="00CC58AC" w:rsidRDefault="003F44DC" w:rsidP="00084397">
      <w:pPr>
        <w:pStyle w:val="Caption"/>
        <w:jc w:val="center"/>
        <w:rPr>
          <w:color w:val="auto"/>
        </w:rPr>
      </w:pPr>
      <w:r w:rsidRPr="00CC58AC">
        <w:rPr>
          <w:color w:val="auto"/>
        </w:rPr>
        <w:fldChar w:fldCharType="begin"/>
      </w:r>
      <w:r w:rsidR="00084397" w:rsidRPr="00CC58AC">
        <w:rPr>
          <w:color w:val="auto"/>
        </w:rPr>
        <w:instrText xml:space="preserve"> SEQ ábra \* ARABIC </w:instrText>
      </w:r>
      <w:r w:rsidRPr="00CC58AC">
        <w:rPr>
          <w:color w:val="auto"/>
        </w:rPr>
        <w:fldChar w:fldCharType="separate"/>
      </w:r>
      <w:r w:rsidR="002D1B7A">
        <w:rPr>
          <w:noProof/>
          <w:color w:val="auto"/>
        </w:rPr>
        <w:t>10</w:t>
      </w:r>
      <w:r w:rsidRPr="00CC58AC">
        <w:rPr>
          <w:color w:val="auto"/>
        </w:rPr>
        <w:fldChar w:fldCharType="end"/>
      </w:r>
      <w:r w:rsidR="00084397" w:rsidRPr="00CC58AC">
        <w:rPr>
          <w:color w:val="auto"/>
        </w:rPr>
        <w:t>. ábra</w:t>
      </w:r>
      <w:bookmarkEnd w:id="59"/>
      <w:r w:rsidR="00084397" w:rsidRPr="00CC58AC">
        <w:rPr>
          <w:color w:val="auto"/>
        </w:rPr>
        <w:t xml:space="preserve">: Random </w:t>
      </w:r>
      <w:proofErr w:type="spellStart"/>
      <w:r w:rsidR="00084397" w:rsidRPr="00CC58AC">
        <w:rPr>
          <w:color w:val="auto"/>
        </w:rPr>
        <w:t>Effects</w:t>
      </w:r>
      <w:proofErr w:type="spellEnd"/>
      <w:r w:rsidR="00084397" w:rsidRPr="00CC58AC">
        <w:rPr>
          <w:color w:val="auto"/>
        </w:rPr>
        <w:t xml:space="preserve"> (GLS) – MUNKA</w:t>
      </w:r>
    </w:p>
    <w:p w:rsidR="00084397" w:rsidRDefault="00084397" w:rsidP="00084397">
      <w:pPr>
        <w:jc w:val="both"/>
      </w:pPr>
      <w:r>
        <w:t xml:space="preserve">A </w:t>
      </w:r>
      <w:r w:rsidR="003F44DC">
        <w:fldChar w:fldCharType="begin"/>
      </w:r>
      <w:r>
        <w:instrText xml:space="preserve"> REF _Ref277056552 \h </w:instrText>
      </w:r>
      <w:r w:rsidR="003F44DC">
        <w:fldChar w:fldCharType="separate"/>
      </w:r>
      <w:r w:rsidR="002D1B7A">
        <w:rPr>
          <w:noProof/>
        </w:rPr>
        <w:t>10</w:t>
      </w:r>
      <w:r w:rsidR="002D1B7A" w:rsidRPr="00CC58AC">
        <w:t>. ábra</w:t>
      </w:r>
      <w:r w:rsidR="003F44DC">
        <w:fldChar w:fldCharType="end"/>
      </w:r>
      <w:r>
        <w:t xml:space="preserve"> mutatja a </w:t>
      </w:r>
      <w:r w:rsidRPr="000935A4">
        <w:rPr>
          <w:b/>
        </w:rPr>
        <w:t>MUNKA változóra</w:t>
      </w:r>
      <w:r>
        <w:t xml:space="preserve"> végzett Random </w:t>
      </w:r>
      <w:proofErr w:type="spellStart"/>
      <w:r>
        <w:t>Effects</w:t>
      </w:r>
      <w:proofErr w:type="spellEnd"/>
      <w:r>
        <w:t xml:space="preserve"> becslést. Vastagon szedve és pirossal k</w:t>
      </w:r>
      <w:r>
        <w:t>i</w:t>
      </w:r>
      <w:r>
        <w:t xml:space="preserve">emelve láthatóak azok a sorok az ábrán, amelyeknek az értelmezésével a modellről döntünk. </w:t>
      </w:r>
    </w:p>
    <w:p w:rsidR="00084397" w:rsidRDefault="00084397" w:rsidP="00084397">
      <w:pPr>
        <w:jc w:val="both"/>
      </w:pPr>
      <w:r>
        <w:t>A modellben a random hatások érvényesülnek (</w:t>
      </w:r>
      <w:proofErr w:type="spellStart"/>
      <w:r>
        <w:t>cross-section</w:t>
      </w:r>
      <w:proofErr w:type="spellEnd"/>
      <w:r>
        <w:t xml:space="preserve"> random S</w:t>
      </w:r>
      <w:proofErr w:type="gramStart"/>
      <w:r>
        <w:t>.D</w:t>
      </w:r>
      <w:proofErr w:type="gramEnd"/>
      <w:r>
        <w:t xml:space="preserve"> /</w:t>
      </w:r>
      <w:proofErr w:type="spellStart"/>
      <w:r>
        <w:t>Rho</w:t>
      </w:r>
      <w:proofErr w:type="spellEnd"/>
      <w:r>
        <w:t>: 86%), viszont a támogat</w:t>
      </w:r>
      <w:r>
        <w:t>á</w:t>
      </w:r>
      <w:r>
        <w:t>sok nem. Figyelemre méltó, hogy a SAPS támogatás sem bír jelentős hatással a modell kereteiben. A magy</w:t>
      </w:r>
      <w:r>
        <w:t>a</w:t>
      </w:r>
      <w:r>
        <w:t>rázó erő (</w:t>
      </w:r>
      <w:proofErr w:type="spellStart"/>
      <w:r>
        <w:t>weighted</w:t>
      </w:r>
      <w:proofErr w:type="spellEnd"/>
      <w:r>
        <w:t xml:space="preserve"> </w:t>
      </w:r>
      <w:proofErr w:type="spellStart"/>
      <w:r>
        <w:t>adjusted</w:t>
      </w:r>
      <w:proofErr w:type="spellEnd"/>
      <w:r>
        <w:t xml:space="preserve"> </w:t>
      </w:r>
      <w:proofErr w:type="spellStart"/>
      <w:r>
        <w:t>R-squared</w:t>
      </w:r>
      <w:proofErr w:type="spellEnd"/>
      <w:r>
        <w:t xml:space="preserve">: 0,73) is gyengébb a súlyozatlan változatnál (0,88), a keresztmetszeti „nem megfigyelt” hatások becslésére használt módszerekkel </w:t>
      </w:r>
      <w:r w:rsidRPr="000935A4">
        <w:rPr>
          <w:b/>
        </w:rPr>
        <w:t>a támogatások hatását</w:t>
      </w:r>
      <w:r>
        <w:t xml:space="preserve"> láthatóan </w:t>
      </w:r>
      <w:r w:rsidRPr="000935A4">
        <w:rPr>
          <w:b/>
        </w:rPr>
        <w:t>nem tudjuk kimutatni</w:t>
      </w:r>
      <w:r>
        <w:t>, más becslésekre van szükség.</w:t>
      </w:r>
    </w:p>
    <w:p w:rsidR="00084397" w:rsidRDefault="00084397" w:rsidP="00084397">
      <w:pPr>
        <w:jc w:val="both"/>
      </w:pPr>
      <w:r>
        <w:t xml:space="preserve">Térjünk át a harmadik függő változó, a termelékenység random </w:t>
      </w:r>
      <w:proofErr w:type="spellStart"/>
      <w:r>
        <w:t>effects</w:t>
      </w:r>
      <w:proofErr w:type="spellEnd"/>
      <w:r>
        <w:t xml:space="preserve"> modellben történő vizsgálatára.</w:t>
      </w:r>
    </w:p>
    <w:p w:rsidR="00084397" w:rsidRDefault="00084397" w:rsidP="00084397">
      <w:pPr>
        <w:keepNext/>
        <w:jc w:val="center"/>
      </w:pPr>
      <w:r w:rsidRPr="002436BD">
        <w:rPr>
          <w:noProof/>
        </w:rPr>
        <w:lastRenderedPageBreak/>
        <w:drawing>
          <wp:inline distT="0" distB="0" distL="0" distR="0">
            <wp:extent cx="4907533" cy="4320000"/>
            <wp:effectExtent l="19050" t="19050" r="64517" b="23400"/>
            <wp:docPr id="2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srcRect/>
                    <a:stretch>
                      <a:fillRect/>
                    </a:stretch>
                  </pic:blipFill>
                  <pic:spPr bwMode="auto">
                    <a:xfrm>
                      <a:off x="0" y="0"/>
                      <a:ext cx="4907533" cy="4320000"/>
                    </a:xfrm>
                    <a:prstGeom prst="rect">
                      <a:avLst/>
                    </a:prstGeom>
                    <a:ln>
                      <a:noFill/>
                    </a:ln>
                    <a:effectLst>
                      <a:outerShdw blurRad="50800" dist="38100" dir="2700000" algn="tl" rotWithShape="0">
                        <a:prstClr val="black">
                          <a:alpha val="40000"/>
                        </a:prstClr>
                      </a:outerShdw>
                    </a:effectLst>
                  </pic:spPr>
                </pic:pic>
              </a:graphicData>
            </a:graphic>
          </wp:inline>
        </w:drawing>
      </w:r>
    </w:p>
    <w:bookmarkStart w:id="60" w:name="_Ref277056847"/>
    <w:p w:rsidR="00084397" w:rsidRPr="00CC58AC" w:rsidRDefault="003F44DC" w:rsidP="00084397">
      <w:pPr>
        <w:pStyle w:val="Caption"/>
        <w:keepNext/>
        <w:jc w:val="center"/>
        <w:rPr>
          <w:color w:val="auto"/>
        </w:rPr>
      </w:pPr>
      <w:r w:rsidRPr="00CC58AC">
        <w:rPr>
          <w:color w:val="auto"/>
        </w:rPr>
        <w:fldChar w:fldCharType="begin"/>
      </w:r>
      <w:r w:rsidR="00084397" w:rsidRPr="00CC58AC">
        <w:rPr>
          <w:color w:val="auto"/>
        </w:rPr>
        <w:instrText xml:space="preserve"> SEQ ábra \* ARABIC </w:instrText>
      </w:r>
      <w:r w:rsidRPr="00CC58AC">
        <w:rPr>
          <w:color w:val="auto"/>
        </w:rPr>
        <w:fldChar w:fldCharType="separate"/>
      </w:r>
      <w:r w:rsidR="002D1B7A">
        <w:rPr>
          <w:noProof/>
          <w:color w:val="auto"/>
        </w:rPr>
        <w:t>11</w:t>
      </w:r>
      <w:r w:rsidRPr="00CC58AC">
        <w:rPr>
          <w:color w:val="auto"/>
        </w:rPr>
        <w:fldChar w:fldCharType="end"/>
      </w:r>
      <w:r w:rsidR="00084397" w:rsidRPr="00CC58AC">
        <w:rPr>
          <w:color w:val="auto"/>
        </w:rPr>
        <w:t>. ábra</w:t>
      </w:r>
      <w:bookmarkEnd w:id="60"/>
      <w:r w:rsidR="00084397" w:rsidRPr="00CC58AC">
        <w:rPr>
          <w:color w:val="auto"/>
        </w:rPr>
        <w:t xml:space="preserve">: Random </w:t>
      </w:r>
      <w:proofErr w:type="spellStart"/>
      <w:r w:rsidR="00084397" w:rsidRPr="00CC58AC">
        <w:rPr>
          <w:color w:val="auto"/>
        </w:rPr>
        <w:t>Effects</w:t>
      </w:r>
      <w:proofErr w:type="spellEnd"/>
      <w:r w:rsidR="00084397" w:rsidRPr="00CC58AC">
        <w:rPr>
          <w:color w:val="auto"/>
        </w:rPr>
        <w:t xml:space="preserve"> (GLS) – TERM</w:t>
      </w:r>
    </w:p>
    <w:p w:rsidR="00084397" w:rsidRDefault="00084397" w:rsidP="00084397">
      <w:pPr>
        <w:jc w:val="both"/>
      </w:pPr>
      <w:r>
        <w:t xml:space="preserve">A </w:t>
      </w:r>
      <w:r w:rsidR="003F44DC">
        <w:fldChar w:fldCharType="begin"/>
      </w:r>
      <w:r>
        <w:instrText xml:space="preserve"> REF _Ref277056847 \h </w:instrText>
      </w:r>
      <w:r w:rsidR="003F44DC">
        <w:fldChar w:fldCharType="separate"/>
      </w:r>
      <w:r w:rsidR="002D1B7A">
        <w:rPr>
          <w:noProof/>
        </w:rPr>
        <w:t>11</w:t>
      </w:r>
      <w:r w:rsidR="002D1B7A" w:rsidRPr="00CC58AC">
        <w:t>. ábra</w:t>
      </w:r>
      <w:r w:rsidR="003F44DC">
        <w:fldChar w:fldCharType="end"/>
      </w:r>
      <w:r>
        <w:t xml:space="preserve"> által bemutatott </w:t>
      </w:r>
      <w:r w:rsidRPr="000935A4">
        <w:rPr>
          <w:b/>
        </w:rPr>
        <w:t>termelékenységi</w:t>
      </w:r>
      <w:r>
        <w:t xml:space="preserve"> random </w:t>
      </w:r>
      <w:proofErr w:type="spellStart"/>
      <w:r>
        <w:t>effects</w:t>
      </w:r>
      <w:proofErr w:type="spellEnd"/>
      <w:r>
        <w:t xml:space="preserve"> modellünk annyira rossz, hogy nem is érdemes vele foglalkozni, mivel változóink gyakorlatilag nem magyaráznak semmit a termelékenységi mutatóból. Hi</w:t>
      </w:r>
      <w:r>
        <w:t>á</w:t>
      </w:r>
      <w:r>
        <w:t xml:space="preserve">ba szignifikáns minden más a támogatásokon kívül (lásd a </w:t>
      </w:r>
      <w:proofErr w:type="spellStart"/>
      <w:r>
        <w:t>p-értékeket</w:t>
      </w:r>
      <w:proofErr w:type="spellEnd"/>
      <w:r>
        <w:t>), kifejezetten gyenge a modellünk (</w:t>
      </w:r>
      <w:proofErr w:type="spellStart"/>
      <w:r>
        <w:t>adjusted</w:t>
      </w:r>
      <w:proofErr w:type="spellEnd"/>
      <w:r>
        <w:t xml:space="preserve"> </w:t>
      </w:r>
      <w:proofErr w:type="spellStart"/>
      <w:r>
        <w:t>R-squared</w:t>
      </w:r>
      <w:proofErr w:type="spellEnd"/>
      <w:r>
        <w:t xml:space="preserve"> nem éri el az 1%-ot). Vastagon szedve és pirossal kiemelve láthatóak azok a sorok az ábrán, amelyeknek az értelmezésével a modellről döntünk. Más, hatékonyabb specifikációra van szükség, </w:t>
      </w:r>
      <w:r w:rsidRPr="000935A4">
        <w:rPr>
          <w:b/>
        </w:rPr>
        <w:t>ez a módszer nem vezetett eredményre</w:t>
      </w:r>
      <w:r>
        <w:t>.</w:t>
      </w:r>
    </w:p>
    <w:p w:rsidR="00084397" w:rsidRDefault="00084397" w:rsidP="00084397">
      <w:pPr>
        <w:pStyle w:val="HUNHeading3"/>
        <w:ind w:left="504"/>
      </w:pPr>
      <w:bookmarkStart w:id="61" w:name="_Ref276143718"/>
      <w:bookmarkStart w:id="62" w:name="_Toc278793280"/>
      <w:bookmarkStart w:id="63" w:name="_Toc279359356"/>
      <w:proofErr w:type="spellStart"/>
      <w:r>
        <w:t>Generalized</w:t>
      </w:r>
      <w:proofErr w:type="spellEnd"/>
      <w:r>
        <w:t xml:space="preserve"> </w:t>
      </w:r>
      <w:proofErr w:type="spellStart"/>
      <w:r>
        <w:t>Least</w:t>
      </w:r>
      <w:proofErr w:type="spellEnd"/>
      <w:r>
        <w:t xml:space="preserve"> </w:t>
      </w:r>
      <w:proofErr w:type="spellStart"/>
      <w:r>
        <w:t>Squares</w:t>
      </w:r>
      <w:bookmarkEnd w:id="61"/>
      <w:bookmarkEnd w:id="62"/>
      <w:bookmarkEnd w:id="63"/>
      <w:proofErr w:type="spellEnd"/>
    </w:p>
    <w:p w:rsidR="00084397" w:rsidRDefault="00084397" w:rsidP="00084397">
      <w:pPr>
        <w:pStyle w:val="HUNNormal"/>
      </w:pPr>
      <w:r>
        <w:t xml:space="preserve">Már a random </w:t>
      </w:r>
      <w:proofErr w:type="spellStart"/>
      <w:r>
        <w:t>effects</w:t>
      </w:r>
      <w:proofErr w:type="spellEnd"/>
      <w:r>
        <w:t xml:space="preserve"> modellnél eltértünk a hagyományos OLS becslőmátrixától (kiegészítve azt), azonban ennél komolyabb eltéréseket is érdemes megvizsgálnunk. Súlyozhatunk például keresztmetszeti módon a </w:t>
      </w:r>
      <w:proofErr w:type="spellStart"/>
      <w:r>
        <w:t>Generalized</w:t>
      </w:r>
      <w:proofErr w:type="spellEnd"/>
      <w:r>
        <w:t xml:space="preserve"> </w:t>
      </w:r>
      <w:proofErr w:type="spellStart"/>
      <w:r>
        <w:t>Least</w:t>
      </w:r>
      <w:proofErr w:type="spellEnd"/>
      <w:r>
        <w:t xml:space="preserve"> </w:t>
      </w:r>
      <w:proofErr w:type="spellStart"/>
      <w:r>
        <w:t>Squares</w:t>
      </w:r>
      <w:proofErr w:type="spellEnd"/>
      <w:r>
        <w:t xml:space="preserve"> (Általánosított legkisebb négyzetek módszere) modellcsalád segítségével. Inne</w:t>
      </w:r>
      <w:r>
        <w:t>n</w:t>
      </w:r>
      <w:r>
        <w:t>től kezdve végig PCSE hibákat használunk a standard hibák pontosítása végett.</w:t>
      </w:r>
    </w:p>
    <w:p w:rsidR="00084397" w:rsidRDefault="00084397" w:rsidP="00084397">
      <w:pPr>
        <w:pStyle w:val="HUNNormal"/>
      </w:pPr>
      <w:r>
        <w:t xml:space="preserve">Az első modellünk a nettó hozzáadott értéket jellemzi GLS </w:t>
      </w:r>
      <w:proofErr w:type="spellStart"/>
      <w:r>
        <w:t>Cross-section</w:t>
      </w:r>
      <w:proofErr w:type="spellEnd"/>
      <w:r>
        <w:t xml:space="preserve"> </w:t>
      </w:r>
      <w:proofErr w:type="spellStart"/>
      <w:r>
        <w:t>weights</w:t>
      </w:r>
      <w:proofErr w:type="spellEnd"/>
      <w:r>
        <w:t xml:space="preserve"> becsléssel.</w:t>
      </w:r>
    </w:p>
    <w:p w:rsidR="00084397" w:rsidRDefault="00084397" w:rsidP="00084397">
      <w:pPr>
        <w:pStyle w:val="HUNNormal"/>
        <w:keepNext/>
      </w:pPr>
      <w:r w:rsidRPr="00C037A6">
        <w:rPr>
          <w:noProof/>
        </w:rPr>
        <w:lastRenderedPageBreak/>
        <w:drawing>
          <wp:inline distT="0" distB="0" distL="0" distR="0">
            <wp:extent cx="5818505" cy="4116028"/>
            <wp:effectExtent l="19050" t="19050" r="48895" b="17822"/>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818505" cy="4116028"/>
                    </a:xfrm>
                    <a:prstGeom prst="rect">
                      <a:avLst/>
                    </a:prstGeom>
                    <a:ln>
                      <a:noFill/>
                    </a:ln>
                    <a:effectLst>
                      <a:outerShdw blurRad="50800" dist="38100" dir="2700000" algn="tl" rotWithShape="0">
                        <a:prstClr val="black">
                          <a:alpha val="40000"/>
                        </a:prstClr>
                      </a:outerShdw>
                    </a:effectLst>
                  </pic:spPr>
                </pic:pic>
              </a:graphicData>
            </a:graphic>
          </wp:inline>
        </w:drawing>
      </w:r>
    </w:p>
    <w:bookmarkStart w:id="64" w:name="_Ref276147477"/>
    <w:bookmarkStart w:id="65" w:name="_Ref276478013"/>
    <w:p w:rsidR="00084397" w:rsidRPr="00CC58AC" w:rsidRDefault="003F44DC" w:rsidP="00084397">
      <w:pPr>
        <w:pStyle w:val="Caption"/>
        <w:jc w:val="center"/>
        <w:rPr>
          <w:color w:val="auto"/>
        </w:rPr>
      </w:pPr>
      <w:r w:rsidRPr="00CC58AC">
        <w:rPr>
          <w:color w:val="auto"/>
        </w:rPr>
        <w:fldChar w:fldCharType="begin"/>
      </w:r>
      <w:r w:rsidR="00084397" w:rsidRPr="00CC58AC">
        <w:rPr>
          <w:color w:val="auto"/>
        </w:rPr>
        <w:instrText xml:space="preserve"> SEQ ábra \* ARABIC </w:instrText>
      </w:r>
      <w:r w:rsidRPr="00CC58AC">
        <w:rPr>
          <w:color w:val="auto"/>
        </w:rPr>
        <w:fldChar w:fldCharType="separate"/>
      </w:r>
      <w:bookmarkStart w:id="66" w:name="_Ref277345303"/>
      <w:r w:rsidR="002D1B7A">
        <w:rPr>
          <w:noProof/>
          <w:color w:val="auto"/>
        </w:rPr>
        <w:t>12</w:t>
      </w:r>
      <w:bookmarkEnd w:id="66"/>
      <w:r w:rsidRPr="00CC58AC">
        <w:rPr>
          <w:color w:val="auto"/>
        </w:rPr>
        <w:fldChar w:fldCharType="end"/>
      </w:r>
      <w:r w:rsidR="00084397" w:rsidRPr="00CC58AC">
        <w:rPr>
          <w:color w:val="auto"/>
        </w:rPr>
        <w:t>. ábra</w:t>
      </w:r>
      <w:bookmarkEnd w:id="64"/>
      <w:r w:rsidR="00084397" w:rsidRPr="00CC58AC">
        <w:rPr>
          <w:color w:val="auto"/>
        </w:rPr>
        <w:t>: GLS – NH</w:t>
      </w:r>
      <w:bookmarkEnd w:id="65"/>
    </w:p>
    <w:p w:rsidR="00084397" w:rsidRDefault="00084397" w:rsidP="00084397">
      <w:pPr>
        <w:jc w:val="both"/>
      </w:pPr>
      <w:r>
        <w:t xml:space="preserve">A </w:t>
      </w:r>
      <w:r w:rsidRPr="000935A4">
        <w:rPr>
          <w:b/>
        </w:rPr>
        <w:t>nettó hozzáadott értéket</w:t>
      </w:r>
      <w:r>
        <w:t xml:space="preserve"> nagyon </w:t>
      </w:r>
      <w:r w:rsidRPr="000935A4">
        <w:rPr>
          <w:b/>
        </w:rPr>
        <w:t>jól</w:t>
      </w:r>
      <w:r>
        <w:t xml:space="preserve"> és </w:t>
      </w:r>
      <w:r w:rsidRPr="000935A4">
        <w:rPr>
          <w:b/>
        </w:rPr>
        <w:t>szignifikánsan</w:t>
      </w:r>
      <w:r>
        <w:t xml:space="preserve"> </w:t>
      </w:r>
      <w:r w:rsidRPr="000935A4">
        <w:rPr>
          <w:b/>
        </w:rPr>
        <w:t>magyarázó</w:t>
      </w:r>
      <w:r>
        <w:t xml:space="preserve"> keresztmetszeti súlymátrixszal becsült GLS modellünkben (</w:t>
      </w:r>
      <w:r w:rsidR="003F44DC">
        <w:fldChar w:fldCharType="begin"/>
      </w:r>
      <w:r>
        <w:instrText xml:space="preserve"> REF _Ref276147477 \h </w:instrText>
      </w:r>
      <w:r w:rsidR="003F44DC">
        <w:fldChar w:fldCharType="separate"/>
      </w:r>
      <w:r w:rsidR="002D1B7A">
        <w:rPr>
          <w:noProof/>
        </w:rPr>
        <w:t>12</w:t>
      </w:r>
      <w:r w:rsidR="002D1B7A" w:rsidRPr="00CC58AC">
        <w:t>. ábra</w:t>
      </w:r>
      <w:r w:rsidR="003F44DC">
        <w:fldChar w:fldCharType="end"/>
      </w:r>
      <w:r>
        <w:t xml:space="preserve">) az előző időszaki beruházási támogatások </w:t>
      </w:r>
      <w:r w:rsidRPr="007B7F90">
        <w:rPr>
          <w:b/>
        </w:rPr>
        <w:t>enyhén csökkentik</w:t>
      </w:r>
      <w:r>
        <w:t xml:space="preserve"> az üzemek id</w:t>
      </w:r>
      <w:r>
        <w:t>ő</w:t>
      </w:r>
      <w:r>
        <w:t xml:space="preserve">szaki hozzáadott értékét. Ezt a hatást a </w:t>
      </w:r>
      <w:r w:rsidR="003F44DC">
        <w:fldChar w:fldCharType="begin"/>
      </w:r>
      <w:r>
        <w:instrText xml:space="preserve"> REF _Ref276132525 \r \h </w:instrText>
      </w:r>
      <w:r w:rsidR="003F44DC">
        <w:fldChar w:fldCharType="separate"/>
      </w:r>
      <w:r w:rsidR="002D1B7A">
        <w:t>3.1.2</w:t>
      </w:r>
      <w:r w:rsidR="003F44DC">
        <w:fldChar w:fldCharType="end"/>
      </w:r>
      <w:r>
        <w:t xml:space="preserve"> alfejezetben taglaltaknak tulajdonítjuk, miszerint a beruház</w:t>
      </w:r>
      <w:r>
        <w:t>á</w:t>
      </w:r>
      <w:r>
        <w:t>sok az első két évben még akár eredménycsökkentő hatással is bírhatnak.</w:t>
      </w:r>
    </w:p>
    <w:p w:rsidR="00084397" w:rsidRDefault="00084397" w:rsidP="00084397">
      <w:pPr>
        <w:jc w:val="both"/>
      </w:pPr>
      <w:r>
        <w:t xml:space="preserve">A SAPS és EUME együtthatói konzisztensek a korábban becsültekkel (lásd </w:t>
      </w:r>
      <w:r w:rsidR="003F44DC">
        <w:fldChar w:fldCharType="begin"/>
      </w:r>
      <w:r>
        <w:instrText xml:space="preserve"> REF _Ref277000021 \h </w:instrText>
      </w:r>
      <w:r w:rsidR="003F44DC">
        <w:fldChar w:fldCharType="separate"/>
      </w:r>
      <w:r w:rsidR="002D1B7A">
        <w:rPr>
          <w:noProof/>
        </w:rPr>
        <w:t>2</w:t>
      </w:r>
      <w:r w:rsidR="002D1B7A" w:rsidRPr="00CC58AC">
        <w:t>. ábra</w:t>
      </w:r>
      <w:r w:rsidR="003F44DC">
        <w:fldChar w:fldCharType="end"/>
      </w:r>
      <w:r>
        <w:t xml:space="preserve"> és </w:t>
      </w:r>
      <w:r w:rsidR="003F44DC">
        <w:fldChar w:fldCharType="begin"/>
      </w:r>
      <w:r>
        <w:instrText xml:space="preserve"> REF _Ref277053378 \h </w:instrText>
      </w:r>
      <w:r w:rsidR="003F44DC">
        <w:fldChar w:fldCharType="separate"/>
      </w:r>
      <w:r w:rsidR="002D1B7A">
        <w:rPr>
          <w:noProof/>
        </w:rPr>
        <w:t>9</w:t>
      </w:r>
      <w:r w:rsidR="002D1B7A" w:rsidRPr="00CC58AC">
        <w:t>. ábra</w:t>
      </w:r>
      <w:r w:rsidR="003F44DC">
        <w:fldChar w:fldCharType="end"/>
      </w:r>
      <w:r>
        <w:t xml:space="preserve">), nem térnek el nagymértékben, így a </w:t>
      </w:r>
      <w:proofErr w:type="spellStart"/>
      <w:r>
        <w:t>multikollinearitás</w:t>
      </w:r>
      <w:proofErr w:type="spellEnd"/>
      <w:r>
        <w:t xml:space="preserve"> gyanúja nem merül </w:t>
      </w:r>
      <w:proofErr w:type="gramStart"/>
      <w:r>
        <w:t>fel</w:t>
      </w:r>
      <w:r>
        <w:rPr>
          <w:rStyle w:val="FootnoteReference"/>
        </w:rPr>
        <w:footnoteReference w:id="18"/>
      </w:r>
      <w:r>
        <w:t>,</w:t>
      </w:r>
      <w:proofErr w:type="gramEnd"/>
      <w:r>
        <w:t xml:space="preserve"> ezekre a változókra szükség van a model</w:t>
      </w:r>
      <w:r>
        <w:t>l</w:t>
      </w:r>
      <w:r>
        <w:t xml:space="preserve">ben. Az </w:t>
      </w:r>
      <w:r w:rsidRPr="007B7F90">
        <w:rPr>
          <w:b/>
        </w:rPr>
        <w:t>egyetlen negatívum</w:t>
      </w:r>
      <w:r>
        <w:t xml:space="preserve"> a </w:t>
      </w:r>
      <w:proofErr w:type="spellStart"/>
      <w:r>
        <w:t>DW-statisztika</w:t>
      </w:r>
      <w:proofErr w:type="spellEnd"/>
      <w:r>
        <w:t xml:space="preserve"> kettőnél alacsonyabb értéke, ami miatt </w:t>
      </w:r>
      <w:r w:rsidRPr="000935A4">
        <w:rPr>
          <w:b/>
        </w:rPr>
        <w:t xml:space="preserve">meg kell vizsgálnunk majd egy </w:t>
      </w:r>
      <w:proofErr w:type="gramStart"/>
      <w:r w:rsidRPr="000935A4">
        <w:rPr>
          <w:b/>
        </w:rPr>
        <w:t>AR(</w:t>
      </w:r>
      <w:proofErr w:type="gramEnd"/>
      <w:r w:rsidRPr="000935A4">
        <w:rPr>
          <w:b/>
        </w:rPr>
        <w:t>1) tag jelenlétének hatásait is</w:t>
      </w:r>
      <w:bookmarkStart w:id="67" w:name="_Ref277058822"/>
      <w:r>
        <w:rPr>
          <w:rStyle w:val="FootnoteReference"/>
        </w:rPr>
        <w:footnoteReference w:id="19"/>
      </w:r>
      <w:bookmarkEnd w:id="67"/>
      <w:r>
        <w:t>.</w:t>
      </w:r>
    </w:p>
    <w:p w:rsidR="00084397" w:rsidRDefault="00084397" w:rsidP="00084397">
      <w:pPr>
        <w:jc w:val="both"/>
      </w:pPr>
      <w:r>
        <w:t>Egyébként a modell ez idáig a legjobbnak tekinthető, minden változónk magyarázó erővel bír. Nézzük meg ugyanezt a specifikációt a munkakapacitásra futtatva.</w:t>
      </w:r>
    </w:p>
    <w:p w:rsidR="00084397" w:rsidRDefault="00084397" w:rsidP="00084397">
      <w:pPr>
        <w:keepNext/>
        <w:jc w:val="both"/>
      </w:pPr>
      <w:r w:rsidRPr="00426174">
        <w:rPr>
          <w:noProof/>
        </w:rPr>
        <w:lastRenderedPageBreak/>
        <w:drawing>
          <wp:inline distT="0" distB="0" distL="0" distR="0">
            <wp:extent cx="5818505" cy="4116028"/>
            <wp:effectExtent l="19050" t="19050" r="48895" b="17822"/>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5818505" cy="4116028"/>
                    </a:xfrm>
                    <a:prstGeom prst="rect">
                      <a:avLst/>
                    </a:prstGeom>
                    <a:ln>
                      <a:noFill/>
                    </a:ln>
                    <a:effectLst>
                      <a:outerShdw blurRad="50800" dist="38100" dir="2700000" algn="tl" rotWithShape="0">
                        <a:prstClr val="black">
                          <a:alpha val="40000"/>
                        </a:prstClr>
                      </a:outerShdw>
                    </a:effectLst>
                  </pic:spPr>
                </pic:pic>
              </a:graphicData>
            </a:graphic>
          </wp:inline>
        </w:drawing>
      </w:r>
    </w:p>
    <w:bookmarkStart w:id="68" w:name="_Ref277058297"/>
    <w:p w:rsidR="00084397" w:rsidRPr="00CC58AC" w:rsidRDefault="003F44DC" w:rsidP="00084397">
      <w:pPr>
        <w:pStyle w:val="Caption"/>
        <w:jc w:val="center"/>
        <w:rPr>
          <w:color w:val="auto"/>
        </w:rPr>
      </w:pPr>
      <w:r w:rsidRPr="00CC58AC">
        <w:rPr>
          <w:color w:val="auto"/>
        </w:rPr>
        <w:fldChar w:fldCharType="begin"/>
      </w:r>
      <w:r w:rsidR="00084397" w:rsidRPr="00CC58AC">
        <w:rPr>
          <w:color w:val="auto"/>
        </w:rPr>
        <w:instrText xml:space="preserve"> SEQ ábra \* ARABIC </w:instrText>
      </w:r>
      <w:r w:rsidRPr="00CC58AC">
        <w:rPr>
          <w:color w:val="auto"/>
        </w:rPr>
        <w:fldChar w:fldCharType="separate"/>
      </w:r>
      <w:r w:rsidR="002D1B7A">
        <w:rPr>
          <w:noProof/>
          <w:color w:val="auto"/>
        </w:rPr>
        <w:t>13</w:t>
      </w:r>
      <w:r w:rsidRPr="00CC58AC">
        <w:rPr>
          <w:color w:val="auto"/>
        </w:rPr>
        <w:fldChar w:fldCharType="end"/>
      </w:r>
      <w:r w:rsidR="00084397" w:rsidRPr="00CC58AC">
        <w:rPr>
          <w:color w:val="auto"/>
        </w:rPr>
        <w:t>. ábra</w:t>
      </w:r>
      <w:bookmarkEnd w:id="68"/>
      <w:r w:rsidR="00084397" w:rsidRPr="00CC58AC">
        <w:rPr>
          <w:color w:val="auto"/>
        </w:rPr>
        <w:t>: GLS – MUNKA</w:t>
      </w:r>
    </w:p>
    <w:p w:rsidR="00084397" w:rsidRDefault="00084397" w:rsidP="00084397">
      <w:pPr>
        <w:jc w:val="both"/>
      </w:pPr>
      <w:r>
        <w:t xml:space="preserve">A </w:t>
      </w:r>
      <w:r w:rsidR="003F44DC">
        <w:fldChar w:fldCharType="begin"/>
      </w:r>
      <w:r>
        <w:instrText xml:space="preserve"> REF _Ref277058297 \h </w:instrText>
      </w:r>
      <w:r w:rsidR="003F44DC">
        <w:fldChar w:fldCharType="separate"/>
      </w:r>
      <w:r w:rsidR="002D1B7A">
        <w:rPr>
          <w:noProof/>
        </w:rPr>
        <w:t>13</w:t>
      </w:r>
      <w:r w:rsidR="002D1B7A" w:rsidRPr="00CC58AC">
        <w:t>. ábra</w:t>
      </w:r>
      <w:r w:rsidR="003F44DC">
        <w:fldChar w:fldCharType="end"/>
      </w:r>
      <w:r>
        <w:t xml:space="preserve"> mutatja a GLS specifikációt a </w:t>
      </w:r>
      <w:r w:rsidRPr="000935A4">
        <w:rPr>
          <w:b/>
        </w:rPr>
        <w:t>MUNKA változóra</w:t>
      </w:r>
      <w:r>
        <w:t>. Vastagon szedve és pirossal kiemelve láthatóak azok a sorok az ábrán, amelyeknek az értelmezésével a modellről döntünk.</w:t>
      </w:r>
    </w:p>
    <w:p w:rsidR="00084397" w:rsidRDefault="00084397" w:rsidP="00084397">
      <w:pPr>
        <w:jc w:val="both"/>
      </w:pPr>
      <w:r>
        <w:t xml:space="preserve">A </w:t>
      </w:r>
      <w:r w:rsidRPr="000935A4">
        <w:rPr>
          <w:b/>
        </w:rPr>
        <w:t>nettó hozzáadott értékre adott jellemzés nagy része</w:t>
      </w:r>
      <w:r>
        <w:t xml:space="preserve"> (</w:t>
      </w:r>
      <w:r w:rsidR="003F44DC">
        <w:fldChar w:fldCharType="begin"/>
      </w:r>
      <w:r>
        <w:instrText xml:space="preserve"> REF _Ref276147477 \h </w:instrText>
      </w:r>
      <w:r w:rsidR="003F44DC">
        <w:fldChar w:fldCharType="separate"/>
      </w:r>
      <w:r w:rsidR="002D1B7A">
        <w:rPr>
          <w:noProof/>
        </w:rPr>
        <w:t>12</w:t>
      </w:r>
      <w:r w:rsidR="002D1B7A" w:rsidRPr="00CC58AC">
        <w:t>. ábra</w:t>
      </w:r>
      <w:r w:rsidR="003F44DC">
        <w:fldChar w:fldCharType="end"/>
      </w:r>
      <w:r>
        <w:t xml:space="preserve">) </w:t>
      </w:r>
      <w:r w:rsidRPr="000935A4">
        <w:rPr>
          <w:b/>
        </w:rPr>
        <w:t>igaznak</w:t>
      </w:r>
      <w:r>
        <w:t xml:space="preserve"> tűnik a </w:t>
      </w:r>
      <w:r w:rsidRPr="000935A4">
        <w:rPr>
          <w:b/>
        </w:rPr>
        <w:t>munkateljesítményre</w:t>
      </w:r>
      <w:r>
        <w:t xml:space="preserve"> nézve </w:t>
      </w:r>
      <w:r w:rsidRPr="000935A4">
        <w:rPr>
          <w:b/>
        </w:rPr>
        <w:t>is</w:t>
      </w:r>
      <w:r>
        <w:t xml:space="preserve">, azzal a kitétellel, hogy jelen esetben az </w:t>
      </w:r>
      <w:proofErr w:type="spellStart"/>
      <w:r>
        <w:t>autokorreláció</w:t>
      </w:r>
      <w:proofErr w:type="spellEnd"/>
      <w:r>
        <w:t xml:space="preserve"> jelenléte még erősebb (</w:t>
      </w:r>
      <w:proofErr w:type="spellStart"/>
      <w:r>
        <w:t>DW-stat</w:t>
      </w:r>
      <w:proofErr w:type="spellEnd"/>
      <w:r>
        <w:t xml:space="preserve">: 0,61), így ezt a modellt is </w:t>
      </w:r>
      <w:r w:rsidRPr="000935A4">
        <w:rPr>
          <w:b/>
        </w:rPr>
        <w:t xml:space="preserve">meg kell vizsgálnunk egy </w:t>
      </w:r>
      <w:proofErr w:type="spellStart"/>
      <w:r w:rsidRPr="000935A4">
        <w:rPr>
          <w:b/>
        </w:rPr>
        <w:t>autoregresszív</w:t>
      </w:r>
      <w:proofErr w:type="spellEnd"/>
      <w:r w:rsidRPr="000935A4">
        <w:rPr>
          <w:b/>
        </w:rPr>
        <w:t xml:space="preserve"> tag hozzáadásával </w:t>
      </w:r>
      <w:r>
        <w:t>később. Jelen esetben nem fejtege</w:t>
      </w:r>
      <w:r>
        <w:t>t</w:t>
      </w:r>
      <w:r>
        <w:t>nénk tovább az együtthatók nagyságának elemzését, megvárnánk ezzel az AR modellt.</w:t>
      </w:r>
    </w:p>
    <w:p w:rsidR="00084397" w:rsidRDefault="00084397" w:rsidP="00084397">
      <w:pPr>
        <w:jc w:val="both"/>
      </w:pPr>
      <w:r>
        <w:t>Térjünk át a termelékenység általánosított legkisebb négyzetek módszerével történő elemzésére.</w:t>
      </w:r>
    </w:p>
    <w:p w:rsidR="00084397" w:rsidRDefault="00084397" w:rsidP="00084397">
      <w:pPr>
        <w:keepNext/>
        <w:jc w:val="both"/>
      </w:pPr>
      <w:r w:rsidRPr="003A7845">
        <w:rPr>
          <w:noProof/>
        </w:rPr>
        <w:lastRenderedPageBreak/>
        <w:drawing>
          <wp:inline distT="0" distB="0" distL="0" distR="0">
            <wp:extent cx="5818505" cy="4115951"/>
            <wp:effectExtent l="19050" t="19050" r="48895" b="17899"/>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5818505" cy="4115951"/>
                    </a:xfrm>
                    <a:prstGeom prst="rect">
                      <a:avLst/>
                    </a:prstGeom>
                    <a:ln>
                      <a:noFill/>
                    </a:ln>
                    <a:effectLst>
                      <a:outerShdw blurRad="50800" dist="38100" dir="2700000" algn="tl" rotWithShape="0">
                        <a:prstClr val="black">
                          <a:alpha val="40000"/>
                        </a:prstClr>
                      </a:outerShdw>
                    </a:effectLst>
                  </pic:spPr>
                </pic:pic>
              </a:graphicData>
            </a:graphic>
          </wp:inline>
        </w:drawing>
      </w:r>
    </w:p>
    <w:bookmarkStart w:id="69" w:name="_Ref277058580"/>
    <w:p w:rsidR="00084397" w:rsidRPr="00CC58AC" w:rsidRDefault="003F44DC" w:rsidP="00084397">
      <w:pPr>
        <w:pStyle w:val="Caption"/>
        <w:jc w:val="center"/>
        <w:rPr>
          <w:color w:val="auto"/>
        </w:rPr>
      </w:pPr>
      <w:r w:rsidRPr="00CC58AC">
        <w:rPr>
          <w:color w:val="auto"/>
        </w:rPr>
        <w:fldChar w:fldCharType="begin"/>
      </w:r>
      <w:r w:rsidR="00084397" w:rsidRPr="00CC58AC">
        <w:rPr>
          <w:color w:val="auto"/>
        </w:rPr>
        <w:instrText xml:space="preserve"> SEQ ábra \* ARABIC </w:instrText>
      </w:r>
      <w:r w:rsidRPr="00CC58AC">
        <w:rPr>
          <w:color w:val="auto"/>
        </w:rPr>
        <w:fldChar w:fldCharType="separate"/>
      </w:r>
      <w:r w:rsidR="002D1B7A">
        <w:rPr>
          <w:noProof/>
          <w:color w:val="auto"/>
        </w:rPr>
        <w:t>14</w:t>
      </w:r>
      <w:r w:rsidRPr="00CC58AC">
        <w:rPr>
          <w:color w:val="auto"/>
        </w:rPr>
        <w:fldChar w:fldCharType="end"/>
      </w:r>
      <w:r w:rsidR="00084397" w:rsidRPr="00CC58AC">
        <w:rPr>
          <w:color w:val="auto"/>
        </w:rPr>
        <w:t>. ábra</w:t>
      </w:r>
      <w:bookmarkEnd w:id="69"/>
      <w:r w:rsidR="00084397" w:rsidRPr="00CC58AC">
        <w:rPr>
          <w:color w:val="auto"/>
        </w:rPr>
        <w:t>: GLS – TERM</w:t>
      </w:r>
    </w:p>
    <w:p w:rsidR="00084397" w:rsidRDefault="00084397" w:rsidP="00084397">
      <w:pPr>
        <w:jc w:val="both"/>
      </w:pPr>
      <w:r>
        <w:t>A keresztmetszeti súlyokkal ellátott GLS modell (</w:t>
      </w:r>
      <w:r w:rsidR="003F44DC">
        <w:fldChar w:fldCharType="begin"/>
      </w:r>
      <w:r>
        <w:instrText xml:space="preserve"> REF _Ref277058580 \h </w:instrText>
      </w:r>
      <w:r w:rsidR="003F44DC">
        <w:fldChar w:fldCharType="separate"/>
      </w:r>
      <w:r w:rsidR="002D1B7A">
        <w:rPr>
          <w:noProof/>
        </w:rPr>
        <w:t>14</w:t>
      </w:r>
      <w:r w:rsidR="002D1B7A" w:rsidRPr="00CC58AC">
        <w:t>. ábra</w:t>
      </w:r>
      <w:r w:rsidR="003F44DC">
        <w:fldChar w:fldCharType="end"/>
      </w:r>
      <w:r>
        <w:t xml:space="preserve">) jóval szignifikánsabb eredményt hozott a </w:t>
      </w:r>
      <w:r w:rsidRPr="000935A4">
        <w:rPr>
          <w:b/>
        </w:rPr>
        <w:t>termel</w:t>
      </w:r>
      <w:r w:rsidRPr="000935A4">
        <w:rPr>
          <w:b/>
        </w:rPr>
        <w:t>é</w:t>
      </w:r>
      <w:r w:rsidRPr="000935A4">
        <w:rPr>
          <w:b/>
        </w:rPr>
        <w:t>kenységre</w:t>
      </w:r>
      <w:r>
        <w:t xml:space="preserve"> nézve, viszont egyedül a beruházási támogatások hatását nem lehet kimutatni a modellből (</w:t>
      </w:r>
      <w:proofErr w:type="spellStart"/>
      <w:r>
        <w:t>p-érték</w:t>
      </w:r>
      <w:proofErr w:type="spellEnd"/>
      <w:r>
        <w:t>: 40%). Vastagon szedve és pirossal kiemelve láthatóak azok a sorok az ábrán, amelyeknek az értelm</w:t>
      </w:r>
      <w:r>
        <w:t>e</w:t>
      </w:r>
      <w:r>
        <w:t>zésével a modellről döntünk.</w:t>
      </w:r>
    </w:p>
    <w:p w:rsidR="00084397" w:rsidRDefault="00084397" w:rsidP="00084397">
      <w:pPr>
        <w:jc w:val="both"/>
      </w:pPr>
      <w:r>
        <w:t xml:space="preserve">A </w:t>
      </w:r>
      <w:proofErr w:type="spellStart"/>
      <w:r>
        <w:t>DW-statisztikák</w:t>
      </w:r>
      <w:proofErr w:type="spellEnd"/>
      <w:r>
        <w:t xml:space="preserve"> (mind a súlyozott - </w:t>
      </w:r>
      <w:proofErr w:type="spellStart"/>
      <w:r>
        <w:t>weighted</w:t>
      </w:r>
      <w:proofErr w:type="spellEnd"/>
      <w:r>
        <w:t xml:space="preserve">, mind a súlyozatlan - </w:t>
      </w:r>
      <w:proofErr w:type="spellStart"/>
      <w:r>
        <w:t>unweighted</w:t>
      </w:r>
      <w:proofErr w:type="spellEnd"/>
      <w:r>
        <w:t xml:space="preserve"> esetben: 1,21 és 1,07) </w:t>
      </w:r>
      <w:proofErr w:type="spellStart"/>
      <w:r>
        <w:t>autokorrelációra</w:t>
      </w:r>
      <w:proofErr w:type="spellEnd"/>
      <w:r>
        <w:t xml:space="preserve"> utalnak a </w:t>
      </w:r>
      <w:proofErr w:type="spellStart"/>
      <w:r>
        <w:t>reziduálisokban</w:t>
      </w:r>
      <w:proofErr w:type="spellEnd"/>
      <w:r>
        <w:t xml:space="preserve"> (lásd </w:t>
      </w:r>
      <w:r w:rsidR="003F44DC">
        <w:fldChar w:fldCharType="begin"/>
      </w:r>
      <w:r>
        <w:instrText xml:space="preserve"> NOTEREF _Ref277058822 \h </w:instrText>
      </w:r>
      <w:r w:rsidR="003F44DC">
        <w:fldChar w:fldCharType="separate"/>
      </w:r>
      <w:r w:rsidR="002D1B7A">
        <w:t>19</w:t>
      </w:r>
      <w:r w:rsidR="003F44DC">
        <w:fldChar w:fldCharType="end"/>
      </w:r>
      <w:r>
        <w:t>. lábjegyzet), így ezt a modellt sem tekinthetjük még vé</w:t>
      </w:r>
      <w:r>
        <w:t>g</w:t>
      </w:r>
      <w:r>
        <w:t>legesnek a munkakapacitásra vonatkozóhoz. Annyit kiemelhetünk, hogy az AKG hatása a termelékenységre előreláthatóan enyhén negatív lesz (-0,03-as együttható érték).</w:t>
      </w:r>
    </w:p>
    <w:p w:rsidR="00084397" w:rsidRDefault="00084397" w:rsidP="00084397">
      <w:pPr>
        <w:pStyle w:val="HUNHeading3"/>
        <w:ind w:left="504"/>
      </w:pPr>
      <w:bookmarkStart w:id="70" w:name="_Ref277061864"/>
      <w:bookmarkStart w:id="71" w:name="_Ref277062935"/>
      <w:bookmarkStart w:id="72" w:name="_Toc278793281"/>
      <w:bookmarkStart w:id="73" w:name="_Toc279359357"/>
      <w:proofErr w:type="spellStart"/>
      <w:r>
        <w:t>Two-Stage</w:t>
      </w:r>
      <w:proofErr w:type="spellEnd"/>
      <w:r>
        <w:t xml:space="preserve"> </w:t>
      </w:r>
      <w:proofErr w:type="spellStart"/>
      <w:r>
        <w:t>Least</w:t>
      </w:r>
      <w:proofErr w:type="spellEnd"/>
      <w:r>
        <w:t xml:space="preserve"> </w:t>
      </w:r>
      <w:proofErr w:type="spellStart"/>
      <w:r>
        <w:t>Squares</w:t>
      </w:r>
      <w:proofErr w:type="spellEnd"/>
      <w:r>
        <w:t xml:space="preserve"> (IV)</w:t>
      </w:r>
      <w:bookmarkEnd w:id="70"/>
      <w:bookmarkEnd w:id="71"/>
      <w:bookmarkEnd w:id="72"/>
      <w:bookmarkEnd w:id="73"/>
    </w:p>
    <w:p w:rsidR="00084397" w:rsidRPr="002D0277" w:rsidRDefault="00084397" w:rsidP="00084397">
      <w:pPr>
        <w:pStyle w:val="HUNNormal"/>
      </w:pPr>
      <w:r>
        <w:t xml:space="preserve">Az </w:t>
      </w:r>
      <w:proofErr w:type="spellStart"/>
      <w:r>
        <w:t>ökonometriai</w:t>
      </w:r>
      <w:proofErr w:type="spellEnd"/>
      <w:r>
        <w:t xml:space="preserve"> modelleket bemutató fejezetben (</w:t>
      </w:r>
      <w:r w:rsidR="003F44DC">
        <w:fldChar w:fldCharType="begin"/>
      </w:r>
      <w:r>
        <w:instrText xml:space="preserve"> REF _Ref275875043 \n \h </w:instrText>
      </w:r>
      <w:r w:rsidR="003F44DC">
        <w:fldChar w:fldCharType="separate"/>
      </w:r>
      <w:r w:rsidR="002D1B7A">
        <w:t>3.1.4.1</w:t>
      </w:r>
      <w:r w:rsidR="003F44DC">
        <w:fldChar w:fldCharType="end"/>
      </w:r>
      <w:r>
        <w:t xml:space="preserve"> alfejezet) beszéltünk arról, hogy lehetőségünk van instrumentális változók használatára, ha az </w:t>
      </w:r>
      <w:proofErr w:type="spellStart"/>
      <w:r>
        <w:t>endogenitás</w:t>
      </w:r>
      <w:proofErr w:type="spellEnd"/>
      <w:r>
        <w:rPr>
          <w:rStyle w:val="FootnoteReference"/>
        </w:rPr>
        <w:footnoteReference w:id="20"/>
      </w:r>
      <w:r>
        <w:t xml:space="preserve"> elméleti lehetőségét nem tudjuk kizárni. Jelen esetben több változó kipróbálása után a BERUHAZAS és TOTALTAM változókra esett a választásunk instr</w:t>
      </w:r>
      <w:r>
        <w:t>u</w:t>
      </w:r>
      <w:r>
        <w:t>mentumokként. Fontos kiemelni, hogy technikailag nem lehet több magyarázó, mint instrumentális vált</w:t>
      </w:r>
      <w:r>
        <w:t>o</w:t>
      </w:r>
      <w:r>
        <w:t xml:space="preserve">zónk, ezért a beruházási támogatás hatását vizsgáljuk meg. A becslés itt két egyenletből áll, ahogy a név is utal rá, de csak a második, támogatási </w:t>
      </w:r>
      <w:proofErr w:type="spellStart"/>
      <w:r>
        <w:t>regresszort</w:t>
      </w:r>
      <w:proofErr w:type="spellEnd"/>
      <w:r>
        <w:t xml:space="preserve"> tartalmazó modell eredményeit közöljük. Első becslésünk a </w:t>
      </w:r>
      <w:r w:rsidRPr="000935A4">
        <w:rPr>
          <w:b/>
        </w:rPr>
        <w:t>nettó hozzáadott értékre</w:t>
      </w:r>
      <w:r>
        <w:t xml:space="preserve"> vonatkozó elemzés.</w:t>
      </w:r>
    </w:p>
    <w:p w:rsidR="00084397" w:rsidRDefault="00084397" w:rsidP="00084397">
      <w:pPr>
        <w:pStyle w:val="HUNNormal"/>
        <w:keepNext/>
        <w:jc w:val="center"/>
      </w:pPr>
      <w:r w:rsidRPr="00D26BAD">
        <w:rPr>
          <w:noProof/>
        </w:rPr>
        <w:lastRenderedPageBreak/>
        <w:drawing>
          <wp:inline distT="0" distB="0" distL="0" distR="0">
            <wp:extent cx="4909821" cy="3600000"/>
            <wp:effectExtent l="19050" t="19050" r="62229" b="1950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srcRect/>
                    <a:stretch>
                      <a:fillRect/>
                    </a:stretch>
                  </pic:blipFill>
                  <pic:spPr bwMode="auto">
                    <a:xfrm>
                      <a:off x="0" y="0"/>
                      <a:ext cx="4909821" cy="3600000"/>
                    </a:xfrm>
                    <a:prstGeom prst="rect">
                      <a:avLst/>
                    </a:prstGeom>
                    <a:ln>
                      <a:noFill/>
                    </a:ln>
                    <a:effectLst>
                      <a:outerShdw blurRad="50800" dist="38100" dir="2700000" algn="tl" rotWithShape="0">
                        <a:prstClr val="black">
                          <a:alpha val="40000"/>
                        </a:prstClr>
                      </a:outerShdw>
                    </a:effectLst>
                  </pic:spPr>
                </pic:pic>
              </a:graphicData>
            </a:graphic>
          </wp:inline>
        </w:drawing>
      </w:r>
    </w:p>
    <w:bookmarkStart w:id="74" w:name="_Ref277059400"/>
    <w:bookmarkStart w:id="75" w:name="_Ref277059396"/>
    <w:p w:rsidR="00084397" w:rsidRPr="00CC58AC" w:rsidRDefault="003F44DC" w:rsidP="00084397">
      <w:pPr>
        <w:pStyle w:val="Caption"/>
        <w:jc w:val="center"/>
        <w:rPr>
          <w:color w:val="auto"/>
        </w:rPr>
      </w:pPr>
      <w:r w:rsidRPr="00CC58AC">
        <w:rPr>
          <w:color w:val="auto"/>
        </w:rPr>
        <w:fldChar w:fldCharType="begin"/>
      </w:r>
      <w:r w:rsidR="00084397" w:rsidRPr="00CC58AC">
        <w:rPr>
          <w:color w:val="auto"/>
        </w:rPr>
        <w:instrText xml:space="preserve"> SEQ ábra \* ARABIC </w:instrText>
      </w:r>
      <w:r w:rsidRPr="00CC58AC">
        <w:rPr>
          <w:color w:val="auto"/>
        </w:rPr>
        <w:fldChar w:fldCharType="separate"/>
      </w:r>
      <w:r w:rsidR="002D1B7A">
        <w:rPr>
          <w:noProof/>
          <w:color w:val="auto"/>
        </w:rPr>
        <w:t>15</w:t>
      </w:r>
      <w:r w:rsidRPr="00CC58AC">
        <w:rPr>
          <w:color w:val="auto"/>
        </w:rPr>
        <w:fldChar w:fldCharType="end"/>
      </w:r>
      <w:r w:rsidR="00084397" w:rsidRPr="00CC58AC">
        <w:rPr>
          <w:color w:val="auto"/>
        </w:rPr>
        <w:t>. ábra</w:t>
      </w:r>
      <w:bookmarkEnd w:id="74"/>
      <w:r w:rsidR="00084397" w:rsidRPr="00CC58AC">
        <w:rPr>
          <w:color w:val="auto"/>
        </w:rPr>
        <w:t>: 2SLS – NH</w:t>
      </w:r>
      <w:bookmarkEnd w:id="75"/>
    </w:p>
    <w:p w:rsidR="00084397" w:rsidRDefault="00084397" w:rsidP="00084397">
      <w:pPr>
        <w:jc w:val="both"/>
      </w:pPr>
      <w:r>
        <w:t xml:space="preserve">A </w:t>
      </w:r>
      <w:r w:rsidR="003F44DC">
        <w:fldChar w:fldCharType="begin"/>
      </w:r>
      <w:r>
        <w:instrText xml:space="preserve"> REF _Ref276143718 \r \h </w:instrText>
      </w:r>
      <w:r w:rsidR="003F44DC">
        <w:fldChar w:fldCharType="separate"/>
      </w:r>
      <w:r w:rsidR="002D1B7A">
        <w:t>3.2.4</w:t>
      </w:r>
      <w:r w:rsidR="003F44DC">
        <w:fldChar w:fldCharType="end"/>
      </w:r>
      <w:r>
        <w:t xml:space="preserve"> alfejezetben bemutatott GLS modelleket egy lépéssel próbáltuk tovább fejleszteni azzal, hogy két instrumentumot is beletettünk a modellbe (</w:t>
      </w:r>
      <w:r w:rsidR="003F44DC">
        <w:fldChar w:fldCharType="begin"/>
      </w:r>
      <w:r>
        <w:instrText xml:space="preserve"> REF _Ref277059400 \h </w:instrText>
      </w:r>
      <w:r w:rsidR="003F44DC">
        <w:fldChar w:fldCharType="separate"/>
      </w:r>
      <w:r w:rsidR="002D1B7A">
        <w:rPr>
          <w:noProof/>
        </w:rPr>
        <w:t>15</w:t>
      </w:r>
      <w:r w:rsidR="002D1B7A" w:rsidRPr="00CC58AC">
        <w:t>. ábra</w:t>
      </w:r>
      <w:r w:rsidR="003F44DC">
        <w:fldChar w:fldCharType="end"/>
      </w:r>
      <w:r>
        <w:t>). Vastagon szedve és pirossal kiemelve láthatóak azok a sorok az ábrán, amelyeknek az értelmezésével a modellről döntünk.</w:t>
      </w:r>
    </w:p>
    <w:p w:rsidR="00084397" w:rsidRDefault="00084397" w:rsidP="00084397">
      <w:pPr>
        <w:jc w:val="both"/>
      </w:pPr>
      <w:r>
        <w:t xml:space="preserve">Sajnos a kísérlet a nettó hozzáadott értékre </w:t>
      </w:r>
      <w:r w:rsidRPr="000935A4">
        <w:rPr>
          <w:b/>
        </w:rPr>
        <w:t>nem hozott jobb eredményt</w:t>
      </w:r>
      <w:r>
        <w:t xml:space="preserve"> (</w:t>
      </w:r>
      <w:proofErr w:type="spellStart"/>
      <w:r>
        <w:t>adjusted</w:t>
      </w:r>
      <w:proofErr w:type="spellEnd"/>
      <w:r>
        <w:t xml:space="preserve"> </w:t>
      </w:r>
      <w:proofErr w:type="spellStart"/>
      <w:r>
        <w:t>R-squared</w:t>
      </w:r>
      <w:proofErr w:type="spellEnd"/>
      <w:r>
        <w:t xml:space="preserve"> 69%, szemben a korábbi 93%-al), a beruházási támogatások pedig továbbra is </w:t>
      </w:r>
      <w:proofErr w:type="spellStart"/>
      <w:r>
        <w:t>inszignifikánsak</w:t>
      </w:r>
      <w:proofErr w:type="spellEnd"/>
      <w:r>
        <w:t xml:space="preserve"> a modellben. A </w:t>
      </w:r>
      <w:proofErr w:type="spellStart"/>
      <w:r>
        <w:t>Durbin-Watson</w:t>
      </w:r>
      <w:proofErr w:type="spellEnd"/>
      <w:r>
        <w:t xml:space="preserve"> statisztika miatt (1,21) egyébként is érdemes elgondolkodnunk az </w:t>
      </w:r>
      <w:proofErr w:type="gramStart"/>
      <w:r>
        <w:t>AR(</w:t>
      </w:r>
      <w:proofErr w:type="gramEnd"/>
      <w:r>
        <w:t>1)</w:t>
      </w:r>
      <w:proofErr w:type="spellStart"/>
      <w:r>
        <w:t>-el</w:t>
      </w:r>
      <w:proofErr w:type="spellEnd"/>
      <w:r>
        <w:t xml:space="preserve"> kiegészített specifikác</w:t>
      </w:r>
      <w:r>
        <w:t>i</w:t>
      </w:r>
      <w:r>
        <w:t xml:space="preserve">ón. A méretre az </w:t>
      </w:r>
      <w:proofErr w:type="spellStart"/>
      <w:r>
        <w:t>EUME-n</w:t>
      </w:r>
      <w:proofErr w:type="spellEnd"/>
      <w:r>
        <w:t xml:space="preserve"> keresztül továbbra is kontrollálunk, ami azért fontos, hogy ne tulajdonítsunk tév</w:t>
      </w:r>
      <w:r>
        <w:t>e</w:t>
      </w:r>
      <w:r>
        <w:t>sen valamilyen hatást a támogatásoknak, ami nem tartozik szorosan hozzájuk.</w:t>
      </w:r>
    </w:p>
    <w:p w:rsidR="00084397" w:rsidRDefault="00084397" w:rsidP="00084397">
      <w:pPr>
        <w:jc w:val="both"/>
      </w:pPr>
      <w:r>
        <w:t>A munkateljesítmény elemzésével folytatjuk a 2SLS modellek vizsgálatát.</w:t>
      </w:r>
    </w:p>
    <w:p w:rsidR="00084397" w:rsidRDefault="00084397" w:rsidP="00084397">
      <w:pPr>
        <w:keepNext/>
        <w:jc w:val="center"/>
      </w:pPr>
      <w:r w:rsidRPr="00D26BAD">
        <w:rPr>
          <w:noProof/>
        </w:rPr>
        <w:lastRenderedPageBreak/>
        <w:drawing>
          <wp:inline distT="0" distB="0" distL="0" distR="0">
            <wp:extent cx="4172945" cy="3060000"/>
            <wp:effectExtent l="19050" t="19050" r="56155" b="2610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srcRect/>
                    <a:stretch>
                      <a:fillRect/>
                    </a:stretch>
                  </pic:blipFill>
                  <pic:spPr bwMode="auto">
                    <a:xfrm>
                      <a:off x="0" y="0"/>
                      <a:ext cx="4172945" cy="3060000"/>
                    </a:xfrm>
                    <a:prstGeom prst="rect">
                      <a:avLst/>
                    </a:prstGeom>
                    <a:ln>
                      <a:noFill/>
                    </a:ln>
                    <a:effectLst>
                      <a:outerShdw blurRad="50800" dist="38100" dir="2700000" algn="tl" rotWithShape="0">
                        <a:prstClr val="black">
                          <a:alpha val="40000"/>
                        </a:prstClr>
                      </a:outerShdw>
                    </a:effectLst>
                  </pic:spPr>
                </pic:pic>
              </a:graphicData>
            </a:graphic>
          </wp:inline>
        </w:drawing>
      </w:r>
    </w:p>
    <w:bookmarkStart w:id="76" w:name="_Ref277060410"/>
    <w:p w:rsidR="00084397" w:rsidRPr="00CC58AC" w:rsidRDefault="003F44DC" w:rsidP="00084397">
      <w:pPr>
        <w:pStyle w:val="Caption"/>
        <w:jc w:val="center"/>
        <w:rPr>
          <w:color w:val="auto"/>
        </w:rPr>
      </w:pPr>
      <w:r w:rsidRPr="00CC58AC">
        <w:rPr>
          <w:color w:val="auto"/>
        </w:rPr>
        <w:fldChar w:fldCharType="begin"/>
      </w:r>
      <w:r w:rsidR="00084397" w:rsidRPr="00CC58AC">
        <w:rPr>
          <w:color w:val="auto"/>
        </w:rPr>
        <w:instrText xml:space="preserve"> SEQ ábra \* ARABIC </w:instrText>
      </w:r>
      <w:r w:rsidRPr="00CC58AC">
        <w:rPr>
          <w:color w:val="auto"/>
        </w:rPr>
        <w:fldChar w:fldCharType="separate"/>
      </w:r>
      <w:r w:rsidR="002D1B7A">
        <w:rPr>
          <w:noProof/>
          <w:color w:val="auto"/>
        </w:rPr>
        <w:t>16</w:t>
      </w:r>
      <w:r w:rsidRPr="00CC58AC">
        <w:rPr>
          <w:color w:val="auto"/>
        </w:rPr>
        <w:fldChar w:fldCharType="end"/>
      </w:r>
      <w:r w:rsidR="00084397" w:rsidRPr="00CC58AC">
        <w:rPr>
          <w:color w:val="auto"/>
        </w:rPr>
        <w:t>. ábra</w:t>
      </w:r>
      <w:bookmarkEnd w:id="76"/>
      <w:r w:rsidR="00084397" w:rsidRPr="00CC58AC">
        <w:rPr>
          <w:color w:val="auto"/>
        </w:rPr>
        <w:t>: 2SLS – MUNKA</w:t>
      </w:r>
    </w:p>
    <w:p w:rsidR="00084397" w:rsidRDefault="00084397" w:rsidP="00084397">
      <w:pPr>
        <w:jc w:val="both"/>
      </w:pPr>
      <w:r>
        <w:t xml:space="preserve">A </w:t>
      </w:r>
      <w:r w:rsidRPr="000935A4">
        <w:rPr>
          <w:b/>
        </w:rPr>
        <w:t>munkakapacitásra</w:t>
      </w:r>
      <w:r>
        <w:t xml:space="preserve"> megvizsgálva a két lépcsős, instrumentumokat is tartalmazó modellt a </w:t>
      </w:r>
      <w:r w:rsidRPr="000935A4">
        <w:rPr>
          <w:b/>
        </w:rPr>
        <w:t>beruházási t</w:t>
      </w:r>
      <w:r w:rsidRPr="000935A4">
        <w:rPr>
          <w:b/>
        </w:rPr>
        <w:t>á</w:t>
      </w:r>
      <w:r w:rsidRPr="000935A4">
        <w:rPr>
          <w:b/>
        </w:rPr>
        <w:t>mogatások hatása továbbra is lényegtelen marad</w:t>
      </w:r>
      <w:r>
        <w:t xml:space="preserve"> (</w:t>
      </w:r>
      <w:r w:rsidR="003F44DC">
        <w:fldChar w:fldCharType="begin"/>
      </w:r>
      <w:r>
        <w:instrText xml:space="preserve"> REF _Ref277060410 \h </w:instrText>
      </w:r>
      <w:r w:rsidR="003F44DC">
        <w:fldChar w:fldCharType="separate"/>
      </w:r>
      <w:r w:rsidR="002D1B7A">
        <w:rPr>
          <w:noProof/>
        </w:rPr>
        <w:t>16</w:t>
      </w:r>
      <w:r w:rsidR="002D1B7A" w:rsidRPr="00CC58AC">
        <w:t>. ábra</w:t>
      </w:r>
      <w:r w:rsidR="003F44DC">
        <w:fldChar w:fldCharType="end"/>
      </w:r>
      <w:r>
        <w:t>). Vastagon szedve és pirossal kiemelve láthat</w:t>
      </w:r>
      <w:r>
        <w:t>ó</w:t>
      </w:r>
      <w:r>
        <w:t>ak azok a sorok az ábrán, amelyeknek az értelmezésével a modellről döntünk.</w:t>
      </w:r>
    </w:p>
    <w:p w:rsidR="00084397" w:rsidRPr="00D26BAD" w:rsidRDefault="00084397" w:rsidP="00084397">
      <w:pPr>
        <w:jc w:val="both"/>
      </w:pPr>
      <w:r>
        <w:t xml:space="preserve">A </w:t>
      </w:r>
      <w:proofErr w:type="spellStart"/>
      <w:r>
        <w:t>DW-statisztika</w:t>
      </w:r>
      <w:proofErr w:type="spellEnd"/>
      <w:r>
        <w:t xml:space="preserve"> (0,53) itt is egyértelmű </w:t>
      </w:r>
      <w:proofErr w:type="spellStart"/>
      <w:r>
        <w:t>reziduális</w:t>
      </w:r>
      <w:proofErr w:type="spellEnd"/>
      <w:r>
        <w:t xml:space="preserve"> </w:t>
      </w:r>
      <w:proofErr w:type="spellStart"/>
      <w:r>
        <w:t>autokorrelációt</w:t>
      </w:r>
      <w:proofErr w:type="spellEnd"/>
      <w:r>
        <w:t xml:space="preserve"> mutat, így érdemes </w:t>
      </w:r>
      <w:proofErr w:type="gramStart"/>
      <w:r>
        <w:t>AR(</w:t>
      </w:r>
      <w:proofErr w:type="gramEnd"/>
      <w:r>
        <w:t>1) taggal együtt becsülni a modellt, és az értelmezést arra megadni. A termelékenység vizsgálatával folytatjuk az elemzést.</w:t>
      </w:r>
    </w:p>
    <w:p w:rsidR="00084397" w:rsidRDefault="00084397" w:rsidP="00084397">
      <w:pPr>
        <w:pStyle w:val="HUNNormal"/>
        <w:keepNext/>
        <w:jc w:val="center"/>
      </w:pPr>
      <w:r w:rsidRPr="008232CE">
        <w:rPr>
          <w:noProof/>
        </w:rPr>
        <w:drawing>
          <wp:inline distT="0" distB="0" distL="0" distR="0">
            <wp:extent cx="4414286" cy="3240000"/>
            <wp:effectExtent l="19050" t="19050" r="62464" b="1755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srcRect/>
                    <a:stretch>
                      <a:fillRect/>
                    </a:stretch>
                  </pic:blipFill>
                  <pic:spPr bwMode="auto">
                    <a:xfrm>
                      <a:off x="0" y="0"/>
                      <a:ext cx="4414286" cy="3240000"/>
                    </a:xfrm>
                    <a:prstGeom prst="rect">
                      <a:avLst/>
                    </a:prstGeom>
                    <a:ln>
                      <a:noFill/>
                    </a:ln>
                    <a:effectLst>
                      <a:outerShdw blurRad="50800" dist="38100" dir="2700000" algn="tl" rotWithShape="0">
                        <a:prstClr val="black">
                          <a:alpha val="40000"/>
                        </a:prstClr>
                      </a:outerShdw>
                    </a:effectLst>
                  </pic:spPr>
                </pic:pic>
              </a:graphicData>
            </a:graphic>
          </wp:inline>
        </w:drawing>
      </w:r>
    </w:p>
    <w:bookmarkStart w:id="77" w:name="_Ref277060393"/>
    <w:p w:rsidR="00084397" w:rsidRPr="00CC58AC" w:rsidRDefault="003F44DC" w:rsidP="00084397">
      <w:pPr>
        <w:pStyle w:val="Caption"/>
        <w:jc w:val="center"/>
        <w:rPr>
          <w:color w:val="auto"/>
        </w:rPr>
      </w:pPr>
      <w:r w:rsidRPr="00CC58AC">
        <w:rPr>
          <w:color w:val="auto"/>
        </w:rPr>
        <w:fldChar w:fldCharType="begin"/>
      </w:r>
      <w:r w:rsidR="00084397" w:rsidRPr="00CC58AC">
        <w:rPr>
          <w:color w:val="auto"/>
        </w:rPr>
        <w:instrText xml:space="preserve"> SEQ ábra \* ARABIC </w:instrText>
      </w:r>
      <w:r w:rsidRPr="00CC58AC">
        <w:rPr>
          <w:color w:val="auto"/>
        </w:rPr>
        <w:fldChar w:fldCharType="separate"/>
      </w:r>
      <w:r w:rsidR="002D1B7A">
        <w:rPr>
          <w:noProof/>
          <w:color w:val="auto"/>
        </w:rPr>
        <w:t>17</w:t>
      </w:r>
      <w:r w:rsidRPr="00CC58AC">
        <w:rPr>
          <w:color w:val="auto"/>
        </w:rPr>
        <w:fldChar w:fldCharType="end"/>
      </w:r>
      <w:r w:rsidR="00084397" w:rsidRPr="00CC58AC">
        <w:rPr>
          <w:color w:val="auto"/>
        </w:rPr>
        <w:t>. ábra</w:t>
      </w:r>
      <w:bookmarkEnd w:id="77"/>
      <w:r w:rsidR="00084397" w:rsidRPr="00CC58AC">
        <w:rPr>
          <w:color w:val="auto"/>
        </w:rPr>
        <w:t>: 2SLS – TERM</w:t>
      </w:r>
    </w:p>
    <w:p w:rsidR="00084397" w:rsidRDefault="00084397" w:rsidP="00084397">
      <w:pPr>
        <w:jc w:val="both"/>
      </w:pPr>
      <w:r>
        <w:lastRenderedPageBreak/>
        <w:t xml:space="preserve">A </w:t>
      </w:r>
      <w:r w:rsidR="003F44DC">
        <w:fldChar w:fldCharType="begin"/>
      </w:r>
      <w:r>
        <w:instrText xml:space="preserve"> REF _Ref277060393 \h </w:instrText>
      </w:r>
      <w:r w:rsidR="003F44DC">
        <w:fldChar w:fldCharType="separate"/>
      </w:r>
      <w:r w:rsidR="002D1B7A">
        <w:rPr>
          <w:noProof/>
        </w:rPr>
        <w:t>17</w:t>
      </w:r>
      <w:r w:rsidR="002D1B7A" w:rsidRPr="00CC58AC">
        <w:t>. ábra</w:t>
      </w:r>
      <w:r w:rsidR="003F44DC">
        <w:fldChar w:fldCharType="end"/>
      </w:r>
      <w:r>
        <w:t xml:space="preserve"> mutatja a </w:t>
      </w:r>
      <w:r w:rsidRPr="000935A4">
        <w:rPr>
          <w:b/>
        </w:rPr>
        <w:t>termelékenységre</w:t>
      </w:r>
      <w:r>
        <w:t xml:space="preserve"> végzett 2SLS becslést. A magyarázó erőt és </w:t>
      </w:r>
      <w:proofErr w:type="spellStart"/>
      <w:r>
        <w:t>szignifikanciát</w:t>
      </w:r>
      <w:proofErr w:type="spellEnd"/>
      <w:r>
        <w:t xml:space="preserve"> nézve még akár ez a specifikáció lehetne a legerősebb ez idáig (FEJTAM </w:t>
      </w:r>
      <w:proofErr w:type="spellStart"/>
      <w:r>
        <w:t>p-értéke</w:t>
      </w:r>
      <w:proofErr w:type="spellEnd"/>
      <w:r>
        <w:t xml:space="preserve">: 0% és </w:t>
      </w:r>
      <w:proofErr w:type="spellStart"/>
      <w:r>
        <w:t>adjuested</w:t>
      </w:r>
      <w:proofErr w:type="spellEnd"/>
      <w:r>
        <w:t xml:space="preserve"> </w:t>
      </w:r>
      <w:proofErr w:type="spellStart"/>
      <w:r>
        <w:t>R-squared</w:t>
      </w:r>
      <w:proofErr w:type="spellEnd"/>
      <w:r>
        <w:t xml:space="preserve">: 71%), ha nem </w:t>
      </w:r>
      <w:r w:rsidRPr="00CC0A1C">
        <w:t xml:space="preserve">mutatna erős pozitív </w:t>
      </w:r>
      <w:proofErr w:type="spellStart"/>
      <w:r w:rsidRPr="00CC0A1C">
        <w:t>autokorrelációt</w:t>
      </w:r>
      <w:proofErr w:type="spellEnd"/>
      <w:r w:rsidRPr="00CC0A1C">
        <w:t xml:space="preserve"> a </w:t>
      </w:r>
      <w:proofErr w:type="spellStart"/>
      <w:r w:rsidRPr="00CC0A1C">
        <w:t>Durbin-Watson</w:t>
      </w:r>
      <w:proofErr w:type="spellEnd"/>
      <w:r w:rsidRPr="00CC0A1C">
        <w:t xml:space="preserve"> statisztika</w:t>
      </w:r>
      <w:r>
        <w:t xml:space="preserve"> (lásd </w:t>
      </w:r>
      <w:r w:rsidR="003F44DC">
        <w:fldChar w:fldCharType="begin"/>
      </w:r>
      <w:r>
        <w:instrText xml:space="preserve"> NOTEREF _Ref277058822 \h </w:instrText>
      </w:r>
      <w:r w:rsidR="003F44DC">
        <w:fldChar w:fldCharType="separate"/>
      </w:r>
      <w:r w:rsidR="002D1B7A">
        <w:t>19</w:t>
      </w:r>
      <w:r w:rsidR="003F44DC">
        <w:fldChar w:fldCharType="end"/>
      </w:r>
      <w:r>
        <w:t>. lábjegyzet). Érd</w:t>
      </w:r>
      <w:r>
        <w:t>e</w:t>
      </w:r>
      <w:r>
        <w:t>mes megjegyeznünk ugyanakkor, hogy a beruházási támogatások hatása szignifikánsan negatív a termel</w:t>
      </w:r>
      <w:r>
        <w:t>é</w:t>
      </w:r>
      <w:r>
        <w:t>kenységre nézve, de mielőtt messzemenő következtetéseket vonnánk le ebből, érdemes megvizsgálnunk a maradék két modell család eredményeit is.</w:t>
      </w:r>
    </w:p>
    <w:p w:rsidR="00084397" w:rsidRDefault="00084397" w:rsidP="00084397">
      <w:pPr>
        <w:pStyle w:val="HUNHeading3"/>
        <w:ind w:left="504"/>
      </w:pPr>
      <w:bookmarkStart w:id="78" w:name="_Ref277062940"/>
      <w:bookmarkStart w:id="79" w:name="_Toc278793282"/>
      <w:bookmarkStart w:id="80" w:name="_Toc279359358"/>
      <w:r>
        <w:t xml:space="preserve">General </w:t>
      </w:r>
      <w:proofErr w:type="spellStart"/>
      <w:r>
        <w:t>method</w:t>
      </w:r>
      <w:proofErr w:type="spellEnd"/>
      <w:r>
        <w:t xml:space="preserve"> of </w:t>
      </w:r>
      <w:proofErr w:type="spellStart"/>
      <w:r>
        <w:t>moments</w:t>
      </w:r>
      <w:proofErr w:type="spellEnd"/>
      <w:r>
        <w:t xml:space="preserve"> (</w:t>
      </w:r>
      <w:proofErr w:type="spellStart"/>
      <w:r>
        <w:t>dynamic</w:t>
      </w:r>
      <w:proofErr w:type="spellEnd"/>
      <w:r>
        <w:t xml:space="preserve"> panel)</w:t>
      </w:r>
      <w:bookmarkEnd w:id="78"/>
      <w:bookmarkEnd w:id="79"/>
      <w:bookmarkEnd w:id="80"/>
    </w:p>
    <w:p w:rsidR="00084397" w:rsidRDefault="00084397" w:rsidP="00084397">
      <w:pPr>
        <w:jc w:val="both"/>
      </w:pPr>
      <w:r>
        <w:t>Az eddigi modelljeinkben „szinten” (</w:t>
      </w:r>
      <w:proofErr w:type="spellStart"/>
      <w:r w:rsidRPr="00167023">
        <w:rPr>
          <w:i/>
        </w:rPr>
        <w:t>level</w:t>
      </w:r>
      <w:proofErr w:type="spellEnd"/>
      <w:r>
        <w:t xml:space="preserve">) becsültük a változóinkat, most nézzünk egy példát a dinamikus lehetőségekre is. Az instrumentum listát megtartva visszük tovább a 2SLS becslésünket másik eljárásra, amit General </w:t>
      </w:r>
      <w:proofErr w:type="spellStart"/>
      <w:r>
        <w:t>Method</w:t>
      </w:r>
      <w:proofErr w:type="spellEnd"/>
      <w:r>
        <w:t xml:space="preserve"> of </w:t>
      </w:r>
      <w:proofErr w:type="spellStart"/>
      <w:r>
        <w:t>Moments</w:t>
      </w:r>
      <w:proofErr w:type="spellEnd"/>
      <w:r>
        <w:t xml:space="preserve"> néven ismer a szakirodalom. Az </w:t>
      </w:r>
      <w:proofErr w:type="spellStart"/>
      <w:r>
        <w:t>ökonometriai</w:t>
      </w:r>
      <w:proofErr w:type="spellEnd"/>
      <w:r>
        <w:t xml:space="preserve"> modellek módszertani b</w:t>
      </w:r>
      <w:r>
        <w:t>e</w:t>
      </w:r>
      <w:r>
        <w:t>mutatásában (</w:t>
      </w:r>
      <w:r w:rsidR="003F44DC">
        <w:fldChar w:fldCharType="begin"/>
      </w:r>
      <w:r>
        <w:instrText xml:space="preserve"> REF _Ref275875043 \w \h </w:instrText>
      </w:r>
      <w:r w:rsidR="003F44DC">
        <w:fldChar w:fldCharType="separate"/>
      </w:r>
      <w:r w:rsidR="002D1B7A">
        <w:t>3.1.4.1</w:t>
      </w:r>
      <w:r w:rsidR="003F44DC">
        <w:fldChar w:fldCharType="end"/>
      </w:r>
      <w:r>
        <w:t xml:space="preserve"> alfejezet) említett </w:t>
      </w:r>
      <w:proofErr w:type="spellStart"/>
      <w:r>
        <w:t>First</w:t>
      </w:r>
      <w:proofErr w:type="spellEnd"/>
      <w:r>
        <w:t xml:space="preserve"> </w:t>
      </w:r>
      <w:proofErr w:type="spellStart"/>
      <w:r>
        <w:t>Differences</w:t>
      </w:r>
      <w:proofErr w:type="spellEnd"/>
      <w:r>
        <w:t xml:space="preserve"> és </w:t>
      </w:r>
      <w:proofErr w:type="spellStart"/>
      <w:r>
        <w:t>Orthogonal</w:t>
      </w:r>
      <w:proofErr w:type="spellEnd"/>
      <w:r>
        <w:t xml:space="preserve"> </w:t>
      </w:r>
      <w:proofErr w:type="spellStart"/>
      <w:r>
        <w:t>Deviations</w:t>
      </w:r>
      <w:proofErr w:type="spellEnd"/>
      <w:r>
        <w:t xml:space="preserve"> becslési eljárások közül a jobbat prezentáljuk itt ábrával együtt, a másikra csupán néhány adattal hivatkozunk.</w:t>
      </w:r>
    </w:p>
    <w:p w:rsidR="00084397" w:rsidRDefault="00084397" w:rsidP="00084397">
      <w:pPr>
        <w:jc w:val="both"/>
      </w:pPr>
      <w:r>
        <w:t>Az első ilyen modellünk a nettó hozzáadott értéket magyarázza.</w:t>
      </w:r>
    </w:p>
    <w:p w:rsidR="00084397" w:rsidRDefault="00084397" w:rsidP="00084397">
      <w:pPr>
        <w:keepNext/>
        <w:jc w:val="center"/>
      </w:pPr>
      <w:r w:rsidRPr="008D63C1">
        <w:rPr>
          <w:noProof/>
        </w:rPr>
        <w:drawing>
          <wp:inline distT="0" distB="0" distL="0" distR="0">
            <wp:extent cx="5818505" cy="3479694"/>
            <wp:effectExtent l="19050" t="19050" r="48895" b="25506"/>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srcRect/>
                    <a:stretch>
                      <a:fillRect/>
                    </a:stretch>
                  </pic:blipFill>
                  <pic:spPr bwMode="auto">
                    <a:xfrm>
                      <a:off x="0" y="0"/>
                      <a:ext cx="5818505" cy="3479694"/>
                    </a:xfrm>
                    <a:prstGeom prst="rect">
                      <a:avLst/>
                    </a:prstGeom>
                    <a:ln>
                      <a:noFill/>
                    </a:ln>
                    <a:effectLst>
                      <a:outerShdw blurRad="50800" dist="38100" dir="2700000" algn="tl" rotWithShape="0">
                        <a:prstClr val="black">
                          <a:alpha val="40000"/>
                        </a:prstClr>
                      </a:outerShdw>
                    </a:effectLst>
                  </pic:spPr>
                </pic:pic>
              </a:graphicData>
            </a:graphic>
          </wp:inline>
        </w:drawing>
      </w:r>
    </w:p>
    <w:bookmarkStart w:id="81" w:name="_Ref277061040"/>
    <w:p w:rsidR="00084397" w:rsidRPr="00CC58AC" w:rsidRDefault="003F44DC" w:rsidP="00084397">
      <w:pPr>
        <w:pStyle w:val="Caption"/>
        <w:jc w:val="center"/>
        <w:rPr>
          <w:color w:val="auto"/>
        </w:rPr>
      </w:pPr>
      <w:r w:rsidRPr="00CC58AC">
        <w:rPr>
          <w:color w:val="auto"/>
        </w:rPr>
        <w:fldChar w:fldCharType="begin"/>
      </w:r>
      <w:r w:rsidR="00084397" w:rsidRPr="00CC58AC">
        <w:rPr>
          <w:color w:val="auto"/>
        </w:rPr>
        <w:instrText xml:space="preserve"> SEQ ábra \* ARABIC </w:instrText>
      </w:r>
      <w:r w:rsidRPr="00CC58AC">
        <w:rPr>
          <w:color w:val="auto"/>
        </w:rPr>
        <w:fldChar w:fldCharType="separate"/>
      </w:r>
      <w:bookmarkStart w:id="82" w:name="_Ref277948093"/>
      <w:r w:rsidR="002D1B7A">
        <w:rPr>
          <w:noProof/>
          <w:color w:val="auto"/>
        </w:rPr>
        <w:t>18</w:t>
      </w:r>
      <w:bookmarkEnd w:id="82"/>
      <w:r w:rsidRPr="00CC58AC">
        <w:rPr>
          <w:color w:val="auto"/>
        </w:rPr>
        <w:fldChar w:fldCharType="end"/>
      </w:r>
      <w:r w:rsidR="00084397" w:rsidRPr="00CC58AC">
        <w:rPr>
          <w:color w:val="auto"/>
        </w:rPr>
        <w:t>. ábra</w:t>
      </w:r>
      <w:bookmarkEnd w:id="81"/>
      <w:r w:rsidR="00084397" w:rsidRPr="00CC58AC">
        <w:rPr>
          <w:color w:val="auto"/>
        </w:rPr>
        <w:t>: GMM – NH</w:t>
      </w:r>
    </w:p>
    <w:p w:rsidR="00084397" w:rsidRDefault="00084397" w:rsidP="00084397">
      <w:pPr>
        <w:jc w:val="both"/>
      </w:pPr>
      <w:r>
        <w:t xml:space="preserve">A </w:t>
      </w:r>
      <w:r w:rsidR="003F44DC">
        <w:fldChar w:fldCharType="begin"/>
      </w:r>
      <w:r>
        <w:instrText xml:space="preserve"> REF _Ref277061040 \h </w:instrText>
      </w:r>
      <w:r w:rsidR="003F44DC">
        <w:fldChar w:fldCharType="separate"/>
      </w:r>
      <w:r w:rsidR="002D1B7A">
        <w:rPr>
          <w:noProof/>
        </w:rPr>
        <w:t>18</w:t>
      </w:r>
      <w:r w:rsidR="002D1B7A" w:rsidRPr="00CC58AC">
        <w:t>. ábra</w:t>
      </w:r>
      <w:r w:rsidR="003F44DC">
        <w:fldChar w:fldCharType="end"/>
      </w:r>
      <w:r>
        <w:t xml:space="preserve"> alapján, a fontosabb információkat vastagon kiemelve elemezzük a </w:t>
      </w:r>
      <w:r w:rsidRPr="000935A4">
        <w:rPr>
          <w:b/>
        </w:rPr>
        <w:t>nettó hozzáadott értéket</w:t>
      </w:r>
      <w:r>
        <w:t xml:space="preserve"> GMM módszerrel, ezen belül is jelen esetben az ortogonális eltérések modelljét választva. Az ortogonális eltérések eljárás egy komplikáltabb fix hatás modellnek tekinthető.</w:t>
      </w:r>
    </w:p>
    <w:p w:rsidR="00084397" w:rsidRDefault="00084397" w:rsidP="00084397">
      <w:pPr>
        <w:jc w:val="both"/>
      </w:pPr>
      <w:r>
        <w:t xml:space="preserve">Sajnos az </w:t>
      </w:r>
      <w:proofErr w:type="spellStart"/>
      <w:r>
        <w:t>Orthogonal</w:t>
      </w:r>
      <w:proofErr w:type="spellEnd"/>
      <w:r>
        <w:t xml:space="preserve"> </w:t>
      </w:r>
      <w:proofErr w:type="spellStart"/>
      <w:r>
        <w:t>Deviations</w:t>
      </w:r>
      <w:proofErr w:type="spellEnd"/>
      <w:r>
        <w:t xml:space="preserve"> modell specifikációk közül </w:t>
      </w:r>
      <w:r w:rsidRPr="000935A4">
        <w:rPr>
          <w:b/>
        </w:rPr>
        <w:t>egy sem mondható sikeresnek</w:t>
      </w:r>
      <w:r>
        <w:t xml:space="preserve">, a magyarázó erejük még nullánál is kisebb (az instrumentumok miatt ez lehetséges). A </w:t>
      </w:r>
      <w:proofErr w:type="spellStart"/>
      <w:r>
        <w:t>First</w:t>
      </w:r>
      <w:proofErr w:type="spellEnd"/>
      <w:r>
        <w:t xml:space="preserve"> </w:t>
      </w:r>
      <w:proofErr w:type="spellStart"/>
      <w:r>
        <w:t>differences</w:t>
      </w:r>
      <w:proofErr w:type="spellEnd"/>
      <w:r>
        <w:t xml:space="preserve"> módszerrel k</w:t>
      </w:r>
      <w:r>
        <w:t>é</w:t>
      </w:r>
      <w:r>
        <w:t>szült becslésünk még rosszabb specifikációnak bizonyult (</w:t>
      </w:r>
      <w:proofErr w:type="spellStart"/>
      <w:r>
        <w:t>Adjusted</w:t>
      </w:r>
      <w:proofErr w:type="spellEnd"/>
      <w:r>
        <w:t xml:space="preserve"> </w:t>
      </w:r>
      <w:proofErr w:type="spellStart"/>
      <w:r>
        <w:t>R-squared</w:t>
      </w:r>
      <w:proofErr w:type="spellEnd"/>
      <w:r>
        <w:t>: -7,45), ezért nem szerepelte</w:t>
      </w:r>
      <w:r>
        <w:t>t</w:t>
      </w:r>
      <w:r>
        <w:t>jük itt.</w:t>
      </w:r>
    </w:p>
    <w:p w:rsidR="00084397" w:rsidRDefault="00084397" w:rsidP="00084397">
      <w:pPr>
        <w:jc w:val="both"/>
      </w:pPr>
      <w:r>
        <w:t xml:space="preserve">Mivel nem tudunk levonni érdemleges következtetést a modellből, </w:t>
      </w:r>
      <w:r w:rsidRPr="000935A4">
        <w:rPr>
          <w:b/>
        </w:rPr>
        <w:t>a próbálkozás zsákutcának bizonyult</w:t>
      </w:r>
      <w:r>
        <w:t>.</w:t>
      </w:r>
    </w:p>
    <w:p w:rsidR="00084397" w:rsidRDefault="00084397" w:rsidP="00084397">
      <w:pPr>
        <w:jc w:val="both"/>
      </w:pPr>
      <w:r>
        <w:lastRenderedPageBreak/>
        <w:t>Nézzük meg, hogyan reagál a munkakapacitás változónk erre a GMM modell keretre.</w:t>
      </w:r>
    </w:p>
    <w:p w:rsidR="00084397" w:rsidRDefault="00084397" w:rsidP="00084397">
      <w:pPr>
        <w:keepNext/>
        <w:jc w:val="center"/>
      </w:pPr>
      <w:r w:rsidRPr="00FA3016">
        <w:rPr>
          <w:noProof/>
        </w:rPr>
        <w:drawing>
          <wp:inline distT="0" distB="0" distL="0" distR="0">
            <wp:extent cx="5818505" cy="3479694"/>
            <wp:effectExtent l="19050" t="19050" r="48895" b="25506"/>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srcRect/>
                    <a:stretch>
                      <a:fillRect/>
                    </a:stretch>
                  </pic:blipFill>
                  <pic:spPr bwMode="auto">
                    <a:xfrm>
                      <a:off x="0" y="0"/>
                      <a:ext cx="5818505" cy="3479694"/>
                    </a:xfrm>
                    <a:prstGeom prst="rect">
                      <a:avLst/>
                    </a:prstGeom>
                    <a:ln>
                      <a:noFill/>
                    </a:ln>
                    <a:effectLst>
                      <a:outerShdw blurRad="50800" dist="38100" dir="2700000" algn="tl" rotWithShape="0">
                        <a:prstClr val="black">
                          <a:alpha val="40000"/>
                        </a:prstClr>
                      </a:outerShdw>
                    </a:effectLst>
                  </pic:spPr>
                </pic:pic>
              </a:graphicData>
            </a:graphic>
          </wp:inline>
        </w:drawing>
      </w:r>
    </w:p>
    <w:bookmarkStart w:id="83" w:name="_Ref277061301"/>
    <w:p w:rsidR="00084397" w:rsidRPr="00CC58AC" w:rsidRDefault="003F44DC" w:rsidP="00084397">
      <w:pPr>
        <w:pStyle w:val="Caption"/>
        <w:jc w:val="center"/>
        <w:rPr>
          <w:color w:val="auto"/>
        </w:rPr>
      </w:pPr>
      <w:r w:rsidRPr="00CC58AC">
        <w:rPr>
          <w:color w:val="auto"/>
        </w:rPr>
        <w:fldChar w:fldCharType="begin"/>
      </w:r>
      <w:r w:rsidR="00084397" w:rsidRPr="00CC58AC">
        <w:rPr>
          <w:color w:val="auto"/>
        </w:rPr>
        <w:instrText xml:space="preserve"> SEQ ábra \* ARABIC </w:instrText>
      </w:r>
      <w:r w:rsidRPr="00CC58AC">
        <w:rPr>
          <w:color w:val="auto"/>
        </w:rPr>
        <w:fldChar w:fldCharType="separate"/>
      </w:r>
      <w:r w:rsidR="002D1B7A">
        <w:rPr>
          <w:noProof/>
          <w:color w:val="auto"/>
        </w:rPr>
        <w:t>19</w:t>
      </w:r>
      <w:r w:rsidRPr="00CC58AC">
        <w:rPr>
          <w:color w:val="auto"/>
        </w:rPr>
        <w:fldChar w:fldCharType="end"/>
      </w:r>
      <w:r w:rsidR="00084397" w:rsidRPr="00CC58AC">
        <w:rPr>
          <w:color w:val="auto"/>
        </w:rPr>
        <w:t>. ábra</w:t>
      </w:r>
      <w:bookmarkEnd w:id="83"/>
      <w:r w:rsidR="00084397" w:rsidRPr="00CC58AC">
        <w:rPr>
          <w:color w:val="auto"/>
        </w:rPr>
        <w:t>: GMM – MUNKA</w:t>
      </w:r>
    </w:p>
    <w:p w:rsidR="00084397" w:rsidRDefault="00084397" w:rsidP="00084397">
      <w:pPr>
        <w:jc w:val="both"/>
      </w:pPr>
      <w:r>
        <w:t xml:space="preserve">A </w:t>
      </w:r>
      <w:r w:rsidR="003F44DC">
        <w:fldChar w:fldCharType="begin"/>
      </w:r>
      <w:r>
        <w:instrText xml:space="preserve"> REF _Ref277061301 \h </w:instrText>
      </w:r>
      <w:r w:rsidR="003F44DC">
        <w:fldChar w:fldCharType="separate"/>
      </w:r>
      <w:r w:rsidR="002D1B7A">
        <w:rPr>
          <w:noProof/>
        </w:rPr>
        <w:t>19</w:t>
      </w:r>
      <w:r w:rsidR="002D1B7A" w:rsidRPr="00CC58AC">
        <w:t>. ábra</w:t>
      </w:r>
      <w:r w:rsidR="003F44DC">
        <w:fldChar w:fldCharType="end"/>
      </w:r>
      <w:r>
        <w:t xml:space="preserve"> mutatja a </w:t>
      </w:r>
      <w:r w:rsidRPr="000935A4">
        <w:rPr>
          <w:b/>
        </w:rPr>
        <w:t>munkateljesítményre</w:t>
      </w:r>
      <w:r>
        <w:t xml:space="preserve"> vonatkozó GMM próbálkozásunkat. Sajnos </w:t>
      </w:r>
      <w:r w:rsidRPr="000935A4">
        <w:rPr>
          <w:b/>
        </w:rPr>
        <w:t>ez a kísérlet sem mondható sikeresnek</w:t>
      </w:r>
      <w:r>
        <w:t xml:space="preserve"> (a </w:t>
      </w:r>
      <w:proofErr w:type="spellStart"/>
      <w:r>
        <w:t>regresszoraink</w:t>
      </w:r>
      <w:proofErr w:type="spellEnd"/>
      <w:r>
        <w:t xml:space="preserve"> jelentéktelenek, ahogy a </w:t>
      </w:r>
      <w:proofErr w:type="spellStart"/>
      <w:r>
        <w:t>p-értékek</w:t>
      </w:r>
      <w:proofErr w:type="spellEnd"/>
      <w:r>
        <w:t xml:space="preserve"> mutatják, magyarázó erő neg</w:t>
      </w:r>
      <w:r>
        <w:t>a</w:t>
      </w:r>
      <w:r>
        <w:t xml:space="preserve">tív). A </w:t>
      </w:r>
      <w:proofErr w:type="spellStart"/>
      <w:r>
        <w:t>First</w:t>
      </w:r>
      <w:proofErr w:type="spellEnd"/>
      <w:r>
        <w:t xml:space="preserve"> </w:t>
      </w:r>
      <w:proofErr w:type="spellStart"/>
      <w:r>
        <w:t>Difference</w:t>
      </w:r>
      <w:proofErr w:type="spellEnd"/>
      <w:r>
        <w:t xml:space="preserve"> becslésben a magyarázó erő (-8,34) még rosszabb volt, mint jelen esetben. Egyérte</w:t>
      </w:r>
      <w:r>
        <w:t>l</w:t>
      </w:r>
      <w:r>
        <w:t xml:space="preserve">műen </w:t>
      </w:r>
      <w:r w:rsidRPr="000935A4">
        <w:rPr>
          <w:b/>
        </w:rPr>
        <w:t>kijelenthető</w:t>
      </w:r>
      <w:r>
        <w:t xml:space="preserve">, hogy </w:t>
      </w:r>
      <w:r w:rsidRPr="000935A4">
        <w:rPr>
          <w:b/>
        </w:rPr>
        <w:t>más modellre van szükségünk</w:t>
      </w:r>
      <w:r>
        <w:t>.</w:t>
      </w:r>
    </w:p>
    <w:p w:rsidR="00084397" w:rsidRDefault="00084397" w:rsidP="00084397">
      <w:pPr>
        <w:keepNext/>
        <w:jc w:val="center"/>
      </w:pPr>
      <w:r w:rsidRPr="00FA3016">
        <w:rPr>
          <w:noProof/>
        </w:rPr>
        <w:drawing>
          <wp:inline distT="0" distB="0" distL="0" distR="0">
            <wp:extent cx="4815591" cy="2880000"/>
            <wp:effectExtent l="19050" t="19050" r="61209" b="1560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srcRect/>
                    <a:stretch>
                      <a:fillRect/>
                    </a:stretch>
                  </pic:blipFill>
                  <pic:spPr bwMode="auto">
                    <a:xfrm>
                      <a:off x="0" y="0"/>
                      <a:ext cx="4815591" cy="2880000"/>
                    </a:xfrm>
                    <a:prstGeom prst="rect">
                      <a:avLst/>
                    </a:prstGeom>
                    <a:ln>
                      <a:noFill/>
                    </a:ln>
                    <a:effectLst>
                      <a:outerShdw blurRad="50800" dist="38100" dir="2700000" algn="tl" rotWithShape="0">
                        <a:prstClr val="black">
                          <a:alpha val="40000"/>
                        </a:prstClr>
                      </a:outerShdw>
                    </a:effectLst>
                  </pic:spPr>
                </pic:pic>
              </a:graphicData>
            </a:graphic>
          </wp:inline>
        </w:drawing>
      </w:r>
    </w:p>
    <w:bookmarkStart w:id="84" w:name="_Ref277061494"/>
    <w:p w:rsidR="00084397" w:rsidRPr="00CC58AC" w:rsidRDefault="003F44DC" w:rsidP="00084397">
      <w:pPr>
        <w:pStyle w:val="Caption"/>
        <w:jc w:val="center"/>
        <w:rPr>
          <w:color w:val="auto"/>
        </w:rPr>
      </w:pPr>
      <w:r w:rsidRPr="00CC58AC">
        <w:rPr>
          <w:color w:val="auto"/>
        </w:rPr>
        <w:fldChar w:fldCharType="begin"/>
      </w:r>
      <w:r w:rsidR="00084397" w:rsidRPr="00CC58AC">
        <w:rPr>
          <w:color w:val="auto"/>
        </w:rPr>
        <w:instrText xml:space="preserve"> SEQ ábra \* ARABIC </w:instrText>
      </w:r>
      <w:r w:rsidRPr="00CC58AC">
        <w:rPr>
          <w:color w:val="auto"/>
        </w:rPr>
        <w:fldChar w:fldCharType="separate"/>
      </w:r>
      <w:r w:rsidR="002D1B7A">
        <w:rPr>
          <w:noProof/>
          <w:color w:val="auto"/>
        </w:rPr>
        <w:t>20</w:t>
      </w:r>
      <w:r w:rsidRPr="00CC58AC">
        <w:rPr>
          <w:color w:val="auto"/>
        </w:rPr>
        <w:fldChar w:fldCharType="end"/>
      </w:r>
      <w:r w:rsidR="00084397" w:rsidRPr="00CC58AC">
        <w:rPr>
          <w:color w:val="auto"/>
        </w:rPr>
        <w:t>. ábra</w:t>
      </w:r>
      <w:bookmarkEnd w:id="84"/>
      <w:r w:rsidR="00084397" w:rsidRPr="00CC58AC">
        <w:rPr>
          <w:color w:val="auto"/>
        </w:rPr>
        <w:t>: GMM – TERM</w:t>
      </w:r>
    </w:p>
    <w:p w:rsidR="00084397" w:rsidRDefault="00084397" w:rsidP="00084397">
      <w:pPr>
        <w:jc w:val="both"/>
      </w:pPr>
      <w:r>
        <w:lastRenderedPageBreak/>
        <w:t xml:space="preserve">Amint azt a </w:t>
      </w:r>
      <w:r w:rsidR="003F44DC">
        <w:fldChar w:fldCharType="begin"/>
      </w:r>
      <w:r>
        <w:instrText xml:space="preserve"> REF _Ref277061494 \h </w:instrText>
      </w:r>
      <w:r w:rsidR="003F44DC">
        <w:fldChar w:fldCharType="separate"/>
      </w:r>
      <w:r w:rsidR="002D1B7A">
        <w:rPr>
          <w:noProof/>
        </w:rPr>
        <w:t>20</w:t>
      </w:r>
      <w:r w:rsidR="002D1B7A" w:rsidRPr="00CC58AC">
        <w:t>. ábra</w:t>
      </w:r>
      <w:r w:rsidR="003F44DC">
        <w:fldChar w:fldCharType="end"/>
      </w:r>
      <w:r>
        <w:t xml:space="preserve"> mutatja, megbecsültük a </w:t>
      </w:r>
      <w:r w:rsidRPr="000935A4">
        <w:rPr>
          <w:b/>
        </w:rPr>
        <w:t>termelékenységre</w:t>
      </w:r>
      <w:r>
        <w:t xml:space="preserve"> vonatkozó GMM modellt, szintén </w:t>
      </w:r>
      <w:proofErr w:type="spellStart"/>
      <w:r>
        <w:t>Orthogonal</w:t>
      </w:r>
      <w:proofErr w:type="spellEnd"/>
      <w:r>
        <w:t xml:space="preserve"> </w:t>
      </w:r>
      <w:proofErr w:type="spellStart"/>
      <w:r>
        <w:t>Deviations</w:t>
      </w:r>
      <w:proofErr w:type="spellEnd"/>
      <w:r>
        <w:t xml:space="preserve"> módszerrel. Nem tekinthetjük igazán eredménynek, hogy a magyarázóerő kevésbé negatív, mint az előző két változóra tett becslésnél (</w:t>
      </w:r>
      <w:proofErr w:type="spellStart"/>
      <w:r>
        <w:t>Adjusted</w:t>
      </w:r>
      <w:proofErr w:type="spellEnd"/>
      <w:r>
        <w:t xml:space="preserve"> </w:t>
      </w:r>
      <w:proofErr w:type="spellStart"/>
      <w:r>
        <w:t>R-squared</w:t>
      </w:r>
      <w:proofErr w:type="spellEnd"/>
      <w:r>
        <w:t xml:space="preserve"> értékei: -0,24; lásd </w:t>
      </w:r>
      <w:r w:rsidR="003F44DC">
        <w:fldChar w:fldCharType="begin"/>
      </w:r>
      <w:r>
        <w:instrText xml:space="preserve"> REF _Ref277061040 \h </w:instrText>
      </w:r>
      <w:r w:rsidR="003F44DC">
        <w:fldChar w:fldCharType="separate"/>
      </w:r>
      <w:r w:rsidR="002D1B7A">
        <w:rPr>
          <w:noProof/>
        </w:rPr>
        <w:t>18</w:t>
      </w:r>
      <w:r w:rsidR="002D1B7A" w:rsidRPr="00CC58AC">
        <w:t>. ábra</w:t>
      </w:r>
      <w:r w:rsidR="003F44DC">
        <w:fldChar w:fldCharType="end"/>
      </w:r>
      <w:r>
        <w:t xml:space="preserve"> és </w:t>
      </w:r>
      <w:r w:rsidR="003F44DC">
        <w:fldChar w:fldCharType="begin"/>
      </w:r>
      <w:r>
        <w:instrText xml:space="preserve"> REF _Ref277061301 \h </w:instrText>
      </w:r>
      <w:r w:rsidR="003F44DC">
        <w:fldChar w:fldCharType="separate"/>
      </w:r>
      <w:r w:rsidR="002D1B7A">
        <w:rPr>
          <w:noProof/>
        </w:rPr>
        <w:t>19</w:t>
      </w:r>
      <w:r w:rsidR="002D1B7A" w:rsidRPr="00CC58AC">
        <w:t>. ábra</w:t>
      </w:r>
      <w:r w:rsidR="003F44DC">
        <w:fldChar w:fldCharType="end"/>
      </w:r>
      <w:r>
        <w:t xml:space="preserve">). </w:t>
      </w:r>
      <w:proofErr w:type="gramStart"/>
      <w:r>
        <w:t>A</w:t>
      </w:r>
      <w:proofErr w:type="gramEnd"/>
      <w:r>
        <w:t xml:space="preserve"> következő lépésben az utolsó modellcsaládunk becslésével folytatjuk.</w:t>
      </w:r>
    </w:p>
    <w:p w:rsidR="00084397" w:rsidRDefault="00084397" w:rsidP="00084397">
      <w:pPr>
        <w:pStyle w:val="HUNHeading3"/>
        <w:ind w:left="504"/>
      </w:pPr>
      <w:bookmarkStart w:id="85" w:name="_Ref277062944"/>
      <w:bookmarkStart w:id="86" w:name="_Toc278793283"/>
      <w:bookmarkStart w:id="87" w:name="_Toc279359359"/>
      <w:proofErr w:type="gramStart"/>
      <w:r>
        <w:t>AR(</w:t>
      </w:r>
      <w:proofErr w:type="gramEnd"/>
      <w:r>
        <w:t>1) taggal kiegészített modellek</w:t>
      </w:r>
      <w:bookmarkEnd w:id="85"/>
      <w:bookmarkEnd w:id="86"/>
      <w:bookmarkEnd w:id="87"/>
    </w:p>
    <w:p w:rsidR="00084397" w:rsidRDefault="00084397" w:rsidP="00084397">
      <w:pPr>
        <w:jc w:val="both"/>
      </w:pPr>
      <w:r>
        <w:t xml:space="preserve">A GMM becslések nem vezettek eredményre. Azonban több korábbi becslésnél megállapítottuk a </w:t>
      </w:r>
      <w:proofErr w:type="spellStart"/>
      <w:r>
        <w:t>Durbin-Watson</w:t>
      </w:r>
      <w:proofErr w:type="spellEnd"/>
      <w:r>
        <w:t xml:space="preserve"> statisztika értéke alapján (lásd </w:t>
      </w:r>
      <w:r w:rsidR="003F44DC">
        <w:fldChar w:fldCharType="begin"/>
      </w:r>
      <w:r>
        <w:instrText xml:space="preserve"> NOTEREF _Ref277058822 \h </w:instrText>
      </w:r>
      <w:r w:rsidR="003F44DC">
        <w:fldChar w:fldCharType="separate"/>
      </w:r>
      <w:r w:rsidR="002D1B7A">
        <w:t>19</w:t>
      </w:r>
      <w:r w:rsidR="003F44DC">
        <w:fldChar w:fldCharType="end"/>
      </w:r>
      <w:r>
        <w:t xml:space="preserve">. lábjegyzet), hogy szükséges lehet egy </w:t>
      </w:r>
      <w:proofErr w:type="spellStart"/>
      <w:r>
        <w:t>autoregresszív</w:t>
      </w:r>
      <w:proofErr w:type="spellEnd"/>
      <w:r>
        <w:t xml:space="preserve"> tag beépít</w:t>
      </w:r>
      <w:r>
        <w:t>é</w:t>
      </w:r>
      <w:r>
        <w:t xml:space="preserve">se a magyarázó változóink közé, azaz a függő változónk egy időszakkal késleltetett értékének szerepeltetése magyarázó változóként. Ezt alapvetően a GLS és 2SLS modellcsaládoknál tehetjük meg kiegészítésként, mivel a random </w:t>
      </w:r>
      <w:proofErr w:type="spellStart"/>
      <w:r>
        <w:t>effects</w:t>
      </w:r>
      <w:proofErr w:type="spellEnd"/>
      <w:r>
        <w:t xml:space="preserve"> és ortogonális eltéréseket használó GMM modellekben technikailag nem lehet ilyen módon becsülni. A most </w:t>
      </w:r>
      <w:r w:rsidRPr="000935A4">
        <w:rPr>
          <w:b/>
        </w:rPr>
        <w:t>következő modellek</w:t>
      </w:r>
      <w:r>
        <w:t xml:space="preserve"> a </w:t>
      </w:r>
      <w:r w:rsidR="003F44DC">
        <w:fldChar w:fldCharType="begin"/>
      </w:r>
      <w:r>
        <w:instrText xml:space="preserve"> REF _Ref276143718 \h </w:instrText>
      </w:r>
      <w:r w:rsidR="003F44DC">
        <w:fldChar w:fldCharType="separate"/>
      </w:r>
      <w:proofErr w:type="spellStart"/>
      <w:r w:rsidR="002D1B7A">
        <w:t>Generalized</w:t>
      </w:r>
      <w:proofErr w:type="spellEnd"/>
      <w:r w:rsidR="002D1B7A">
        <w:t xml:space="preserve"> </w:t>
      </w:r>
      <w:proofErr w:type="spellStart"/>
      <w:r w:rsidR="002D1B7A">
        <w:t>Least</w:t>
      </w:r>
      <w:proofErr w:type="spellEnd"/>
      <w:r w:rsidR="002D1B7A">
        <w:t xml:space="preserve"> </w:t>
      </w:r>
      <w:proofErr w:type="spellStart"/>
      <w:r w:rsidR="002D1B7A">
        <w:t>Squares</w:t>
      </w:r>
      <w:proofErr w:type="spellEnd"/>
      <w:r w:rsidR="003F44DC">
        <w:fldChar w:fldCharType="end"/>
      </w:r>
      <w:r>
        <w:t xml:space="preserve"> és a </w:t>
      </w:r>
      <w:r w:rsidR="003F44DC">
        <w:fldChar w:fldCharType="begin"/>
      </w:r>
      <w:r>
        <w:instrText xml:space="preserve"> REF _Ref277061864 \h </w:instrText>
      </w:r>
      <w:r w:rsidR="003F44DC">
        <w:fldChar w:fldCharType="separate"/>
      </w:r>
      <w:proofErr w:type="spellStart"/>
      <w:r w:rsidR="002D1B7A">
        <w:t>Two-Stage</w:t>
      </w:r>
      <w:proofErr w:type="spellEnd"/>
      <w:r w:rsidR="002D1B7A">
        <w:t xml:space="preserve"> </w:t>
      </w:r>
      <w:proofErr w:type="spellStart"/>
      <w:r w:rsidR="002D1B7A">
        <w:t>Least</w:t>
      </w:r>
      <w:proofErr w:type="spellEnd"/>
      <w:r w:rsidR="002D1B7A">
        <w:t xml:space="preserve"> </w:t>
      </w:r>
      <w:proofErr w:type="spellStart"/>
      <w:r w:rsidR="002D1B7A">
        <w:t>Squares</w:t>
      </w:r>
      <w:proofErr w:type="spellEnd"/>
      <w:r w:rsidR="002D1B7A">
        <w:t xml:space="preserve"> (IV)</w:t>
      </w:r>
      <w:r w:rsidR="003F44DC">
        <w:fldChar w:fldCharType="end"/>
      </w:r>
      <w:r>
        <w:t xml:space="preserve"> alfejezetekben bemutatott becslések </w:t>
      </w:r>
      <w:proofErr w:type="gramStart"/>
      <w:r w:rsidRPr="000935A4">
        <w:rPr>
          <w:b/>
        </w:rPr>
        <w:t>AR(</w:t>
      </w:r>
      <w:proofErr w:type="gramEnd"/>
      <w:r w:rsidRPr="000935A4">
        <w:rPr>
          <w:b/>
        </w:rPr>
        <w:t>1)</w:t>
      </w:r>
      <w:proofErr w:type="spellStart"/>
      <w:r w:rsidRPr="000935A4">
        <w:rPr>
          <w:b/>
        </w:rPr>
        <w:t>-el</w:t>
      </w:r>
      <w:proofErr w:type="spellEnd"/>
      <w:r w:rsidRPr="000935A4">
        <w:rPr>
          <w:b/>
        </w:rPr>
        <w:t xml:space="preserve"> kiegészített</w:t>
      </w:r>
      <w:r>
        <w:t xml:space="preserve"> verziói.</w:t>
      </w:r>
    </w:p>
    <w:p w:rsidR="00084397" w:rsidRDefault="00084397" w:rsidP="00084397">
      <w:pPr>
        <w:jc w:val="both"/>
      </w:pPr>
      <w:r>
        <w:t>Elsőként a nettó hozzáadott értéket vizsgáljuk, egymás alá rendezve és együtt elemezve a két modellt.</w:t>
      </w:r>
    </w:p>
    <w:p w:rsidR="00084397" w:rsidRDefault="00084397" w:rsidP="00084397">
      <w:pPr>
        <w:keepNext/>
        <w:jc w:val="center"/>
      </w:pPr>
      <w:r w:rsidRPr="002715FC">
        <w:rPr>
          <w:noProof/>
        </w:rPr>
        <w:drawing>
          <wp:inline distT="0" distB="0" distL="0" distR="0">
            <wp:extent cx="4253562" cy="3960000"/>
            <wp:effectExtent l="19050" t="19050" r="51738" b="21450"/>
            <wp:docPr id="2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srcRect/>
                    <a:stretch>
                      <a:fillRect/>
                    </a:stretch>
                  </pic:blipFill>
                  <pic:spPr bwMode="auto">
                    <a:xfrm>
                      <a:off x="0" y="0"/>
                      <a:ext cx="4253562" cy="3960000"/>
                    </a:xfrm>
                    <a:prstGeom prst="rect">
                      <a:avLst/>
                    </a:prstGeom>
                    <a:ln>
                      <a:noFill/>
                    </a:ln>
                    <a:effectLst>
                      <a:outerShdw blurRad="50800" dist="38100" dir="2700000" algn="tl" rotWithShape="0">
                        <a:prstClr val="black">
                          <a:alpha val="40000"/>
                        </a:prstClr>
                      </a:outerShdw>
                    </a:effectLst>
                  </pic:spPr>
                </pic:pic>
              </a:graphicData>
            </a:graphic>
          </wp:inline>
        </w:drawing>
      </w:r>
    </w:p>
    <w:bookmarkStart w:id="88" w:name="_Ref276147488"/>
    <w:bookmarkStart w:id="89" w:name="_Ref276457021"/>
    <w:p w:rsidR="00084397" w:rsidRPr="00CC58AC" w:rsidRDefault="003F44DC" w:rsidP="00084397">
      <w:pPr>
        <w:pStyle w:val="Caption"/>
        <w:jc w:val="center"/>
        <w:rPr>
          <w:color w:val="auto"/>
        </w:rPr>
      </w:pPr>
      <w:r w:rsidRPr="00CC58AC">
        <w:rPr>
          <w:color w:val="auto"/>
        </w:rPr>
        <w:fldChar w:fldCharType="begin"/>
      </w:r>
      <w:r w:rsidR="00084397" w:rsidRPr="00CC58AC">
        <w:rPr>
          <w:color w:val="auto"/>
        </w:rPr>
        <w:instrText xml:space="preserve"> SEQ ábra \* ARABIC </w:instrText>
      </w:r>
      <w:r w:rsidRPr="00CC58AC">
        <w:rPr>
          <w:color w:val="auto"/>
        </w:rPr>
        <w:fldChar w:fldCharType="separate"/>
      </w:r>
      <w:bookmarkStart w:id="90" w:name="_Ref276654631"/>
      <w:r w:rsidR="002D1B7A">
        <w:rPr>
          <w:noProof/>
          <w:color w:val="auto"/>
        </w:rPr>
        <w:t>21</w:t>
      </w:r>
      <w:bookmarkEnd w:id="90"/>
      <w:r w:rsidRPr="00CC58AC">
        <w:rPr>
          <w:color w:val="auto"/>
        </w:rPr>
        <w:fldChar w:fldCharType="end"/>
      </w:r>
      <w:r w:rsidR="00084397" w:rsidRPr="00CC58AC">
        <w:rPr>
          <w:color w:val="auto"/>
        </w:rPr>
        <w:t xml:space="preserve">. </w:t>
      </w:r>
      <w:bookmarkStart w:id="91" w:name="_Ref276477944"/>
      <w:r w:rsidR="00084397" w:rsidRPr="00CC58AC">
        <w:rPr>
          <w:color w:val="auto"/>
        </w:rPr>
        <w:t>ábra</w:t>
      </w:r>
      <w:bookmarkEnd w:id="88"/>
      <w:r w:rsidR="00084397" w:rsidRPr="00CC58AC">
        <w:rPr>
          <w:color w:val="auto"/>
        </w:rPr>
        <w:t xml:space="preserve">: </w:t>
      </w:r>
      <w:proofErr w:type="gramStart"/>
      <w:r w:rsidR="00084397" w:rsidRPr="00CC58AC">
        <w:rPr>
          <w:color w:val="auto"/>
        </w:rPr>
        <w:t>AR(</w:t>
      </w:r>
      <w:proofErr w:type="gramEnd"/>
      <w:r w:rsidR="00084397" w:rsidRPr="00CC58AC">
        <w:rPr>
          <w:color w:val="auto"/>
        </w:rPr>
        <w:t>1) GLS – NH</w:t>
      </w:r>
      <w:bookmarkEnd w:id="89"/>
      <w:bookmarkEnd w:id="91"/>
    </w:p>
    <w:p w:rsidR="00084397" w:rsidRDefault="00084397" w:rsidP="00084397">
      <w:pPr>
        <w:keepNext/>
        <w:jc w:val="center"/>
      </w:pPr>
      <w:r w:rsidRPr="002715FC">
        <w:rPr>
          <w:noProof/>
        </w:rPr>
        <w:lastRenderedPageBreak/>
        <w:drawing>
          <wp:inline distT="0" distB="0" distL="0" distR="0">
            <wp:extent cx="5280990" cy="3960000"/>
            <wp:effectExtent l="19050" t="19050" r="53010" b="21450"/>
            <wp:docPr id="2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cstate="print"/>
                    <a:srcRect/>
                    <a:stretch>
                      <a:fillRect/>
                    </a:stretch>
                  </pic:blipFill>
                  <pic:spPr bwMode="auto">
                    <a:xfrm>
                      <a:off x="0" y="0"/>
                      <a:ext cx="5280990" cy="3960000"/>
                    </a:xfrm>
                    <a:prstGeom prst="rect">
                      <a:avLst/>
                    </a:prstGeom>
                    <a:ln>
                      <a:noFill/>
                    </a:ln>
                    <a:effectLst>
                      <a:outerShdw blurRad="50800" dist="38100" dir="2700000" algn="tl" rotWithShape="0">
                        <a:prstClr val="black">
                          <a:alpha val="40000"/>
                        </a:prstClr>
                      </a:outerShdw>
                    </a:effectLst>
                  </pic:spPr>
                </pic:pic>
              </a:graphicData>
            </a:graphic>
          </wp:inline>
        </w:drawing>
      </w:r>
    </w:p>
    <w:bookmarkStart w:id="92" w:name="_Ref276147496"/>
    <w:bookmarkStart w:id="93" w:name="_Ref276458403"/>
    <w:p w:rsidR="00084397" w:rsidRPr="00CC58AC" w:rsidRDefault="003F44DC" w:rsidP="00084397">
      <w:pPr>
        <w:pStyle w:val="Caption"/>
        <w:jc w:val="center"/>
        <w:rPr>
          <w:color w:val="auto"/>
        </w:rPr>
      </w:pPr>
      <w:r w:rsidRPr="00CC58AC">
        <w:rPr>
          <w:color w:val="auto"/>
        </w:rPr>
        <w:fldChar w:fldCharType="begin"/>
      </w:r>
      <w:r w:rsidR="00084397" w:rsidRPr="00CC58AC">
        <w:rPr>
          <w:color w:val="auto"/>
        </w:rPr>
        <w:instrText xml:space="preserve"> SEQ ábra \* ARABIC </w:instrText>
      </w:r>
      <w:r w:rsidRPr="00CC58AC">
        <w:rPr>
          <w:color w:val="auto"/>
        </w:rPr>
        <w:fldChar w:fldCharType="separate"/>
      </w:r>
      <w:r w:rsidR="002D1B7A">
        <w:rPr>
          <w:noProof/>
          <w:color w:val="auto"/>
        </w:rPr>
        <w:t>22</w:t>
      </w:r>
      <w:r w:rsidRPr="00CC58AC">
        <w:rPr>
          <w:color w:val="auto"/>
        </w:rPr>
        <w:fldChar w:fldCharType="end"/>
      </w:r>
      <w:r w:rsidR="00084397" w:rsidRPr="00CC58AC">
        <w:rPr>
          <w:color w:val="auto"/>
        </w:rPr>
        <w:t>. ábra</w:t>
      </w:r>
      <w:bookmarkEnd w:id="92"/>
      <w:r w:rsidR="00084397" w:rsidRPr="00CC58AC">
        <w:rPr>
          <w:color w:val="auto"/>
        </w:rPr>
        <w:t xml:space="preserve">: </w:t>
      </w:r>
      <w:proofErr w:type="gramStart"/>
      <w:r w:rsidR="00084397" w:rsidRPr="00CC58AC">
        <w:rPr>
          <w:color w:val="auto"/>
        </w:rPr>
        <w:t>AR(</w:t>
      </w:r>
      <w:proofErr w:type="gramEnd"/>
      <w:r w:rsidR="00084397" w:rsidRPr="00CC58AC">
        <w:rPr>
          <w:color w:val="auto"/>
        </w:rPr>
        <w:t>1) 2SLS – NH</w:t>
      </w:r>
      <w:bookmarkEnd w:id="93"/>
    </w:p>
    <w:p w:rsidR="00084397" w:rsidRDefault="00084397" w:rsidP="00084397">
      <w:pPr>
        <w:jc w:val="both"/>
      </w:pPr>
      <w:r>
        <w:t xml:space="preserve">A </w:t>
      </w:r>
      <w:r w:rsidRPr="000935A4">
        <w:rPr>
          <w:b/>
        </w:rPr>
        <w:t>nettó hozzáadott értékre</w:t>
      </w:r>
      <w:r>
        <w:t xml:space="preserve"> nézve a keresztmetszetileg súlyozott általánosított legkisebb négyzetek módszere (GLS) egy időszaki késleltetett </w:t>
      </w:r>
      <w:proofErr w:type="spellStart"/>
      <w:r>
        <w:t>autoregresszív</w:t>
      </w:r>
      <w:proofErr w:type="spellEnd"/>
      <w:r>
        <w:t xml:space="preserve"> taggal kiegészítve egészen jelentős eredményt hozott (</w:t>
      </w:r>
      <w:r w:rsidR="003F44DC">
        <w:fldChar w:fldCharType="begin"/>
      </w:r>
      <w:r>
        <w:instrText xml:space="preserve"> REF _Ref276457021 \h </w:instrText>
      </w:r>
      <w:r w:rsidR="003F44DC">
        <w:fldChar w:fldCharType="separate"/>
      </w:r>
      <w:r w:rsidR="002D1B7A">
        <w:rPr>
          <w:noProof/>
        </w:rPr>
        <w:t>21</w:t>
      </w:r>
      <w:r w:rsidR="002D1B7A" w:rsidRPr="00CC58AC">
        <w:t xml:space="preserve">. ábra: </w:t>
      </w:r>
      <w:proofErr w:type="gramStart"/>
      <w:r w:rsidR="002D1B7A" w:rsidRPr="00CC58AC">
        <w:t>AR(</w:t>
      </w:r>
      <w:proofErr w:type="gramEnd"/>
      <w:r w:rsidR="002D1B7A" w:rsidRPr="00CC58AC">
        <w:t>1) GLS – NH</w:t>
      </w:r>
      <w:r w:rsidR="003F44DC">
        <w:fldChar w:fldCharType="end"/>
      </w:r>
      <w:r>
        <w:t>), mind a beruházási támogatások, mind pedig az agrár-környezetgazdálkodási tám</w:t>
      </w:r>
      <w:r>
        <w:t>o</w:t>
      </w:r>
      <w:r>
        <w:t xml:space="preserve">gatások pozitív előjelű együtthatója </w:t>
      </w:r>
      <w:r w:rsidRPr="000935A4">
        <w:rPr>
          <w:b/>
        </w:rPr>
        <w:t>messzemenőkig szignifikáns</w:t>
      </w:r>
      <w:r>
        <w:t xml:space="preserve"> (</w:t>
      </w:r>
      <w:proofErr w:type="spellStart"/>
      <w:r>
        <w:t>p-value</w:t>
      </w:r>
      <w:proofErr w:type="spellEnd"/>
      <w:r>
        <w:t>: 0 és a t-statisztikák is kirívóan magasak). A súlyozatlan magyarázóerő is elég magas (</w:t>
      </w:r>
      <w:proofErr w:type="spellStart"/>
      <w:r>
        <w:t>unweighted</w:t>
      </w:r>
      <w:proofErr w:type="spellEnd"/>
      <w:r>
        <w:t xml:space="preserve"> </w:t>
      </w:r>
      <w:proofErr w:type="spellStart"/>
      <w:r>
        <w:t>R-squared</w:t>
      </w:r>
      <w:proofErr w:type="spellEnd"/>
      <w:r>
        <w:t>: 73%), és ezen még majdnem 20%-pontot javít a súlymátrix használata (</w:t>
      </w:r>
      <w:proofErr w:type="spellStart"/>
      <w:r>
        <w:t>weighted</w:t>
      </w:r>
      <w:proofErr w:type="spellEnd"/>
      <w:r>
        <w:t xml:space="preserve"> </w:t>
      </w:r>
      <w:proofErr w:type="spellStart"/>
      <w:r>
        <w:t>adjusted</w:t>
      </w:r>
      <w:proofErr w:type="spellEnd"/>
      <w:r>
        <w:t xml:space="preserve"> </w:t>
      </w:r>
      <w:proofErr w:type="spellStart"/>
      <w:r>
        <w:t>R-squared</w:t>
      </w:r>
      <w:proofErr w:type="spellEnd"/>
      <w:r>
        <w:t xml:space="preserve">: 92,8%). Az elsőrendű </w:t>
      </w:r>
      <w:proofErr w:type="spellStart"/>
      <w:r>
        <w:t>autokorrelációt</w:t>
      </w:r>
      <w:proofErr w:type="spellEnd"/>
      <w:r>
        <w:t xml:space="preserve"> teljes mértékben sikerült kiszűrni, ahogy a már említett </w:t>
      </w:r>
      <w:proofErr w:type="spellStart"/>
      <w:r>
        <w:t>DW-statisztika</w:t>
      </w:r>
      <w:proofErr w:type="spellEnd"/>
      <w:r>
        <w:t xml:space="preserve"> 2 közeli értékén is látszik (lásd </w:t>
      </w:r>
      <w:r w:rsidR="003F44DC">
        <w:fldChar w:fldCharType="begin"/>
      </w:r>
      <w:r>
        <w:instrText xml:space="preserve"> REF _Ref277048189 \w \h </w:instrText>
      </w:r>
      <w:r w:rsidR="003F44DC">
        <w:fldChar w:fldCharType="separate"/>
      </w:r>
      <w:r w:rsidR="002D1B7A">
        <w:t>3.1.4.2</w:t>
      </w:r>
      <w:r w:rsidR="003F44DC">
        <w:fldChar w:fldCharType="end"/>
      </w:r>
      <w:r>
        <w:t>. alfejezet).</w:t>
      </w:r>
    </w:p>
    <w:p w:rsidR="00084397" w:rsidRDefault="00084397" w:rsidP="00084397">
      <w:pPr>
        <w:jc w:val="both"/>
      </w:pPr>
      <w:r>
        <w:t xml:space="preserve">Amint a </w:t>
      </w:r>
      <w:r w:rsidR="003F44DC">
        <w:fldChar w:fldCharType="begin"/>
      </w:r>
      <w:r>
        <w:instrText xml:space="preserve"> REF _Ref276147496 \h </w:instrText>
      </w:r>
      <w:r w:rsidR="003F44DC">
        <w:fldChar w:fldCharType="separate"/>
      </w:r>
      <w:r w:rsidR="002D1B7A">
        <w:rPr>
          <w:noProof/>
        </w:rPr>
        <w:t>22</w:t>
      </w:r>
      <w:r w:rsidR="002D1B7A" w:rsidRPr="00CC58AC">
        <w:t>. ábra</w:t>
      </w:r>
      <w:r w:rsidR="003F44DC">
        <w:fldChar w:fldCharType="end"/>
      </w:r>
      <w:r>
        <w:t xml:space="preserve"> mutatja, a 2SLS </w:t>
      </w:r>
      <w:proofErr w:type="gramStart"/>
      <w:r>
        <w:t>AR(</w:t>
      </w:r>
      <w:proofErr w:type="gramEnd"/>
      <w:r>
        <w:t xml:space="preserve">1) becslés is sikeresnek mondható, minden együttható szignifikáns, magas a magyarázó erő és a </w:t>
      </w:r>
      <w:proofErr w:type="spellStart"/>
      <w:r>
        <w:t>DW-statisztika</w:t>
      </w:r>
      <w:proofErr w:type="spellEnd"/>
      <w:r>
        <w:t xml:space="preserve"> értéke ideális (2,01). Vastagon kiemeltük az elemzendő együt</w:t>
      </w:r>
      <w:r>
        <w:t>t</w:t>
      </w:r>
      <w:r>
        <w:t xml:space="preserve">hatókat és statisztikai értékeket.  </w:t>
      </w:r>
    </w:p>
    <w:p w:rsidR="00084397" w:rsidRPr="00D11A9B" w:rsidRDefault="00084397" w:rsidP="00084397">
      <w:pPr>
        <w:jc w:val="both"/>
      </w:pPr>
      <w:r>
        <w:t>Az első modellben 1000 Ft beruházási támogatások hatása 65 Ft-ot emel átlagosan a nettó hozzáadott é</w:t>
      </w:r>
      <w:r>
        <w:t>r</w:t>
      </w:r>
      <w:r>
        <w:t>téken, míg az instrumentumokkal bővített modell (</w:t>
      </w:r>
      <w:r w:rsidR="003F44DC">
        <w:fldChar w:fldCharType="begin"/>
      </w:r>
      <w:r>
        <w:instrText xml:space="preserve"> REF _Ref276458403 \h </w:instrText>
      </w:r>
      <w:r w:rsidR="003F44DC">
        <w:fldChar w:fldCharType="separate"/>
      </w:r>
      <w:r w:rsidR="002D1B7A">
        <w:rPr>
          <w:noProof/>
        </w:rPr>
        <w:t>22</w:t>
      </w:r>
      <w:r w:rsidR="002D1B7A" w:rsidRPr="00CC58AC">
        <w:t xml:space="preserve">. ábra: </w:t>
      </w:r>
      <w:proofErr w:type="gramStart"/>
      <w:r w:rsidR="002D1B7A" w:rsidRPr="00CC58AC">
        <w:t>AR(</w:t>
      </w:r>
      <w:proofErr w:type="gramEnd"/>
      <w:r w:rsidR="002D1B7A" w:rsidRPr="00CC58AC">
        <w:t>1) 2SLS – NH</w:t>
      </w:r>
      <w:r w:rsidR="003F44DC">
        <w:fldChar w:fldCharType="end"/>
      </w:r>
      <w:r>
        <w:t>) szerint 137 forintot – azo</w:t>
      </w:r>
      <w:r>
        <w:t>n</w:t>
      </w:r>
      <w:r>
        <w:t xml:space="preserve">ban itt már nem szerepelnek a területalapú támogatások, mivel technikailag kevesebb magyarázóváltozónk lehet, mint instrumentumunk a becslés során. </w:t>
      </w:r>
      <w:r w:rsidRPr="00E023CE">
        <w:rPr>
          <w:b/>
          <w:i/>
        </w:rPr>
        <w:t>Ez a két modellünk jelenti ki biztosan, hogy már az előző id</w:t>
      </w:r>
      <w:r w:rsidRPr="00E023CE">
        <w:rPr>
          <w:b/>
          <w:i/>
        </w:rPr>
        <w:t>ő</w:t>
      </w:r>
      <w:r w:rsidRPr="00E023CE">
        <w:rPr>
          <w:b/>
          <w:i/>
        </w:rPr>
        <w:t>szaki beruházási támogatásoknak is van enyhe, pozitív hatása.</w:t>
      </w:r>
    </w:p>
    <w:p w:rsidR="00084397" w:rsidRDefault="00084397" w:rsidP="00084397">
      <w:pPr>
        <w:keepNext/>
        <w:jc w:val="center"/>
      </w:pPr>
      <w:r w:rsidRPr="002715FC">
        <w:rPr>
          <w:noProof/>
        </w:rPr>
        <w:lastRenderedPageBreak/>
        <w:drawing>
          <wp:inline distT="0" distB="0" distL="0" distR="0">
            <wp:extent cx="5818505" cy="5416344"/>
            <wp:effectExtent l="19050" t="19050" r="48895" b="12906"/>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cstate="print"/>
                    <a:srcRect/>
                    <a:stretch>
                      <a:fillRect/>
                    </a:stretch>
                  </pic:blipFill>
                  <pic:spPr bwMode="auto">
                    <a:xfrm>
                      <a:off x="0" y="0"/>
                      <a:ext cx="5818505" cy="5416344"/>
                    </a:xfrm>
                    <a:prstGeom prst="rect">
                      <a:avLst/>
                    </a:prstGeom>
                    <a:ln>
                      <a:noFill/>
                    </a:ln>
                    <a:effectLst>
                      <a:outerShdw blurRad="50800" dist="38100" dir="2700000" algn="tl" rotWithShape="0">
                        <a:prstClr val="black">
                          <a:alpha val="40000"/>
                        </a:prstClr>
                      </a:outerShdw>
                    </a:effectLst>
                  </pic:spPr>
                </pic:pic>
              </a:graphicData>
            </a:graphic>
          </wp:inline>
        </w:drawing>
      </w:r>
    </w:p>
    <w:bookmarkStart w:id="94" w:name="_Ref276566151"/>
    <w:bookmarkStart w:id="95" w:name="_Ref276466292"/>
    <w:p w:rsidR="00084397" w:rsidRPr="00CC58AC" w:rsidRDefault="003F44DC" w:rsidP="00084397">
      <w:pPr>
        <w:pStyle w:val="Caption"/>
        <w:jc w:val="center"/>
        <w:rPr>
          <w:color w:val="auto"/>
        </w:rPr>
      </w:pPr>
      <w:r w:rsidRPr="00CC58AC">
        <w:rPr>
          <w:color w:val="auto"/>
        </w:rPr>
        <w:fldChar w:fldCharType="begin"/>
      </w:r>
      <w:r w:rsidR="00084397" w:rsidRPr="00CC58AC">
        <w:rPr>
          <w:color w:val="auto"/>
        </w:rPr>
        <w:instrText xml:space="preserve"> SEQ ábra \* ARABIC </w:instrText>
      </w:r>
      <w:r w:rsidRPr="00CC58AC">
        <w:rPr>
          <w:color w:val="auto"/>
        </w:rPr>
        <w:fldChar w:fldCharType="separate"/>
      </w:r>
      <w:bookmarkStart w:id="96" w:name="_Ref276471177"/>
      <w:r w:rsidR="002D1B7A">
        <w:rPr>
          <w:noProof/>
          <w:color w:val="auto"/>
        </w:rPr>
        <w:t>23</w:t>
      </w:r>
      <w:bookmarkEnd w:id="96"/>
      <w:r w:rsidRPr="00CC58AC">
        <w:rPr>
          <w:color w:val="auto"/>
        </w:rPr>
        <w:fldChar w:fldCharType="end"/>
      </w:r>
      <w:r w:rsidR="00084397" w:rsidRPr="00CC58AC">
        <w:rPr>
          <w:color w:val="auto"/>
        </w:rPr>
        <w:t>. ábra</w:t>
      </w:r>
      <w:bookmarkEnd w:id="94"/>
      <w:r w:rsidR="00084397" w:rsidRPr="00CC58AC">
        <w:rPr>
          <w:color w:val="auto"/>
        </w:rPr>
        <w:t xml:space="preserve">: </w:t>
      </w:r>
      <w:proofErr w:type="gramStart"/>
      <w:r w:rsidR="00084397" w:rsidRPr="00CC58AC">
        <w:rPr>
          <w:color w:val="auto"/>
        </w:rPr>
        <w:t>AR(</w:t>
      </w:r>
      <w:proofErr w:type="gramEnd"/>
      <w:r w:rsidR="00084397" w:rsidRPr="00CC58AC">
        <w:rPr>
          <w:color w:val="auto"/>
        </w:rPr>
        <w:t>1) GLS – MUNKA</w:t>
      </w:r>
      <w:bookmarkEnd w:id="95"/>
    </w:p>
    <w:p w:rsidR="00084397" w:rsidRDefault="00084397" w:rsidP="00084397">
      <w:pPr>
        <w:keepNext/>
        <w:jc w:val="center"/>
      </w:pPr>
      <w:r w:rsidRPr="002715FC">
        <w:rPr>
          <w:noProof/>
        </w:rPr>
        <w:lastRenderedPageBreak/>
        <w:drawing>
          <wp:inline distT="0" distB="0" distL="0" distR="0">
            <wp:extent cx="5818505" cy="4362103"/>
            <wp:effectExtent l="19050" t="19050" r="48895" b="19397"/>
            <wp:docPr id="3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cstate="print"/>
                    <a:srcRect/>
                    <a:stretch>
                      <a:fillRect/>
                    </a:stretch>
                  </pic:blipFill>
                  <pic:spPr bwMode="auto">
                    <a:xfrm>
                      <a:off x="0" y="0"/>
                      <a:ext cx="5818505" cy="4362103"/>
                    </a:xfrm>
                    <a:prstGeom prst="rect">
                      <a:avLst/>
                    </a:prstGeom>
                    <a:ln>
                      <a:noFill/>
                    </a:ln>
                    <a:effectLst>
                      <a:outerShdw blurRad="50800" dist="38100" dir="2700000" algn="tl" rotWithShape="0">
                        <a:prstClr val="black">
                          <a:alpha val="40000"/>
                        </a:prstClr>
                      </a:outerShdw>
                    </a:effectLst>
                  </pic:spPr>
                </pic:pic>
              </a:graphicData>
            </a:graphic>
          </wp:inline>
        </w:drawing>
      </w:r>
    </w:p>
    <w:bookmarkStart w:id="97" w:name="_Ref276566152"/>
    <w:bookmarkStart w:id="98" w:name="_Ref276466310"/>
    <w:p w:rsidR="00084397" w:rsidRPr="00CC58AC" w:rsidRDefault="003F44DC" w:rsidP="00084397">
      <w:pPr>
        <w:pStyle w:val="Caption"/>
        <w:jc w:val="center"/>
        <w:rPr>
          <w:color w:val="auto"/>
        </w:rPr>
      </w:pPr>
      <w:r w:rsidRPr="00CC58AC">
        <w:rPr>
          <w:color w:val="auto"/>
        </w:rPr>
        <w:fldChar w:fldCharType="begin"/>
      </w:r>
      <w:r w:rsidR="00084397" w:rsidRPr="00CC58AC">
        <w:rPr>
          <w:color w:val="auto"/>
        </w:rPr>
        <w:instrText xml:space="preserve"> SEQ ábra \* ARABIC </w:instrText>
      </w:r>
      <w:r w:rsidRPr="00CC58AC">
        <w:rPr>
          <w:color w:val="auto"/>
        </w:rPr>
        <w:fldChar w:fldCharType="separate"/>
      </w:r>
      <w:bookmarkStart w:id="99" w:name="_Ref276471178"/>
      <w:r w:rsidR="002D1B7A">
        <w:rPr>
          <w:noProof/>
          <w:color w:val="auto"/>
        </w:rPr>
        <w:t>24</w:t>
      </w:r>
      <w:bookmarkEnd w:id="99"/>
      <w:r w:rsidRPr="00CC58AC">
        <w:rPr>
          <w:color w:val="auto"/>
        </w:rPr>
        <w:fldChar w:fldCharType="end"/>
      </w:r>
      <w:r w:rsidR="00084397" w:rsidRPr="00CC58AC">
        <w:rPr>
          <w:color w:val="auto"/>
        </w:rPr>
        <w:t>. ábra</w:t>
      </w:r>
      <w:bookmarkEnd w:id="97"/>
      <w:r w:rsidR="00084397" w:rsidRPr="00CC58AC">
        <w:rPr>
          <w:color w:val="auto"/>
        </w:rPr>
        <w:t xml:space="preserve">: </w:t>
      </w:r>
      <w:proofErr w:type="gramStart"/>
      <w:r w:rsidR="00084397" w:rsidRPr="00CC58AC">
        <w:rPr>
          <w:color w:val="auto"/>
        </w:rPr>
        <w:t>AR(</w:t>
      </w:r>
      <w:proofErr w:type="gramEnd"/>
      <w:r w:rsidR="00084397" w:rsidRPr="00CC58AC">
        <w:rPr>
          <w:color w:val="auto"/>
        </w:rPr>
        <w:t>1) 2SLS – MUNKA</w:t>
      </w:r>
      <w:bookmarkEnd w:id="98"/>
    </w:p>
    <w:p w:rsidR="00084397" w:rsidRDefault="00084397" w:rsidP="00084397">
      <w:pPr>
        <w:jc w:val="both"/>
      </w:pPr>
      <w:r>
        <w:t xml:space="preserve">A </w:t>
      </w:r>
      <w:r w:rsidRPr="000935A4">
        <w:rPr>
          <w:b/>
        </w:rPr>
        <w:t>munkakapacitásra</w:t>
      </w:r>
      <w:r>
        <w:t xml:space="preserve"> vonatkozóan bár az </w:t>
      </w:r>
      <w:proofErr w:type="gramStart"/>
      <w:r>
        <w:t>AR(</w:t>
      </w:r>
      <w:proofErr w:type="gramEnd"/>
      <w:r>
        <w:t xml:space="preserve">1) </w:t>
      </w:r>
      <w:proofErr w:type="spellStart"/>
      <w:r>
        <w:t>modelleink</w:t>
      </w:r>
      <w:proofErr w:type="spellEnd"/>
      <w:r>
        <w:t xml:space="preserve"> magyarázóereje szinte 100%-ra nőtt, a beruház</w:t>
      </w:r>
      <w:r>
        <w:t>á</w:t>
      </w:r>
      <w:r>
        <w:t>si támogatások hatása egyik esetben enyhén negatív (</w:t>
      </w:r>
      <w:r w:rsidR="003F44DC">
        <w:fldChar w:fldCharType="begin"/>
      </w:r>
      <w:r>
        <w:instrText xml:space="preserve"> REF _Ref276466292 \h </w:instrText>
      </w:r>
      <w:r w:rsidR="003F44DC">
        <w:fldChar w:fldCharType="separate"/>
      </w:r>
      <w:r w:rsidR="002D1B7A">
        <w:rPr>
          <w:noProof/>
        </w:rPr>
        <w:t>23</w:t>
      </w:r>
      <w:r w:rsidR="002D1B7A" w:rsidRPr="00CC58AC">
        <w:t>. ábra: AR(1) GLS – MUNKA</w:t>
      </w:r>
      <w:r w:rsidR="003F44DC">
        <w:fldChar w:fldCharType="end"/>
      </w:r>
      <w:r>
        <w:t>), másik esetben en</w:t>
      </w:r>
      <w:r>
        <w:t>y</w:t>
      </w:r>
      <w:r>
        <w:t>hén pozitív (</w:t>
      </w:r>
      <w:r w:rsidR="003F44DC">
        <w:fldChar w:fldCharType="begin"/>
      </w:r>
      <w:r>
        <w:instrText xml:space="preserve"> REF _Ref276466310 \h </w:instrText>
      </w:r>
      <w:r w:rsidR="003F44DC">
        <w:fldChar w:fldCharType="separate"/>
      </w:r>
      <w:r w:rsidR="002D1B7A">
        <w:rPr>
          <w:noProof/>
        </w:rPr>
        <w:t>24</w:t>
      </w:r>
      <w:r w:rsidR="002D1B7A" w:rsidRPr="00CC58AC">
        <w:t>. ábra: AR(1) 2SLS – MUNKA</w:t>
      </w:r>
      <w:r w:rsidR="003F44DC">
        <w:fldChar w:fldCharType="end"/>
      </w:r>
      <w:r>
        <w:t>) hatással jelenik meg (-2,18 és 5 x 10</w:t>
      </w:r>
      <w:r>
        <w:rPr>
          <w:vertAlign w:val="superscript"/>
        </w:rPr>
        <w:t>-5</w:t>
      </w:r>
      <w:r>
        <w:t xml:space="preserve">). </w:t>
      </w:r>
      <w:r w:rsidRPr="000935A4">
        <w:rPr>
          <w:b/>
        </w:rPr>
        <w:t>Nem jelenthetjük ki nagy biztonsággal</w:t>
      </w:r>
      <w:r>
        <w:t xml:space="preserve">, hogy a </w:t>
      </w:r>
      <w:r w:rsidRPr="000935A4">
        <w:rPr>
          <w:b/>
        </w:rPr>
        <w:t>beruházási</w:t>
      </w:r>
      <w:r>
        <w:t xml:space="preserve"> támogatásoknak van </w:t>
      </w:r>
      <w:r w:rsidRPr="000935A4">
        <w:rPr>
          <w:b/>
        </w:rPr>
        <w:t>hatása</w:t>
      </w:r>
      <w:r>
        <w:t xml:space="preserve"> a </w:t>
      </w:r>
      <w:r w:rsidRPr="000935A4">
        <w:rPr>
          <w:b/>
        </w:rPr>
        <w:t>foglalkoztatásra</w:t>
      </w:r>
      <w:r>
        <w:t xml:space="preserve"> a tesztüzemi adatokból készített modellek alapján.</w:t>
      </w:r>
    </w:p>
    <w:p w:rsidR="00084397" w:rsidRDefault="00084397" w:rsidP="00084397">
      <w:pPr>
        <w:jc w:val="both"/>
      </w:pPr>
      <w:r>
        <w:t xml:space="preserve">Az </w:t>
      </w:r>
      <w:r w:rsidRPr="000935A4">
        <w:rPr>
          <w:b/>
        </w:rPr>
        <w:t>AKG</w:t>
      </w:r>
      <w:r>
        <w:t xml:space="preserve"> </w:t>
      </w:r>
      <w:r w:rsidRPr="000935A4">
        <w:rPr>
          <w:b/>
        </w:rPr>
        <w:t>szignifikáns</w:t>
      </w:r>
      <w:r>
        <w:t xml:space="preserve"> </w:t>
      </w:r>
      <w:r w:rsidRPr="000935A4">
        <w:rPr>
          <w:b/>
        </w:rPr>
        <w:t>pozitív</w:t>
      </w:r>
      <w:r>
        <w:t xml:space="preserve"> hatása (</w:t>
      </w:r>
      <w:r w:rsidR="003F44DC">
        <w:fldChar w:fldCharType="begin"/>
      </w:r>
      <w:r>
        <w:instrText xml:space="preserve"> REF _Ref276566151 \h </w:instrText>
      </w:r>
      <w:r w:rsidR="003F44DC">
        <w:fldChar w:fldCharType="separate"/>
      </w:r>
      <w:r w:rsidR="002D1B7A">
        <w:rPr>
          <w:noProof/>
        </w:rPr>
        <w:t>23</w:t>
      </w:r>
      <w:r w:rsidR="002D1B7A" w:rsidRPr="00CC58AC">
        <w:t>. ábra</w:t>
      </w:r>
      <w:r w:rsidR="003F44DC">
        <w:fldChar w:fldCharType="end"/>
      </w:r>
      <w:r>
        <w:t xml:space="preserve">) körülbelül a SAPS harmadának felel meg a modelljeink alapján, ami megfelel a várható értékük arányának is (lásd </w:t>
      </w:r>
      <w:r w:rsidR="003F44DC">
        <w:fldChar w:fldCharType="begin"/>
      </w:r>
      <w:r>
        <w:instrText xml:space="preserve"> REF _Ref276736776 \h </w:instrText>
      </w:r>
      <w:r w:rsidR="003F44DC">
        <w:fldChar w:fldCharType="separate"/>
      </w:r>
      <w:r w:rsidR="002D1B7A">
        <w:rPr>
          <w:noProof/>
        </w:rPr>
        <w:t>4</w:t>
      </w:r>
      <w:r w:rsidR="002D1B7A" w:rsidRPr="00834E5D">
        <w:t>. táblázat</w:t>
      </w:r>
      <w:r w:rsidR="003F44DC">
        <w:fldChar w:fldCharType="end"/>
      </w:r>
      <w:r>
        <w:t xml:space="preserve">). </w:t>
      </w:r>
      <w:proofErr w:type="gramStart"/>
      <w:r>
        <w:t>A</w:t>
      </w:r>
      <w:proofErr w:type="gramEnd"/>
      <w:r>
        <w:t xml:space="preserve"> </w:t>
      </w:r>
      <w:proofErr w:type="spellStart"/>
      <w:r>
        <w:t>Durbin-Watson</w:t>
      </w:r>
      <w:proofErr w:type="spellEnd"/>
      <w:r>
        <w:t xml:space="preserve"> statisztikák értéke (1,78 és 1,77) megfelelő, a türelmi sávon belül található.</w:t>
      </w:r>
    </w:p>
    <w:p w:rsidR="00084397" w:rsidRPr="00B61840" w:rsidRDefault="00084397" w:rsidP="00084397">
      <w:pPr>
        <w:jc w:val="both"/>
      </w:pPr>
      <w:r>
        <w:t xml:space="preserve">Térjünk át a termelékenységi változónk vizsgálatára az </w:t>
      </w:r>
      <w:proofErr w:type="spellStart"/>
      <w:r>
        <w:t>autoregresszív</w:t>
      </w:r>
      <w:proofErr w:type="spellEnd"/>
      <w:r>
        <w:t xml:space="preserve"> modellcsalád elemzésének keretében. </w:t>
      </w:r>
    </w:p>
    <w:p w:rsidR="00084397" w:rsidRDefault="00084397" w:rsidP="00084397">
      <w:pPr>
        <w:keepNext/>
        <w:jc w:val="center"/>
      </w:pPr>
      <w:r w:rsidRPr="002715FC">
        <w:rPr>
          <w:noProof/>
        </w:rPr>
        <w:lastRenderedPageBreak/>
        <w:drawing>
          <wp:inline distT="0" distB="0" distL="0" distR="0">
            <wp:extent cx="5818505" cy="5416344"/>
            <wp:effectExtent l="19050" t="19050" r="48895" b="12906"/>
            <wp:docPr id="6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cstate="print"/>
                    <a:srcRect/>
                    <a:stretch>
                      <a:fillRect/>
                    </a:stretch>
                  </pic:blipFill>
                  <pic:spPr bwMode="auto">
                    <a:xfrm>
                      <a:off x="0" y="0"/>
                      <a:ext cx="5818505" cy="5416344"/>
                    </a:xfrm>
                    <a:prstGeom prst="rect">
                      <a:avLst/>
                    </a:prstGeom>
                    <a:ln>
                      <a:noFill/>
                    </a:ln>
                    <a:effectLst>
                      <a:outerShdw blurRad="50800" dist="38100" dir="2700000" algn="tl" rotWithShape="0">
                        <a:prstClr val="black">
                          <a:alpha val="40000"/>
                        </a:prstClr>
                      </a:outerShdw>
                    </a:effectLst>
                  </pic:spPr>
                </pic:pic>
              </a:graphicData>
            </a:graphic>
          </wp:inline>
        </w:drawing>
      </w:r>
    </w:p>
    <w:bookmarkStart w:id="100" w:name="_Ref276566169"/>
    <w:p w:rsidR="00084397" w:rsidRPr="00CC58AC" w:rsidRDefault="003F44DC" w:rsidP="00084397">
      <w:pPr>
        <w:pStyle w:val="Caption"/>
        <w:jc w:val="center"/>
        <w:rPr>
          <w:color w:val="auto"/>
        </w:rPr>
      </w:pPr>
      <w:r w:rsidRPr="00CC58AC">
        <w:rPr>
          <w:color w:val="auto"/>
        </w:rPr>
        <w:fldChar w:fldCharType="begin"/>
      </w:r>
      <w:r w:rsidR="00084397" w:rsidRPr="00CC58AC">
        <w:rPr>
          <w:color w:val="auto"/>
        </w:rPr>
        <w:instrText xml:space="preserve"> SEQ ábra \* ARABIC </w:instrText>
      </w:r>
      <w:r w:rsidRPr="00CC58AC">
        <w:rPr>
          <w:color w:val="auto"/>
        </w:rPr>
        <w:fldChar w:fldCharType="separate"/>
      </w:r>
      <w:bookmarkStart w:id="101" w:name="_Ref276654714"/>
      <w:r w:rsidR="002D1B7A">
        <w:rPr>
          <w:noProof/>
          <w:color w:val="auto"/>
        </w:rPr>
        <w:t>25</w:t>
      </w:r>
      <w:bookmarkEnd w:id="101"/>
      <w:r w:rsidRPr="00CC58AC">
        <w:rPr>
          <w:color w:val="auto"/>
        </w:rPr>
        <w:fldChar w:fldCharType="end"/>
      </w:r>
      <w:r w:rsidR="00084397" w:rsidRPr="00CC58AC">
        <w:rPr>
          <w:color w:val="auto"/>
        </w:rPr>
        <w:t>. ábra</w:t>
      </w:r>
      <w:bookmarkEnd w:id="100"/>
      <w:r w:rsidR="00084397" w:rsidRPr="00CC58AC">
        <w:rPr>
          <w:color w:val="auto"/>
        </w:rPr>
        <w:t xml:space="preserve">: </w:t>
      </w:r>
      <w:proofErr w:type="gramStart"/>
      <w:r w:rsidR="00084397" w:rsidRPr="00CC58AC">
        <w:rPr>
          <w:color w:val="auto"/>
        </w:rPr>
        <w:t>AR(</w:t>
      </w:r>
      <w:proofErr w:type="gramEnd"/>
      <w:r w:rsidR="00084397" w:rsidRPr="00CC58AC">
        <w:rPr>
          <w:color w:val="auto"/>
        </w:rPr>
        <w:t>1) GLS – TERM</w:t>
      </w:r>
    </w:p>
    <w:p w:rsidR="00084397" w:rsidRDefault="00084397" w:rsidP="00084397">
      <w:pPr>
        <w:keepNext/>
        <w:jc w:val="center"/>
      </w:pPr>
      <w:r w:rsidRPr="002715FC">
        <w:rPr>
          <w:noProof/>
        </w:rPr>
        <w:lastRenderedPageBreak/>
        <w:drawing>
          <wp:inline distT="0" distB="0" distL="0" distR="0">
            <wp:extent cx="5818505" cy="4362103"/>
            <wp:effectExtent l="19050" t="19050" r="48895" b="19397"/>
            <wp:docPr id="6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cstate="print"/>
                    <a:srcRect/>
                    <a:stretch>
                      <a:fillRect/>
                    </a:stretch>
                  </pic:blipFill>
                  <pic:spPr bwMode="auto">
                    <a:xfrm>
                      <a:off x="0" y="0"/>
                      <a:ext cx="5818505" cy="4362103"/>
                    </a:xfrm>
                    <a:prstGeom prst="rect">
                      <a:avLst/>
                    </a:prstGeom>
                    <a:ln>
                      <a:noFill/>
                    </a:ln>
                    <a:effectLst>
                      <a:outerShdw blurRad="50800" dist="38100" dir="2700000" algn="tl" rotWithShape="0">
                        <a:prstClr val="black">
                          <a:alpha val="40000"/>
                        </a:prstClr>
                      </a:outerShdw>
                    </a:effectLst>
                  </pic:spPr>
                </pic:pic>
              </a:graphicData>
            </a:graphic>
          </wp:inline>
        </w:drawing>
      </w:r>
    </w:p>
    <w:bookmarkStart w:id="102" w:name="_Ref276566170"/>
    <w:bookmarkStart w:id="103" w:name="_Ref276466852"/>
    <w:p w:rsidR="00084397" w:rsidRPr="00CC58AC" w:rsidRDefault="003F44DC" w:rsidP="00084397">
      <w:pPr>
        <w:pStyle w:val="Caption"/>
        <w:jc w:val="center"/>
        <w:rPr>
          <w:color w:val="auto"/>
        </w:rPr>
      </w:pPr>
      <w:r w:rsidRPr="00CC58AC">
        <w:rPr>
          <w:color w:val="auto"/>
        </w:rPr>
        <w:fldChar w:fldCharType="begin"/>
      </w:r>
      <w:r w:rsidR="00084397" w:rsidRPr="00CC58AC">
        <w:rPr>
          <w:color w:val="auto"/>
        </w:rPr>
        <w:instrText xml:space="preserve"> SEQ ábra \* ARABIC </w:instrText>
      </w:r>
      <w:r w:rsidRPr="00CC58AC">
        <w:rPr>
          <w:color w:val="auto"/>
        </w:rPr>
        <w:fldChar w:fldCharType="separate"/>
      </w:r>
      <w:bookmarkStart w:id="104" w:name="_Ref276471261"/>
      <w:r w:rsidR="002D1B7A">
        <w:rPr>
          <w:noProof/>
          <w:color w:val="auto"/>
        </w:rPr>
        <w:t>26</w:t>
      </w:r>
      <w:bookmarkEnd w:id="104"/>
      <w:r w:rsidRPr="00CC58AC">
        <w:rPr>
          <w:color w:val="auto"/>
        </w:rPr>
        <w:fldChar w:fldCharType="end"/>
      </w:r>
      <w:r w:rsidR="00084397" w:rsidRPr="00CC58AC">
        <w:rPr>
          <w:color w:val="auto"/>
        </w:rPr>
        <w:t>. ábra</w:t>
      </w:r>
      <w:bookmarkEnd w:id="102"/>
      <w:r w:rsidR="00084397" w:rsidRPr="00CC58AC">
        <w:rPr>
          <w:color w:val="auto"/>
        </w:rPr>
        <w:t xml:space="preserve">: </w:t>
      </w:r>
      <w:proofErr w:type="gramStart"/>
      <w:r w:rsidR="00084397" w:rsidRPr="00CC58AC">
        <w:rPr>
          <w:color w:val="auto"/>
        </w:rPr>
        <w:t>AR(</w:t>
      </w:r>
      <w:proofErr w:type="gramEnd"/>
      <w:r w:rsidR="00084397" w:rsidRPr="00CC58AC">
        <w:rPr>
          <w:color w:val="auto"/>
        </w:rPr>
        <w:t>1) 2SLS – TERM</w:t>
      </w:r>
      <w:bookmarkEnd w:id="103"/>
    </w:p>
    <w:p w:rsidR="00084397" w:rsidRDefault="00084397" w:rsidP="00084397">
      <w:pPr>
        <w:jc w:val="both"/>
      </w:pPr>
      <w:r>
        <w:t xml:space="preserve">Amint azt a </w:t>
      </w:r>
      <w:r w:rsidR="003F44DC">
        <w:fldChar w:fldCharType="begin"/>
      </w:r>
      <w:r>
        <w:instrText xml:space="preserve"> REF _Ref276566169 \h </w:instrText>
      </w:r>
      <w:r w:rsidR="003F44DC">
        <w:fldChar w:fldCharType="separate"/>
      </w:r>
      <w:r w:rsidR="002D1B7A">
        <w:rPr>
          <w:noProof/>
        </w:rPr>
        <w:t>25</w:t>
      </w:r>
      <w:r w:rsidR="002D1B7A" w:rsidRPr="00CC58AC">
        <w:t>. ábra</w:t>
      </w:r>
      <w:r w:rsidR="003F44DC">
        <w:fldChar w:fldCharType="end"/>
      </w:r>
      <w:r>
        <w:t xml:space="preserve"> és </w:t>
      </w:r>
      <w:r w:rsidR="003F44DC">
        <w:fldChar w:fldCharType="begin"/>
      </w:r>
      <w:r>
        <w:instrText xml:space="preserve"> REF _Ref276566170 \h </w:instrText>
      </w:r>
      <w:r w:rsidR="003F44DC">
        <w:fldChar w:fldCharType="separate"/>
      </w:r>
      <w:r w:rsidR="002D1B7A">
        <w:rPr>
          <w:noProof/>
        </w:rPr>
        <w:t>26</w:t>
      </w:r>
      <w:r w:rsidR="002D1B7A" w:rsidRPr="00CC58AC">
        <w:t>. ábra</w:t>
      </w:r>
      <w:r w:rsidR="003F44DC">
        <w:fldChar w:fldCharType="end"/>
      </w:r>
      <w:r>
        <w:t xml:space="preserve"> is mutatja, a </w:t>
      </w:r>
      <w:r w:rsidRPr="000935A4">
        <w:rPr>
          <w:b/>
        </w:rPr>
        <w:t>termelékenységi</w:t>
      </w:r>
      <w:r>
        <w:t xml:space="preserve"> mutatónkra </w:t>
      </w:r>
      <w:r w:rsidRPr="00F81846">
        <w:rPr>
          <w:b/>
          <w:i/>
        </w:rPr>
        <w:t>10%-os szint</w:t>
      </w:r>
      <w:r>
        <w:t xml:space="preserve"> mellett </w:t>
      </w:r>
      <w:r w:rsidRPr="000935A4">
        <w:rPr>
          <w:b/>
        </w:rPr>
        <w:t>szignifiká</w:t>
      </w:r>
      <w:r w:rsidRPr="000935A4">
        <w:rPr>
          <w:b/>
        </w:rPr>
        <w:t>n</w:t>
      </w:r>
      <w:r w:rsidRPr="000935A4">
        <w:rPr>
          <w:b/>
        </w:rPr>
        <w:t>san pozitívan hatnak a beruházási támogatások</w:t>
      </w:r>
      <w:r>
        <w:t xml:space="preserve"> (lásd </w:t>
      </w:r>
      <w:r w:rsidR="003F44DC">
        <w:fldChar w:fldCharType="begin"/>
      </w:r>
      <w:r>
        <w:instrText xml:space="preserve"> REF _Ref276466852 \h </w:instrText>
      </w:r>
      <w:r w:rsidR="003F44DC">
        <w:fldChar w:fldCharType="separate"/>
      </w:r>
      <w:r w:rsidR="002D1B7A">
        <w:rPr>
          <w:noProof/>
        </w:rPr>
        <w:t>26</w:t>
      </w:r>
      <w:r w:rsidR="002D1B7A" w:rsidRPr="00CC58AC">
        <w:t xml:space="preserve">. ábra: </w:t>
      </w:r>
      <w:proofErr w:type="gramStart"/>
      <w:r w:rsidR="002D1B7A" w:rsidRPr="00CC58AC">
        <w:t>AR(</w:t>
      </w:r>
      <w:proofErr w:type="gramEnd"/>
      <w:r w:rsidR="002D1B7A" w:rsidRPr="00CC58AC">
        <w:t>1) 2SLS – TERM</w:t>
      </w:r>
      <w:r w:rsidR="003F44DC">
        <w:fldChar w:fldCharType="end"/>
      </w:r>
      <w:r>
        <w:t xml:space="preserve">). Vastagon szedve és pirossal kiemelve találhatóak azok a sorok az ábrákon, amelyeket a döntéshez felhasználtunk. </w:t>
      </w:r>
    </w:p>
    <w:p w:rsidR="00084397" w:rsidRDefault="00084397" w:rsidP="00084397">
      <w:pPr>
        <w:jc w:val="both"/>
      </w:pPr>
      <w:r>
        <w:t>Az EUME és a termelékenységi mutató (nettó hozzáadott érték/munkakapacitás) szignifikánsan egymással ellentétesen mozognak (az együttható értéke: -1,3 és -1,6 a két modellben). A modellek magyarázó ereje 90% fölötti (</w:t>
      </w:r>
      <w:proofErr w:type="spellStart"/>
      <w:r>
        <w:t>adjusted</w:t>
      </w:r>
      <w:proofErr w:type="spellEnd"/>
      <w:r>
        <w:t xml:space="preserve"> </w:t>
      </w:r>
      <w:proofErr w:type="spellStart"/>
      <w:r>
        <w:t>R-squared</w:t>
      </w:r>
      <w:proofErr w:type="spellEnd"/>
      <w:r>
        <w:t xml:space="preserve">), és a </w:t>
      </w:r>
      <w:proofErr w:type="spellStart"/>
      <w:r>
        <w:t>DW-statisztika</w:t>
      </w:r>
      <w:proofErr w:type="spellEnd"/>
      <w:r>
        <w:t xml:space="preserve"> értéke az ideális kettőtől nem tér el. Ezek után a m</w:t>
      </w:r>
      <w:r>
        <w:t>o</w:t>
      </w:r>
      <w:r>
        <w:t xml:space="preserve">dell szerint, a </w:t>
      </w:r>
      <w:r w:rsidRPr="000935A4">
        <w:rPr>
          <w:b/>
        </w:rPr>
        <w:t>beruházási támogatás</w:t>
      </w:r>
      <w:r>
        <w:t xml:space="preserve"> együtthatója alapján </w:t>
      </w:r>
      <w:r w:rsidRPr="000935A4">
        <w:rPr>
          <w:b/>
        </w:rPr>
        <w:t>1000 Ft támogatás 0,064-el mozdítja felfelé a termelékenységet</w:t>
      </w:r>
      <w:r>
        <w:t>, ami a fejlesztési támogatásoktól elvárt irányt jelenti.</w:t>
      </w:r>
    </w:p>
    <w:p w:rsidR="00084397" w:rsidRDefault="00084397" w:rsidP="00084397">
      <w:pPr>
        <w:jc w:val="both"/>
      </w:pPr>
      <w:r>
        <w:t xml:space="preserve">Az </w:t>
      </w:r>
      <w:r w:rsidRPr="000935A4">
        <w:rPr>
          <w:b/>
        </w:rPr>
        <w:t>AKG</w:t>
      </w:r>
      <w:r>
        <w:t xml:space="preserve"> támogatás </w:t>
      </w:r>
      <w:r w:rsidRPr="000935A4">
        <w:rPr>
          <w:b/>
        </w:rPr>
        <w:t>hatása</w:t>
      </w:r>
      <w:r>
        <w:t xml:space="preserve"> a termelékenység </w:t>
      </w:r>
      <w:proofErr w:type="spellStart"/>
      <w:r>
        <w:t>autoregresszív</w:t>
      </w:r>
      <w:proofErr w:type="spellEnd"/>
      <w:r>
        <w:t xml:space="preserve"> modelljében </w:t>
      </w:r>
      <w:r w:rsidRPr="000935A4">
        <w:rPr>
          <w:b/>
        </w:rPr>
        <w:t>nem kimutatható</w:t>
      </w:r>
      <w:r>
        <w:t xml:space="preserve"> (</w:t>
      </w:r>
      <w:r w:rsidR="003F44DC">
        <w:fldChar w:fldCharType="begin"/>
      </w:r>
      <w:r>
        <w:instrText xml:space="preserve"> REF _Ref276566169 \h </w:instrText>
      </w:r>
      <w:r w:rsidR="003F44DC">
        <w:fldChar w:fldCharType="separate"/>
      </w:r>
      <w:r w:rsidR="002D1B7A">
        <w:rPr>
          <w:noProof/>
        </w:rPr>
        <w:t>25</w:t>
      </w:r>
      <w:r w:rsidR="002D1B7A" w:rsidRPr="00CC58AC">
        <w:t>. ábra</w:t>
      </w:r>
      <w:r w:rsidR="003F44DC">
        <w:fldChar w:fldCharType="end"/>
      </w:r>
      <w:r>
        <w:t>), amiből arra következtetünk, hogy bár a nettó hozzáadott értékben megjelenhet az AKG területalapú támogatás h</w:t>
      </w:r>
      <w:r>
        <w:t>a</w:t>
      </w:r>
      <w:r>
        <w:t>tása, mikor ezt munkakapacitásra vetítjük, ez a hatás elvész. Ez azonban az előzetes feltételezettekkel eg</w:t>
      </w:r>
      <w:r>
        <w:t>y</w:t>
      </w:r>
      <w:r>
        <w:t>beesik, intuitíven is erre számítottunk.</w:t>
      </w:r>
    </w:p>
    <w:p w:rsidR="00084397" w:rsidRDefault="00084397" w:rsidP="00084397">
      <w:pPr>
        <w:pStyle w:val="HUNHeading3"/>
        <w:ind w:left="504"/>
      </w:pPr>
      <w:bookmarkStart w:id="105" w:name="_Toc278793284"/>
      <w:bookmarkStart w:id="106" w:name="_Toc279359360"/>
      <w:r>
        <w:t>Legjobb modell kiválasztása</w:t>
      </w:r>
      <w:bookmarkEnd w:id="105"/>
      <w:bookmarkEnd w:id="106"/>
    </w:p>
    <w:p w:rsidR="00084397" w:rsidRDefault="00084397" w:rsidP="00084397">
      <w:pPr>
        <w:jc w:val="both"/>
      </w:pPr>
      <w:r>
        <w:t>Az alábbiakban a három függő változó mindegyikére megvizsgált modelljeink összefoglaló táblázatait látha</w:t>
      </w:r>
      <w:r>
        <w:t>t</w:t>
      </w:r>
      <w:r>
        <w:t>juk (</w:t>
      </w:r>
      <w:r w:rsidR="003F44DC">
        <w:fldChar w:fldCharType="begin"/>
      </w:r>
      <w:r>
        <w:instrText xml:space="preserve"> REF _Ref277064101 \h </w:instrText>
      </w:r>
      <w:r w:rsidR="003F44DC">
        <w:fldChar w:fldCharType="separate"/>
      </w:r>
      <w:r w:rsidR="002D1B7A">
        <w:rPr>
          <w:noProof/>
        </w:rPr>
        <w:t>7</w:t>
      </w:r>
      <w:r w:rsidR="002D1B7A" w:rsidRPr="00F81846">
        <w:t>. táblázat</w:t>
      </w:r>
      <w:r w:rsidR="003F44DC">
        <w:fldChar w:fldCharType="end"/>
      </w:r>
      <w:r>
        <w:t xml:space="preserve">; </w:t>
      </w:r>
      <w:r w:rsidR="003F44DC">
        <w:fldChar w:fldCharType="begin"/>
      </w:r>
      <w:r>
        <w:instrText xml:space="preserve"> REF _Ref277064103 \h </w:instrText>
      </w:r>
      <w:r w:rsidR="003F44DC">
        <w:fldChar w:fldCharType="separate"/>
      </w:r>
      <w:r w:rsidR="002D1B7A">
        <w:rPr>
          <w:noProof/>
        </w:rPr>
        <w:t>8</w:t>
      </w:r>
      <w:r w:rsidR="002D1B7A" w:rsidRPr="00F355FD">
        <w:t>. táblázat</w:t>
      </w:r>
      <w:r w:rsidR="003F44DC">
        <w:fldChar w:fldCharType="end"/>
      </w:r>
      <w:r>
        <w:t xml:space="preserve"> és </w:t>
      </w:r>
      <w:r w:rsidR="003F44DC">
        <w:fldChar w:fldCharType="begin"/>
      </w:r>
      <w:r>
        <w:instrText xml:space="preserve"> REF _Ref277064105 \h </w:instrText>
      </w:r>
      <w:r w:rsidR="003F44DC">
        <w:fldChar w:fldCharType="separate"/>
      </w:r>
      <w:r w:rsidR="002D1B7A">
        <w:rPr>
          <w:noProof/>
        </w:rPr>
        <w:t>9</w:t>
      </w:r>
      <w:r w:rsidR="002D1B7A" w:rsidRPr="00F355FD">
        <w:t>. táblázat</w:t>
      </w:r>
      <w:r w:rsidR="003F44DC">
        <w:fldChar w:fldCharType="end"/>
      </w:r>
      <w:r>
        <w:t>), amiben vastagon kiemeltük a szöveges értékelésnél figyelembe vehető eredményeket. A táblázatok sorrendje a modellek során megismertet követi, először a nettó hozz</w:t>
      </w:r>
      <w:r>
        <w:t>á</w:t>
      </w:r>
      <w:r>
        <w:t>adott értéket, majd a munkakapacitást, végül a termelékenységet tekintjük át.</w:t>
      </w:r>
    </w:p>
    <w:tbl>
      <w:tblPr>
        <w:tblStyle w:val="MediumShading2-Accent2"/>
        <w:tblW w:w="0" w:type="auto"/>
        <w:tblLook w:val="04A0"/>
      </w:tblPr>
      <w:tblGrid>
        <w:gridCol w:w="1268"/>
        <w:gridCol w:w="1158"/>
        <w:gridCol w:w="1158"/>
        <w:gridCol w:w="1159"/>
        <w:gridCol w:w="1159"/>
        <w:gridCol w:w="1159"/>
        <w:gridCol w:w="1159"/>
        <w:gridCol w:w="1159"/>
      </w:tblGrid>
      <w:tr w:rsidR="00084397" w:rsidTr="00084397">
        <w:trPr>
          <w:cnfStyle w:val="100000000000"/>
        </w:trPr>
        <w:tc>
          <w:tcPr>
            <w:cnfStyle w:val="001000000100"/>
            <w:tcW w:w="1268" w:type="dxa"/>
          </w:tcPr>
          <w:p w:rsidR="00084397" w:rsidRDefault="00084397" w:rsidP="00084397">
            <w:pPr>
              <w:jc w:val="center"/>
            </w:pPr>
            <w:r>
              <w:lastRenderedPageBreak/>
              <w:t>NH</w:t>
            </w:r>
          </w:p>
          <w:p w:rsidR="00084397" w:rsidRDefault="00084397" w:rsidP="00084397">
            <w:pPr>
              <w:jc w:val="center"/>
            </w:pPr>
            <w:r>
              <w:t>Jellemzők</w:t>
            </w:r>
          </w:p>
        </w:tc>
        <w:tc>
          <w:tcPr>
            <w:tcW w:w="1158" w:type="dxa"/>
          </w:tcPr>
          <w:p w:rsidR="00084397" w:rsidRDefault="003F44DC" w:rsidP="00084397">
            <w:pPr>
              <w:jc w:val="center"/>
              <w:cnfStyle w:val="100000000000"/>
            </w:pPr>
            <w:fldSimple w:instr=" REF _Ref277062902 \n \h  \* MERGEFORMAT ">
              <w:r w:rsidR="002D1B7A">
                <w:t>3.2.1</w:t>
              </w:r>
            </w:fldSimple>
          </w:p>
          <w:p w:rsidR="00084397" w:rsidRDefault="00084397" w:rsidP="00084397">
            <w:pPr>
              <w:jc w:val="center"/>
              <w:cnfStyle w:val="100000000000"/>
            </w:pPr>
            <w:r>
              <w:t>PLS</w:t>
            </w:r>
          </w:p>
        </w:tc>
        <w:tc>
          <w:tcPr>
            <w:tcW w:w="1158" w:type="dxa"/>
          </w:tcPr>
          <w:p w:rsidR="00084397" w:rsidRDefault="003F44DC" w:rsidP="00084397">
            <w:pPr>
              <w:jc w:val="center"/>
              <w:cnfStyle w:val="100000000000"/>
            </w:pPr>
            <w:fldSimple w:instr=" REF _Ref277062909 \n \h  \* MERGEFORMAT ">
              <w:r w:rsidR="002D1B7A">
                <w:t>3.2.2</w:t>
              </w:r>
            </w:fldSimple>
          </w:p>
          <w:p w:rsidR="00084397" w:rsidRDefault="00084397" w:rsidP="00084397">
            <w:pPr>
              <w:jc w:val="center"/>
              <w:cnfStyle w:val="100000000000"/>
            </w:pPr>
            <w:r>
              <w:t>FE</w:t>
            </w:r>
          </w:p>
        </w:tc>
        <w:tc>
          <w:tcPr>
            <w:tcW w:w="1159" w:type="dxa"/>
          </w:tcPr>
          <w:p w:rsidR="00084397" w:rsidRDefault="003F44DC" w:rsidP="00084397">
            <w:pPr>
              <w:jc w:val="center"/>
              <w:cnfStyle w:val="100000000000"/>
            </w:pPr>
            <w:fldSimple w:instr=" REF _Ref277062918 \n \h  \* MERGEFORMAT ">
              <w:r w:rsidR="002D1B7A">
                <w:t>3.2.3</w:t>
              </w:r>
            </w:fldSimple>
          </w:p>
          <w:p w:rsidR="00084397" w:rsidRDefault="00084397" w:rsidP="00084397">
            <w:pPr>
              <w:jc w:val="center"/>
              <w:cnfStyle w:val="100000000000"/>
            </w:pPr>
            <w:r>
              <w:t>RE</w:t>
            </w:r>
          </w:p>
        </w:tc>
        <w:tc>
          <w:tcPr>
            <w:tcW w:w="1159" w:type="dxa"/>
          </w:tcPr>
          <w:p w:rsidR="00084397" w:rsidRDefault="003F44DC" w:rsidP="00084397">
            <w:pPr>
              <w:jc w:val="center"/>
              <w:cnfStyle w:val="100000000000"/>
            </w:pPr>
            <w:fldSimple w:instr=" REF _Ref276143718 \n \h  \* MERGEFORMAT ">
              <w:r w:rsidR="002D1B7A">
                <w:t>3.2.4</w:t>
              </w:r>
            </w:fldSimple>
          </w:p>
          <w:p w:rsidR="00084397" w:rsidRDefault="00084397" w:rsidP="00084397">
            <w:pPr>
              <w:jc w:val="center"/>
              <w:cnfStyle w:val="100000000000"/>
            </w:pPr>
            <w:r>
              <w:t>GLS</w:t>
            </w:r>
          </w:p>
        </w:tc>
        <w:tc>
          <w:tcPr>
            <w:tcW w:w="1159" w:type="dxa"/>
          </w:tcPr>
          <w:p w:rsidR="00084397" w:rsidRDefault="003F44DC" w:rsidP="00084397">
            <w:pPr>
              <w:jc w:val="center"/>
              <w:cnfStyle w:val="100000000000"/>
            </w:pPr>
            <w:fldSimple w:instr=" REF _Ref277062935 \n \h  \* MERGEFORMAT ">
              <w:r w:rsidR="002D1B7A">
                <w:t>3.2.5</w:t>
              </w:r>
            </w:fldSimple>
          </w:p>
          <w:p w:rsidR="00084397" w:rsidRDefault="00084397" w:rsidP="00084397">
            <w:pPr>
              <w:jc w:val="center"/>
              <w:cnfStyle w:val="100000000000"/>
            </w:pPr>
            <w:r>
              <w:t>2SLS</w:t>
            </w:r>
          </w:p>
        </w:tc>
        <w:tc>
          <w:tcPr>
            <w:tcW w:w="1159" w:type="dxa"/>
          </w:tcPr>
          <w:p w:rsidR="00084397" w:rsidRDefault="003F44DC" w:rsidP="00084397">
            <w:pPr>
              <w:jc w:val="center"/>
              <w:cnfStyle w:val="100000000000"/>
            </w:pPr>
            <w:fldSimple w:instr=" REF _Ref277062940 \n \h  \* MERGEFORMAT ">
              <w:r w:rsidR="002D1B7A">
                <w:t>3.2.6</w:t>
              </w:r>
            </w:fldSimple>
          </w:p>
          <w:p w:rsidR="00084397" w:rsidRDefault="00084397" w:rsidP="00084397">
            <w:pPr>
              <w:jc w:val="center"/>
              <w:cnfStyle w:val="100000000000"/>
            </w:pPr>
            <w:r>
              <w:t>GMM</w:t>
            </w:r>
          </w:p>
        </w:tc>
        <w:tc>
          <w:tcPr>
            <w:tcW w:w="1159" w:type="dxa"/>
          </w:tcPr>
          <w:p w:rsidR="00084397" w:rsidRDefault="003F44DC" w:rsidP="00084397">
            <w:pPr>
              <w:jc w:val="center"/>
              <w:cnfStyle w:val="100000000000"/>
            </w:pPr>
            <w:fldSimple w:instr=" REF _Ref277062944 \n \h  \* MERGEFORMAT ">
              <w:r w:rsidR="002D1B7A">
                <w:t>3.2.7</w:t>
              </w:r>
            </w:fldSimple>
          </w:p>
          <w:p w:rsidR="00084397" w:rsidRDefault="00084397" w:rsidP="00084397">
            <w:pPr>
              <w:jc w:val="center"/>
              <w:cnfStyle w:val="100000000000"/>
            </w:pPr>
            <w:proofErr w:type="gramStart"/>
            <w:r>
              <w:t>AR(</w:t>
            </w:r>
            <w:proofErr w:type="gramEnd"/>
            <w:r>
              <w:t>1)</w:t>
            </w:r>
          </w:p>
        </w:tc>
      </w:tr>
      <w:tr w:rsidR="00084397" w:rsidTr="00084397">
        <w:trPr>
          <w:cnfStyle w:val="000000100000"/>
        </w:trPr>
        <w:tc>
          <w:tcPr>
            <w:cnfStyle w:val="001000000000"/>
            <w:tcW w:w="1268" w:type="dxa"/>
          </w:tcPr>
          <w:p w:rsidR="00084397" w:rsidRDefault="00084397" w:rsidP="00084397">
            <w:pPr>
              <w:jc w:val="center"/>
            </w:pPr>
            <w:proofErr w:type="spellStart"/>
            <w:r>
              <w:t>R-squared</w:t>
            </w:r>
            <w:proofErr w:type="spellEnd"/>
          </w:p>
        </w:tc>
        <w:tc>
          <w:tcPr>
            <w:tcW w:w="1158" w:type="dxa"/>
          </w:tcPr>
          <w:p w:rsidR="00084397" w:rsidRPr="00867912" w:rsidRDefault="00084397" w:rsidP="00084397">
            <w:pPr>
              <w:jc w:val="center"/>
              <w:cnfStyle w:val="000000100000"/>
              <w:rPr>
                <w:i/>
              </w:rPr>
            </w:pPr>
            <w:r w:rsidRPr="00867912">
              <w:rPr>
                <w:i/>
              </w:rPr>
              <w:t>0,749246</w:t>
            </w:r>
          </w:p>
        </w:tc>
        <w:tc>
          <w:tcPr>
            <w:tcW w:w="1158" w:type="dxa"/>
          </w:tcPr>
          <w:p w:rsidR="00084397" w:rsidRPr="00867912" w:rsidRDefault="00084397" w:rsidP="00084397">
            <w:pPr>
              <w:jc w:val="center"/>
              <w:cnfStyle w:val="000000100000"/>
              <w:rPr>
                <w:i/>
              </w:rPr>
            </w:pPr>
            <w:r w:rsidRPr="00A968C0">
              <w:rPr>
                <w:i/>
              </w:rPr>
              <w:t>0</w:t>
            </w:r>
            <w:r>
              <w:rPr>
                <w:i/>
              </w:rPr>
              <w:t>,</w:t>
            </w:r>
            <w:r w:rsidRPr="00A968C0">
              <w:rPr>
                <w:i/>
              </w:rPr>
              <w:t>817462</w:t>
            </w:r>
          </w:p>
        </w:tc>
        <w:tc>
          <w:tcPr>
            <w:tcW w:w="1159" w:type="dxa"/>
          </w:tcPr>
          <w:p w:rsidR="00084397" w:rsidRPr="00867912" w:rsidRDefault="00084397" w:rsidP="00084397">
            <w:pPr>
              <w:jc w:val="center"/>
              <w:cnfStyle w:val="000000100000"/>
              <w:rPr>
                <w:i/>
              </w:rPr>
            </w:pPr>
            <w:r w:rsidRPr="00A968C0">
              <w:rPr>
                <w:i/>
              </w:rPr>
              <w:t>0</w:t>
            </w:r>
            <w:r>
              <w:rPr>
                <w:i/>
              </w:rPr>
              <w:t>,</w:t>
            </w:r>
            <w:r w:rsidRPr="00A968C0">
              <w:rPr>
                <w:i/>
              </w:rPr>
              <w:t>672666</w:t>
            </w:r>
          </w:p>
        </w:tc>
        <w:tc>
          <w:tcPr>
            <w:tcW w:w="1159" w:type="dxa"/>
          </w:tcPr>
          <w:p w:rsidR="00084397" w:rsidRPr="00A968C0" w:rsidRDefault="00084397" w:rsidP="00084397">
            <w:pPr>
              <w:jc w:val="center"/>
              <w:cnfStyle w:val="000000100000"/>
              <w:rPr>
                <w:b/>
                <w:i/>
              </w:rPr>
            </w:pPr>
            <w:r w:rsidRPr="00A968C0">
              <w:rPr>
                <w:b/>
                <w:i/>
              </w:rPr>
              <w:t>0</w:t>
            </w:r>
            <w:r>
              <w:rPr>
                <w:b/>
                <w:i/>
              </w:rPr>
              <w:t>,</w:t>
            </w:r>
            <w:r w:rsidRPr="00A968C0">
              <w:rPr>
                <w:b/>
                <w:i/>
              </w:rPr>
              <w:t>931115</w:t>
            </w:r>
          </w:p>
        </w:tc>
        <w:tc>
          <w:tcPr>
            <w:tcW w:w="1159" w:type="dxa"/>
          </w:tcPr>
          <w:p w:rsidR="00084397" w:rsidRPr="00867912" w:rsidRDefault="00084397" w:rsidP="00084397">
            <w:pPr>
              <w:jc w:val="center"/>
              <w:cnfStyle w:val="000000100000"/>
              <w:rPr>
                <w:i/>
              </w:rPr>
            </w:pPr>
            <w:r w:rsidRPr="00A968C0">
              <w:rPr>
                <w:i/>
              </w:rPr>
              <w:t>0</w:t>
            </w:r>
            <w:r>
              <w:rPr>
                <w:i/>
              </w:rPr>
              <w:t>,</w:t>
            </w:r>
            <w:r w:rsidRPr="00A968C0">
              <w:rPr>
                <w:i/>
              </w:rPr>
              <w:t>689331</w:t>
            </w:r>
          </w:p>
        </w:tc>
        <w:tc>
          <w:tcPr>
            <w:tcW w:w="1159" w:type="dxa"/>
          </w:tcPr>
          <w:p w:rsidR="00084397" w:rsidRPr="00867912" w:rsidRDefault="00084397" w:rsidP="00084397">
            <w:pPr>
              <w:jc w:val="center"/>
              <w:cnfStyle w:val="000000100000"/>
              <w:rPr>
                <w:i/>
              </w:rPr>
            </w:pPr>
            <w:r w:rsidRPr="00A968C0">
              <w:rPr>
                <w:i/>
              </w:rPr>
              <w:t>-4</w:t>
            </w:r>
            <w:r>
              <w:rPr>
                <w:i/>
              </w:rPr>
              <w:t>,</w:t>
            </w:r>
            <w:r w:rsidRPr="00A968C0">
              <w:rPr>
                <w:i/>
              </w:rPr>
              <w:t>609364</w:t>
            </w:r>
          </w:p>
        </w:tc>
        <w:tc>
          <w:tcPr>
            <w:tcW w:w="1159" w:type="dxa"/>
          </w:tcPr>
          <w:p w:rsidR="00084397" w:rsidRPr="008E764F" w:rsidRDefault="00084397" w:rsidP="00084397">
            <w:pPr>
              <w:jc w:val="center"/>
              <w:cnfStyle w:val="000000100000"/>
              <w:rPr>
                <w:b/>
                <w:i/>
              </w:rPr>
            </w:pPr>
            <w:r w:rsidRPr="008E764F">
              <w:rPr>
                <w:b/>
                <w:i/>
              </w:rPr>
              <w:t>0,928251</w:t>
            </w:r>
          </w:p>
        </w:tc>
      </w:tr>
      <w:tr w:rsidR="00084397" w:rsidTr="00084397">
        <w:tc>
          <w:tcPr>
            <w:cnfStyle w:val="001000000000"/>
            <w:tcW w:w="1268" w:type="dxa"/>
          </w:tcPr>
          <w:p w:rsidR="00084397" w:rsidRDefault="00084397" w:rsidP="00084397">
            <w:pPr>
              <w:jc w:val="center"/>
            </w:pPr>
            <w:proofErr w:type="spellStart"/>
            <w:r>
              <w:t>DW-stat</w:t>
            </w:r>
            <w:proofErr w:type="spellEnd"/>
            <w:r>
              <w:t>.</w:t>
            </w:r>
          </w:p>
        </w:tc>
        <w:tc>
          <w:tcPr>
            <w:tcW w:w="1158" w:type="dxa"/>
          </w:tcPr>
          <w:p w:rsidR="00084397" w:rsidRPr="00867912" w:rsidRDefault="00084397" w:rsidP="00084397">
            <w:pPr>
              <w:jc w:val="center"/>
              <w:cnfStyle w:val="000000000000"/>
              <w:rPr>
                <w:i/>
              </w:rPr>
            </w:pPr>
            <w:r w:rsidRPr="00867912">
              <w:rPr>
                <w:i/>
              </w:rPr>
              <w:t>1,878319</w:t>
            </w:r>
          </w:p>
        </w:tc>
        <w:tc>
          <w:tcPr>
            <w:tcW w:w="1158" w:type="dxa"/>
          </w:tcPr>
          <w:p w:rsidR="00084397" w:rsidRPr="00867912" w:rsidRDefault="00084397" w:rsidP="00084397">
            <w:pPr>
              <w:jc w:val="center"/>
              <w:cnfStyle w:val="000000000000"/>
              <w:rPr>
                <w:i/>
              </w:rPr>
            </w:pPr>
            <w:r w:rsidRPr="00A968C0">
              <w:rPr>
                <w:i/>
              </w:rPr>
              <w:t>3</w:t>
            </w:r>
            <w:r>
              <w:rPr>
                <w:i/>
              </w:rPr>
              <w:t>,</w:t>
            </w:r>
            <w:r w:rsidRPr="00A968C0">
              <w:rPr>
                <w:i/>
              </w:rPr>
              <w:t>467350</w:t>
            </w:r>
          </w:p>
        </w:tc>
        <w:tc>
          <w:tcPr>
            <w:tcW w:w="1159" w:type="dxa"/>
          </w:tcPr>
          <w:p w:rsidR="00084397" w:rsidRPr="00867912" w:rsidRDefault="00084397" w:rsidP="00084397">
            <w:pPr>
              <w:jc w:val="center"/>
              <w:cnfStyle w:val="000000000000"/>
              <w:rPr>
                <w:i/>
              </w:rPr>
            </w:pPr>
            <w:r w:rsidRPr="00A968C0">
              <w:rPr>
                <w:i/>
              </w:rPr>
              <w:t>2</w:t>
            </w:r>
            <w:r>
              <w:rPr>
                <w:i/>
              </w:rPr>
              <w:t>,</w:t>
            </w:r>
            <w:r w:rsidRPr="00A968C0">
              <w:rPr>
                <w:i/>
              </w:rPr>
              <w:t>333281</w:t>
            </w:r>
          </w:p>
        </w:tc>
        <w:tc>
          <w:tcPr>
            <w:tcW w:w="1159" w:type="dxa"/>
          </w:tcPr>
          <w:p w:rsidR="00084397" w:rsidRPr="00A968C0" w:rsidRDefault="00084397" w:rsidP="00084397">
            <w:pPr>
              <w:jc w:val="center"/>
              <w:cnfStyle w:val="000000000000"/>
              <w:rPr>
                <w:b/>
                <w:i/>
              </w:rPr>
            </w:pPr>
            <w:r w:rsidRPr="00A968C0">
              <w:rPr>
                <w:b/>
                <w:i/>
              </w:rPr>
              <w:t>1</w:t>
            </w:r>
            <w:r>
              <w:rPr>
                <w:b/>
                <w:i/>
              </w:rPr>
              <w:t>,</w:t>
            </w:r>
            <w:r w:rsidRPr="00A968C0">
              <w:rPr>
                <w:b/>
                <w:i/>
              </w:rPr>
              <w:t>594889</w:t>
            </w:r>
          </w:p>
        </w:tc>
        <w:tc>
          <w:tcPr>
            <w:tcW w:w="1159" w:type="dxa"/>
          </w:tcPr>
          <w:p w:rsidR="00084397" w:rsidRPr="00867912" w:rsidRDefault="00084397" w:rsidP="00084397">
            <w:pPr>
              <w:jc w:val="center"/>
              <w:cnfStyle w:val="000000000000"/>
              <w:rPr>
                <w:i/>
              </w:rPr>
            </w:pPr>
            <w:r w:rsidRPr="00A968C0">
              <w:rPr>
                <w:i/>
              </w:rPr>
              <w:t>1</w:t>
            </w:r>
            <w:r>
              <w:rPr>
                <w:i/>
              </w:rPr>
              <w:t>,</w:t>
            </w:r>
            <w:r w:rsidRPr="00A968C0">
              <w:rPr>
                <w:i/>
              </w:rPr>
              <w:t>218853</w:t>
            </w:r>
          </w:p>
        </w:tc>
        <w:tc>
          <w:tcPr>
            <w:tcW w:w="1159" w:type="dxa"/>
          </w:tcPr>
          <w:p w:rsidR="00084397" w:rsidRPr="00867912" w:rsidRDefault="00084397" w:rsidP="00084397">
            <w:pPr>
              <w:jc w:val="center"/>
              <w:cnfStyle w:val="000000000000"/>
              <w:rPr>
                <w:i/>
              </w:rPr>
            </w:pPr>
            <w:r>
              <w:rPr>
                <w:i/>
              </w:rPr>
              <w:t>-</w:t>
            </w:r>
          </w:p>
        </w:tc>
        <w:tc>
          <w:tcPr>
            <w:tcW w:w="1159" w:type="dxa"/>
          </w:tcPr>
          <w:p w:rsidR="00084397" w:rsidRPr="008E764F" w:rsidRDefault="00084397" w:rsidP="00084397">
            <w:pPr>
              <w:jc w:val="center"/>
              <w:cnfStyle w:val="000000000000"/>
              <w:rPr>
                <w:b/>
                <w:i/>
              </w:rPr>
            </w:pPr>
            <w:r w:rsidRPr="008E764F">
              <w:rPr>
                <w:b/>
                <w:i/>
              </w:rPr>
              <w:t>2,035428</w:t>
            </w:r>
          </w:p>
        </w:tc>
      </w:tr>
      <w:tr w:rsidR="00084397" w:rsidTr="00084397">
        <w:trPr>
          <w:cnfStyle w:val="000000100000"/>
        </w:trPr>
        <w:tc>
          <w:tcPr>
            <w:cnfStyle w:val="001000000000"/>
            <w:tcW w:w="1268" w:type="dxa"/>
          </w:tcPr>
          <w:p w:rsidR="00084397" w:rsidRDefault="00084397" w:rsidP="00084397">
            <w:pPr>
              <w:jc w:val="center"/>
            </w:pPr>
            <w:proofErr w:type="spellStart"/>
            <w:r>
              <w:t>P-értékek</w:t>
            </w:r>
            <w:proofErr w:type="spellEnd"/>
            <w:r>
              <w:t xml:space="preserve"> (FEJTAM és AKG)</w:t>
            </w:r>
          </w:p>
        </w:tc>
        <w:tc>
          <w:tcPr>
            <w:tcW w:w="1158" w:type="dxa"/>
          </w:tcPr>
          <w:p w:rsidR="00084397" w:rsidRPr="00867912" w:rsidRDefault="00084397" w:rsidP="00084397">
            <w:pPr>
              <w:jc w:val="center"/>
              <w:cnfStyle w:val="000000100000"/>
              <w:rPr>
                <w:i/>
              </w:rPr>
            </w:pPr>
            <w:r w:rsidRPr="00867912">
              <w:rPr>
                <w:i/>
              </w:rPr>
              <w:t>0,5759</w:t>
            </w:r>
          </w:p>
          <w:p w:rsidR="00084397" w:rsidRPr="00867912" w:rsidRDefault="00084397" w:rsidP="00084397">
            <w:pPr>
              <w:jc w:val="center"/>
              <w:cnfStyle w:val="000000100000"/>
              <w:rPr>
                <w:i/>
              </w:rPr>
            </w:pPr>
            <w:r w:rsidRPr="00867912">
              <w:rPr>
                <w:i/>
              </w:rPr>
              <w:t>0,0869</w:t>
            </w:r>
          </w:p>
        </w:tc>
        <w:tc>
          <w:tcPr>
            <w:tcW w:w="1158" w:type="dxa"/>
          </w:tcPr>
          <w:p w:rsidR="00084397" w:rsidRPr="005B5FDF" w:rsidRDefault="00084397" w:rsidP="00084397">
            <w:pPr>
              <w:jc w:val="center"/>
              <w:cnfStyle w:val="000000100000"/>
              <w:rPr>
                <w:i/>
              </w:rPr>
            </w:pPr>
            <w:r w:rsidRPr="005B5FDF">
              <w:rPr>
                <w:i/>
              </w:rPr>
              <w:t>0</w:t>
            </w:r>
            <w:r>
              <w:rPr>
                <w:i/>
              </w:rPr>
              <w:t>,</w:t>
            </w:r>
            <w:r w:rsidRPr="005B5FDF">
              <w:rPr>
                <w:i/>
              </w:rPr>
              <w:t>2058</w:t>
            </w:r>
          </w:p>
          <w:p w:rsidR="00084397" w:rsidRPr="00867912" w:rsidRDefault="00084397" w:rsidP="00084397">
            <w:pPr>
              <w:jc w:val="center"/>
              <w:cnfStyle w:val="000000100000"/>
              <w:rPr>
                <w:i/>
              </w:rPr>
            </w:pPr>
            <w:r w:rsidRPr="005B5FDF">
              <w:rPr>
                <w:i/>
              </w:rPr>
              <w:t>0</w:t>
            </w:r>
            <w:r>
              <w:rPr>
                <w:i/>
              </w:rPr>
              <w:t>,</w:t>
            </w:r>
            <w:r w:rsidRPr="005B5FDF">
              <w:rPr>
                <w:i/>
              </w:rPr>
              <w:t>7969</w:t>
            </w:r>
          </w:p>
        </w:tc>
        <w:tc>
          <w:tcPr>
            <w:tcW w:w="1159" w:type="dxa"/>
          </w:tcPr>
          <w:p w:rsidR="00084397" w:rsidRPr="00A968C0" w:rsidRDefault="00084397" w:rsidP="00084397">
            <w:pPr>
              <w:jc w:val="center"/>
              <w:cnfStyle w:val="000000100000"/>
              <w:rPr>
                <w:i/>
              </w:rPr>
            </w:pPr>
            <w:r w:rsidRPr="00A968C0">
              <w:rPr>
                <w:i/>
              </w:rPr>
              <w:t>0</w:t>
            </w:r>
            <w:r>
              <w:rPr>
                <w:i/>
              </w:rPr>
              <w:t>,</w:t>
            </w:r>
            <w:r w:rsidRPr="00A968C0">
              <w:rPr>
                <w:i/>
              </w:rPr>
              <w:t>7796</w:t>
            </w:r>
          </w:p>
          <w:p w:rsidR="00084397" w:rsidRPr="00867912" w:rsidRDefault="00084397" w:rsidP="00084397">
            <w:pPr>
              <w:jc w:val="center"/>
              <w:cnfStyle w:val="000000100000"/>
              <w:rPr>
                <w:i/>
              </w:rPr>
            </w:pPr>
            <w:r w:rsidRPr="00A968C0">
              <w:rPr>
                <w:i/>
              </w:rPr>
              <w:t>0</w:t>
            </w:r>
            <w:r>
              <w:rPr>
                <w:i/>
              </w:rPr>
              <w:t>,</w:t>
            </w:r>
            <w:r w:rsidRPr="00A968C0">
              <w:rPr>
                <w:i/>
              </w:rPr>
              <w:t>3752</w:t>
            </w:r>
          </w:p>
        </w:tc>
        <w:tc>
          <w:tcPr>
            <w:tcW w:w="1159" w:type="dxa"/>
          </w:tcPr>
          <w:p w:rsidR="00084397" w:rsidRPr="00A968C0" w:rsidRDefault="00084397" w:rsidP="00084397">
            <w:pPr>
              <w:jc w:val="center"/>
              <w:cnfStyle w:val="000000100000"/>
              <w:rPr>
                <w:b/>
                <w:i/>
              </w:rPr>
            </w:pPr>
            <w:r w:rsidRPr="00A968C0">
              <w:rPr>
                <w:b/>
                <w:i/>
              </w:rPr>
              <w:t>0</w:t>
            </w:r>
            <w:r>
              <w:rPr>
                <w:b/>
                <w:i/>
              </w:rPr>
              <w:t>,</w:t>
            </w:r>
            <w:r w:rsidRPr="00A968C0">
              <w:rPr>
                <w:b/>
                <w:i/>
              </w:rPr>
              <w:t>0000</w:t>
            </w:r>
          </w:p>
          <w:p w:rsidR="00084397" w:rsidRPr="00A968C0" w:rsidRDefault="00084397" w:rsidP="00084397">
            <w:pPr>
              <w:jc w:val="center"/>
              <w:cnfStyle w:val="000000100000"/>
              <w:rPr>
                <w:b/>
                <w:i/>
              </w:rPr>
            </w:pPr>
            <w:r w:rsidRPr="00A968C0">
              <w:rPr>
                <w:b/>
                <w:i/>
              </w:rPr>
              <w:t>0</w:t>
            </w:r>
            <w:r>
              <w:rPr>
                <w:b/>
                <w:i/>
              </w:rPr>
              <w:t>,</w:t>
            </w:r>
            <w:r w:rsidRPr="00A968C0">
              <w:rPr>
                <w:b/>
                <w:i/>
              </w:rPr>
              <w:t>0000</w:t>
            </w:r>
          </w:p>
        </w:tc>
        <w:tc>
          <w:tcPr>
            <w:tcW w:w="1159" w:type="dxa"/>
          </w:tcPr>
          <w:p w:rsidR="00084397" w:rsidRPr="00867912" w:rsidRDefault="00084397" w:rsidP="00084397">
            <w:pPr>
              <w:jc w:val="center"/>
              <w:cnfStyle w:val="000000100000"/>
              <w:rPr>
                <w:i/>
              </w:rPr>
            </w:pPr>
            <w:r w:rsidRPr="00A968C0">
              <w:rPr>
                <w:i/>
              </w:rPr>
              <w:t>0</w:t>
            </w:r>
            <w:r>
              <w:rPr>
                <w:i/>
              </w:rPr>
              <w:t>,</w:t>
            </w:r>
            <w:r w:rsidRPr="00A968C0">
              <w:rPr>
                <w:i/>
              </w:rPr>
              <w:t>4982</w:t>
            </w:r>
          </w:p>
        </w:tc>
        <w:tc>
          <w:tcPr>
            <w:tcW w:w="1159" w:type="dxa"/>
          </w:tcPr>
          <w:p w:rsidR="00084397" w:rsidRPr="00867912" w:rsidRDefault="00084397" w:rsidP="00084397">
            <w:pPr>
              <w:jc w:val="center"/>
              <w:cnfStyle w:val="000000100000"/>
              <w:rPr>
                <w:i/>
              </w:rPr>
            </w:pPr>
            <w:r w:rsidRPr="00A968C0">
              <w:rPr>
                <w:i/>
              </w:rPr>
              <w:t>0</w:t>
            </w:r>
            <w:r>
              <w:rPr>
                <w:i/>
              </w:rPr>
              <w:t>,</w:t>
            </w:r>
            <w:r w:rsidRPr="00A968C0">
              <w:rPr>
                <w:i/>
              </w:rPr>
              <w:t>1668</w:t>
            </w:r>
          </w:p>
        </w:tc>
        <w:tc>
          <w:tcPr>
            <w:tcW w:w="1159" w:type="dxa"/>
          </w:tcPr>
          <w:p w:rsidR="00084397" w:rsidRPr="008E764F" w:rsidRDefault="00084397" w:rsidP="00084397">
            <w:pPr>
              <w:keepNext/>
              <w:jc w:val="center"/>
              <w:cnfStyle w:val="000000100000"/>
              <w:rPr>
                <w:b/>
                <w:i/>
              </w:rPr>
            </w:pPr>
            <w:r w:rsidRPr="008E764F">
              <w:rPr>
                <w:b/>
                <w:i/>
              </w:rPr>
              <w:t>0,0000</w:t>
            </w:r>
          </w:p>
          <w:p w:rsidR="00084397" w:rsidRPr="008E764F" w:rsidRDefault="00084397" w:rsidP="00084397">
            <w:pPr>
              <w:keepNext/>
              <w:jc w:val="center"/>
              <w:cnfStyle w:val="000000100000"/>
              <w:rPr>
                <w:b/>
                <w:i/>
              </w:rPr>
            </w:pPr>
            <w:r w:rsidRPr="008E764F">
              <w:rPr>
                <w:b/>
                <w:i/>
              </w:rPr>
              <w:t>0,0000</w:t>
            </w:r>
          </w:p>
        </w:tc>
      </w:tr>
    </w:tbl>
    <w:bookmarkStart w:id="107" w:name="_Ref277064101"/>
    <w:p w:rsidR="00084397" w:rsidRDefault="003F44DC" w:rsidP="00084397">
      <w:pPr>
        <w:pStyle w:val="Caption"/>
        <w:spacing w:before="240"/>
        <w:jc w:val="center"/>
        <w:rPr>
          <w:color w:val="auto"/>
        </w:rPr>
      </w:pPr>
      <w:r>
        <w:rPr>
          <w:color w:val="auto"/>
        </w:rPr>
        <w:fldChar w:fldCharType="begin"/>
      </w:r>
      <w:r w:rsidR="00084397">
        <w:rPr>
          <w:color w:val="auto"/>
        </w:rPr>
        <w:instrText xml:space="preserve"> SEQ táblázat \* ARABIC </w:instrText>
      </w:r>
      <w:r>
        <w:rPr>
          <w:color w:val="auto"/>
        </w:rPr>
        <w:fldChar w:fldCharType="separate"/>
      </w:r>
      <w:r w:rsidR="002D1B7A">
        <w:rPr>
          <w:noProof/>
          <w:color w:val="auto"/>
        </w:rPr>
        <w:t>7</w:t>
      </w:r>
      <w:r>
        <w:rPr>
          <w:color w:val="auto"/>
        </w:rPr>
        <w:fldChar w:fldCharType="end"/>
      </w:r>
      <w:r w:rsidR="00084397" w:rsidRPr="00F81846">
        <w:rPr>
          <w:color w:val="auto"/>
        </w:rPr>
        <w:t>. táblázat</w:t>
      </w:r>
      <w:bookmarkEnd w:id="107"/>
      <w:r w:rsidR="00084397" w:rsidRPr="00F81846">
        <w:rPr>
          <w:color w:val="auto"/>
        </w:rPr>
        <w:t>: Nettó hozzáadott érték – legjobb modell kiválasztása</w:t>
      </w:r>
    </w:p>
    <w:p w:rsidR="00084397" w:rsidRDefault="00084397" w:rsidP="00084397">
      <w:pPr>
        <w:jc w:val="both"/>
      </w:pPr>
      <w:r>
        <w:t xml:space="preserve">A </w:t>
      </w:r>
      <w:r w:rsidR="003F44DC">
        <w:fldChar w:fldCharType="begin"/>
      </w:r>
      <w:r>
        <w:instrText xml:space="preserve"> REF _Ref277064101 \h </w:instrText>
      </w:r>
      <w:r w:rsidR="003F44DC">
        <w:fldChar w:fldCharType="separate"/>
      </w:r>
      <w:r w:rsidR="002D1B7A">
        <w:rPr>
          <w:noProof/>
        </w:rPr>
        <w:t>7</w:t>
      </w:r>
      <w:r w:rsidR="002D1B7A" w:rsidRPr="00F81846">
        <w:t>. táblázat</w:t>
      </w:r>
      <w:r w:rsidR="003F44DC">
        <w:fldChar w:fldCharType="end"/>
      </w:r>
      <w:r>
        <w:t xml:space="preserve"> alapján a </w:t>
      </w:r>
      <w:r w:rsidRPr="000935A4">
        <w:rPr>
          <w:b/>
        </w:rPr>
        <w:t>nettó hozzáadott érték leírására</w:t>
      </w:r>
      <w:r>
        <w:t xml:space="preserve"> a </w:t>
      </w:r>
      <w:r w:rsidRPr="000935A4">
        <w:rPr>
          <w:b/>
        </w:rPr>
        <w:t>GLS</w:t>
      </w:r>
      <w:r>
        <w:t xml:space="preserve"> és </w:t>
      </w:r>
      <w:proofErr w:type="gramStart"/>
      <w:r w:rsidRPr="000935A4">
        <w:rPr>
          <w:b/>
        </w:rPr>
        <w:t>AR(</w:t>
      </w:r>
      <w:proofErr w:type="gramEnd"/>
      <w:r w:rsidRPr="000935A4">
        <w:rPr>
          <w:b/>
        </w:rPr>
        <w:t>1) modellek a legalkalmasabbak</w:t>
      </w:r>
      <w:r>
        <w:t>.</w:t>
      </w:r>
    </w:p>
    <w:tbl>
      <w:tblPr>
        <w:tblStyle w:val="MediumShading2-Accent2"/>
        <w:tblW w:w="0" w:type="auto"/>
        <w:tblLook w:val="04A0"/>
      </w:tblPr>
      <w:tblGrid>
        <w:gridCol w:w="1162"/>
        <w:gridCol w:w="1163"/>
        <w:gridCol w:w="1163"/>
        <w:gridCol w:w="1163"/>
        <w:gridCol w:w="1163"/>
        <w:gridCol w:w="1163"/>
        <w:gridCol w:w="1163"/>
        <w:gridCol w:w="1163"/>
      </w:tblGrid>
      <w:tr w:rsidR="00084397" w:rsidTr="00084397">
        <w:trPr>
          <w:cnfStyle w:val="100000000000"/>
        </w:trPr>
        <w:tc>
          <w:tcPr>
            <w:cnfStyle w:val="001000000100"/>
            <w:tcW w:w="1162" w:type="dxa"/>
          </w:tcPr>
          <w:p w:rsidR="00084397" w:rsidRDefault="00084397" w:rsidP="00084397">
            <w:pPr>
              <w:jc w:val="center"/>
            </w:pPr>
            <w:r>
              <w:t>MUNKA</w:t>
            </w:r>
          </w:p>
          <w:p w:rsidR="00084397" w:rsidRDefault="00084397" w:rsidP="00084397">
            <w:pPr>
              <w:jc w:val="center"/>
            </w:pPr>
            <w:r>
              <w:t>Jellemzők</w:t>
            </w:r>
          </w:p>
        </w:tc>
        <w:tc>
          <w:tcPr>
            <w:tcW w:w="1163" w:type="dxa"/>
          </w:tcPr>
          <w:p w:rsidR="00084397" w:rsidRDefault="003F44DC" w:rsidP="00084397">
            <w:pPr>
              <w:jc w:val="center"/>
              <w:cnfStyle w:val="100000000000"/>
            </w:pPr>
            <w:fldSimple w:instr=" REF _Ref277062902 \n \h  \* MERGEFORMAT ">
              <w:r w:rsidR="002D1B7A">
                <w:t>3.2.1</w:t>
              </w:r>
            </w:fldSimple>
          </w:p>
          <w:p w:rsidR="00084397" w:rsidRDefault="00084397" w:rsidP="00084397">
            <w:pPr>
              <w:jc w:val="center"/>
              <w:cnfStyle w:val="100000000000"/>
            </w:pPr>
            <w:r>
              <w:t>PLS</w:t>
            </w:r>
          </w:p>
        </w:tc>
        <w:tc>
          <w:tcPr>
            <w:tcW w:w="1163" w:type="dxa"/>
          </w:tcPr>
          <w:p w:rsidR="00084397" w:rsidRDefault="003F44DC" w:rsidP="00084397">
            <w:pPr>
              <w:jc w:val="center"/>
              <w:cnfStyle w:val="100000000000"/>
            </w:pPr>
            <w:fldSimple w:instr=" REF _Ref277062909 \n \h  \* MERGEFORMAT ">
              <w:r w:rsidR="002D1B7A">
                <w:t>3.2.2</w:t>
              </w:r>
            </w:fldSimple>
          </w:p>
          <w:p w:rsidR="00084397" w:rsidRDefault="00084397" w:rsidP="00084397">
            <w:pPr>
              <w:jc w:val="center"/>
              <w:cnfStyle w:val="100000000000"/>
            </w:pPr>
            <w:r>
              <w:t>FE</w:t>
            </w:r>
          </w:p>
        </w:tc>
        <w:tc>
          <w:tcPr>
            <w:tcW w:w="1163" w:type="dxa"/>
          </w:tcPr>
          <w:p w:rsidR="00084397" w:rsidRDefault="003F44DC" w:rsidP="00084397">
            <w:pPr>
              <w:jc w:val="center"/>
              <w:cnfStyle w:val="100000000000"/>
            </w:pPr>
            <w:fldSimple w:instr=" REF _Ref277062918 \n \h  \* MERGEFORMAT ">
              <w:r w:rsidR="002D1B7A">
                <w:t>3.2.3</w:t>
              </w:r>
            </w:fldSimple>
          </w:p>
          <w:p w:rsidR="00084397" w:rsidRDefault="00084397" w:rsidP="00084397">
            <w:pPr>
              <w:jc w:val="center"/>
              <w:cnfStyle w:val="100000000000"/>
            </w:pPr>
            <w:r>
              <w:t>RE</w:t>
            </w:r>
          </w:p>
        </w:tc>
        <w:tc>
          <w:tcPr>
            <w:tcW w:w="1163" w:type="dxa"/>
          </w:tcPr>
          <w:p w:rsidR="00084397" w:rsidRDefault="003F44DC" w:rsidP="00084397">
            <w:pPr>
              <w:jc w:val="center"/>
              <w:cnfStyle w:val="100000000000"/>
            </w:pPr>
            <w:fldSimple w:instr=" REF _Ref276143718 \n \h  \* MERGEFORMAT ">
              <w:r w:rsidR="002D1B7A">
                <w:t>3.2.4</w:t>
              </w:r>
            </w:fldSimple>
          </w:p>
          <w:p w:rsidR="00084397" w:rsidRDefault="00084397" w:rsidP="00084397">
            <w:pPr>
              <w:jc w:val="center"/>
              <w:cnfStyle w:val="100000000000"/>
            </w:pPr>
            <w:r>
              <w:t>GLS</w:t>
            </w:r>
          </w:p>
        </w:tc>
        <w:tc>
          <w:tcPr>
            <w:tcW w:w="1163" w:type="dxa"/>
          </w:tcPr>
          <w:p w:rsidR="00084397" w:rsidRDefault="003F44DC" w:rsidP="00084397">
            <w:pPr>
              <w:jc w:val="center"/>
              <w:cnfStyle w:val="100000000000"/>
            </w:pPr>
            <w:fldSimple w:instr=" REF _Ref277062935 \n \h  \* MERGEFORMAT ">
              <w:r w:rsidR="002D1B7A">
                <w:t>3.2.5</w:t>
              </w:r>
            </w:fldSimple>
          </w:p>
          <w:p w:rsidR="00084397" w:rsidRDefault="00084397" w:rsidP="00084397">
            <w:pPr>
              <w:jc w:val="center"/>
              <w:cnfStyle w:val="100000000000"/>
            </w:pPr>
            <w:r>
              <w:t>2SLS</w:t>
            </w:r>
          </w:p>
        </w:tc>
        <w:tc>
          <w:tcPr>
            <w:tcW w:w="1163" w:type="dxa"/>
          </w:tcPr>
          <w:p w:rsidR="00084397" w:rsidRDefault="003F44DC" w:rsidP="00084397">
            <w:pPr>
              <w:jc w:val="center"/>
              <w:cnfStyle w:val="100000000000"/>
            </w:pPr>
            <w:fldSimple w:instr=" REF _Ref277062940 \n \h  \* MERGEFORMAT ">
              <w:r w:rsidR="002D1B7A">
                <w:t>3.2.6</w:t>
              </w:r>
            </w:fldSimple>
          </w:p>
          <w:p w:rsidR="00084397" w:rsidRDefault="00084397" w:rsidP="00084397">
            <w:pPr>
              <w:jc w:val="center"/>
              <w:cnfStyle w:val="100000000000"/>
            </w:pPr>
            <w:r>
              <w:t>GMM</w:t>
            </w:r>
          </w:p>
        </w:tc>
        <w:tc>
          <w:tcPr>
            <w:tcW w:w="1163" w:type="dxa"/>
          </w:tcPr>
          <w:p w:rsidR="00084397" w:rsidRDefault="003F44DC" w:rsidP="00084397">
            <w:pPr>
              <w:jc w:val="center"/>
              <w:cnfStyle w:val="100000000000"/>
            </w:pPr>
            <w:fldSimple w:instr=" REF _Ref277062944 \n \h  \* MERGEFORMAT ">
              <w:r w:rsidR="002D1B7A">
                <w:t>3.2.7</w:t>
              </w:r>
            </w:fldSimple>
          </w:p>
          <w:p w:rsidR="00084397" w:rsidRDefault="00084397" w:rsidP="00084397">
            <w:pPr>
              <w:jc w:val="center"/>
              <w:cnfStyle w:val="100000000000"/>
            </w:pPr>
            <w:proofErr w:type="gramStart"/>
            <w:r>
              <w:t>AR(</w:t>
            </w:r>
            <w:proofErr w:type="gramEnd"/>
            <w:r>
              <w:t>1)</w:t>
            </w:r>
          </w:p>
        </w:tc>
      </w:tr>
      <w:tr w:rsidR="00084397" w:rsidTr="00084397">
        <w:trPr>
          <w:cnfStyle w:val="000000100000"/>
        </w:trPr>
        <w:tc>
          <w:tcPr>
            <w:cnfStyle w:val="001000000000"/>
            <w:tcW w:w="1162" w:type="dxa"/>
          </w:tcPr>
          <w:p w:rsidR="00084397" w:rsidRDefault="00084397" w:rsidP="00084397">
            <w:pPr>
              <w:jc w:val="center"/>
            </w:pPr>
            <w:proofErr w:type="spellStart"/>
            <w:r>
              <w:t>R-squared</w:t>
            </w:r>
            <w:proofErr w:type="spellEnd"/>
          </w:p>
        </w:tc>
        <w:tc>
          <w:tcPr>
            <w:tcW w:w="1163" w:type="dxa"/>
          </w:tcPr>
          <w:p w:rsidR="00084397" w:rsidRPr="008E764F" w:rsidRDefault="00084397" w:rsidP="00084397">
            <w:pPr>
              <w:jc w:val="center"/>
              <w:cnfStyle w:val="000000100000"/>
              <w:rPr>
                <w:i/>
              </w:rPr>
            </w:pPr>
            <w:r w:rsidRPr="008E764F">
              <w:rPr>
                <w:i/>
              </w:rPr>
              <w:t>0,891990</w:t>
            </w:r>
          </w:p>
        </w:tc>
        <w:tc>
          <w:tcPr>
            <w:tcW w:w="1163" w:type="dxa"/>
          </w:tcPr>
          <w:p w:rsidR="00084397" w:rsidRPr="008E764F" w:rsidRDefault="00084397" w:rsidP="00084397">
            <w:pPr>
              <w:jc w:val="center"/>
              <w:cnfStyle w:val="000000100000"/>
              <w:rPr>
                <w:i/>
              </w:rPr>
            </w:pPr>
            <w:r w:rsidRPr="008E764F">
              <w:rPr>
                <w:i/>
              </w:rPr>
              <w:t>0,985570</w:t>
            </w:r>
          </w:p>
        </w:tc>
        <w:tc>
          <w:tcPr>
            <w:tcW w:w="1163" w:type="dxa"/>
          </w:tcPr>
          <w:p w:rsidR="00084397" w:rsidRPr="008E764F" w:rsidRDefault="00084397" w:rsidP="00084397">
            <w:pPr>
              <w:jc w:val="center"/>
              <w:cnfStyle w:val="000000100000"/>
              <w:rPr>
                <w:i/>
              </w:rPr>
            </w:pPr>
            <w:r w:rsidRPr="008E764F">
              <w:rPr>
                <w:i/>
              </w:rPr>
              <w:t>0,730669</w:t>
            </w:r>
          </w:p>
        </w:tc>
        <w:tc>
          <w:tcPr>
            <w:tcW w:w="1163" w:type="dxa"/>
          </w:tcPr>
          <w:p w:rsidR="00084397" w:rsidRPr="008E764F" w:rsidRDefault="00084397" w:rsidP="00084397">
            <w:pPr>
              <w:jc w:val="center"/>
              <w:cnfStyle w:val="000000100000"/>
              <w:rPr>
                <w:i/>
              </w:rPr>
            </w:pPr>
            <w:r w:rsidRPr="008E764F">
              <w:rPr>
                <w:i/>
              </w:rPr>
              <w:t>0,943630</w:t>
            </w:r>
          </w:p>
        </w:tc>
        <w:tc>
          <w:tcPr>
            <w:tcW w:w="1163" w:type="dxa"/>
          </w:tcPr>
          <w:p w:rsidR="00084397" w:rsidRPr="008E764F" w:rsidRDefault="00084397" w:rsidP="00084397">
            <w:pPr>
              <w:jc w:val="center"/>
              <w:cnfStyle w:val="000000100000"/>
              <w:rPr>
                <w:i/>
              </w:rPr>
            </w:pPr>
            <w:r w:rsidRPr="008E764F">
              <w:rPr>
                <w:i/>
              </w:rPr>
              <w:t>0,921861</w:t>
            </w:r>
          </w:p>
        </w:tc>
        <w:tc>
          <w:tcPr>
            <w:tcW w:w="1163" w:type="dxa"/>
          </w:tcPr>
          <w:p w:rsidR="00084397" w:rsidRPr="008E764F" w:rsidRDefault="00084397" w:rsidP="00084397">
            <w:pPr>
              <w:jc w:val="center"/>
              <w:cnfStyle w:val="000000100000"/>
              <w:rPr>
                <w:i/>
              </w:rPr>
            </w:pPr>
            <w:r w:rsidRPr="008E764F">
              <w:rPr>
                <w:i/>
              </w:rPr>
              <w:t>-5,435508</w:t>
            </w:r>
          </w:p>
        </w:tc>
        <w:tc>
          <w:tcPr>
            <w:tcW w:w="1163" w:type="dxa"/>
          </w:tcPr>
          <w:p w:rsidR="00084397" w:rsidRPr="008E764F" w:rsidRDefault="00084397" w:rsidP="00084397">
            <w:pPr>
              <w:jc w:val="center"/>
              <w:cnfStyle w:val="000000100000"/>
              <w:rPr>
                <w:b/>
                <w:i/>
              </w:rPr>
            </w:pPr>
            <w:r w:rsidRPr="008E764F">
              <w:rPr>
                <w:b/>
                <w:i/>
              </w:rPr>
              <w:t>0,998896</w:t>
            </w:r>
          </w:p>
        </w:tc>
      </w:tr>
      <w:tr w:rsidR="00084397" w:rsidTr="00084397">
        <w:tc>
          <w:tcPr>
            <w:cnfStyle w:val="001000000000"/>
            <w:tcW w:w="1162" w:type="dxa"/>
          </w:tcPr>
          <w:p w:rsidR="00084397" w:rsidRDefault="00084397" w:rsidP="00084397">
            <w:pPr>
              <w:jc w:val="center"/>
            </w:pPr>
            <w:proofErr w:type="spellStart"/>
            <w:r>
              <w:t>DW-stat</w:t>
            </w:r>
            <w:proofErr w:type="spellEnd"/>
            <w:r>
              <w:t>.</w:t>
            </w:r>
          </w:p>
        </w:tc>
        <w:tc>
          <w:tcPr>
            <w:tcW w:w="1163" w:type="dxa"/>
          </w:tcPr>
          <w:p w:rsidR="00084397" w:rsidRPr="008E764F" w:rsidRDefault="00084397" w:rsidP="00084397">
            <w:pPr>
              <w:jc w:val="center"/>
              <w:cnfStyle w:val="000000000000"/>
              <w:rPr>
                <w:i/>
              </w:rPr>
            </w:pPr>
            <w:r w:rsidRPr="008E764F">
              <w:rPr>
                <w:i/>
              </w:rPr>
              <w:t>0,283477</w:t>
            </w:r>
          </w:p>
        </w:tc>
        <w:tc>
          <w:tcPr>
            <w:tcW w:w="1163" w:type="dxa"/>
          </w:tcPr>
          <w:p w:rsidR="00084397" w:rsidRPr="008E764F" w:rsidRDefault="00084397" w:rsidP="00084397">
            <w:pPr>
              <w:jc w:val="center"/>
              <w:cnfStyle w:val="000000000000"/>
              <w:rPr>
                <w:i/>
              </w:rPr>
            </w:pPr>
            <w:r w:rsidRPr="008E764F">
              <w:rPr>
                <w:i/>
              </w:rPr>
              <w:t>2,278100</w:t>
            </w:r>
          </w:p>
        </w:tc>
        <w:tc>
          <w:tcPr>
            <w:tcW w:w="1163" w:type="dxa"/>
          </w:tcPr>
          <w:p w:rsidR="00084397" w:rsidRPr="008E764F" w:rsidRDefault="00084397" w:rsidP="00084397">
            <w:pPr>
              <w:jc w:val="center"/>
              <w:cnfStyle w:val="000000000000"/>
              <w:rPr>
                <w:i/>
              </w:rPr>
            </w:pPr>
            <w:r w:rsidRPr="008E764F">
              <w:rPr>
                <w:i/>
              </w:rPr>
              <w:t>1,718618</w:t>
            </w:r>
          </w:p>
        </w:tc>
        <w:tc>
          <w:tcPr>
            <w:tcW w:w="1163" w:type="dxa"/>
          </w:tcPr>
          <w:p w:rsidR="00084397" w:rsidRPr="008E764F" w:rsidRDefault="00084397" w:rsidP="00084397">
            <w:pPr>
              <w:jc w:val="center"/>
              <w:cnfStyle w:val="000000000000"/>
              <w:rPr>
                <w:i/>
              </w:rPr>
            </w:pPr>
            <w:r w:rsidRPr="008E764F">
              <w:rPr>
                <w:i/>
              </w:rPr>
              <w:t>0,617558</w:t>
            </w:r>
          </w:p>
        </w:tc>
        <w:tc>
          <w:tcPr>
            <w:tcW w:w="1163" w:type="dxa"/>
          </w:tcPr>
          <w:p w:rsidR="00084397" w:rsidRPr="008E764F" w:rsidRDefault="00084397" w:rsidP="00084397">
            <w:pPr>
              <w:jc w:val="center"/>
              <w:cnfStyle w:val="000000000000"/>
              <w:rPr>
                <w:i/>
              </w:rPr>
            </w:pPr>
            <w:r w:rsidRPr="008E764F">
              <w:rPr>
                <w:i/>
              </w:rPr>
              <w:t>0,532937</w:t>
            </w:r>
          </w:p>
        </w:tc>
        <w:tc>
          <w:tcPr>
            <w:tcW w:w="1163" w:type="dxa"/>
          </w:tcPr>
          <w:p w:rsidR="00084397" w:rsidRPr="008E764F" w:rsidRDefault="00084397" w:rsidP="00084397">
            <w:pPr>
              <w:jc w:val="center"/>
              <w:cnfStyle w:val="000000000000"/>
              <w:rPr>
                <w:i/>
              </w:rPr>
            </w:pPr>
            <w:r w:rsidRPr="008E764F">
              <w:rPr>
                <w:i/>
              </w:rPr>
              <w:t>-</w:t>
            </w:r>
          </w:p>
        </w:tc>
        <w:tc>
          <w:tcPr>
            <w:tcW w:w="1163" w:type="dxa"/>
          </w:tcPr>
          <w:p w:rsidR="00084397" w:rsidRPr="008E764F" w:rsidRDefault="00084397" w:rsidP="00084397">
            <w:pPr>
              <w:jc w:val="center"/>
              <w:cnfStyle w:val="000000000000"/>
              <w:rPr>
                <w:b/>
                <w:i/>
              </w:rPr>
            </w:pPr>
            <w:r w:rsidRPr="008E764F">
              <w:rPr>
                <w:b/>
                <w:i/>
              </w:rPr>
              <w:t>1,771896</w:t>
            </w:r>
          </w:p>
        </w:tc>
      </w:tr>
      <w:tr w:rsidR="00084397" w:rsidTr="00084397">
        <w:trPr>
          <w:cnfStyle w:val="000000100000"/>
        </w:trPr>
        <w:tc>
          <w:tcPr>
            <w:cnfStyle w:val="001000000000"/>
            <w:tcW w:w="1162" w:type="dxa"/>
          </w:tcPr>
          <w:p w:rsidR="00084397" w:rsidRDefault="00084397" w:rsidP="00084397">
            <w:pPr>
              <w:jc w:val="center"/>
            </w:pPr>
            <w:proofErr w:type="spellStart"/>
            <w:r>
              <w:t>P-értékek</w:t>
            </w:r>
            <w:proofErr w:type="spellEnd"/>
            <w:r>
              <w:t xml:space="preserve"> (FEJTAM és AKG)</w:t>
            </w:r>
          </w:p>
        </w:tc>
        <w:tc>
          <w:tcPr>
            <w:tcW w:w="1163" w:type="dxa"/>
          </w:tcPr>
          <w:p w:rsidR="00084397" w:rsidRPr="008E764F" w:rsidRDefault="00084397" w:rsidP="00084397">
            <w:pPr>
              <w:jc w:val="center"/>
              <w:cnfStyle w:val="000000100000"/>
              <w:rPr>
                <w:i/>
              </w:rPr>
            </w:pPr>
            <w:r w:rsidRPr="008E764F">
              <w:rPr>
                <w:i/>
              </w:rPr>
              <w:t>0,0674</w:t>
            </w:r>
          </w:p>
          <w:p w:rsidR="00084397" w:rsidRPr="008E764F" w:rsidRDefault="00084397" w:rsidP="00084397">
            <w:pPr>
              <w:jc w:val="center"/>
              <w:cnfStyle w:val="000000100000"/>
              <w:rPr>
                <w:i/>
              </w:rPr>
            </w:pPr>
            <w:r w:rsidRPr="008E764F">
              <w:rPr>
                <w:i/>
              </w:rPr>
              <w:t>0,0000</w:t>
            </w:r>
          </w:p>
        </w:tc>
        <w:tc>
          <w:tcPr>
            <w:tcW w:w="1163" w:type="dxa"/>
          </w:tcPr>
          <w:p w:rsidR="00084397" w:rsidRPr="008E764F" w:rsidRDefault="00084397" w:rsidP="00084397">
            <w:pPr>
              <w:jc w:val="center"/>
              <w:cnfStyle w:val="000000100000"/>
              <w:rPr>
                <w:i/>
              </w:rPr>
            </w:pPr>
            <w:r w:rsidRPr="008E764F">
              <w:rPr>
                <w:i/>
              </w:rPr>
              <w:t>0,0865</w:t>
            </w:r>
          </w:p>
          <w:p w:rsidR="00084397" w:rsidRPr="008E764F" w:rsidRDefault="00084397" w:rsidP="00084397">
            <w:pPr>
              <w:jc w:val="center"/>
              <w:cnfStyle w:val="000000100000"/>
              <w:rPr>
                <w:i/>
              </w:rPr>
            </w:pPr>
            <w:r w:rsidRPr="008E764F">
              <w:rPr>
                <w:i/>
              </w:rPr>
              <w:t>0,9990</w:t>
            </w:r>
          </w:p>
        </w:tc>
        <w:tc>
          <w:tcPr>
            <w:tcW w:w="1163" w:type="dxa"/>
          </w:tcPr>
          <w:p w:rsidR="00084397" w:rsidRPr="008E764F" w:rsidRDefault="00084397" w:rsidP="00084397">
            <w:pPr>
              <w:jc w:val="center"/>
              <w:cnfStyle w:val="000000100000"/>
              <w:rPr>
                <w:i/>
              </w:rPr>
            </w:pPr>
            <w:r w:rsidRPr="008E764F">
              <w:rPr>
                <w:i/>
              </w:rPr>
              <w:t>0,6004</w:t>
            </w:r>
          </w:p>
          <w:p w:rsidR="00084397" w:rsidRPr="008E764F" w:rsidRDefault="00084397" w:rsidP="00084397">
            <w:pPr>
              <w:jc w:val="center"/>
              <w:cnfStyle w:val="000000100000"/>
              <w:rPr>
                <w:i/>
              </w:rPr>
            </w:pPr>
            <w:r w:rsidRPr="008E764F">
              <w:rPr>
                <w:i/>
              </w:rPr>
              <w:t>0,2175</w:t>
            </w:r>
          </w:p>
        </w:tc>
        <w:tc>
          <w:tcPr>
            <w:tcW w:w="1163" w:type="dxa"/>
          </w:tcPr>
          <w:p w:rsidR="00084397" w:rsidRPr="008E764F" w:rsidRDefault="00084397" w:rsidP="00084397">
            <w:pPr>
              <w:jc w:val="center"/>
              <w:cnfStyle w:val="000000100000"/>
              <w:rPr>
                <w:i/>
              </w:rPr>
            </w:pPr>
            <w:r w:rsidRPr="008E764F">
              <w:rPr>
                <w:i/>
              </w:rPr>
              <w:t>0,0000</w:t>
            </w:r>
          </w:p>
          <w:p w:rsidR="00084397" w:rsidRPr="008E764F" w:rsidRDefault="00084397" w:rsidP="00084397">
            <w:pPr>
              <w:jc w:val="center"/>
              <w:cnfStyle w:val="000000100000"/>
              <w:rPr>
                <w:i/>
              </w:rPr>
            </w:pPr>
            <w:r w:rsidRPr="008E764F">
              <w:rPr>
                <w:i/>
              </w:rPr>
              <w:t>0,0000</w:t>
            </w:r>
          </w:p>
        </w:tc>
        <w:tc>
          <w:tcPr>
            <w:tcW w:w="1163" w:type="dxa"/>
          </w:tcPr>
          <w:p w:rsidR="00084397" w:rsidRPr="008E764F" w:rsidRDefault="00084397" w:rsidP="00084397">
            <w:pPr>
              <w:jc w:val="center"/>
              <w:cnfStyle w:val="000000100000"/>
              <w:rPr>
                <w:i/>
              </w:rPr>
            </w:pPr>
            <w:r w:rsidRPr="008E764F">
              <w:rPr>
                <w:i/>
              </w:rPr>
              <w:t>0,2747</w:t>
            </w:r>
          </w:p>
        </w:tc>
        <w:tc>
          <w:tcPr>
            <w:tcW w:w="1163" w:type="dxa"/>
          </w:tcPr>
          <w:p w:rsidR="00084397" w:rsidRPr="008E764F" w:rsidRDefault="00084397" w:rsidP="00084397">
            <w:pPr>
              <w:jc w:val="center"/>
              <w:cnfStyle w:val="000000100000"/>
              <w:rPr>
                <w:i/>
              </w:rPr>
            </w:pPr>
            <w:r w:rsidRPr="008E764F">
              <w:rPr>
                <w:i/>
              </w:rPr>
              <w:t>0,1172</w:t>
            </w:r>
          </w:p>
        </w:tc>
        <w:tc>
          <w:tcPr>
            <w:tcW w:w="1163" w:type="dxa"/>
          </w:tcPr>
          <w:p w:rsidR="00084397" w:rsidRPr="008E764F" w:rsidRDefault="00084397" w:rsidP="00084397">
            <w:pPr>
              <w:keepNext/>
              <w:jc w:val="center"/>
              <w:cnfStyle w:val="000000100000"/>
              <w:rPr>
                <w:b/>
                <w:i/>
              </w:rPr>
            </w:pPr>
            <w:r w:rsidRPr="008E764F">
              <w:rPr>
                <w:b/>
                <w:i/>
              </w:rPr>
              <w:t>0,0001</w:t>
            </w:r>
          </w:p>
          <w:p w:rsidR="00084397" w:rsidRPr="008E764F" w:rsidRDefault="00084397" w:rsidP="00084397">
            <w:pPr>
              <w:keepNext/>
              <w:jc w:val="center"/>
              <w:cnfStyle w:val="000000100000"/>
              <w:rPr>
                <w:b/>
                <w:i/>
              </w:rPr>
            </w:pPr>
            <w:r w:rsidRPr="008E764F">
              <w:rPr>
                <w:b/>
                <w:i/>
              </w:rPr>
              <w:t>0,0002</w:t>
            </w:r>
          </w:p>
        </w:tc>
      </w:tr>
    </w:tbl>
    <w:bookmarkStart w:id="108" w:name="_Ref277064103"/>
    <w:p w:rsidR="00084397" w:rsidRDefault="003F44DC" w:rsidP="00084397">
      <w:pPr>
        <w:pStyle w:val="Caption"/>
        <w:spacing w:before="240"/>
        <w:jc w:val="center"/>
        <w:rPr>
          <w:color w:val="auto"/>
        </w:rPr>
      </w:pPr>
      <w:r>
        <w:rPr>
          <w:color w:val="auto"/>
        </w:rPr>
        <w:fldChar w:fldCharType="begin"/>
      </w:r>
      <w:r w:rsidR="00084397">
        <w:rPr>
          <w:color w:val="auto"/>
        </w:rPr>
        <w:instrText xml:space="preserve"> SEQ táblázat \* ARABIC </w:instrText>
      </w:r>
      <w:r>
        <w:rPr>
          <w:color w:val="auto"/>
        </w:rPr>
        <w:fldChar w:fldCharType="separate"/>
      </w:r>
      <w:r w:rsidR="002D1B7A">
        <w:rPr>
          <w:noProof/>
          <w:color w:val="auto"/>
        </w:rPr>
        <w:t>8</w:t>
      </w:r>
      <w:r>
        <w:rPr>
          <w:color w:val="auto"/>
        </w:rPr>
        <w:fldChar w:fldCharType="end"/>
      </w:r>
      <w:r w:rsidR="00084397" w:rsidRPr="00F355FD">
        <w:rPr>
          <w:color w:val="auto"/>
        </w:rPr>
        <w:t>. táblázat</w:t>
      </w:r>
      <w:bookmarkEnd w:id="108"/>
      <w:r w:rsidR="00084397">
        <w:rPr>
          <w:color w:val="auto"/>
        </w:rPr>
        <w:t>: Munkakapacitás – legjobb modell kiválasztása</w:t>
      </w:r>
    </w:p>
    <w:p w:rsidR="00084397" w:rsidRDefault="00084397" w:rsidP="00084397">
      <w:r>
        <w:t xml:space="preserve">A </w:t>
      </w:r>
      <w:r w:rsidR="003F44DC">
        <w:fldChar w:fldCharType="begin"/>
      </w:r>
      <w:r>
        <w:instrText xml:space="preserve"> REF _Ref277064103 \h </w:instrText>
      </w:r>
      <w:r w:rsidR="003F44DC">
        <w:fldChar w:fldCharType="separate"/>
      </w:r>
      <w:r w:rsidR="002D1B7A">
        <w:rPr>
          <w:noProof/>
        </w:rPr>
        <w:t>8</w:t>
      </w:r>
      <w:r w:rsidR="002D1B7A" w:rsidRPr="00F355FD">
        <w:t>. táblázat</w:t>
      </w:r>
      <w:r w:rsidR="003F44DC">
        <w:fldChar w:fldCharType="end"/>
      </w:r>
      <w:r>
        <w:t xml:space="preserve"> alapján a </w:t>
      </w:r>
      <w:r w:rsidRPr="000935A4">
        <w:rPr>
          <w:b/>
        </w:rPr>
        <w:t>munkakapacitás</w:t>
      </w:r>
      <w:r>
        <w:t xml:space="preserve"> vizsgálatára az </w:t>
      </w:r>
      <w:proofErr w:type="gramStart"/>
      <w:r w:rsidRPr="000935A4">
        <w:rPr>
          <w:b/>
        </w:rPr>
        <w:t>AR(</w:t>
      </w:r>
      <w:proofErr w:type="gramEnd"/>
      <w:r w:rsidRPr="000935A4">
        <w:rPr>
          <w:b/>
        </w:rPr>
        <w:t>1) modellek a legalkalmasabbak</w:t>
      </w:r>
      <w:r>
        <w:t>.</w:t>
      </w:r>
    </w:p>
    <w:tbl>
      <w:tblPr>
        <w:tblStyle w:val="MediumShading2-Accent2"/>
        <w:tblW w:w="0" w:type="auto"/>
        <w:tblLook w:val="04A0"/>
      </w:tblPr>
      <w:tblGrid>
        <w:gridCol w:w="1162"/>
        <w:gridCol w:w="1163"/>
        <w:gridCol w:w="1163"/>
        <w:gridCol w:w="1163"/>
        <w:gridCol w:w="1163"/>
        <w:gridCol w:w="1163"/>
        <w:gridCol w:w="1163"/>
        <w:gridCol w:w="1163"/>
      </w:tblGrid>
      <w:tr w:rsidR="00084397" w:rsidTr="00084397">
        <w:trPr>
          <w:cnfStyle w:val="100000000000"/>
        </w:trPr>
        <w:tc>
          <w:tcPr>
            <w:cnfStyle w:val="001000000100"/>
            <w:tcW w:w="1162" w:type="dxa"/>
          </w:tcPr>
          <w:p w:rsidR="00084397" w:rsidRDefault="00084397" w:rsidP="00084397">
            <w:pPr>
              <w:jc w:val="center"/>
            </w:pPr>
            <w:r>
              <w:t>TERM</w:t>
            </w:r>
          </w:p>
          <w:p w:rsidR="00084397" w:rsidRDefault="00084397" w:rsidP="00084397">
            <w:pPr>
              <w:jc w:val="center"/>
            </w:pPr>
            <w:r>
              <w:t>Jellemzők</w:t>
            </w:r>
          </w:p>
        </w:tc>
        <w:tc>
          <w:tcPr>
            <w:tcW w:w="1163" w:type="dxa"/>
          </w:tcPr>
          <w:p w:rsidR="00084397" w:rsidRDefault="003F44DC" w:rsidP="00084397">
            <w:pPr>
              <w:jc w:val="center"/>
              <w:cnfStyle w:val="100000000000"/>
            </w:pPr>
            <w:fldSimple w:instr=" REF _Ref277062902 \n \h  \* MERGEFORMAT ">
              <w:r w:rsidR="002D1B7A">
                <w:t>3.2.1</w:t>
              </w:r>
            </w:fldSimple>
          </w:p>
          <w:p w:rsidR="00084397" w:rsidRDefault="00084397" w:rsidP="00084397">
            <w:pPr>
              <w:jc w:val="center"/>
              <w:cnfStyle w:val="100000000000"/>
            </w:pPr>
            <w:r>
              <w:t>PLS</w:t>
            </w:r>
          </w:p>
        </w:tc>
        <w:tc>
          <w:tcPr>
            <w:tcW w:w="1163" w:type="dxa"/>
          </w:tcPr>
          <w:p w:rsidR="00084397" w:rsidRDefault="003F44DC" w:rsidP="00084397">
            <w:pPr>
              <w:jc w:val="center"/>
              <w:cnfStyle w:val="100000000000"/>
            </w:pPr>
            <w:fldSimple w:instr=" REF _Ref277062909 \n \h  \* MERGEFORMAT ">
              <w:r w:rsidR="002D1B7A">
                <w:t>3.2.2</w:t>
              </w:r>
            </w:fldSimple>
          </w:p>
          <w:p w:rsidR="00084397" w:rsidRDefault="00084397" w:rsidP="00084397">
            <w:pPr>
              <w:jc w:val="center"/>
              <w:cnfStyle w:val="100000000000"/>
            </w:pPr>
            <w:r>
              <w:t>FE</w:t>
            </w:r>
          </w:p>
        </w:tc>
        <w:tc>
          <w:tcPr>
            <w:tcW w:w="1163" w:type="dxa"/>
          </w:tcPr>
          <w:p w:rsidR="00084397" w:rsidRDefault="003F44DC" w:rsidP="00084397">
            <w:pPr>
              <w:jc w:val="center"/>
              <w:cnfStyle w:val="100000000000"/>
            </w:pPr>
            <w:fldSimple w:instr=" REF _Ref277062918 \n \h  \* MERGEFORMAT ">
              <w:r w:rsidR="002D1B7A">
                <w:t>3.2.3</w:t>
              </w:r>
            </w:fldSimple>
          </w:p>
          <w:p w:rsidR="00084397" w:rsidRDefault="00084397" w:rsidP="00084397">
            <w:pPr>
              <w:jc w:val="center"/>
              <w:cnfStyle w:val="100000000000"/>
            </w:pPr>
            <w:r>
              <w:t>RE</w:t>
            </w:r>
          </w:p>
        </w:tc>
        <w:tc>
          <w:tcPr>
            <w:tcW w:w="1163" w:type="dxa"/>
          </w:tcPr>
          <w:p w:rsidR="00084397" w:rsidRDefault="003F44DC" w:rsidP="00084397">
            <w:pPr>
              <w:jc w:val="center"/>
              <w:cnfStyle w:val="100000000000"/>
            </w:pPr>
            <w:fldSimple w:instr=" REF _Ref276143718 \n \h  \* MERGEFORMAT ">
              <w:r w:rsidR="002D1B7A">
                <w:t>3.2.4</w:t>
              </w:r>
            </w:fldSimple>
          </w:p>
          <w:p w:rsidR="00084397" w:rsidRDefault="00084397" w:rsidP="00084397">
            <w:pPr>
              <w:jc w:val="center"/>
              <w:cnfStyle w:val="100000000000"/>
            </w:pPr>
            <w:r>
              <w:t>GLS</w:t>
            </w:r>
          </w:p>
        </w:tc>
        <w:tc>
          <w:tcPr>
            <w:tcW w:w="1163" w:type="dxa"/>
          </w:tcPr>
          <w:p w:rsidR="00084397" w:rsidRDefault="003F44DC" w:rsidP="00084397">
            <w:pPr>
              <w:jc w:val="center"/>
              <w:cnfStyle w:val="100000000000"/>
            </w:pPr>
            <w:fldSimple w:instr=" REF _Ref277062935 \n \h  \* MERGEFORMAT ">
              <w:r w:rsidR="002D1B7A">
                <w:t>3.2.5</w:t>
              </w:r>
            </w:fldSimple>
          </w:p>
          <w:p w:rsidR="00084397" w:rsidRDefault="00084397" w:rsidP="00084397">
            <w:pPr>
              <w:jc w:val="center"/>
              <w:cnfStyle w:val="100000000000"/>
            </w:pPr>
            <w:r>
              <w:t>2SLS</w:t>
            </w:r>
          </w:p>
        </w:tc>
        <w:tc>
          <w:tcPr>
            <w:tcW w:w="1163" w:type="dxa"/>
          </w:tcPr>
          <w:p w:rsidR="00084397" w:rsidRDefault="003F44DC" w:rsidP="00084397">
            <w:pPr>
              <w:jc w:val="center"/>
              <w:cnfStyle w:val="100000000000"/>
            </w:pPr>
            <w:fldSimple w:instr=" REF _Ref277062940 \n \h  \* MERGEFORMAT ">
              <w:r w:rsidR="002D1B7A">
                <w:t>3.2.6</w:t>
              </w:r>
            </w:fldSimple>
          </w:p>
          <w:p w:rsidR="00084397" w:rsidRDefault="00084397" w:rsidP="00084397">
            <w:pPr>
              <w:jc w:val="center"/>
              <w:cnfStyle w:val="100000000000"/>
            </w:pPr>
            <w:r>
              <w:t>GMM</w:t>
            </w:r>
          </w:p>
        </w:tc>
        <w:tc>
          <w:tcPr>
            <w:tcW w:w="1163" w:type="dxa"/>
          </w:tcPr>
          <w:p w:rsidR="00084397" w:rsidRDefault="003F44DC" w:rsidP="00084397">
            <w:pPr>
              <w:jc w:val="center"/>
              <w:cnfStyle w:val="100000000000"/>
            </w:pPr>
            <w:fldSimple w:instr=" REF _Ref277062944 \n \h  \* MERGEFORMAT ">
              <w:r w:rsidR="002D1B7A">
                <w:t>3.2.7</w:t>
              </w:r>
            </w:fldSimple>
          </w:p>
          <w:p w:rsidR="00084397" w:rsidRDefault="00084397" w:rsidP="00084397">
            <w:pPr>
              <w:jc w:val="center"/>
              <w:cnfStyle w:val="100000000000"/>
            </w:pPr>
            <w:proofErr w:type="gramStart"/>
            <w:r>
              <w:t>AR(</w:t>
            </w:r>
            <w:proofErr w:type="gramEnd"/>
            <w:r>
              <w:t>1)</w:t>
            </w:r>
          </w:p>
        </w:tc>
      </w:tr>
      <w:tr w:rsidR="00084397" w:rsidTr="00084397">
        <w:trPr>
          <w:cnfStyle w:val="000000100000"/>
        </w:trPr>
        <w:tc>
          <w:tcPr>
            <w:cnfStyle w:val="001000000000"/>
            <w:tcW w:w="1162" w:type="dxa"/>
          </w:tcPr>
          <w:p w:rsidR="00084397" w:rsidRDefault="00084397" w:rsidP="00084397">
            <w:pPr>
              <w:jc w:val="center"/>
            </w:pPr>
            <w:proofErr w:type="spellStart"/>
            <w:r>
              <w:t>R-squared</w:t>
            </w:r>
            <w:proofErr w:type="spellEnd"/>
          </w:p>
        </w:tc>
        <w:tc>
          <w:tcPr>
            <w:tcW w:w="1163" w:type="dxa"/>
          </w:tcPr>
          <w:p w:rsidR="00084397" w:rsidRPr="008E764F" w:rsidRDefault="00084397" w:rsidP="00084397">
            <w:pPr>
              <w:jc w:val="center"/>
              <w:cnfStyle w:val="000000100000"/>
              <w:rPr>
                <w:i/>
              </w:rPr>
            </w:pPr>
            <w:r w:rsidRPr="008E764F">
              <w:rPr>
                <w:i/>
              </w:rPr>
              <w:t>0,015745</w:t>
            </w:r>
          </w:p>
        </w:tc>
        <w:tc>
          <w:tcPr>
            <w:tcW w:w="1163" w:type="dxa"/>
          </w:tcPr>
          <w:p w:rsidR="00084397" w:rsidRPr="008E764F" w:rsidRDefault="00084397" w:rsidP="00084397">
            <w:pPr>
              <w:jc w:val="center"/>
              <w:cnfStyle w:val="000000100000"/>
              <w:rPr>
                <w:i/>
              </w:rPr>
            </w:pPr>
            <w:r w:rsidRPr="008E764F">
              <w:rPr>
                <w:i/>
              </w:rPr>
              <w:t>0,466561</w:t>
            </w:r>
          </w:p>
        </w:tc>
        <w:tc>
          <w:tcPr>
            <w:tcW w:w="1163" w:type="dxa"/>
          </w:tcPr>
          <w:p w:rsidR="00084397" w:rsidRPr="008E764F" w:rsidRDefault="00084397" w:rsidP="00084397">
            <w:pPr>
              <w:jc w:val="center"/>
              <w:cnfStyle w:val="000000100000"/>
              <w:rPr>
                <w:i/>
              </w:rPr>
            </w:pPr>
            <w:r w:rsidRPr="008E764F">
              <w:rPr>
                <w:i/>
              </w:rPr>
              <w:t>0,004623</w:t>
            </w:r>
          </w:p>
        </w:tc>
        <w:tc>
          <w:tcPr>
            <w:tcW w:w="1163" w:type="dxa"/>
          </w:tcPr>
          <w:p w:rsidR="00084397" w:rsidRPr="008E764F" w:rsidRDefault="00084397" w:rsidP="00084397">
            <w:pPr>
              <w:jc w:val="center"/>
              <w:cnfStyle w:val="000000100000"/>
              <w:rPr>
                <w:i/>
              </w:rPr>
            </w:pPr>
            <w:r w:rsidRPr="008E764F">
              <w:rPr>
                <w:i/>
              </w:rPr>
              <w:t>0,811773</w:t>
            </w:r>
          </w:p>
        </w:tc>
        <w:tc>
          <w:tcPr>
            <w:tcW w:w="1163" w:type="dxa"/>
          </w:tcPr>
          <w:p w:rsidR="00084397" w:rsidRPr="008E764F" w:rsidRDefault="00084397" w:rsidP="00084397">
            <w:pPr>
              <w:jc w:val="center"/>
              <w:cnfStyle w:val="000000100000"/>
              <w:rPr>
                <w:i/>
              </w:rPr>
            </w:pPr>
            <w:r w:rsidRPr="008E764F">
              <w:rPr>
                <w:i/>
              </w:rPr>
              <w:t>0,710258</w:t>
            </w:r>
          </w:p>
        </w:tc>
        <w:tc>
          <w:tcPr>
            <w:tcW w:w="1163" w:type="dxa"/>
          </w:tcPr>
          <w:p w:rsidR="00084397" w:rsidRPr="008E764F" w:rsidRDefault="00084397" w:rsidP="00084397">
            <w:pPr>
              <w:jc w:val="center"/>
              <w:cnfStyle w:val="000000100000"/>
              <w:rPr>
                <w:i/>
              </w:rPr>
            </w:pPr>
            <w:r w:rsidRPr="008E764F">
              <w:rPr>
                <w:i/>
              </w:rPr>
              <w:t>-0,241257</w:t>
            </w:r>
          </w:p>
        </w:tc>
        <w:tc>
          <w:tcPr>
            <w:tcW w:w="1163" w:type="dxa"/>
          </w:tcPr>
          <w:p w:rsidR="00084397" w:rsidRPr="008E764F" w:rsidRDefault="00084397" w:rsidP="00084397">
            <w:pPr>
              <w:jc w:val="center"/>
              <w:cnfStyle w:val="000000100000"/>
              <w:rPr>
                <w:b/>
                <w:i/>
              </w:rPr>
            </w:pPr>
            <w:r w:rsidRPr="008E764F">
              <w:rPr>
                <w:b/>
                <w:i/>
              </w:rPr>
              <w:t>0,947327</w:t>
            </w:r>
          </w:p>
        </w:tc>
      </w:tr>
      <w:tr w:rsidR="00084397" w:rsidTr="00084397">
        <w:tc>
          <w:tcPr>
            <w:cnfStyle w:val="001000000000"/>
            <w:tcW w:w="1162" w:type="dxa"/>
          </w:tcPr>
          <w:p w:rsidR="00084397" w:rsidRDefault="00084397" w:rsidP="00084397">
            <w:pPr>
              <w:jc w:val="center"/>
            </w:pPr>
            <w:proofErr w:type="spellStart"/>
            <w:r>
              <w:t>DW-stat</w:t>
            </w:r>
            <w:proofErr w:type="spellEnd"/>
            <w:r>
              <w:t>.</w:t>
            </w:r>
          </w:p>
        </w:tc>
        <w:tc>
          <w:tcPr>
            <w:tcW w:w="1163" w:type="dxa"/>
          </w:tcPr>
          <w:p w:rsidR="00084397" w:rsidRPr="008E764F" w:rsidRDefault="00084397" w:rsidP="00084397">
            <w:pPr>
              <w:jc w:val="center"/>
              <w:cnfStyle w:val="000000000000"/>
              <w:rPr>
                <w:i/>
              </w:rPr>
            </w:pPr>
            <w:r w:rsidRPr="008E764F">
              <w:rPr>
                <w:i/>
              </w:rPr>
              <w:t>1,083413</w:t>
            </w:r>
          </w:p>
        </w:tc>
        <w:tc>
          <w:tcPr>
            <w:tcW w:w="1163" w:type="dxa"/>
          </w:tcPr>
          <w:p w:rsidR="00084397" w:rsidRPr="008E764F" w:rsidRDefault="00084397" w:rsidP="00084397">
            <w:pPr>
              <w:jc w:val="center"/>
              <w:cnfStyle w:val="000000000000"/>
              <w:rPr>
                <w:i/>
              </w:rPr>
            </w:pPr>
            <w:r w:rsidRPr="008E764F">
              <w:rPr>
                <w:i/>
              </w:rPr>
              <w:t>2,927195</w:t>
            </w:r>
          </w:p>
        </w:tc>
        <w:tc>
          <w:tcPr>
            <w:tcW w:w="1163" w:type="dxa"/>
          </w:tcPr>
          <w:p w:rsidR="00084397" w:rsidRPr="008E764F" w:rsidRDefault="00084397" w:rsidP="00084397">
            <w:pPr>
              <w:jc w:val="center"/>
              <w:cnfStyle w:val="000000000000"/>
              <w:rPr>
                <w:i/>
              </w:rPr>
            </w:pPr>
            <w:r w:rsidRPr="008E764F">
              <w:rPr>
                <w:i/>
              </w:rPr>
              <w:t>1,946179</w:t>
            </w:r>
          </w:p>
        </w:tc>
        <w:tc>
          <w:tcPr>
            <w:tcW w:w="1163" w:type="dxa"/>
          </w:tcPr>
          <w:p w:rsidR="00084397" w:rsidRPr="008E764F" w:rsidRDefault="00084397" w:rsidP="00084397">
            <w:pPr>
              <w:jc w:val="center"/>
              <w:cnfStyle w:val="000000000000"/>
              <w:rPr>
                <w:i/>
              </w:rPr>
            </w:pPr>
            <w:r w:rsidRPr="008E764F">
              <w:rPr>
                <w:i/>
              </w:rPr>
              <w:t>1,217707</w:t>
            </w:r>
          </w:p>
        </w:tc>
        <w:tc>
          <w:tcPr>
            <w:tcW w:w="1163" w:type="dxa"/>
          </w:tcPr>
          <w:p w:rsidR="00084397" w:rsidRPr="008E764F" w:rsidRDefault="00084397" w:rsidP="00084397">
            <w:pPr>
              <w:jc w:val="center"/>
              <w:cnfStyle w:val="000000000000"/>
              <w:rPr>
                <w:i/>
              </w:rPr>
            </w:pPr>
            <w:r w:rsidRPr="008E764F">
              <w:rPr>
                <w:i/>
              </w:rPr>
              <w:t>1,080740</w:t>
            </w:r>
          </w:p>
        </w:tc>
        <w:tc>
          <w:tcPr>
            <w:tcW w:w="1163" w:type="dxa"/>
          </w:tcPr>
          <w:p w:rsidR="00084397" w:rsidRPr="008E764F" w:rsidRDefault="00084397" w:rsidP="00084397">
            <w:pPr>
              <w:jc w:val="center"/>
              <w:cnfStyle w:val="000000000000"/>
              <w:rPr>
                <w:i/>
              </w:rPr>
            </w:pPr>
            <w:r w:rsidRPr="008E764F">
              <w:rPr>
                <w:i/>
              </w:rPr>
              <w:t>-</w:t>
            </w:r>
          </w:p>
        </w:tc>
        <w:tc>
          <w:tcPr>
            <w:tcW w:w="1163" w:type="dxa"/>
          </w:tcPr>
          <w:p w:rsidR="00084397" w:rsidRPr="008E764F" w:rsidRDefault="00084397" w:rsidP="00084397">
            <w:pPr>
              <w:jc w:val="center"/>
              <w:cnfStyle w:val="000000000000"/>
              <w:rPr>
                <w:b/>
                <w:i/>
              </w:rPr>
            </w:pPr>
            <w:r w:rsidRPr="008E764F">
              <w:rPr>
                <w:b/>
                <w:i/>
              </w:rPr>
              <w:t>2,002566</w:t>
            </w:r>
          </w:p>
        </w:tc>
      </w:tr>
      <w:tr w:rsidR="00084397" w:rsidTr="00084397">
        <w:trPr>
          <w:cnfStyle w:val="000000100000"/>
        </w:trPr>
        <w:tc>
          <w:tcPr>
            <w:cnfStyle w:val="001000000000"/>
            <w:tcW w:w="1162" w:type="dxa"/>
          </w:tcPr>
          <w:p w:rsidR="00084397" w:rsidRDefault="00084397" w:rsidP="00084397">
            <w:pPr>
              <w:jc w:val="center"/>
            </w:pPr>
            <w:proofErr w:type="spellStart"/>
            <w:r>
              <w:t>P-értékek</w:t>
            </w:r>
            <w:proofErr w:type="spellEnd"/>
            <w:r>
              <w:t xml:space="preserve"> (FEJTAM és AKG)</w:t>
            </w:r>
          </w:p>
        </w:tc>
        <w:tc>
          <w:tcPr>
            <w:tcW w:w="1163" w:type="dxa"/>
          </w:tcPr>
          <w:p w:rsidR="00084397" w:rsidRPr="008E764F" w:rsidRDefault="00084397" w:rsidP="00084397">
            <w:pPr>
              <w:jc w:val="center"/>
              <w:cnfStyle w:val="000000100000"/>
              <w:rPr>
                <w:i/>
              </w:rPr>
            </w:pPr>
            <w:r w:rsidRPr="008E764F">
              <w:rPr>
                <w:i/>
              </w:rPr>
              <w:t>0,2491</w:t>
            </w:r>
          </w:p>
          <w:p w:rsidR="00084397" w:rsidRPr="008E764F" w:rsidRDefault="00084397" w:rsidP="00084397">
            <w:pPr>
              <w:jc w:val="center"/>
              <w:cnfStyle w:val="000000100000"/>
              <w:rPr>
                <w:i/>
              </w:rPr>
            </w:pPr>
            <w:r w:rsidRPr="008E764F">
              <w:rPr>
                <w:i/>
              </w:rPr>
              <w:t>0,3452</w:t>
            </w:r>
          </w:p>
        </w:tc>
        <w:tc>
          <w:tcPr>
            <w:tcW w:w="1163" w:type="dxa"/>
          </w:tcPr>
          <w:p w:rsidR="00084397" w:rsidRPr="008E764F" w:rsidRDefault="00084397" w:rsidP="00084397">
            <w:pPr>
              <w:jc w:val="center"/>
              <w:cnfStyle w:val="000000100000"/>
              <w:rPr>
                <w:i/>
              </w:rPr>
            </w:pPr>
            <w:r w:rsidRPr="008E764F">
              <w:rPr>
                <w:i/>
              </w:rPr>
              <w:t>0,2338</w:t>
            </w:r>
          </w:p>
          <w:p w:rsidR="00084397" w:rsidRPr="008E764F" w:rsidRDefault="00084397" w:rsidP="00084397">
            <w:pPr>
              <w:jc w:val="center"/>
              <w:cnfStyle w:val="000000100000"/>
              <w:rPr>
                <w:i/>
              </w:rPr>
            </w:pPr>
            <w:r w:rsidRPr="008E764F">
              <w:rPr>
                <w:i/>
              </w:rPr>
              <w:t>0,4107</w:t>
            </w:r>
          </w:p>
        </w:tc>
        <w:tc>
          <w:tcPr>
            <w:tcW w:w="1163" w:type="dxa"/>
          </w:tcPr>
          <w:p w:rsidR="00084397" w:rsidRPr="008E764F" w:rsidRDefault="00084397" w:rsidP="00084397">
            <w:pPr>
              <w:jc w:val="center"/>
              <w:cnfStyle w:val="000000100000"/>
              <w:rPr>
                <w:i/>
              </w:rPr>
            </w:pPr>
            <w:r w:rsidRPr="008E764F">
              <w:rPr>
                <w:i/>
              </w:rPr>
              <w:t>0,3486</w:t>
            </w:r>
          </w:p>
          <w:p w:rsidR="00084397" w:rsidRPr="008E764F" w:rsidRDefault="00084397" w:rsidP="00084397">
            <w:pPr>
              <w:jc w:val="center"/>
              <w:cnfStyle w:val="000000100000"/>
              <w:rPr>
                <w:i/>
              </w:rPr>
            </w:pPr>
            <w:r w:rsidRPr="008E764F">
              <w:rPr>
                <w:i/>
              </w:rPr>
              <w:t>0,6382</w:t>
            </w:r>
          </w:p>
        </w:tc>
        <w:tc>
          <w:tcPr>
            <w:tcW w:w="1163" w:type="dxa"/>
          </w:tcPr>
          <w:p w:rsidR="00084397" w:rsidRPr="008E764F" w:rsidRDefault="00084397" w:rsidP="00084397">
            <w:pPr>
              <w:jc w:val="center"/>
              <w:cnfStyle w:val="000000100000"/>
              <w:rPr>
                <w:i/>
              </w:rPr>
            </w:pPr>
            <w:r w:rsidRPr="008E764F">
              <w:rPr>
                <w:i/>
              </w:rPr>
              <w:t>0,4054</w:t>
            </w:r>
          </w:p>
          <w:p w:rsidR="00084397" w:rsidRPr="008E764F" w:rsidRDefault="00084397" w:rsidP="00084397">
            <w:pPr>
              <w:jc w:val="center"/>
              <w:cnfStyle w:val="000000100000"/>
              <w:rPr>
                <w:i/>
              </w:rPr>
            </w:pPr>
            <w:r w:rsidRPr="008E764F">
              <w:rPr>
                <w:i/>
              </w:rPr>
              <w:t>0,0000</w:t>
            </w:r>
          </w:p>
        </w:tc>
        <w:tc>
          <w:tcPr>
            <w:tcW w:w="1163" w:type="dxa"/>
          </w:tcPr>
          <w:p w:rsidR="00084397" w:rsidRPr="008E764F" w:rsidRDefault="00084397" w:rsidP="00084397">
            <w:pPr>
              <w:jc w:val="center"/>
              <w:cnfStyle w:val="000000100000"/>
              <w:rPr>
                <w:i/>
              </w:rPr>
            </w:pPr>
            <w:r w:rsidRPr="008E764F">
              <w:rPr>
                <w:i/>
              </w:rPr>
              <w:t>0,0000</w:t>
            </w:r>
          </w:p>
        </w:tc>
        <w:tc>
          <w:tcPr>
            <w:tcW w:w="1163" w:type="dxa"/>
          </w:tcPr>
          <w:p w:rsidR="00084397" w:rsidRPr="008E764F" w:rsidRDefault="00084397" w:rsidP="00084397">
            <w:pPr>
              <w:jc w:val="center"/>
              <w:cnfStyle w:val="000000100000"/>
              <w:rPr>
                <w:i/>
              </w:rPr>
            </w:pPr>
            <w:r w:rsidRPr="008E764F">
              <w:rPr>
                <w:i/>
              </w:rPr>
              <w:t>0,3688</w:t>
            </w:r>
          </w:p>
        </w:tc>
        <w:tc>
          <w:tcPr>
            <w:tcW w:w="1163" w:type="dxa"/>
          </w:tcPr>
          <w:p w:rsidR="00084397" w:rsidRPr="008E764F" w:rsidRDefault="00084397" w:rsidP="00084397">
            <w:pPr>
              <w:keepNext/>
              <w:jc w:val="center"/>
              <w:cnfStyle w:val="000000100000"/>
              <w:rPr>
                <w:b/>
                <w:i/>
              </w:rPr>
            </w:pPr>
            <w:r w:rsidRPr="008E764F">
              <w:rPr>
                <w:b/>
                <w:i/>
              </w:rPr>
              <w:t>0,0935</w:t>
            </w:r>
          </w:p>
          <w:p w:rsidR="00084397" w:rsidRPr="008E764F" w:rsidRDefault="00084397" w:rsidP="00084397">
            <w:pPr>
              <w:keepNext/>
              <w:jc w:val="center"/>
              <w:cnfStyle w:val="000000100000"/>
              <w:rPr>
                <w:b/>
                <w:i/>
              </w:rPr>
            </w:pPr>
            <w:r w:rsidRPr="008E764F">
              <w:rPr>
                <w:b/>
                <w:i/>
              </w:rPr>
              <w:t>0,7395</w:t>
            </w:r>
          </w:p>
        </w:tc>
      </w:tr>
    </w:tbl>
    <w:bookmarkStart w:id="109" w:name="_Ref277064105"/>
    <w:p w:rsidR="00084397" w:rsidRDefault="003F44DC" w:rsidP="00084397">
      <w:pPr>
        <w:pStyle w:val="Caption"/>
        <w:spacing w:before="240"/>
        <w:jc w:val="center"/>
        <w:rPr>
          <w:color w:val="auto"/>
        </w:rPr>
      </w:pPr>
      <w:r>
        <w:rPr>
          <w:color w:val="auto"/>
        </w:rPr>
        <w:fldChar w:fldCharType="begin"/>
      </w:r>
      <w:r w:rsidR="00084397">
        <w:rPr>
          <w:color w:val="auto"/>
        </w:rPr>
        <w:instrText xml:space="preserve"> SEQ táblázat \* ARABIC </w:instrText>
      </w:r>
      <w:r>
        <w:rPr>
          <w:color w:val="auto"/>
        </w:rPr>
        <w:fldChar w:fldCharType="separate"/>
      </w:r>
      <w:r w:rsidR="002D1B7A">
        <w:rPr>
          <w:noProof/>
          <w:color w:val="auto"/>
        </w:rPr>
        <w:t>9</w:t>
      </w:r>
      <w:r>
        <w:rPr>
          <w:color w:val="auto"/>
        </w:rPr>
        <w:fldChar w:fldCharType="end"/>
      </w:r>
      <w:r w:rsidR="00084397" w:rsidRPr="00F355FD">
        <w:rPr>
          <w:color w:val="auto"/>
        </w:rPr>
        <w:t>. táblázat</w:t>
      </w:r>
      <w:bookmarkEnd w:id="109"/>
      <w:r w:rsidR="00084397" w:rsidRPr="00F355FD">
        <w:rPr>
          <w:color w:val="auto"/>
        </w:rPr>
        <w:t>:</w:t>
      </w:r>
      <w:r w:rsidR="00084397">
        <w:rPr>
          <w:color w:val="auto"/>
        </w:rPr>
        <w:t xml:space="preserve"> Termelékenység – legjobb modell kiválasztása</w:t>
      </w:r>
    </w:p>
    <w:p w:rsidR="00084397" w:rsidRDefault="00084397" w:rsidP="00084397">
      <w:pPr>
        <w:jc w:val="both"/>
      </w:pPr>
      <w:r>
        <w:t xml:space="preserve">A </w:t>
      </w:r>
      <w:r w:rsidR="003F44DC">
        <w:fldChar w:fldCharType="begin"/>
      </w:r>
      <w:r>
        <w:instrText xml:space="preserve"> REF _Ref277064105 \h </w:instrText>
      </w:r>
      <w:r w:rsidR="003F44DC">
        <w:fldChar w:fldCharType="separate"/>
      </w:r>
      <w:r w:rsidR="002D1B7A">
        <w:rPr>
          <w:noProof/>
        </w:rPr>
        <w:t>9</w:t>
      </w:r>
      <w:r w:rsidR="002D1B7A" w:rsidRPr="00F355FD">
        <w:t>. táblázat</w:t>
      </w:r>
      <w:r w:rsidR="003F44DC">
        <w:fldChar w:fldCharType="end"/>
      </w:r>
      <w:r>
        <w:t xml:space="preserve"> alapján a </w:t>
      </w:r>
      <w:r w:rsidRPr="000935A4">
        <w:rPr>
          <w:b/>
        </w:rPr>
        <w:t>termelékenység</w:t>
      </w:r>
      <w:r>
        <w:t xml:space="preserve"> vizsgálatára az </w:t>
      </w:r>
      <w:proofErr w:type="gramStart"/>
      <w:r w:rsidRPr="000935A4">
        <w:rPr>
          <w:b/>
        </w:rPr>
        <w:t>AR(</w:t>
      </w:r>
      <w:proofErr w:type="gramEnd"/>
      <w:r w:rsidRPr="000935A4">
        <w:rPr>
          <w:b/>
        </w:rPr>
        <w:t>1) modellek a legalkalmasabbak</w:t>
      </w:r>
      <w:r>
        <w:t>.</w:t>
      </w:r>
    </w:p>
    <w:p w:rsidR="004938BD" w:rsidRPr="00F355FD" w:rsidRDefault="004938BD" w:rsidP="00084397">
      <w:pPr>
        <w:jc w:val="both"/>
      </w:pPr>
    </w:p>
    <w:p w:rsidR="00084397" w:rsidRDefault="00084397" w:rsidP="00FD66BC">
      <w:pPr>
        <w:pStyle w:val="HUNHeading2"/>
        <w:tabs>
          <w:tab w:val="clear" w:pos="567"/>
        </w:tabs>
        <w:ind w:left="709" w:hanging="709"/>
      </w:pPr>
      <w:bookmarkStart w:id="110" w:name="_Toc278793285"/>
      <w:bookmarkStart w:id="111" w:name="_Toc279359361"/>
      <w:r>
        <w:lastRenderedPageBreak/>
        <w:t>Következtetések, javaslatok, a modellezés korlátai</w:t>
      </w:r>
      <w:bookmarkEnd w:id="110"/>
      <w:bookmarkEnd w:id="111"/>
    </w:p>
    <w:p w:rsidR="00084397" w:rsidRDefault="00084397" w:rsidP="00084397">
      <w:pPr>
        <w:pStyle w:val="HUNNormal"/>
      </w:pPr>
      <w:r>
        <w:t>Az alábbi táblázatban összefoglaljuk az erősebb magyarázóerejű modellek hivatkozásait és a vizsgált tám</w:t>
      </w:r>
      <w:r>
        <w:t>o</w:t>
      </w:r>
      <w:r>
        <w:t xml:space="preserve">gatások hatásainak lehetséges irányát. A </w:t>
      </w:r>
      <w:r w:rsidR="003F44DC">
        <w:fldChar w:fldCharType="begin"/>
      </w:r>
      <w:r>
        <w:instrText xml:space="preserve"> REF _Ref276565978 \w \h </w:instrText>
      </w:r>
      <w:r w:rsidR="003F44DC">
        <w:fldChar w:fldCharType="separate"/>
      </w:r>
      <w:r w:rsidR="002D1B7A">
        <w:t>3.3.1</w:t>
      </w:r>
      <w:r w:rsidR="003F44DC">
        <w:fldChar w:fldCharType="end"/>
      </w:r>
      <w:r>
        <w:t xml:space="preserve"> alfejezettel kezdődően szövegesen is értelmezzük az ere</w:t>
      </w:r>
      <w:r>
        <w:t>d</w:t>
      </w:r>
      <w:r>
        <w:t>ményeket.</w:t>
      </w:r>
    </w:p>
    <w:tbl>
      <w:tblPr>
        <w:tblStyle w:val="MediumShading2-Accent2"/>
        <w:tblW w:w="5000" w:type="pct"/>
        <w:tblLook w:val="04A0"/>
      </w:tblPr>
      <w:tblGrid>
        <w:gridCol w:w="2344"/>
        <w:gridCol w:w="2345"/>
        <w:gridCol w:w="2345"/>
        <w:gridCol w:w="2345"/>
      </w:tblGrid>
      <w:tr w:rsidR="00084397" w:rsidTr="00084397">
        <w:trPr>
          <w:cnfStyle w:val="100000000000"/>
        </w:trPr>
        <w:tc>
          <w:tcPr>
            <w:cnfStyle w:val="001000000100"/>
            <w:tcW w:w="1250" w:type="pct"/>
          </w:tcPr>
          <w:p w:rsidR="00084397" w:rsidRDefault="00084397" w:rsidP="00084397">
            <w:pPr>
              <w:pStyle w:val="HUNNormal"/>
              <w:jc w:val="center"/>
            </w:pPr>
            <w:r>
              <w:t>Hatások iránya</w:t>
            </w:r>
          </w:p>
        </w:tc>
        <w:tc>
          <w:tcPr>
            <w:tcW w:w="1250" w:type="pct"/>
          </w:tcPr>
          <w:p w:rsidR="00084397" w:rsidRDefault="00084397" w:rsidP="00084397">
            <w:pPr>
              <w:pStyle w:val="HUNNormal"/>
              <w:jc w:val="center"/>
              <w:cnfStyle w:val="100000000000"/>
            </w:pPr>
            <w:r>
              <w:t>Jövedelmezőség</w:t>
            </w:r>
          </w:p>
        </w:tc>
        <w:tc>
          <w:tcPr>
            <w:tcW w:w="1250" w:type="pct"/>
          </w:tcPr>
          <w:p w:rsidR="00084397" w:rsidRDefault="00084397" w:rsidP="00084397">
            <w:pPr>
              <w:pStyle w:val="HUNNormal"/>
              <w:jc w:val="center"/>
              <w:cnfStyle w:val="100000000000"/>
            </w:pPr>
            <w:r>
              <w:t>Foglalkoztatás</w:t>
            </w:r>
          </w:p>
        </w:tc>
        <w:tc>
          <w:tcPr>
            <w:tcW w:w="1250" w:type="pct"/>
          </w:tcPr>
          <w:p w:rsidR="00084397" w:rsidRDefault="00084397" w:rsidP="00084397">
            <w:pPr>
              <w:pStyle w:val="HUNNormal"/>
              <w:jc w:val="center"/>
              <w:cnfStyle w:val="100000000000"/>
            </w:pPr>
            <w:r>
              <w:t>Termelékenység</w:t>
            </w:r>
          </w:p>
        </w:tc>
      </w:tr>
      <w:tr w:rsidR="00084397" w:rsidTr="00084397">
        <w:trPr>
          <w:cnfStyle w:val="000000100000"/>
        </w:trPr>
        <w:tc>
          <w:tcPr>
            <w:cnfStyle w:val="001000000000"/>
            <w:tcW w:w="1250" w:type="pct"/>
          </w:tcPr>
          <w:p w:rsidR="00084397" w:rsidRPr="00867912" w:rsidRDefault="00084397" w:rsidP="00084397">
            <w:pPr>
              <w:pStyle w:val="HUNNormal"/>
              <w:jc w:val="left"/>
              <w:rPr>
                <w:i/>
              </w:rPr>
            </w:pPr>
            <w:r w:rsidRPr="00867912">
              <w:rPr>
                <w:i/>
              </w:rPr>
              <w:t>Beruházási támogatások</w:t>
            </w:r>
          </w:p>
        </w:tc>
        <w:tc>
          <w:tcPr>
            <w:tcW w:w="1250" w:type="pct"/>
          </w:tcPr>
          <w:p w:rsidR="00084397" w:rsidRDefault="00084397" w:rsidP="00084397">
            <w:pPr>
              <w:pStyle w:val="HUNNormal"/>
              <w:jc w:val="center"/>
              <w:cnfStyle w:val="000000100000"/>
            </w:pPr>
            <w:r>
              <w:t>Enyhe pozitív (</w:t>
            </w:r>
            <w:fldSimple w:instr=" REF _Ref276147488 \h  \* MERGEFORMAT ">
              <w:r w:rsidR="002D1B7A">
                <w:rPr>
                  <w:noProof/>
                </w:rPr>
                <w:t>21</w:t>
              </w:r>
              <w:r w:rsidR="002D1B7A" w:rsidRPr="00CC58AC">
                <w:t>. ábra</w:t>
              </w:r>
            </w:fldSimple>
            <w:r>
              <w:t xml:space="preserve"> és </w:t>
            </w:r>
            <w:fldSimple w:instr=" REF _Ref276147496 \h  \* MERGEFORMAT ">
              <w:r w:rsidR="002D1B7A">
                <w:rPr>
                  <w:noProof/>
                </w:rPr>
                <w:t>22</w:t>
              </w:r>
              <w:r w:rsidR="002D1B7A" w:rsidRPr="00CC58AC">
                <w:t>. ábra</w:t>
              </w:r>
            </w:fldSimple>
            <w:r>
              <w:t>) fenntart</w:t>
            </w:r>
            <w:r>
              <w:t>á</w:t>
            </w:r>
            <w:r>
              <w:t>sokkal (</w:t>
            </w:r>
            <w:fldSimple w:instr=" REF _Ref276147477 \h  \* MERGEFORMAT ">
              <w:r w:rsidR="002D1B7A">
                <w:rPr>
                  <w:noProof/>
                </w:rPr>
                <w:t>12</w:t>
              </w:r>
              <w:r w:rsidR="002D1B7A" w:rsidRPr="00CC58AC">
                <w:t>. ábra</w:t>
              </w:r>
            </w:fldSimple>
            <w:r>
              <w:t>)</w:t>
            </w:r>
          </w:p>
        </w:tc>
        <w:tc>
          <w:tcPr>
            <w:tcW w:w="1250" w:type="pct"/>
          </w:tcPr>
          <w:p w:rsidR="00084397" w:rsidRDefault="00084397" w:rsidP="00084397">
            <w:pPr>
              <w:pStyle w:val="HUNNormal"/>
              <w:jc w:val="center"/>
              <w:cnfStyle w:val="000000100000"/>
            </w:pPr>
            <w:r>
              <w:t>Nem dönthető el (</w:t>
            </w:r>
            <w:fldSimple w:instr=" REF _Ref276566151 \h  \* MERGEFORMAT ">
              <w:r w:rsidR="002D1B7A">
                <w:rPr>
                  <w:noProof/>
                </w:rPr>
                <w:t>23</w:t>
              </w:r>
              <w:r w:rsidR="002D1B7A" w:rsidRPr="00CC58AC">
                <w:t>. ábra</w:t>
              </w:r>
            </w:fldSimple>
            <w:r>
              <w:t xml:space="preserve"> és </w:t>
            </w:r>
            <w:fldSimple w:instr=" REF _Ref276566152 \h  \* MERGEFORMAT ">
              <w:r w:rsidR="002D1B7A">
                <w:rPr>
                  <w:noProof/>
                </w:rPr>
                <w:t>24</w:t>
              </w:r>
              <w:r w:rsidR="002D1B7A" w:rsidRPr="00CC58AC">
                <w:t>. ábra</w:t>
              </w:r>
            </w:fldSimple>
            <w:r>
              <w:t>)</w:t>
            </w:r>
          </w:p>
        </w:tc>
        <w:tc>
          <w:tcPr>
            <w:tcW w:w="1250" w:type="pct"/>
          </w:tcPr>
          <w:p w:rsidR="00084397" w:rsidRDefault="00084397" w:rsidP="00084397">
            <w:pPr>
              <w:pStyle w:val="HUNNormal"/>
              <w:jc w:val="center"/>
              <w:cnfStyle w:val="000000100000"/>
            </w:pPr>
            <w:r>
              <w:t>Enyhe pozitív (</w:t>
            </w:r>
            <w:fldSimple w:instr=" REF _Ref276566169 \h  \* MERGEFORMAT ">
              <w:r w:rsidR="002D1B7A">
                <w:rPr>
                  <w:noProof/>
                </w:rPr>
                <w:t>25</w:t>
              </w:r>
              <w:r w:rsidR="002D1B7A" w:rsidRPr="00CC58AC">
                <w:t>. ábra</w:t>
              </w:r>
            </w:fldSimple>
            <w:r>
              <w:t xml:space="preserve"> és </w:t>
            </w:r>
            <w:fldSimple w:instr=" REF _Ref276566170 \h  \* MERGEFORMAT ">
              <w:r w:rsidR="002D1B7A">
                <w:rPr>
                  <w:noProof/>
                </w:rPr>
                <w:t>26</w:t>
              </w:r>
              <w:r w:rsidR="002D1B7A" w:rsidRPr="00CC58AC">
                <w:t>. ábra</w:t>
              </w:r>
            </w:fldSimple>
            <w:r>
              <w:t>)</w:t>
            </w:r>
          </w:p>
        </w:tc>
      </w:tr>
      <w:tr w:rsidR="00084397" w:rsidTr="00084397">
        <w:tc>
          <w:tcPr>
            <w:cnfStyle w:val="001000000000"/>
            <w:tcW w:w="1250" w:type="pct"/>
          </w:tcPr>
          <w:p w:rsidR="00084397" w:rsidRPr="00867912" w:rsidRDefault="00084397" w:rsidP="00084397">
            <w:pPr>
              <w:pStyle w:val="HUNNormal"/>
              <w:jc w:val="center"/>
              <w:rPr>
                <w:i/>
              </w:rPr>
            </w:pPr>
            <w:r w:rsidRPr="00867912">
              <w:rPr>
                <w:i/>
              </w:rPr>
              <w:t>Agrár-környezetvédelmi támogatások</w:t>
            </w:r>
          </w:p>
        </w:tc>
        <w:tc>
          <w:tcPr>
            <w:tcW w:w="1250" w:type="pct"/>
          </w:tcPr>
          <w:p w:rsidR="00084397" w:rsidRDefault="00084397" w:rsidP="00084397">
            <w:pPr>
              <w:pStyle w:val="HUNNormal"/>
              <w:jc w:val="center"/>
              <w:cnfStyle w:val="000000000000"/>
            </w:pPr>
            <w:r>
              <w:t>Pozitív (</w:t>
            </w:r>
            <w:fldSimple w:instr=" REF _Ref276654631 \h  \* MERGEFORMAT ">
              <w:r w:rsidR="002D1B7A">
                <w:rPr>
                  <w:noProof/>
                </w:rPr>
                <w:t>21</w:t>
              </w:r>
            </w:fldSimple>
            <w:r>
              <w:t>. ábra)</w:t>
            </w:r>
          </w:p>
        </w:tc>
        <w:tc>
          <w:tcPr>
            <w:tcW w:w="1250" w:type="pct"/>
          </w:tcPr>
          <w:p w:rsidR="00084397" w:rsidRDefault="00084397" w:rsidP="00084397">
            <w:pPr>
              <w:pStyle w:val="HUNNormal"/>
              <w:jc w:val="center"/>
              <w:cnfStyle w:val="000000000000"/>
            </w:pPr>
            <w:r>
              <w:t>Enyhe pozitív (</w:t>
            </w:r>
            <w:fldSimple w:instr=" REF _Ref276471177 \h  \* MERGEFORMAT ">
              <w:r w:rsidR="002D1B7A">
                <w:rPr>
                  <w:noProof/>
                </w:rPr>
                <w:t>23</w:t>
              </w:r>
            </w:fldSimple>
            <w:r>
              <w:t>. ábra)</w:t>
            </w:r>
          </w:p>
        </w:tc>
        <w:tc>
          <w:tcPr>
            <w:tcW w:w="1250" w:type="pct"/>
          </w:tcPr>
          <w:p w:rsidR="00084397" w:rsidRDefault="00084397" w:rsidP="00084397">
            <w:pPr>
              <w:pStyle w:val="HUNNormal"/>
              <w:jc w:val="center"/>
              <w:cnfStyle w:val="000000000000"/>
            </w:pPr>
            <w:r>
              <w:t>Nincs hatása (</w:t>
            </w:r>
            <w:fldSimple w:instr=" REF _Ref276654714 \h  \* MERGEFORMAT ">
              <w:r w:rsidR="002D1B7A">
                <w:rPr>
                  <w:noProof/>
                </w:rPr>
                <w:t>25</w:t>
              </w:r>
            </w:fldSimple>
            <w:r>
              <w:t>. ábra)</w:t>
            </w:r>
          </w:p>
        </w:tc>
      </w:tr>
      <w:tr w:rsidR="00084397" w:rsidTr="00084397">
        <w:trPr>
          <w:cnfStyle w:val="000000100000"/>
        </w:trPr>
        <w:tc>
          <w:tcPr>
            <w:cnfStyle w:val="001000000000"/>
            <w:tcW w:w="1250" w:type="pct"/>
          </w:tcPr>
          <w:p w:rsidR="00084397" w:rsidRPr="00867912" w:rsidRDefault="00084397" w:rsidP="00084397">
            <w:pPr>
              <w:pStyle w:val="HUNNormal"/>
              <w:jc w:val="center"/>
              <w:rPr>
                <w:i/>
              </w:rPr>
            </w:pPr>
            <w:r w:rsidRPr="00867912">
              <w:rPr>
                <w:i/>
              </w:rPr>
              <w:t>SAPS támogatás</w:t>
            </w:r>
          </w:p>
        </w:tc>
        <w:tc>
          <w:tcPr>
            <w:tcW w:w="1250" w:type="pct"/>
          </w:tcPr>
          <w:p w:rsidR="00084397" w:rsidRDefault="00084397" w:rsidP="00084397">
            <w:pPr>
              <w:pStyle w:val="HUNNormal"/>
              <w:jc w:val="center"/>
              <w:cnfStyle w:val="000000100000"/>
            </w:pPr>
            <w:r>
              <w:t>Pozitív (</w:t>
            </w:r>
            <w:fldSimple w:instr=" REF _Ref276654631 \h  \* MERGEFORMAT ">
              <w:r w:rsidR="002D1B7A">
                <w:rPr>
                  <w:noProof/>
                </w:rPr>
                <w:t>21</w:t>
              </w:r>
            </w:fldSimple>
            <w:proofErr w:type="gramStart"/>
            <w:r>
              <w:t>.ábra</w:t>
            </w:r>
            <w:proofErr w:type="gramEnd"/>
            <w:r>
              <w:t>)</w:t>
            </w:r>
          </w:p>
        </w:tc>
        <w:tc>
          <w:tcPr>
            <w:tcW w:w="1250" w:type="pct"/>
          </w:tcPr>
          <w:p w:rsidR="00084397" w:rsidRDefault="00084397" w:rsidP="00084397">
            <w:pPr>
              <w:pStyle w:val="HUNNormal"/>
              <w:jc w:val="center"/>
              <w:cnfStyle w:val="000000100000"/>
            </w:pPr>
            <w:r>
              <w:t>Pozitív (</w:t>
            </w:r>
            <w:fldSimple w:instr=" REF _Ref276471177 \h  \* MERGEFORMAT ">
              <w:r w:rsidR="002D1B7A">
                <w:rPr>
                  <w:noProof/>
                </w:rPr>
                <w:t>23</w:t>
              </w:r>
            </w:fldSimple>
            <w:r>
              <w:t>. ábra)</w:t>
            </w:r>
          </w:p>
        </w:tc>
        <w:tc>
          <w:tcPr>
            <w:tcW w:w="1250" w:type="pct"/>
          </w:tcPr>
          <w:p w:rsidR="00084397" w:rsidRDefault="00084397" w:rsidP="00084397">
            <w:pPr>
              <w:pStyle w:val="HUNNormal"/>
              <w:keepNext/>
              <w:jc w:val="center"/>
              <w:cnfStyle w:val="000000100000"/>
            </w:pPr>
            <w:r>
              <w:t>Pozitív (</w:t>
            </w:r>
            <w:fldSimple w:instr=" REF _Ref276654714 \h  \* MERGEFORMAT ">
              <w:r w:rsidR="002D1B7A">
                <w:rPr>
                  <w:noProof/>
                </w:rPr>
                <w:t>25</w:t>
              </w:r>
            </w:fldSimple>
            <w:r>
              <w:t>. ábra)</w:t>
            </w:r>
          </w:p>
        </w:tc>
      </w:tr>
    </w:tbl>
    <w:p w:rsidR="00084397" w:rsidRDefault="003F44DC" w:rsidP="00084397">
      <w:pPr>
        <w:pStyle w:val="Caption"/>
        <w:spacing w:before="240" w:after="0"/>
        <w:jc w:val="center"/>
        <w:rPr>
          <w:color w:val="auto"/>
        </w:rPr>
      </w:pPr>
      <w:r>
        <w:rPr>
          <w:color w:val="auto"/>
        </w:rPr>
        <w:fldChar w:fldCharType="begin"/>
      </w:r>
      <w:r w:rsidR="00084397">
        <w:rPr>
          <w:color w:val="auto"/>
        </w:rPr>
        <w:instrText xml:space="preserve"> SEQ táblázat \* ARABIC </w:instrText>
      </w:r>
      <w:r>
        <w:rPr>
          <w:color w:val="auto"/>
        </w:rPr>
        <w:fldChar w:fldCharType="separate"/>
      </w:r>
      <w:r w:rsidR="002D1B7A">
        <w:rPr>
          <w:noProof/>
          <w:color w:val="auto"/>
        </w:rPr>
        <w:t>10</w:t>
      </w:r>
      <w:r>
        <w:rPr>
          <w:color w:val="auto"/>
        </w:rPr>
        <w:fldChar w:fldCharType="end"/>
      </w:r>
      <w:r w:rsidR="00084397" w:rsidRPr="00A0265C">
        <w:rPr>
          <w:color w:val="auto"/>
        </w:rPr>
        <w:t>. táblázat</w:t>
      </w:r>
      <w:r w:rsidR="00084397">
        <w:rPr>
          <w:color w:val="auto"/>
        </w:rPr>
        <w:t xml:space="preserve">: Az </w:t>
      </w:r>
      <w:proofErr w:type="spellStart"/>
      <w:r w:rsidR="00084397">
        <w:rPr>
          <w:color w:val="auto"/>
        </w:rPr>
        <w:t>ökonometriai</w:t>
      </w:r>
      <w:proofErr w:type="spellEnd"/>
      <w:r w:rsidR="00084397">
        <w:rPr>
          <w:color w:val="auto"/>
        </w:rPr>
        <w:t xml:space="preserve"> elemzés eredményeinek összefoglalása</w:t>
      </w:r>
    </w:p>
    <w:p w:rsidR="00084397" w:rsidRDefault="00084397" w:rsidP="00084397">
      <w:pPr>
        <w:pStyle w:val="HUNHeading3"/>
        <w:ind w:left="504"/>
      </w:pPr>
      <w:bookmarkStart w:id="112" w:name="_Ref276565978"/>
      <w:bookmarkStart w:id="113" w:name="_Toc278793286"/>
      <w:bookmarkStart w:id="114" w:name="_Toc279359362"/>
      <w:r>
        <w:t>Beruházási támogatásokra vonatkozóan</w:t>
      </w:r>
      <w:bookmarkEnd w:id="112"/>
      <w:bookmarkEnd w:id="113"/>
      <w:bookmarkEnd w:id="114"/>
    </w:p>
    <w:p w:rsidR="00084397" w:rsidRDefault="00084397" w:rsidP="00084397">
      <w:pPr>
        <w:pStyle w:val="HUNNormal"/>
      </w:pPr>
      <w:r>
        <w:t>A legtöbb modellünkben az egy időszakkal megelőző beruházási támogatások gazdasági hatása nem kim</w:t>
      </w:r>
      <w:r>
        <w:t>u</w:t>
      </w:r>
      <w:r>
        <w:t>tatható. Az egyik erősebb magyarázóerejű modellünk (</w:t>
      </w:r>
      <w:r w:rsidR="003F44DC">
        <w:fldChar w:fldCharType="begin"/>
      </w:r>
      <w:r>
        <w:instrText xml:space="preserve"> REF _Ref276147477 \h </w:instrText>
      </w:r>
      <w:r w:rsidR="003F44DC">
        <w:fldChar w:fldCharType="separate"/>
      </w:r>
      <w:r w:rsidR="002D1B7A">
        <w:rPr>
          <w:noProof/>
        </w:rPr>
        <w:t>12</w:t>
      </w:r>
      <w:r w:rsidR="002D1B7A" w:rsidRPr="00CC58AC">
        <w:t>. ábra</w:t>
      </w:r>
      <w:r w:rsidR="003F44DC">
        <w:fldChar w:fldCharType="end"/>
      </w:r>
      <w:r>
        <w:t>) szerint még enyhén csökkenti is átlagosan az üzemek nettó hozzáadott értékét. Egy másik erős specifikáció (</w:t>
      </w:r>
      <w:r w:rsidR="003F44DC">
        <w:fldChar w:fldCharType="begin"/>
      </w:r>
      <w:r>
        <w:instrText xml:space="preserve"> REF _Ref276147488 \h </w:instrText>
      </w:r>
      <w:r w:rsidR="003F44DC">
        <w:fldChar w:fldCharType="separate"/>
      </w:r>
      <w:r w:rsidR="002D1B7A">
        <w:rPr>
          <w:noProof/>
        </w:rPr>
        <w:t>21</w:t>
      </w:r>
      <w:r w:rsidR="002D1B7A" w:rsidRPr="00CC58AC">
        <w:t>. ábra</w:t>
      </w:r>
      <w:r w:rsidR="003F44DC">
        <w:fldChar w:fldCharType="end"/>
      </w:r>
      <w:r>
        <w:t xml:space="preserve"> és </w:t>
      </w:r>
      <w:r w:rsidR="003F44DC">
        <w:fldChar w:fldCharType="begin"/>
      </w:r>
      <w:r>
        <w:instrText xml:space="preserve"> REF _Ref276147496 \h </w:instrText>
      </w:r>
      <w:r w:rsidR="003F44DC">
        <w:fldChar w:fldCharType="separate"/>
      </w:r>
      <w:r w:rsidR="002D1B7A">
        <w:rPr>
          <w:noProof/>
        </w:rPr>
        <w:t>22</w:t>
      </w:r>
      <w:r w:rsidR="002D1B7A" w:rsidRPr="00CC58AC">
        <w:t>. ábra</w:t>
      </w:r>
      <w:r w:rsidR="003F44DC">
        <w:fldChar w:fldCharType="end"/>
      </w:r>
      <w:r>
        <w:t>) enyhén pozitív h</w:t>
      </w:r>
      <w:r>
        <w:t>a</w:t>
      </w:r>
      <w:r>
        <w:t xml:space="preserve">tást mutat ki a nettó hozzáadott értékre nézve, de ez </w:t>
      </w:r>
      <w:r w:rsidRPr="008926CD">
        <w:rPr>
          <w:b/>
          <w:i/>
        </w:rPr>
        <w:t>legfeljebb</w:t>
      </w:r>
      <w:r>
        <w:t xml:space="preserve"> 130 forintot jelenthet 1000 </w:t>
      </w:r>
      <w:proofErr w:type="gramStart"/>
      <w:r>
        <w:t>forint támogat</w:t>
      </w:r>
      <w:r>
        <w:t>á</w:t>
      </w:r>
      <w:r>
        <w:t>si</w:t>
      </w:r>
      <w:proofErr w:type="gramEnd"/>
      <w:r>
        <w:t xml:space="preserve"> összegenként átlagosan, minden más változatlanságát feltételezve.</w:t>
      </w:r>
      <w:r>
        <w:rPr>
          <w:rStyle w:val="FootnoteReference"/>
        </w:rPr>
        <w:footnoteReference w:id="21"/>
      </w:r>
    </w:p>
    <w:p w:rsidR="00084397" w:rsidRDefault="00084397" w:rsidP="00084397">
      <w:pPr>
        <w:pStyle w:val="HUNNormal"/>
      </w:pPr>
      <w:r>
        <w:t xml:space="preserve">Már a </w:t>
      </w:r>
      <w:r w:rsidR="003F44DC">
        <w:fldChar w:fldCharType="begin"/>
      </w:r>
      <w:r>
        <w:instrText xml:space="preserve"> REF _Ref276132525 \w \h </w:instrText>
      </w:r>
      <w:r w:rsidR="003F44DC">
        <w:fldChar w:fldCharType="separate"/>
      </w:r>
      <w:r w:rsidR="002D1B7A">
        <w:t>3.1.2</w:t>
      </w:r>
      <w:r w:rsidR="003F44DC">
        <w:fldChar w:fldCharType="end"/>
      </w:r>
      <w:r>
        <w:t xml:space="preserve"> alfejezetben említettük, hogy a beruházási típusú támogatások eredményben tükröződő pozitív hatását vélelmezhetően két éves késés jellemzi, sőt előfordulhat átmenetileg eredményt csökkentő hatás is. Ennek fényében nem meglepő, hogy az egy időszakkal megelőző támogatások hatása ilyen csekély mérté</w:t>
      </w:r>
      <w:r>
        <w:t>k</w:t>
      </w:r>
      <w:r>
        <w:t>ben és vegyesen jelentkezik.</w:t>
      </w:r>
    </w:p>
    <w:p w:rsidR="00084397" w:rsidRDefault="00084397" w:rsidP="00084397">
      <w:pPr>
        <w:pStyle w:val="HUNNormal"/>
      </w:pPr>
      <w:r>
        <w:t>A foglalkoztatásra (munkakapacitás) és termelékenységre nézve a fenti modellek még nehezebben eldön</w:t>
      </w:r>
      <w:r>
        <w:t>t</w:t>
      </w:r>
      <w:r>
        <w:t xml:space="preserve">hető álláspontot mutatnak. A munkakapacitásra vonatkozó modellek közül az </w:t>
      </w:r>
      <w:proofErr w:type="spellStart"/>
      <w:r>
        <w:t>autoregresszív</w:t>
      </w:r>
      <w:proofErr w:type="spellEnd"/>
      <w:r>
        <w:t xml:space="preserve"> taggal rende</w:t>
      </w:r>
      <w:r>
        <w:t>l</w:t>
      </w:r>
      <w:r>
        <w:t>kezőket tekintjük megbízhatónak (</w:t>
      </w:r>
      <w:r w:rsidR="003F44DC">
        <w:fldChar w:fldCharType="begin"/>
      </w:r>
      <w:r>
        <w:instrText xml:space="preserve"> REF _Ref276471177 \h </w:instrText>
      </w:r>
      <w:r w:rsidR="003F44DC">
        <w:fldChar w:fldCharType="separate"/>
      </w:r>
      <w:r w:rsidR="002D1B7A">
        <w:rPr>
          <w:noProof/>
        </w:rPr>
        <w:t>23</w:t>
      </w:r>
      <w:r w:rsidR="003F44DC">
        <w:fldChar w:fldCharType="end"/>
      </w:r>
      <w:r>
        <w:t xml:space="preserve">. és </w:t>
      </w:r>
      <w:r w:rsidR="003F44DC">
        <w:fldChar w:fldCharType="begin"/>
      </w:r>
      <w:r>
        <w:instrText xml:space="preserve"> REF _Ref276471178 \h </w:instrText>
      </w:r>
      <w:r w:rsidR="003F44DC">
        <w:fldChar w:fldCharType="separate"/>
      </w:r>
      <w:r w:rsidR="002D1B7A">
        <w:rPr>
          <w:noProof/>
        </w:rPr>
        <w:t>24</w:t>
      </w:r>
      <w:r w:rsidR="003F44DC">
        <w:fldChar w:fldCharType="end"/>
      </w:r>
      <w:r>
        <w:t xml:space="preserve">. ábra), mivel a többi modellünkben az elsőrendű </w:t>
      </w:r>
      <w:proofErr w:type="spellStart"/>
      <w:r>
        <w:t>reziduális</w:t>
      </w:r>
      <w:proofErr w:type="spellEnd"/>
      <w:r>
        <w:t xml:space="preserve"> </w:t>
      </w:r>
      <w:proofErr w:type="spellStart"/>
      <w:r>
        <w:t>autokorreláció</w:t>
      </w:r>
      <w:proofErr w:type="spellEnd"/>
      <w:r>
        <w:t xml:space="preserve"> jelenléte szignifikánsnak volt mondható. Ezek viszont sajnos egymásnak ellentmondó előjelet tulajdonítanak a munkakapacitásra gyakorolt előző időszaki beruházási hatásoknak.</w:t>
      </w:r>
    </w:p>
    <w:p w:rsidR="00084397" w:rsidRDefault="00084397" w:rsidP="00084397">
      <w:pPr>
        <w:pStyle w:val="HUNNormal"/>
      </w:pPr>
      <w:r>
        <w:t>Termelékenységre nézve az utolsó modellünk (</w:t>
      </w:r>
      <w:r w:rsidR="003F44DC">
        <w:fldChar w:fldCharType="begin"/>
      </w:r>
      <w:r>
        <w:instrText xml:space="preserve"> REF _Ref276471261 \h </w:instrText>
      </w:r>
      <w:r w:rsidR="003F44DC">
        <w:fldChar w:fldCharType="separate"/>
      </w:r>
      <w:r w:rsidR="002D1B7A">
        <w:rPr>
          <w:noProof/>
        </w:rPr>
        <w:t>26</w:t>
      </w:r>
      <w:r w:rsidR="003F44DC">
        <w:fldChar w:fldCharType="end"/>
      </w:r>
      <w:r>
        <w:t>. ábra) a mérvadó, ahol enyhe pozitív hatást tapasztaltunk a beruházási támogatásoknak köszönhetően.</w:t>
      </w:r>
      <w:r>
        <w:rPr>
          <w:rStyle w:val="FootnoteReference"/>
        </w:rPr>
        <w:footnoteReference w:id="22"/>
      </w:r>
    </w:p>
    <w:p w:rsidR="00084397" w:rsidRDefault="00084397" w:rsidP="00084397">
      <w:pPr>
        <w:pStyle w:val="HUNHeading3"/>
        <w:ind w:left="504"/>
      </w:pPr>
      <w:bookmarkStart w:id="115" w:name="_Toc278793287"/>
      <w:bookmarkStart w:id="116" w:name="_Toc279359363"/>
      <w:r>
        <w:t>Területalapú támogatásokra vonatkozóan</w:t>
      </w:r>
      <w:bookmarkEnd w:id="115"/>
      <w:bookmarkEnd w:id="116"/>
    </w:p>
    <w:p w:rsidR="00084397" w:rsidRDefault="000E5C0B" w:rsidP="00084397">
      <w:pPr>
        <w:pStyle w:val="HUNNormal"/>
      </w:pPr>
      <w:r>
        <w:t xml:space="preserve">A beruházási támogatások elemzése mellett – bár nem terveztük – vizsgáltuk a területalapú támogatások megjelenését is. </w:t>
      </w:r>
      <w:r w:rsidR="00084397">
        <w:t xml:space="preserve">Érdekes módon az előző időszaki agrár-környezetgazdálkodási támogatásoknak a SAPS támogatással együtt erősebben megjelenik a hatása, mint a beruházási támogatásoknak. Erre a magyarázat </w:t>
      </w:r>
      <w:r w:rsidR="00084397">
        <w:lastRenderedPageBreak/>
        <w:t xml:space="preserve">talán a támogatás széleskörűségében és </w:t>
      </w:r>
      <w:proofErr w:type="spellStart"/>
      <w:r w:rsidR="00084397">
        <w:t>SAPS-hoz</w:t>
      </w:r>
      <w:proofErr w:type="spellEnd"/>
      <w:r w:rsidR="00084397">
        <w:t xml:space="preserve"> való hasonlóságában, korrelációjában rejlik (lásd </w:t>
      </w:r>
      <w:r w:rsidR="003F44DC">
        <w:fldChar w:fldCharType="begin"/>
      </w:r>
      <w:r w:rsidR="00084397">
        <w:instrText xml:space="preserve"> REF _Ref276994737 \h </w:instrText>
      </w:r>
      <w:r w:rsidR="003F44DC">
        <w:fldChar w:fldCharType="separate"/>
      </w:r>
      <w:r w:rsidR="002D1B7A">
        <w:rPr>
          <w:noProof/>
        </w:rPr>
        <w:t>5</w:t>
      </w:r>
      <w:r w:rsidR="002D1B7A" w:rsidRPr="00834E5D">
        <w:t>. tá</w:t>
      </w:r>
      <w:r w:rsidR="002D1B7A" w:rsidRPr="00834E5D">
        <w:t>b</w:t>
      </w:r>
      <w:r w:rsidR="002D1B7A" w:rsidRPr="00834E5D">
        <w:t>lázat: Korrelációs együtthatók mátrixa</w:t>
      </w:r>
      <w:r w:rsidR="003F44DC">
        <w:fldChar w:fldCharType="end"/>
      </w:r>
      <w:r w:rsidR="00084397">
        <w:t xml:space="preserve">). </w:t>
      </w:r>
    </w:p>
    <w:p w:rsidR="00084397" w:rsidRDefault="00084397" w:rsidP="00084397">
      <w:pPr>
        <w:pStyle w:val="HUNNormal"/>
      </w:pPr>
      <w:r>
        <w:t>Igyekeztünk kontrollálni a modelljeinkben a méretre, a gazdaságok jogi helyzetére (egyéni vagy társas ga</w:t>
      </w:r>
      <w:r>
        <w:t>z</w:t>
      </w:r>
      <w:r>
        <w:t>daság) és a nagy összegű kapott területalapú támogatásokra, így a beruházási összegeknek elolvadt a hat</w:t>
      </w:r>
      <w:r>
        <w:t>á</w:t>
      </w:r>
      <w:r>
        <w:t xml:space="preserve">sa, ahogy az fentebb is látszik. Azonban az agrár-környezetgazdálkodási programból származó bevétel úgy tűnik, szinte „egy az egyben” megjelent a nettó hozzáadott értékben (lásd </w:t>
      </w:r>
      <w:r w:rsidR="003F44DC">
        <w:fldChar w:fldCharType="begin"/>
      </w:r>
      <w:r>
        <w:instrText xml:space="preserve"> REF _Ref276478013 \h </w:instrText>
      </w:r>
      <w:r w:rsidR="003F44DC">
        <w:fldChar w:fldCharType="separate"/>
      </w:r>
      <w:r w:rsidR="002D1B7A">
        <w:rPr>
          <w:noProof/>
        </w:rPr>
        <w:t>12</w:t>
      </w:r>
      <w:r w:rsidR="002D1B7A" w:rsidRPr="00CC58AC">
        <w:t>. ábra: GLS – NH</w:t>
      </w:r>
      <w:r w:rsidR="003F44DC">
        <w:fldChar w:fldCharType="end"/>
      </w:r>
      <w:r>
        <w:t xml:space="preserve"> és </w:t>
      </w:r>
      <w:r w:rsidR="003F44DC">
        <w:fldChar w:fldCharType="begin"/>
      </w:r>
      <w:r>
        <w:instrText xml:space="preserve"> REF _Ref276457021 \h </w:instrText>
      </w:r>
      <w:r w:rsidR="003F44DC">
        <w:fldChar w:fldCharType="separate"/>
      </w:r>
      <w:r w:rsidR="002D1B7A">
        <w:rPr>
          <w:noProof/>
        </w:rPr>
        <w:t>21</w:t>
      </w:r>
      <w:r w:rsidR="002D1B7A" w:rsidRPr="00CC58AC">
        <w:t xml:space="preserve">. ábra: </w:t>
      </w:r>
      <w:proofErr w:type="gramStart"/>
      <w:r w:rsidR="002D1B7A" w:rsidRPr="00CC58AC">
        <w:t>AR(</w:t>
      </w:r>
      <w:proofErr w:type="gramEnd"/>
      <w:r w:rsidR="002D1B7A" w:rsidRPr="00CC58AC">
        <w:t>1) GLS – NH</w:t>
      </w:r>
      <w:r w:rsidR="003F44DC">
        <w:fldChar w:fldCharType="end"/>
      </w:r>
      <w:r>
        <w:t xml:space="preserve">). </w:t>
      </w:r>
    </w:p>
    <w:p w:rsidR="00084397" w:rsidRDefault="00084397" w:rsidP="00084397">
      <w:pPr>
        <w:pStyle w:val="HUNHeading3"/>
        <w:ind w:left="504"/>
      </w:pPr>
      <w:bookmarkStart w:id="117" w:name="_Toc278793288"/>
      <w:bookmarkStart w:id="118" w:name="_Toc279359364"/>
      <w:r>
        <w:t>Gazdasági növekedésre vonatkozóan</w:t>
      </w:r>
      <w:bookmarkEnd w:id="117"/>
      <w:bookmarkEnd w:id="118"/>
    </w:p>
    <w:p w:rsidR="00084397" w:rsidRDefault="00084397" w:rsidP="00084397">
      <w:pPr>
        <w:pStyle w:val="HUNNormal"/>
      </w:pPr>
      <w:r>
        <w:t>A gazdasági növekedésre véleményünk szerint csak a beruházási támogatásoknak lehet hosszú távú hat</w:t>
      </w:r>
      <w:r>
        <w:t>á</w:t>
      </w:r>
      <w:r>
        <w:t xml:space="preserve">sa. Ha </w:t>
      </w:r>
      <w:proofErr w:type="gramStart"/>
      <w:r>
        <w:t>az</w:t>
      </w:r>
      <w:proofErr w:type="gramEnd"/>
      <w:r>
        <w:t xml:space="preserve"> AKI adatbázisának ezt a szűkített mintáját továbbra is reprezentatívnak tekintjük az országos mi</w:t>
      </w:r>
      <w:r>
        <w:t>n</w:t>
      </w:r>
      <w:r>
        <w:t>tára nézve, akkor azt mondhatjuk, hogy a beruházási támogatások teljes összegének legfeljebb 13%-a</w:t>
      </w:r>
      <w:r>
        <w:rPr>
          <w:rStyle w:val="FootnoteReference"/>
        </w:rPr>
        <w:footnoteReference w:id="23"/>
      </w:r>
      <w:r>
        <w:t xml:space="preserve"> (lásd </w:t>
      </w:r>
      <w:r w:rsidR="003F44DC">
        <w:fldChar w:fldCharType="begin"/>
      </w:r>
      <w:r>
        <w:instrText xml:space="preserve"> REF _Ref276458403 \h </w:instrText>
      </w:r>
      <w:r w:rsidR="003F44DC">
        <w:fldChar w:fldCharType="separate"/>
      </w:r>
      <w:r w:rsidR="002D1B7A">
        <w:rPr>
          <w:noProof/>
        </w:rPr>
        <w:t>22</w:t>
      </w:r>
      <w:r w:rsidR="002D1B7A" w:rsidRPr="00CC58AC">
        <w:t>. ábra: AR(1) 2SLS – NH</w:t>
      </w:r>
      <w:r w:rsidR="003F44DC">
        <w:fldChar w:fldCharType="end"/>
      </w:r>
      <w:r>
        <w:t xml:space="preserve">) jelentkezik egy időszakkal később a gazdaságok hozzáadott értékében. Itt az első tengelyben, kizárólag mezőgazdasági üzemeknek jutatott összegek hatására tehetünk ilyen formán becslést, mivel az élelmiszeripari vállalatok nem szerepelnek az adatbázisban. A </w:t>
      </w:r>
      <w:r w:rsidRPr="000935A4">
        <w:t>Jelentés az ÚMVP módos</w:t>
      </w:r>
      <w:r w:rsidRPr="000935A4">
        <w:t>í</w:t>
      </w:r>
      <w:r w:rsidRPr="000935A4">
        <w:t>tásával kapcsolatos pénzügyi, jogi lehetőségekről c.</w:t>
      </w:r>
      <w:r>
        <w:rPr>
          <w:b/>
        </w:rPr>
        <w:t xml:space="preserve"> </w:t>
      </w:r>
      <w:r>
        <w:t xml:space="preserve">kötetünkben megállapított, ÉLIP, Fiatal gazdák, TCS és Agrárkamara </w:t>
      </w:r>
      <w:r w:rsidRPr="000935A4">
        <w:rPr>
          <w:i/>
        </w:rPr>
        <w:t>nélkül</w:t>
      </w:r>
      <w:r>
        <w:t xml:space="preserve"> számított megítélt támogatások (355 Mrd</w:t>
      </w:r>
      <w:r>
        <w:rPr>
          <w:rStyle w:val="FootnoteReference"/>
        </w:rPr>
        <w:footnoteReference w:id="24"/>
      </w:r>
      <w:r>
        <w:t>) 13%-</w:t>
      </w:r>
      <w:proofErr w:type="gramStart"/>
      <w:r>
        <w:t>a</w:t>
      </w:r>
      <w:proofErr w:type="gramEnd"/>
      <w:r>
        <w:t xml:space="preserve">, hozzávetőleg </w:t>
      </w:r>
      <w:r>
        <w:rPr>
          <w:b/>
        </w:rPr>
        <w:t>46</w:t>
      </w:r>
      <w:r w:rsidRPr="00314795">
        <w:rPr>
          <w:b/>
        </w:rPr>
        <w:t xml:space="preserve"> Mrd </w:t>
      </w:r>
      <w:r>
        <w:rPr>
          <w:b/>
        </w:rPr>
        <w:t>forint</w:t>
      </w:r>
      <w:r>
        <w:t xml:space="preserve"> </w:t>
      </w:r>
      <w:r w:rsidRPr="000935A4">
        <w:rPr>
          <w:b/>
        </w:rPr>
        <w:t>jelen</w:t>
      </w:r>
      <w:r w:rsidRPr="000935A4">
        <w:rPr>
          <w:b/>
        </w:rPr>
        <w:t>t</w:t>
      </w:r>
      <w:r w:rsidRPr="000935A4">
        <w:rPr>
          <w:b/>
        </w:rPr>
        <w:t>kezhet a mezőgazdasági szektorban hozzáadott értékként</w:t>
      </w:r>
      <w:r>
        <w:t xml:space="preserve">. Ebben az esetben </w:t>
      </w:r>
      <w:r w:rsidRPr="000935A4">
        <w:rPr>
          <w:b/>
        </w:rPr>
        <w:t xml:space="preserve">a nettó hozzáadott érték használata egy közelítő becslés a </w:t>
      </w:r>
      <w:proofErr w:type="gramStart"/>
      <w:r w:rsidRPr="000935A4">
        <w:rPr>
          <w:b/>
        </w:rPr>
        <w:t>GDP</w:t>
      </w:r>
      <w:proofErr w:type="gramEnd"/>
      <w:r w:rsidRPr="000935A4">
        <w:rPr>
          <w:b/>
        </w:rPr>
        <w:t xml:space="preserve"> mint bruttó hozzáadott érték</w:t>
      </w:r>
      <w:r>
        <w:t xml:space="preserve"> (termelői oldalról tekintve) </w:t>
      </w:r>
      <w:r w:rsidRPr="000935A4">
        <w:rPr>
          <w:b/>
        </w:rPr>
        <w:t>alakulására</w:t>
      </w:r>
      <w:r>
        <w:t>. Az értékcsökkenés statisztikai fogalma egyébiránt nagyban eltér a számvitelben használt kategóriától, em</w:t>
      </w:r>
      <w:r>
        <w:t>i</w:t>
      </w:r>
      <w:r>
        <w:t>att azok összevetésére tett kísérletek meglehetősen nehézkesnek bizonyulnak.</w:t>
      </w:r>
    </w:p>
    <w:p w:rsidR="00084397" w:rsidRDefault="00084397" w:rsidP="00084397">
      <w:pPr>
        <w:pStyle w:val="HUNHeading3"/>
        <w:ind w:left="504"/>
      </w:pPr>
      <w:bookmarkStart w:id="119" w:name="_Ref276632837"/>
      <w:bookmarkStart w:id="120" w:name="_Toc278793289"/>
      <w:bookmarkStart w:id="121" w:name="_Toc279359365"/>
      <w:r>
        <w:t xml:space="preserve">Az </w:t>
      </w:r>
      <w:proofErr w:type="spellStart"/>
      <w:r>
        <w:t>ökonometriai</w:t>
      </w:r>
      <w:proofErr w:type="spellEnd"/>
      <w:r>
        <w:t xml:space="preserve"> elemzés korlátai és az EÉJ eltérések indoklása</w:t>
      </w:r>
      <w:bookmarkEnd w:id="119"/>
      <w:bookmarkEnd w:id="120"/>
      <w:bookmarkEnd w:id="121"/>
      <w:r>
        <w:t xml:space="preserve"> </w:t>
      </w:r>
    </w:p>
    <w:p w:rsidR="00084397" w:rsidRDefault="00084397" w:rsidP="00084397">
      <w:pPr>
        <w:spacing w:before="120"/>
        <w:jc w:val="both"/>
      </w:pPr>
      <w:r>
        <w:t>A következő táblázat</w:t>
      </w:r>
      <w:r w:rsidRPr="00CE0CB9">
        <w:t xml:space="preserve"> </w:t>
      </w:r>
      <w:r>
        <w:t xml:space="preserve">szemlélteti az Előzetes Értékelő Jelentésben szereplő módszertani sajátosságokat, melyektől az </w:t>
      </w:r>
      <w:proofErr w:type="spellStart"/>
      <w:r>
        <w:t>ökonometriai</w:t>
      </w:r>
      <w:proofErr w:type="spellEnd"/>
      <w:r>
        <w:t xml:space="preserve"> modell összeállítása során – a rendelkezésre álló adatbázisok adattartalmának megismerése után – részben vagy egészben eltértünk.</w:t>
      </w:r>
    </w:p>
    <w:p w:rsidR="00084397" w:rsidRDefault="00084397" w:rsidP="00084397">
      <w:pPr>
        <w:spacing w:before="120"/>
        <w:jc w:val="both"/>
      </w:pPr>
    </w:p>
    <w:tbl>
      <w:tblPr>
        <w:tblStyle w:val="MediumShading2-Accent2"/>
        <w:tblW w:w="5000" w:type="pct"/>
        <w:tblLook w:val="04A0"/>
      </w:tblPr>
      <w:tblGrid>
        <w:gridCol w:w="675"/>
        <w:gridCol w:w="2902"/>
        <w:gridCol w:w="2902"/>
        <w:gridCol w:w="2900"/>
      </w:tblGrid>
      <w:tr w:rsidR="00084397" w:rsidTr="00084397">
        <w:trPr>
          <w:cnfStyle w:val="100000000000"/>
          <w:trHeight w:val="644"/>
          <w:tblHeader/>
        </w:trPr>
        <w:tc>
          <w:tcPr>
            <w:cnfStyle w:val="001000000100"/>
            <w:tcW w:w="360" w:type="pct"/>
          </w:tcPr>
          <w:p w:rsidR="00084397" w:rsidRDefault="00084397" w:rsidP="00084397">
            <w:pPr>
              <w:pStyle w:val="HUNNormal"/>
              <w:keepNext/>
            </w:pPr>
            <w:proofErr w:type="spellStart"/>
            <w:r>
              <w:t>Ssz</w:t>
            </w:r>
            <w:proofErr w:type="spellEnd"/>
            <w:r>
              <w:t>.</w:t>
            </w:r>
          </w:p>
        </w:tc>
        <w:tc>
          <w:tcPr>
            <w:tcW w:w="1547" w:type="pct"/>
          </w:tcPr>
          <w:p w:rsidR="00084397" w:rsidRDefault="00084397" w:rsidP="00084397">
            <w:pPr>
              <w:pStyle w:val="HUNNormal"/>
              <w:keepNext/>
              <w:jc w:val="center"/>
              <w:cnfStyle w:val="100000000000"/>
            </w:pPr>
            <w:r>
              <w:t>Előzetes értékelő jelentésben leírt</w:t>
            </w:r>
          </w:p>
        </w:tc>
        <w:tc>
          <w:tcPr>
            <w:tcW w:w="1547" w:type="pct"/>
          </w:tcPr>
          <w:p w:rsidR="00084397" w:rsidRDefault="00084397" w:rsidP="00084397">
            <w:pPr>
              <w:pStyle w:val="HUNNormal"/>
              <w:keepNext/>
              <w:jc w:val="center"/>
              <w:cnfStyle w:val="100000000000"/>
            </w:pPr>
            <w:r>
              <w:t>Zárójelentésben megvalósult</w:t>
            </w:r>
          </w:p>
        </w:tc>
        <w:tc>
          <w:tcPr>
            <w:tcW w:w="1547" w:type="pct"/>
          </w:tcPr>
          <w:p w:rsidR="00084397" w:rsidRDefault="00084397" w:rsidP="00084397">
            <w:pPr>
              <w:pStyle w:val="HUNNormal"/>
              <w:keepNext/>
              <w:jc w:val="center"/>
              <w:cnfStyle w:val="100000000000"/>
            </w:pPr>
            <w:r>
              <w:t>Az eltérés indoka</w:t>
            </w:r>
          </w:p>
        </w:tc>
      </w:tr>
      <w:tr w:rsidR="00084397" w:rsidTr="00084397">
        <w:trPr>
          <w:cnfStyle w:val="000000100000"/>
        </w:trPr>
        <w:tc>
          <w:tcPr>
            <w:cnfStyle w:val="001000000000"/>
            <w:tcW w:w="360" w:type="pct"/>
          </w:tcPr>
          <w:p w:rsidR="00084397" w:rsidRDefault="00084397" w:rsidP="00084397">
            <w:pPr>
              <w:pStyle w:val="HUNNormal"/>
              <w:keepNext/>
            </w:pPr>
            <w:r>
              <w:t>1.</w:t>
            </w:r>
          </w:p>
        </w:tc>
        <w:tc>
          <w:tcPr>
            <w:tcW w:w="1547" w:type="pct"/>
          </w:tcPr>
          <w:p w:rsidR="00084397" w:rsidRDefault="00084397" w:rsidP="00084397">
            <w:pPr>
              <w:pStyle w:val="HUNNormal"/>
              <w:keepNext/>
              <w:cnfStyle w:val="000000100000"/>
            </w:pPr>
            <w:proofErr w:type="spellStart"/>
            <w:r>
              <w:t>Difference-in-differences</w:t>
            </w:r>
            <w:proofErr w:type="spellEnd"/>
            <w:r>
              <w:t xml:space="preserve"> mó</w:t>
            </w:r>
            <w:r>
              <w:t>d</w:t>
            </w:r>
            <w:r>
              <w:t>szerrel terveztük vizsgálni a jövedelmezőséget, foglalkozt</w:t>
            </w:r>
            <w:r>
              <w:t>a</w:t>
            </w:r>
            <w:r>
              <w:t>tást és munkatermelékenys</w:t>
            </w:r>
            <w:r>
              <w:t>é</w:t>
            </w:r>
            <w:r>
              <w:t>get.</w:t>
            </w:r>
          </w:p>
        </w:tc>
        <w:tc>
          <w:tcPr>
            <w:tcW w:w="1547" w:type="pct"/>
          </w:tcPr>
          <w:p w:rsidR="00084397" w:rsidRDefault="00084397" w:rsidP="00084397">
            <w:pPr>
              <w:pStyle w:val="HUNNormal"/>
              <w:keepNext/>
              <w:cnfStyle w:val="000000100000"/>
            </w:pPr>
            <w:r>
              <w:t>Fix és random hatás modellek, Két-lépcsős legkisebb négyz</w:t>
            </w:r>
            <w:r>
              <w:t>e</w:t>
            </w:r>
            <w:r>
              <w:t xml:space="preserve">tek, GMM és </w:t>
            </w:r>
            <w:proofErr w:type="spellStart"/>
            <w:r>
              <w:t>autoregresszív</w:t>
            </w:r>
            <w:proofErr w:type="spellEnd"/>
            <w:r>
              <w:t xml:space="preserve"> panel modellek vizsgálatát végeztük el helyette.</w:t>
            </w:r>
          </w:p>
        </w:tc>
        <w:tc>
          <w:tcPr>
            <w:tcW w:w="1547" w:type="pct"/>
          </w:tcPr>
          <w:p w:rsidR="00084397" w:rsidRDefault="00084397" w:rsidP="00FD66BC">
            <w:pPr>
              <w:pStyle w:val="HUNNormal"/>
              <w:keepNext/>
              <w:cnfStyle w:val="000000100000"/>
            </w:pPr>
            <w:r>
              <w:t xml:space="preserve">A panel </w:t>
            </w:r>
            <w:proofErr w:type="spellStart"/>
            <w:r>
              <w:t>ökonometria</w:t>
            </w:r>
            <w:proofErr w:type="spellEnd"/>
            <w:r>
              <w:t xml:space="preserve"> a </w:t>
            </w:r>
            <w:proofErr w:type="spellStart"/>
            <w:r>
              <w:t>Diff-in-diff</w:t>
            </w:r>
            <w:proofErr w:type="spellEnd"/>
            <w:r>
              <w:t xml:space="preserve"> módszernél </w:t>
            </w:r>
            <w:proofErr w:type="spellStart"/>
            <w:r>
              <w:t>szofisztikáltabb</w:t>
            </w:r>
            <w:proofErr w:type="spellEnd"/>
            <w:r>
              <w:t xml:space="preserve"> eszközökkel rendelkezik, </w:t>
            </w:r>
            <w:r w:rsidR="00FD66BC">
              <w:t>ezért</w:t>
            </w:r>
            <w:r>
              <w:t xml:space="preserve"> alkalmasabbnak találtuk a h</w:t>
            </w:r>
            <w:r>
              <w:t>a</w:t>
            </w:r>
            <w:r>
              <w:t>tások vizsgálatára.</w:t>
            </w:r>
          </w:p>
        </w:tc>
      </w:tr>
      <w:tr w:rsidR="00084397" w:rsidTr="00084397">
        <w:tc>
          <w:tcPr>
            <w:cnfStyle w:val="001000000000"/>
            <w:tcW w:w="360" w:type="pct"/>
          </w:tcPr>
          <w:p w:rsidR="00084397" w:rsidRDefault="00084397" w:rsidP="00084397">
            <w:pPr>
              <w:pStyle w:val="HUNNormal"/>
            </w:pPr>
            <w:r>
              <w:t>2.</w:t>
            </w:r>
          </w:p>
        </w:tc>
        <w:tc>
          <w:tcPr>
            <w:tcW w:w="1547" w:type="pct"/>
          </w:tcPr>
          <w:p w:rsidR="00084397" w:rsidRDefault="00084397" w:rsidP="00084397">
            <w:pPr>
              <w:pStyle w:val="HUNNormal"/>
              <w:cnfStyle w:val="000000000000"/>
            </w:pPr>
            <w:r>
              <w:t>Függő változó: adózás előtti eredmény.</w:t>
            </w:r>
          </w:p>
        </w:tc>
        <w:tc>
          <w:tcPr>
            <w:tcW w:w="1547" w:type="pct"/>
          </w:tcPr>
          <w:p w:rsidR="00084397" w:rsidRDefault="00084397" w:rsidP="00084397">
            <w:pPr>
              <w:pStyle w:val="HUNNormal"/>
              <w:cnfStyle w:val="000000000000"/>
            </w:pPr>
            <w:r>
              <w:t>Nettó hozzáadott érték haszn</w:t>
            </w:r>
            <w:r>
              <w:t>á</w:t>
            </w:r>
            <w:r>
              <w:t>lata.</w:t>
            </w:r>
          </w:p>
        </w:tc>
        <w:tc>
          <w:tcPr>
            <w:tcW w:w="1547" w:type="pct"/>
          </w:tcPr>
          <w:p w:rsidR="00084397" w:rsidRDefault="00084397" w:rsidP="00084397">
            <w:pPr>
              <w:pStyle w:val="HUNNormal"/>
              <w:cnfStyle w:val="000000000000"/>
            </w:pPr>
            <w:r>
              <w:t>Az egyéni és társas gazdaságok összehasonlíthatósága miatt és a gazdasági növekedés becsl</w:t>
            </w:r>
            <w:r>
              <w:t>é</w:t>
            </w:r>
            <w:r>
              <w:t xml:space="preserve">séhez használtuk inkább a </w:t>
            </w:r>
            <w:r>
              <w:lastRenderedPageBreak/>
              <w:t xml:space="preserve">nettó hozzáadott értéket, egyeztetve az </w:t>
            </w:r>
            <w:proofErr w:type="spellStart"/>
            <w:r>
              <w:t>AKI-val</w:t>
            </w:r>
            <w:proofErr w:type="spellEnd"/>
            <w:r>
              <w:t>.</w:t>
            </w:r>
          </w:p>
        </w:tc>
      </w:tr>
      <w:tr w:rsidR="00084397" w:rsidTr="00084397">
        <w:trPr>
          <w:cnfStyle w:val="000000100000"/>
        </w:trPr>
        <w:tc>
          <w:tcPr>
            <w:cnfStyle w:val="001000000000"/>
            <w:tcW w:w="360" w:type="pct"/>
          </w:tcPr>
          <w:p w:rsidR="00084397" w:rsidRDefault="00084397" w:rsidP="00084397">
            <w:pPr>
              <w:pStyle w:val="HUNNormal"/>
            </w:pPr>
            <w:r>
              <w:lastRenderedPageBreak/>
              <w:t>3.</w:t>
            </w:r>
          </w:p>
        </w:tc>
        <w:tc>
          <w:tcPr>
            <w:tcW w:w="1547" w:type="pct"/>
          </w:tcPr>
          <w:p w:rsidR="00084397" w:rsidRDefault="00084397" w:rsidP="00084397">
            <w:pPr>
              <w:pStyle w:val="HUNNormal"/>
              <w:cnfStyle w:val="000000100000"/>
            </w:pPr>
            <w:r>
              <w:t xml:space="preserve">Termelői árindex </w:t>
            </w:r>
            <w:proofErr w:type="gramStart"/>
            <w:r>
              <w:t>használata</w:t>
            </w:r>
            <w:proofErr w:type="gramEnd"/>
            <w:r>
              <w:t xml:space="preserve"> mint a jövedelmezőség </w:t>
            </w:r>
            <w:proofErr w:type="spellStart"/>
            <w:r>
              <w:t>deflátora</w:t>
            </w:r>
            <w:proofErr w:type="spellEnd"/>
            <w:r>
              <w:t>.</w:t>
            </w:r>
          </w:p>
        </w:tc>
        <w:tc>
          <w:tcPr>
            <w:tcW w:w="1547" w:type="pct"/>
          </w:tcPr>
          <w:p w:rsidR="00084397" w:rsidRDefault="00084397" w:rsidP="00084397">
            <w:pPr>
              <w:pStyle w:val="HUNNormal"/>
              <w:cnfStyle w:val="000000100000"/>
            </w:pPr>
            <w:r>
              <w:t>Nem használtunk.</w:t>
            </w:r>
          </w:p>
        </w:tc>
        <w:tc>
          <w:tcPr>
            <w:tcW w:w="1547" w:type="pct"/>
          </w:tcPr>
          <w:p w:rsidR="00084397" w:rsidRDefault="00084397" w:rsidP="00084397">
            <w:pPr>
              <w:pStyle w:val="HUNNormal"/>
              <w:cnfStyle w:val="000000100000"/>
            </w:pPr>
            <w:r>
              <w:t>Az elérhető elemzések a nettó hozzáadott értéket konzis</w:t>
            </w:r>
            <w:r>
              <w:t>z</w:t>
            </w:r>
            <w:r>
              <w:t>tensnek és összehasonlíthat</w:t>
            </w:r>
            <w:r>
              <w:t>ó</w:t>
            </w:r>
            <w:r>
              <w:t>nak tekintik a mezőgazdaság éves teljesítményének vizsgál</w:t>
            </w:r>
            <w:r>
              <w:t>a</w:t>
            </w:r>
            <w:r>
              <w:t>tára.</w:t>
            </w:r>
          </w:p>
        </w:tc>
      </w:tr>
      <w:tr w:rsidR="00084397" w:rsidTr="00084397">
        <w:tc>
          <w:tcPr>
            <w:cnfStyle w:val="001000000000"/>
            <w:tcW w:w="360" w:type="pct"/>
          </w:tcPr>
          <w:p w:rsidR="00084397" w:rsidRDefault="00084397" w:rsidP="00084397">
            <w:pPr>
              <w:pStyle w:val="HUNNormal"/>
            </w:pPr>
            <w:r>
              <w:t>4.</w:t>
            </w:r>
          </w:p>
        </w:tc>
        <w:tc>
          <w:tcPr>
            <w:tcW w:w="1547" w:type="pct"/>
          </w:tcPr>
          <w:p w:rsidR="00084397" w:rsidRDefault="00084397" w:rsidP="00084397">
            <w:pPr>
              <w:pStyle w:val="HUNNormal"/>
              <w:cnfStyle w:val="000000000000"/>
            </w:pPr>
            <w:r>
              <w:t>Munkahelyteremtés indikátora: Alkalmazotti létszám</w:t>
            </w:r>
          </w:p>
        </w:tc>
        <w:tc>
          <w:tcPr>
            <w:tcW w:w="1547" w:type="pct"/>
          </w:tcPr>
          <w:p w:rsidR="00084397" w:rsidRDefault="00084397" w:rsidP="00084397">
            <w:pPr>
              <w:pStyle w:val="HUNNormal"/>
              <w:cnfStyle w:val="000000000000"/>
            </w:pPr>
            <w:r>
              <w:t>Az alkalmazotti létszám helyett az Éves Munkaerőegység has</w:t>
            </w:r>
            <w:r>
              <w:t>z</w:t>
            </w:r>
            <w:r>
              <w:t>nálatát javasoljuk.</w:t>
            </w:r>
          </w:p>
        </w:tc>
        <w:tc>
          <w:tcPr>
            <w:tcW w:w="1547" w:type="pct"/>
          </w:tcPr>
          <w:p w:rsidR="00084397" w:rsidRDefault="00084397" w:rsidP="00084397">
            <w:pPr>
              <w:pStyle w:val="HUNNormal"/>
              <w:cnfStyle w:val="000000000000"/>
            </w:pPr>
            <w:r w:rsidRPr="00374DBE">
              <w:t>Az ÉME változását megfelelő indikátornak tartjuk arra nézve, hogyan változott egy üzem munkakapacitása,</w:t>
            </w:r>
            <w:r>
              <w:t xml:space="preserve"> mivel a lé</w:t>
            </w:r>
            <w:r>
              <w:t>t</w:t>
            </w:r>
            <w:r>
              <w:t>szám és a kapacitáskihasznál</w:t>
            </w:r>
            <w:r>
              <w:t>t</w:t>
            </w:r>
            <w:r>
              <w:t>ság vegyített mutatójáról van szó, ami intervallum skálán finomabb léptékkel megjelení</w:t>
            </w:r>
            <w:r>
              <w:t>t</w:t>
            </w:r>
            <w:r>
              <w:t>hető, de tetszés szerint vissz</w:t>
            </w:r>
            <w:r>
              <w:t>a</w:t>
            </w:r>
            <w:r>
              <w:t>váltható emberfőre.</w:t>
            </w:r>
          </w:p>
        </w:tc>
      </w:tr>
      <w:tr w:rsidR="00084397" w:rsidTr="00084397">
        <w:trPr>
          <w:cnfStyle w:val="000000100000"/>
        </w:trPr>
        <w:tc>
          <w:tcPr>
            <w:cnfStyle w:val="001000000000"/>
            <w:tcW w:w="360" w:type="pct"/>
          </w:tcPr>
          <w:p w:rsidR="00084397" w:rsidRDefault="00084397" w:rsidP="00084397">
            <w:pPr>
              <w:pStyle w:val="HUNNormal"/>
            </w:pPr>
            <w:r>
              <w:t>5.</w:t>
            </w:r>
          </w:p>
        </w:tc>
        <w:tc>
          <w:tcPr>
            <w:tcW w:w="1547" w:type="pct"/>
          </w:tcPr>
          <w:p w:rsidR="00084397" w:rsidRDefault="00084397" w:rsidP="00084397">
            <w:pPr>
              <w:pStyle w:val="HUNNormal"/>
              <w:cnfStyle w:val="000000100000"/>
            </w:pPr>
            <w:r>
              <w:t>Válság hatásának kiszűrése ANOVA használatával.</w:t>
            </w:r>
          </w:p>
        </w:tc>
        <w:tc>
          <w:tcPr>
            <w:tcW w:w="1547" w:type="pct"/>
          </w:tcPr>
          <w:p w:rsidR="00084397" w:rsidRDefault="00084397" w:rsidP="00084397">
            <w:pPr>
              <w:pStyle w:val="HUNNormal"/>
              <w:cnfStyle w:val="000000100000"/>
            </w:pPr>
            <w:r>
              <w:t>Reprezentatív FADN adatbázist használtunk.</w:t>
            </w:r>
          </w:p>
        </w:tc>
        <w:tc>
          <w:tcPr>
            <w:tcW w:w="1547" w:type="pct"/>
          </w:tcPr>
          <w:p w:rsidR="00084397" w:rsidRDefault="00084397" w:rsidP="00084397">
            <w:pPr>
              <w:pStyle w:val="HUNNormal"/>
              <w:cnfStyle w:val="000000100000"/>
            </w:pPr>
            <w:r>
              <w:t>Mivel a válság hatásai egyaránt érintették az ország mezőga</w:t>
            </w:r>
            <w:r>
              <w:t>z</w:t>
            </w:r>
            <w:r>
              <w:t>daságainak mindegyikét, és a FADN adatai leképezik ezt az országos sokaságot, így az a feltételezésünk, hogy az üz</w:t>
            </w:r>
            <w:r>
              <w:t>e</w:t>
            </w:r>
            <w:r>
              <w:t>mek eredményességét eg</w:t>
            </w:r>
            <w:r>
              <w:t>y</w:t>
            </w:r>
            <w:r>
              <w:t>máshoz mérten lehet értelme</w:t>
            </w:r>
            <w:r>
              <w:t>z</w:t>
            </w:r>
            <w:r>
              <w:t>ni.</w:t>
            </w:r>
          </w:p>
        </w:tc>
      </w:tr>
      <w:tr w:rsidR="00084397" w:rsidTr="00084397">
        <w:tc>
          <w:tcPr>
            <w:cnfStyle w:val="001000000000"/>
            <w:tcW w:w="360" w:type="pct"/>
          </w:tcPr>
          <w:p w:rsidR="00084397" w:rsidRDefault="00084397" w:rsidP="00084397">
            <w:pPr>
              <w:pStyle w:val="HUNNormal"/>
            </w:pPr>
            <w:r>
              <w:t>6.</w:t>
            </w:r>
          </w:p>
        </w:tc>
        <w:tc>
          <w:tcPr>
            <w:tcW w:w="1547" w:type="pct"/>
          </w:tcPr>
          <w:p w:rsidR="00084397" w:rsidRDefault="00084397" w:rsidP="00084397">
            <w:pPr>
              <w:pStyle w:val="HUNNormal"/>
              <w:cnfStyle w:val="000000000000"/>
            </w:pPr>
            <w:r>
              <w:t xml:space="preserve">European </w:t>
            </w:r>
            <w:proofErr w:type="spellStart"/>
            <w:r>
              <w:t>Evaulation</w:t>
            </w:r>
            <w:proofErr w:type="spellEnd"/>
            <w:r>
              <w:t xml:space="preserve"> Network </w:t>
            </w:r>
            <w:proofErr w:type="spellStart"/>
            <w:r>
              <w:t>for</w:t>
            </w:r>
            <w:proofErr w:type="spellEnd"/>
            <w:r>
              <w:t xml:space="preserve"> </w:t>
            </w:r>
            <w:proofErr w:type="spellStart"/>
            <w:r>
              <w:t>Rural</w:t>
            </w:r>
            <w:proofErr w:type="spellEnd"/>
            <w:r>
              <w:t xml:space="preserve"> </w:t>
            </w:r>
            <w:proofErr w:type="spellStart"/>
            <w:r>
              <w:t>Development</w:t>
            </w:r>
            <w:proofErr w:type="spellEnd"/>
            <w:r>
              <w:t xml:space="preserve"> szerv</w:t>
            </w:r>
            <w:r>
              <w:t>e</w:t>
            </w:r>
            <w:r>
              <w:t xml:space="preserve">zet által elkészített </w:t>
            </w:r>
            <w:proofErr w:type="spellStart"/>
            <w:r>
              <w:t>Working</w:t>
            </w:r>
            <w:proofErr w:type="spellEnd"/>
            <w:r>
              <w:t xml:space="preserve"> </w:t>
            </w:r>
            <w:proofErr w:type="spellStart"/>
            <w:r>
              <w:t>Paper</w:t>
            </w:r>
            <w:proofErr w:type="spellEnd"/>
            <w:r>
              <w:t xml:space="preserve"> </w:t>
            </w:r>
            <w:proofErr w:type="spellStart"/>
            <w:r>
              <w:t>for</w:t>
            </w:r>
            <w:proofErr w:type="spellEnd"/>
            <w:r>
              <w:t xml:space="preserve"> </w:t>
            </w:r>
            <w:proofErr w:type="spellStart"/>
            <w:r>
              <w:t>approaching</w:t>
            </w:r>
            <w:proofErr w:type="spellEnd"/>
            <w:r>
              <w:t xml:space="preserve"> </w:t>
            </w:r>
            <w:proofErr w:type="spellStart"/>
            <w:r>
              <w:t>the</w:t>
            </w:r>
            <w:proofErr w:type="spellEnd"/>
            <w:r>
              <w:t xml:space="preserve"> </w:t>
            </w:r>
            <w:proofErr w:type="spellStart"/>
            <w:r>
              <w:t>impacts</w:t>
            </w:r>
            <w:proofErr w:type="spellEnd"/>
            <w:r>
              <w:t xml:space="preserve"> of </w:t>
            </w:r>
            <w:proofErr w:type="spellStart"/>
            <w:r>
              <w:t>the</w:t>
            </w:r>
            <w:proofErr w:type="spellEnd"/>
            <w:r>
              <w:t xml:space="preserve"> </w:t>
            </w:r>
            <w:proofErr w:type="spellStart"/>
            <w:r>
              <w:t>Rural</w:t>
            </w:r>
            <w:proofErr w:type="spellEnd"/>
            <w:r>
              <w:t xml:space="preserve"> </w:t>
            </w:r>
            <w:proofErr w:type="spellStart"/>
            <w:r>
              <w:t>Development</w:t>
            </w:r>
            <w:proofErr w:type="spellEnd"/>
            <w:r>
              <w:t xml:space="preserve"> </w:t>
            </w:r>
            <w:proofErr w:type="spellStart"/>
            <w:r>
              <w:t>Programmes</w:t>
            </w:r>
            <w:proofErr w:type="spellEnd"/>
            <w:r>
              <w:t xml:space="preserve"> </w:t>
            </w:r>
            <w:proofErr w:type="spellStart"/>
            <w:r>
              <w:t>in</w:t>
            </w:r>
            <w:proofErr w:type="spellEnd"/>
            <w:r>
              <w:t xml:space="preserve"> </w:t>
            </w:r>
            <w:proofErr w:type="spellStart"/>
            <w:r>
              <w:t>the</w:t>
            </w:r>
            <w:proofErr w:type="spellEnd"/>
            <w:r>
              <w:t xml:space="preserve"> </w:t>
            </w:r>
            <w:proofErr w:type="spellStart"/>
            <w:r>
              <w:t>context</w:t>
            </w:r>
            <w:proofErr w:type="spellEnd"/>
            <w:r>
              <w:t xml:space="preserve"> of </w:t>
            </w:r>
            <w:proofErr w:type="spellStart"/>
            <w:r>
              <w:t>multiple</w:t>
            </w:r>
            <w:proofErr w:type="spellEnd"/>
            <w:r>
              <w:t xml:space="preserve"> </w:t>
            </w:r>
            <w:proofErr w:type="spellStart"/>
            <w:r>
              <w:t>intervening</w:t>
            </w:r>
            <w:proofErr w:type="spellEnd"/>
            <w:r>
              <w:t xml:space="preserve"> </w:t>
            </w:r>
            <w:proofErr w:type="spellStart"/>
            <w:r>
              <w:t>factors</w:t>
            </w:r>
            <w:proofErr w:type="spellEnd"/>
            <w:r>
              <w:t xml:space="preserve"> iránymut</w:t>
            </w:r>
            <w:r>
              <w:t>a</w:t>
            </w:r>
            <w:r>
              <w:t xml:space="preserve">tásainak figyelembe vétele az </w:t>
            </w:r>
            <w:proofErr w:type="spellStart"/>
            <w:r>
              <w:t>ökonometriai</w:t>
            </w:r>
            <w:proofErr w:type="spellEnd"/>
            <w:r>
              <w:t xml:space="preserve"> modell kialakít</w:t>
            </w:r>
            <w:r>
              <w:t>á</w:t>
            </w:r>
            <w:r>
              <w:t>sa során.</w:t>
            </w:r>
          </w:p>
        </w:tc>
        <w:tc>
          <w:tcPr>
            <w:tcW w:w="1547" w:type="pct"/>
          </w:tcPr>
          <w:p w:rsidR="00084397" w:rsidRDefault="00084397" w:rsidP="00084397">
            <w:pPr>
              <w:pStyle w:val="HUNNormal"/>
              <w:cnfStyle w:val="000000000000"/>
            </w:pPr>
            <w:r>
              <w:t>Az iránymutatásokat a hazai adatbázisokban elérhető ad</w:t>
            </w:r>
            <w:r>
              <w:t>a</w:t>
            </w:r>
            <w:r>
              <w:t>tok és vizsgálható trendek saj</w:t>
            </w:r>
            <w:r>
              <w:t>á</w:t>
            </w:r>
            <w:r>
              <w:t>tosságaihoz igazítottuk.</w:t>
            </w:r>
          </w:p>
        </w:tc>
        <w:tc>
          <w:tcPr>
            <w:tcW w:w="1547" w:type="pct"/>
          </w:tcPr>
          <w:p w:rsidR="00084397" w:rsidRDefault="00084397" w:rsidP="00084397">
            <w:pPr>
              <w:pStyle w:val="HUNNormal"/>
              <w:cnfStyle w:val="000000000000"/>
            </w:pPr>
            <w:r>
              <w:t>A modell kialakítása során f</w:t>
            </w:r>
            <w:r>
              <w:t>i</w:t>
            </w:r>
            <w:r>
              <w:t>gyelembe vettük az iránymut</w:t>
            </w:r>
            <w:r>
              <w:t>a</w:t>
            </w:r>
            <w:r>
              <w:t>tást, valamint a FADN, az IIER és az OPTEN Mérlegtár ada</w:t>
            </w:r>
            <w:r>
              <w:t>t</w:t>
            </w:r>
            <w:r>
              <w:t>szerkezetét.</w:t>
            </w:r>
          </w:p>
        </w:tc>
      </w:tr>
      <w:tr w:rsidR="00084397" w:rsidTr="00084397">
        <w:trPr>
          <w:cnfStyle w:val="000000100000"/>
        </w:trPr>
        <w:tc>
          <w:tcPr>
            <w:cnfStyle w:val="001000000000"/>
            <w:tcW w:w="360" w:type="pct"/>
          </w:tcPr>
          <w:p w:rsidR="00084397" w:rsidRDefault="00084397" w:rsidP="00084397">
            <w:pPr>
              <w:pStyle w:val="HUNNormal"/>
            </w:pPr>
            <w:r>
              <w:t>7.</w:t>
            </w:r>
          </w:p>
        </w:tc>
        <w:tc>
          <w:tcPr>
            <w:tcW w:w="1547" w:type="pct"/>
          </w:tcPr>
          <w:p w:rsidR="00084397" w:rsidRDefault="00084397" w:rsidP="00084397">
            <w:pPr>
              <w:pStyle w:val="HUNNormal"/>
              <w:cnfStyle w:val="000000100000"/>
            </w:pPr>
            <w:r>
              <w:t>Támogatáshalmozódás kisz</w:t>
            </w:r>
            <w:r>
              <w:t>ű</w:t>
            </w:r>
            <w:r>
              <w:t xml:space="preserve">résére több kontrollcsoport </w:t>
            </w:r>
            <w:r>
              <w:lastRenderedPageBreak/>
              <w:t>alkalmazása.</w:t>
            </w:r>
          </w:p>
        </w:tc>
        <w:tc>
          <w:tcPr>
            <w:tcW w:w="1547" w:type="pct"/>
          </w:tcPr>
          <w:p w:rsidR="00084397" w:rsidRDefault="00084397" w:rsidP="00084397">
            <w:pPr>
              <w:pStyle w:val="HUNNormal"/>
              <w:cnfStyle w:val="000000100000"/>
            </w:pPr>
            <w:r>
              <w:lastRenderedPageBreak/>
              <w:t>A 121. intézkedést egyben k</w:t>
            </w:r>
            <w:r>
              <w:t>e</w:t>
            </w:r>
            <w:r>
              <w:t xml:space="preserve">zeltük, kontrollcsoportként a </w:t>
            </w:r>
            <w:r>
              <w:lastRenderedPageBreak/>
              <w:t>támogatásban nem részesülők és a csak területalapú támog</w:t>
            </w:r>
            <w:r>
              <w:t>a</w:t>
            </w:r>
            <w:r>
              <w:t>tással rendelkezők szerepeltek.</w:t>
            </w:r>
          </w:p>
        </w:tc>
        <w:tc>
          <w:tcPr>
            <w:tcW w:w="1547" w:type="pct"/>
          </w:tcPr>
          <w:p w:rsidR="00084397" w:rsidRDefault="00084397" w:rsidP="00084397">
            <w:pPr>
              <w:pStyle w:val="HUNNormal"/>
              <w:cnfStyle w:val="000000100000"/>
            </w:pPr>
            <w:r>
              <w:lastRenderedPageBreak/>
              <w:t xml:space="preserve">Egyrészről a FADN anonimitási elve, másrészről a mintaszám </w:t>
            </w:r>
            <w:r>
              <w:lastRenderedPageBreak/>
              <w:t>csökkenésének elkerülése miatt nem bontottuk szét a FADN adatbázisát.</w:t>
            </w:r>
          </w:p>
        </w:tc>
      </w:tr>
      <w:tr w:rsidR="00084397" w:rsidTr="00084397">
        <w:tc>
          <w:tcPr>
            <w:cnfStyle w:val="001000000000"/>
            <w:tcW w:w="360" w:type="pct"/>
          </w:tcPr>
          <w:p w:rsidR="00084397" w:rsidRDefault="00084397" w:rsidP="00084397">
            <w:pPr>
              <w:pStyle w:val="HUNNormal"/>
            </w:pPr>
            <w:r>
              <w:lastRenderedPageBreak/>
              <w:t>8.</w:t>
            </w:r>
          </w:p>
        </w:tc>
        <w:tc>
          <w:tcPr>
            <w:tcW w:w="1547" w:type="pct"/>
          </w:tcPr>
          <w:p w:rsidR="00084397" w:rsidRDefault="00084397" w:rsidP="00084397">
            <w:pPr>
              <w:pStyle w:val="HUNNormal"/>
              <w:cnfStyle w:val="000000000000"/>
            </w:pPr>
            <w:proofErr w:type="spellStart"/>
            <w:r>
              <w:t>Propensity</w:t>
            </w:r>
            <w:proofErr w:type="spellEnd"/>
            <w:r>
              <w:t xml:space="preserve"> </w:t>
            </w:r>
            <w:proofErr w:type="spellStart"/>
            <w:r>
              <w:t>score</w:t>
            </w:r>
            <w:proofErr w:type="spellEnd"/>
            <w:r>
              <w:t xml:space="preserve"> és </w:t>
            </w:r>
            <w:proofErr w:type="spellStart"/>
            <w:r>
              <w:t>Leontiev</w:t>
            </w:r>
            <w:proofErr w:type="spellEnd"/>
            <w:r>
              <w:t xml:space="preserve"> input-output </w:t>
            </w:r>
            <w:proofErr w:type="spellStart"/>
            <w:r>
              <w:t>fajlagosok</w:t>
            </w:r>
            <w:proofErr w:type="spellEnd"/>
            <w:r>
              <w:t xml:space="preserve"> haszn</w:t>
            </w:r>
            <w:r>
              <w:t>á</w:t>
            </w:r>
            <w:r>
              <w:t>lata.</w:t>
            </w:r>
          </w:p>
        </w:tc>
        <w:tc>
          <w:tcPr>
            <w:tcW w:w="1547" w:type="pct"/>
          </w:tcPr>
          <w:p w:rsidR="00084397" w:rsidRDefault="00084397" w:rsidP="00084397">
            <w:pPr>
              <w:pStyle w:val="HUNNormal"/>
              <w:cnfStyle w:val="000000000000"/>
            </w:pPr>
            <w:r>
              <w:t>Nem használtuk.</w:t>
            </w:r>
          </w:p>
        </w:tc>
        <w:tc>
          <w:tcPr>
            <w:tcW w:w="1547" w:type="pct"/>
          </w:tcPr>
          <w:p w:rsidR="00084397" w:rsidRDefault="00084397" w:rsidP="00084397">
            <w:pPr>
              <w:pStyle w:val="HUNNormal"/>
              <w:cnfStyle w:val="000000000000"/>
            </w:pPr>
            <w:r>
              <w:t>A FADN adatbázisából dolgo</w:t>
            </w:r>
            <w:r>
              <w:t>z</w:t>
            </w:r>
            <w:r>
              <w:t>tunk, amely a hozzáadott ért</w:t>
            </w:r>
            <w:r>
              <w:t>é</w:t>
            </w:r>
            <w:r>
              <w:t>ket termelő mezőgazdasági üzemeket reprezentatívan lef</w:t>
            </w:r>
            <w:r>
              <w:t>e</w:t>
            </w:r>
            <w:r>
              <w:t xml:space="preserve">di, így nem volt szükség </w:t>
            </w:r>
            <w:proofErr w:type="spellStart"/>
            <w:r>
              <w:t>propensity</w:t>
            </w:r>
            <w:proofErr w:type="spellEnd"/>
            <w:r>
              <w:t xml:space="preserve"> </w:t>
            </w:r>
            <w:proofErr w:type="spellStart"/>
            <w:r>
              <w:t>score-os</w:t>
            </w:r>
            <w:proofErr w:type="spellEnd"/>
            <w:r>
              <w:t xml:space="preserve"> megfelelt</w:t>
            </w:r>
            <w:r>
              <w:t>e</w:t>
            </w:r>
            <w:r>
              <w:t xml:space="preserve">tésre. Input-output </w:t>
            </w:r>
            <w:proofErr w:type="spellStart"/>
            <w:r>
              <w:t>fajlagosok</w:t>
            </w:r>
            <w:proofErr w:type="spellEnd"/>
            <w:r>
              <w:t xml:space="preserve"> használatára a nettó hozz</w:t>
            </w:r>
            <w:r>
              <w:t>á</w:t>
            </w:r>
            <w:r>
              <w:t>adott érték használata miatt nem volt szükségünk.</w:t>
            </w:r>
          </w:p>
        </w:tc>
      </w:tr>
    </w:tbl>
    <w:p w:rsidR="00084397" w:rsidRDefault="00084397" w:rsidP="00084397">
      <w:pPr>
        <w:pStyle w:val="HUNNormal"/>
      </w:pPr>
    </w:p>
    <w:p w:rsidR="00084397" w:rsidRPr="000D0518" w:rsidRDefault="00084397" w:rsidP="00084397">
      <w:pPr>
        <w:pStyle w:val="HUNNormal"/>
        <w:rPr>
          <w:b/>
          <w:u w:val="single"/>
        </w:rPr>
      </w:pPr>
      <w:r w:rsidRPr="000D0518">
        <w:rPr>
          <w:b/>
          <w:u w:val="single"/>
        </w:rPr>
        <w:t xml:space="preserve">Az </w:t>
      </w:r>
      <w:proofErr w:type="spellStart"/>
      <w:r>
        <w:rPr>
          <w:b/>
          <w:u w:val="single"/>
        </w:rPr>
        <w:t>ökonometriai</w:t>
      </w:r>
      <w:proofErr w:type="spellEnd"/>
      <w:r>
        <w:rPr>
          <w:b/>
          <w:u w:val="single"/>
        </w:rPr>
        <w:t xml:space="preserve"> elemzés</w:t>
      </w:r>
      <w:r w:rsidRPr="000D0518">
        <w:rPr>
          <w:b/>
          <w:u w:val="single"/>
        </w:rPr>
        <w:t xml:space="preserve"> korlátai:</w:t>
      </w:r>
    </w:p>
    <w:p w:rsidR="00084397" w:rsidRDefault="00084397" w:rsidP="00084397">
      <w:pPr>
        <w:pStyle w:val="HUNNormal"/>
      </w:pPr>
      <w:r>
        <w:t xml:space="preserve">Legfőbb korlátunk az értékelés </w:t>
      </w:r>
      <w:r w:rsidR="00FD66BC">
        <w:t>félidei</w:t>
      </w:r>
      <w:r>
        <w:t xml:space="preserve"> jellegéből fakadó időtényező volt. A lezárt projektek száma csekély, ezek eredményességének tükröződése az üzemek könyvelésében még nem számottevő. A támogatási jo</w:t>
      </w:r>
      <w:r>
        <w:t>g</w:t>
      </w:r>
      <w:r>
        <w:t xml:space="preserve">címekre való lebontás </w:t>
      </w:r>
      <w:proofErr w:type="gramStart"/>
      <w:r>
        <w:t>az</w:t>
      </w:r>
      <w:proofErr w:type="gramEnd"/>
      <w:r>
        <w:t xml:space="preserve"> AKI kérdőívének struktúrája, és a kielégítő mintaszám megőrzésének szempontja miatt nem valósulhatott meg. A modell összeállítása során a mintanagyság nem okozott problémát, azonban a beruházási támogatásokat jogcímszintű bontásban nem, csak </w:t>
      </w:r>
      <w:proofErr w:type="spellStart"/>
      <w:r>
        <w:t>aggregált</w:t>
      </w:r>
      <w:proofErr w:type="spellEnd"/>
      <w:r>
        <w:t xml:space="preserve"> módon tudtuk elemezni a FADN sajátos adatstruktúrája okán.</w:t>
      </w:r>
    </w:p>
    <w:p w:rsidR="00084397" w:rsidRDefault="00084397" w:rsidP="00084397">
      <w:pPr>
        <w:pStyle w:val="HUNNormal"/>
      </w:pPr>
      <w:r>
        <w:t>Mivel az AKG támogatások már az NVT támogatási időszakában megindultak, és mellettük területalapon jelentős normatívájú SAPS támogatáshoz jutnak az üzemek, nem feltétlenül javasoljuk az eredmények teljes mértékű kivetítését az ÚMVP 2009-ben elindított AKG kifizetéseire. Ebben az esetben a korábbi támogat</w:t>
      </w:r>
      <w:r>
        <w:t>á</w:t>
      </w:r>
      <w:r>
        <w:t xml:space="preserve">sok kiszűrése ellehetetlenítette volna az elemzést, mivel 2009 előtt ÚMVP keretből </w:t>
      </w:r>
      <w:proofErr w:type="spellStart"/>
      <w:r>
        <w:t>AKG-t</w:t>
      </w:r>
      <w:proofErr w:type="spellEnd"/>
      <w:r>
        <w:t xml:space="preserve"> nem finanszíro</w:t>
      </w:r>
      <w:r>
        <w:t>z</w:t>
      </w:r>
      <w:r>
        <w:t>tak.</w:t>
      </w:r>
    </w:p>
    <w:p w:rsidR="00084397" w:rsidRDefault="00084397" w:rsidP="00084397">
      <w:pPr>
        <w:pStyle w:val="HUNNormal"/>
      </w:pPr>
      <w:r>
        <w:t>A monitoring adatok használatát megakadályozta az adatok hiányos feltöltöttsége, és a FADN adatbázis évről évre történő adatfelvételéhez képest messze elmaradó adatminősége. A monitoring rendszerről és hiányosságairól külön számolunk be.</w:t>
      </w:r>
    </w:p>
    <w:p w:rsidR="00084397" w:rsidRPr="000D6638" w:rsidRDefault="00084397" w:rsidP="00084397">
      <w:pPr>
        <w:pStyle w:val="HUNNormal"/>
        <w:rPr>
          <w:highlight w:val="yellow"/>
          <w:u w:val="single"/>
        </w:rPr>
      </w:pPr>
    </w:p>
    <w:p w:rsidR="00084397" w:rsidRDefault="00084397" w:rsidP="00084397">
      <w:pPr>
        <w:pStyle w:val="HUNHeading1"/>
        <w:ind w:left="357" w:hanging="357"/>
      </w:pPr>
      <w:bookmarkStart w:id="122" w:name="_Ref277926331"/>
      <w:bookmarkStart w:id="123" w:name="_Ref277926536"/>
      <w:bookmarkStart w:id="124" w:name="_Ref277927084"/>
      <w:bookmarkStart w:id="125" w:name="_Toc278793290"/>
      <w:bookmarkStart w:id="126" w:name="_Toc279359366"/>
      <w:r>
        <w:lastRenderedPageBreak/>
        <w:t>Statisztikai elemzés</w:t>
      </w:r>
      <w:bookmarkEnd w:id="122"/>
      <w:bookmarkEnd w:id="123"/>
      <w:bookmarkEnd w:id="124"/>
      <w:bookmarkEnd w:id="125"/>
      <w:bookmarkEnd w:id="126"/>
    </w:p>
    <w:p w:rsidR="00084397" w:rsidRDefault="00084397" w:rsidP="00084397">
      <w:pPr>
        <w:pStyle w:val="HUNNormal"/>
      </w:pPr>
      <w:r>
        <w:t>Jelen fejezetben statisztikai módszerekkel adunk áttekintést azon intézkedések (jogcímek) esetében, m</w:t>
      </w:r>
      <w:r>
        <w:t>e</w:t>
      </w:r>
      <w:r>
        <w:t xml:space="preserve">lyeket a </w:t>
      </w:r>
      <w:r w:rsidR="003F44DC">
        <w:fldChar w:fldCharType="begin"/>
      </w:r>
      <w:r>
        <w:instrText xml:space="preserve"> REF _Ref277872378 \h </w:instrText>
      </w:r>
      <w:r w:rsidR="003F44DC">
        <w:fldChar w:fldCharType="separate"/>
      </w:r>
      <w:r w:rsidR="002D1B7A">
        <w:rPr>
          <w:noProof/>
        </w:rPr>
        <w:t>1</w:t>
      </w:r>
      <w:r w:rsidR="003F44DC">
        <w:fldChar w:fldCharType="end"/>
      </w:r>
      <w:r>
        <w:t>. táblázatban megjelöltünk. A fejezet rövid módszertani bemutatást követően részletesen bemuta</w:t>
      </w:r>
      <w:r>
        <w:t>t</w:t>
      </w:r>
      <w:r>
        <w:t>ja az elemzéseket.</w:t>
      </w:r>
    </w:p>
    <w:p w:rsidR="00084397" w:rsidRDefault="00084397" w:rsidP="00084397">
      <w:pPr>
        <w:pStyle w:val="HUNHeading2"/>
        <w:ind w:left="432"/>
      </w:pPr>
      <w:bookmarkStart w:id="127" w:name="_Ref277354856"/>
      <w:bookmarkStart w:id="128" w:name="_Toc278793291"/>
      <w:bookmarkStart w:id="129" w:name="_Toc279359367"/>
      <w:r>
        <w:t>Módszertan</w:t>
      </w:r>
      <w:bookmarkEnd w:id="127"/>
      <w:r>
        <w:t>i bemutatás</w:t>
      </w:r>
      <w:bookmarkEnd w:id="128"/>
      <w:bookmarkEnd w:id="129"/>
    </w:p>
    <w:p w:rsidR="00084397" w:rsidRDefault="00084397" w:rsidP="00084397">
      <w:pPr>
        <w:pStyle w:val="HUNNormal"/>
      </w:pPr>
      <w:r>
        <w:t>A statisztikai elemzés során alapvetően két dimenzió mentén folytattunk vizsgálatot:</w:t>
      </w:r>
    </w:p>
    <w:p w:rsidR="00084397" w:rsidRDefault="00084397" w:rsidP="00071630">
      <w:pPr>
        <w:pStyle w:val="HUNNormal"/>
        <w:numPr>
          <w:ilvl w:val="0"/>
          <w:numId w:val="44"/>
        </w:numPr>
      </w:pPr>
      <w:r>
        <w:t>Melyek és milyen irányúak az ÚMVP már kimutatható hatásai? (Hatásvizsgálat)</w:t>
      </w:r>
    </w:p>
    <w:p w:rsidR="00084397" w:rsidRDefault="00084397" w:rsidP="00071630">
      <w:pPr>
        <w:pStyle w:val="HUNNormal"/>
        <w:numPr>
          <w:ilvl w:val="0"/>
          <w:numId w:val="44"/>
        </w:numPr>
      </w:pPr>
      <w:r>
        <w:t>Milyen hatások várhatók az ÚMVP jogcímeitől a jövőben? (Potenciálvizsgálat)</w:t>
      </w:r>
    </w:p>
    <w:p w:rsidR="00084397" w:rsidRDefault="00084397" w:rsidP="00084397">
      <w:pPr>
        <w:pStyle w:val="HUNNormal"/>
      </w:pPr>
      <w:r>
        <w:t>Az első kérdés hagyományosan ex-post értékelési kategória: a lezárt projektek (befejezett beruházások) „üzembe állása” után várt vagy nem várt hatásokat generálnak, melyek kimutathatóvá válnak számviteli, gazdaságstatisztikai adatsorokban. A második kérdés a potenciálvizsgálat tárgykörébe tartozik, mely során az értékelő arra keres választ, hogy a megítélt támogatások (vagyis a feltételezhetően már elindult, vagy rövidesen elinduló beruházások) során megvalósuló fejlesztések milyen várható hatásokat fejtenek ki. Jelen fejezet mindkét értékelési dimenzió szerinti elemzéseket tartalmaz.</w:t>
      </w:r>
    </w:p>
    <w:p w:rsidR="00084397" w:rsidRDefault="00084397" w:rsidP="00084397">
      <w:pPr>
        <w:pStyle w:val="HUNNormal"/>
      </w:pPr>
      <w:r w:rsidRPr="00031BE9">
        <w:rPr>
          <w:b/>
        </w:rPr>
        <w:t>Hatásvizsgálatot</w:t>
      </w:r>
      <w:r>
        <w:t xml:space="preserve"> – az </w:t>
      </w:r>
      <w:proofErr w:type="spellStart"/>
      <w:r>
        <w:t>ökonometriai</w:t>
      </w:r>
      <w:proofErr w:type="spellEnd"/>
      <w:r>
        <w:t xml:space="preserve"> elemzéshez hasonlóan – lezárt beruházások (projektek) esetében végz</w:t>
      </w:r>
      <w:r>
        <w:t>e</w:t>
      </w:r>
      <w:r>
        <w:t>tünk el, hiszen feltételezésünk szerint csak már lezárt, „üzembe helyezett” fejlesztések implikálhatnak h</w:t>
      </w:r>
      <w:r>
        <w:t>a</w:t>
      </w:r>
      <w:r>
        <w:t xml:space="preserve">tást mikro- és makroszinten. A </w:t>
      </w:r>
      <w:r w:rsidR="00FD66BC">
        <w:t>félidei</w:t>
      </w:r>
      <w:r>
        <w:t xml:space="preserve"> értékelés sajátos időbeni ütemezése miatt azonban még kevés megv</w:t>
      </w:r>
      <w:r>
        <w:t>a</w:t>
      </w:r>
      <w:r>
        <w:t>lósult, potenciális hatást generáló projekt értékelhető, amely adottsághoz az értékelés módszertanát is ho</w:t>
      </w:r>
      <w:r>
        <w:t>z</w:t>
      </w:r>
      <w:r>
        <w:t xml:space="preserve">zá kellett igazítanunk. A hatások kimutatását ezért csak a lezárt, vagy vélelmezhetően lezárt beruházások esetében tudtuk vizsgálni: </w:t>
      </w:r>
      <w:r w:rsidRPr="00031BE9">
        <w:t>lezártnak tekintettünk minden olyan beruházást, amelynél a megítélt támogatási összeg legalább 80%-át lefedő kifizetési kérelem érkezett be az intézm</w:t>
      </w:r>
      <w:r>
        <w:t>ényrendszerhez</w:t>
      </w:r>
      <w:r>
        <w:rPr>
          <w:rStyle w:val="FootnoteReference"/>
        </w:rPr>
        <w:footnoteReference w:id="25"/>
      </w:r>
      <w:r>
        <w:t xml:space="preserve"> 2009.06.30-ig. Az időbeli megszorítás feltételezésünk szerint azért szükséges, mert az új beruházás legalább fél éves „műk</w:t>
      </w:r>
      <w:r>
        <w:t>ö</w:t>
      </w:r>
      <w:r>
        <w:t xml:space="preserve">désének” eredménye válhat csak kimutathatóvá a vállalkozás számviteli nyilvántartásaiban (vizsgálatunkhoz a 2009-es évi mérleg és </w:t>
      </w:r>
      <w:proofErr w:type="spellStart"/>
      <w:r>
        <w:t>eredménykimutatás</w:t>
      </w:r>
      <w:proofErr w:type="spellEnd"/>
      <w:r>
        <w:t xml:space="preserve"> adatokat használtuk fel).</w:t>
      </w:r>
    </w:p>
    <w:p w:rsidR="00084397" w:rsidRDefault="00084397" w:rsidP="00084397">
      <w:pPr>
        <w:pStyle w:val="HUNNormal"/>
      </w:pPr>
      <w:r w:rsidRPr="00680D02">
        <w:rPr>
          <w:b/>
        </w:rPr>
        <w:t>Potenciálvizsgálatot</w:t>
      </w:r>
      <w:r>
        <w:t xml:space="preserve"> azon jogcímek esetében végeztünk, melyeknél az értékelés időpontjában találtunk me</w:t>
      </w:r>
      <w:r>
        <w:t>g</w:t>
      </w:r>
      <w:r>
        <w:t>ítélt (jóváhagyott) támogatást. Értelemszerűen a vizsgálatot csak a jóváhagyott támogatási határozattal re</w:t>
      </w:r>
      <w:r>
        <w:t>n</w:t>
      </w:r>
      <w:r>
        <w:t>delkező projektekre tudtuk elvégezni.</w:t>
      </w:r>
    </w:p>
    <w:p w:rsidR="00084397" w:rsidRDefault="00084397" w:rsidP="00084397">
      <w:pPr>
        <w:pStyle w:val="HUNNormal"/>
      </w:pPr>
      <w:r>
        <w:t>Miáltal hatás- és potenciálvizsgálatot egyaránt elvégezhettünk egy adott jogcím vonatkozásában, az elemz</w:t>
      </w:r>
      <w:r>
        <w:t>é</w:t>
      </w:r>
      <w:r>
        <w:t>sünkben végig jelezzük, melyik típusú vizsgálatról van szó.</w:t>
      </w:r>
    </w:p>
    <w:p w:rsidR="00084397" w:rsidRDefault="00084397" w:rsidP="00084397">
      <w:pPr>
        <w:pStyle w:val="HUNNormal"/>
      </w:pPr>
    </w:p>
    <w:p w:rsidR="00FD66BC" w:rsidRDefault="00FD66BC" w:rsidP="00084397">
      <w:pPr>
        <w:pStyle w:val="HUNNormal"/>
      </w:pPr>
    </w:p>
    <w:p w:rsidR="00084397" w:rsidRDefault="00084397" w:rsidP="00084397">
      <w:pPr>
        <w:pStyle w:val="HUNHeading3"/>
        <w:ind w:left="504"/>
      </w:pPr>
      <w:bookmarkStart w:id="130" w:name="_Toc278793292"/>
      <w:bookmarkStart w:id="131" w:name="_Toc279359368"/>
      <w:r>
        <w:lastRenderedPageBreak/>
        <w:t>Jövedelmezőségi hatás vizsgálatának módszertana</w:t>
      </w:r>
      <w:bookmarkEnd w:id="130"/>
      <w:bookmarkEnd w:id="131"/>
    </w:p>
    <w:p w:rsidR="00084397" w:rsidRDefault="00084397" w:rsidP="00084397">
      <w:pPr>
        <w:pStyle w:val="HUNNormal"/>
      </w:pPr>
      <w:r>
        <w:t xml:space="preserve">Jövedelmezőségi </w:t>
      </w:r>
      <w:r w:rsidRPr="00006426">
        <w:rPr>
          <w:b/>
          <w:i/>
        </w:rPr>
        <w:t>hatásvizsgálatot</w:t>
      </w:r>
      <w:r>
        <w:t xml:space="preserve"> csak a lezárt beruházások esetében végeztünk, a következő jogcímekre vonatkozóan:</w:t>
      </w:r>
    </w:p>
    <w:p w:rsidR="00084397" w:rsidRDefault="00084397" w:rsidP="00071630">
      <w:pPr>
        <w:pStyle w:val="HUNNormal"/>
        <w:numPr>
          <w:ilvl w:val="0"/>
          <w:numId w:val="41"/>
        </w:numPr>
      </w:pPr>
      <w:r w:rsidRPr="004E7815">
        <w:rPr>
          <w:b/>
        </w:rPr>
        <w:t>Állattartó telepek korszerűsítése</w:t>
      </w:r>
      <w:r>
        <w:t xml:space="preserve"> jogcím: bár </w:t>
      </w:r>
      <w:proofErr w:type="spellStart"/>
      <w:r>
        <w:t>ökonometriai</w:t>
      </w:r>
      <w:proofErr w:type="spellEnd"/>
      <w:r>
        <w:t xml:space="preserve"> módszerekkel a FADN adatbázisból k</w:t>
      </w:r>
      <w:r>
        <w:t>o</w:t>
      </w:r>
      <w:r>
        <w:t xml:space="preserve">rábban már vizsgáltuk, kiemelt jelentősége okán (valamint abból a célból, hogy a jogcím hatását „tisztán” </w:t>
      </w:r>
      <w:proofErr w:type="gramStart"/>
      <w:r>
        <w:t>vizsgálhassuk</w:t>
      </w:r>
      <w:r>
        <w:rPr>
          <w:rStyle w:val="FootnoteReference"/>
        </w:rPr>
        <w:footnoteReference w:id="26"/>
      </w:r>
      <w:r>
        <w:t>)</w:t>
      </w:r>
      <w:proofErr w:type="gramEnd"/>
      <w:r>
        <w:t xml:space="preserve"> újra értékeljük egy kontrollcsoportos vizsgálat során.</w:t>
      </w:r>
    </w:p>
    <w:p w:rsidR="00084397" w:rsidRDefault="00084397" w:rsidP="00071630">
      <w:pPr>
        <w:pStyle w:val="HUNNormal"/>
        <w:numPr>
          <w:ilvl w:val="0"/>
          <w:numId w:val="42"/>
        </w:numPr>
      </w:pPr>
      <w:r>
        <w:rPr>
          <w:b/>
        </w:rPr>
        <w:t xml:space="preserve">Erdészeti gépbeszerzés </w:t>
      </w:r>
      <w:r w:rsidRPr="004E7815">
        <w:t xml:space="preserve">jogcím: </w:t>
      </w:r>
      <w:r>
        <w:t>2009.06.30-ig nem találtunk lezárt beruházást, így hatásvizsgálatot nem tudtunk végezni.</w:t>
      </w:r>
    </w:p>
    <w:p w:rsidR="00084397" w:rsidRDefault="00084397" w:rsidP="00071630">
      <w:pPr>
        <w:pStyle w:val="HUNNormal"/>
        <w:numPr>
          <w:ilvl w:val="0"/>
          <w:numId w:val="43"/>
        </w:numPr>
      </w:pPr>
      <w:r w:rsidRPr="006B3AC8">
        <w:rPr>
          <w:b/>
        </w:rPr>
        <w:t xml:space="preserve">ÉLIP </w:t>
      </w:r>
      <w:r w:rsidRPr="006B3AC8">
        <w:t>jogcím</w:t>
      </w:r>
      <w:r>
        <w:t>: a FADN adatbázisában nem szerepeltek az élelmiszeripari vállalkozások, így – az ÁTK jogcímhez hasonló módszertan alapján – vizsgáljuk a jövedelmezőségi hatást.</w:t>
      </w:r>
    </w:p>
    <w:p w:rsidR="00084397" w:rsidRDefault="00084397" w:rsidP="00071630">
      <w:pPr>
        <w:pStyle w:val="HUNNormal"/>
        <w:numPr>
          <w:ilvl w:val="0"/>
          <w:numId w:val="42"/>
        </w:numPr>
      </w:pPr>
      <w:proofErr w:type="spellStart"/>
      <w:r>
        <w:rPr>
          <w:b/>
        </w:rPr>
        <w:t>Mikrovállalkozások</w:t>
      </w:r>
      <w:proofErr w:type="spellEnd"/>
      <w:r>
        <w:rPr>
          <w:b/>
        </w:rPr>
        <w:t xml:space="preserve"> </w:t>
      </w:r>
      <w:r>
        <w:t>jogcím: 2009.06.30-ig nem találtunk lezárt beruházást, így hatásvizsgálatot nem tudtunk végezni.</w:t>
      </w:r>
    </w:p>
    <w:p w:rsidR="00084397" w:rsidRDefault="00084397" w:rsidP="00071630">
      <w:pPr>
        <w:pStyle w:val="HUNNormal"/>
        <w:numPr>
          <w:ilvl w:val="0"/>
          <w:numId w:val="42"/>
        </w:numPr>
      </w:pPr>
      <w:r>
        <w:rPr>
          <w:b/>
        </w:rPr>
        <w:t xml:space="preserve">Turizmus jogcím: </w:t>
      </w:r>
      <w:r>
        <w:t>2009.06.30-ig nem találtunk lezárt beruházást, így hatásvizsgálatot nem tudtunk végezni.</w:t>
      </w:r>
    </w:p>
    <w:p w:rsidR="00084397" w:rsidRDefault="00084397" w:rsidP="00084397">
      <w:pPr>
        <w:pStyle w:val="HUNNormal"/>
      </w:pPr>
      <w:r>
        <w:t xml:space="preserve">Az ÁTK és ÉLIP jogcímek kontrollcsoportos vizsgálatához a jóváhagyott támogatási kérelmek, valamint az OPTEN Mérlegtár „Értékesítés nettó árbevétele” adatát használtuk fel. A vizsgált csoport ÉLIP esetében 40, ÁTK esetében 260 lezárt projektből állt, míg a kontrollcsoport kizárólag olyan, támogatási kérelmet benyújtó entitásokat tartalmaz, melyek nem kaptak támogatást az adott jogcímből. A kontrollcsoport kiválasztásánál törekedtünk a regionális reprezentativitásra, mint azt a </w:t>
      </w:r>
      <w:r w:rsidR="003F44DC">
        <w:fldChar w:fldCharType="begin"/>
      </w:r>
      <w:r>
        <w:instrText xml:space="preserve"> REF _Ref277352991 \h </w:instrText>
      </w:r>
      <w:r w:rsidR="003F44DC">
        <w:fldChar w:fldCharType="separate"/>
      </w:r>
      <w:r w:rsidR="002D1B7A">
        <w:rPr>
          <w:noProof/>
        </w:rPr>
        <w:t>27</w:t>
      </w:r>
      <w:r w:rsidR="002D1B7A" w:rsidRPr="003D02C8">
        <w:t>. ábra</w:t>
      </w:r>
      <w:r w:rsidR="003F44DC">
        <w:fldChar w:fldCharType="end"/>
      </w:r>
      <w:r>
        <w:t xml:space="preserve"> szemlélteti.</w:t>
      </w:r>
    </w:p>
    <w:p w:rsidR="00084397" w:rsidRDefault="00084397" w:rsidP="00084397">
      <w:pPr>
        <w:pStyle w:val="HUNNormal"/>
        <w:keepNext/>
        <w:jc w:val="center"/>
      </w:pPr>
      <w:r w:rsidRPr="003D02C8">
        <w:rPr>
          <w:noProof/>
        </w:rPr>
        <w:lastRenderedPageBreak/>
        <w:drawing>
          <wp:inline distT="0" distB="0" distL="0" distR="0">
            <wp:extent cx="5525770" cy="3828415"/>
            <wp:effectExtent l="19050" t="19050" r="55880" b="1968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a:stretch>
                      <a:fillRect/>
                    </a:stretch>
                  </pic:blipFill>
                  <pic:spPr bwMode="auto">
                    <a:xfrm>
                      <a:off x="0" y="0"/>
                      <a:ext cx="5525770" cy="382841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bookmarkStart w:id="132" w:name="_Ref277352991"/>
    <w:p w:rsidR="00084397" w:rsidRDefault="003F44DC" w:rsidP="00084397">
      <w:pPr>
        <w:pStyle w:val="Caption"/>
        <w:jc w:val="center"/>
        <w:rPr>
          <w:color w:val="auto"/>
        </w:rPr>
      </w:pPr>
      <w:r w:rsidRPr="003D02C8">
        <w:rPr>
          <w:color w:val="auto"/>
        </w:rPr>
        <w:fldChar w:fldCharType="begin"/>
      </w:r>
      <w:r w:rsidR="00084397" w:rsidRPr="003D02C8">
        <w:rPr>
          <w:color w:val="auto"/>
        </w:rPr>
        <w:instrText xml:space="preserve"> SEQ ábra \* ARABIC </w:instrText>
      </w:r>
      <w:r w:rsidRPr="003D02C8">
        <w:rPr>
          <w:color w:val="auto"/>
        </w:rPr>
        <w:fldChar w:fldCharType="separate"/>
      </w:r>
      <w:r w:rsidR="002D1B7A">
        <w:rPr>
          <w:noProof/>
          <w:color w:val="auto"/>
        </w:rPr>
        <w:t>27</w:t>
      </w:r>
      <w:r w:rsidRPr="003D02C8">
        <w:rPr>
          <w:color w:val="auto"/>
        </w:rPr>
        <w:fldChar w:fldCharType="end"/>
      </w:r>
      <w:r w:rsidR="00084397" w:rsidRPr="003D02C8">
        <w:rPr>
          <w:color w:val="auto"/>
        </w:rPr>
        <w:t>. ábra</w:t>
      </w:r>
      <w:bookmarkEnd w:id="132"/>
      <w:r w:rsidR="00084397">
        <w:rPr>
          <w:color w:val="auto"/>
        </w:rPr>
        <w:t>: ÁTK és ÉLIP kontroll csoportok kiválasztása</w:t>
      </w:r>
    </w:p>
    <w:p w:rsidR="00084397" w:rsidRDefault="00084397" w:rsidP="00084397">
      <w:pPr>
        <w:jc w:val="both"/>
      </w:pPr>
      <w:r>
        <w:t xml:space="preserve">Az OPTEN Mérlegtárban </w:t>
      </w:r>
      <w:r w:rsidRPr="001B4BB3">
        <w:t xml:space="preserve">rendelkezésre álló adatok tovább szűkítették a vizsgált és a kontrollcsoport méretét, hiszen csak olyan entitásokat hagyhattunk az egyes csoportokban, melyek esetében az induló és a legutolsó gazdasági évre (2007 és 2009) összevethető adatot találtunk (a TK adatlapon és az </w:t>
      </w:r>
      <w:proofErr w:type="spellStart"/>
      <w:r w:rsidRPr="001B4BB3">
        <w:t>OPTEN-ben</w:t>
      </w:r>
      <w:proofErr w:type="spellEnd"/>
      <w:r w:rsidRPr="001B4BB3">
        <w:t xml:space="preserve"> is volt adat). Mindezek után a modellben vizsgálható elemszám ÁTK esetében 92</w:t>
      </w:r>
      <w:r>
        <w:t xml:space="preserve"> db (kontroll: 104 db), ÉLIP es</w:t>
      </w:r>
      <w:r>
        <w:t>e</w:t>
      </w:r>
      <w:r>
        <w:t>tében 26 db (kontroll: 19 db).</w:t>
      </w:r>
    </w:p>
    <w:p w:rsidR="00084397" w:rsidRDefault="00084397" w:rsidP="00084397">
      <w:pPr>
        <w:jc w:val="both"/>
      </w:pPr>
      <w:r>
        <w:t>A két jogcímnél megvizsgáltuk az árbevétel növekedés (abszolút és relatív értelemben) kapcsolatát a tám</w:t>
      </w:r>
      <w:r>
        <w:t>o</w:t>
      </w:r>
      <w:r>
        <w:t xml:space="preserve">gatásokkal (összegek, illetve a bináris, támogatottság ténye változók segítségével). A modellek egyszerű OLS becslések. A modellekben a keresztmetszeti </w:t>
      </w:r>
      <w:proofErr w:type="spellStart"/>
      <w:r>
        <w:t>heteroszkedaszticitás</w:t>
      </w:r>
      <w:proofErr w:type="spellEnd"/>
      <w:r>
        <w:t xml:space="preserve"> jelenlétére kontrollálva White-féle robos</w:t>
      </w:r>
      <w:r>
        <w:t>z</w:t>
      </w:r>
      <w:r>
        <w:t>tus standard hibákat használtunk.</w:t>
      </w:r>
    </w:p>
    <w:p w:rsidR="00084397" w:rsidRDefault="00084397" w:rsidP="00084397">
      <w:pPr>
        <w:jc w:val="both"/>
      </w:pPr>
      <w:r>
        <w:t xml:space="preserve">Jövedelmezőségre </w:t>
      </w:r>
      <w:r w:rsidRPr="001B4BB3">
        <w:rPr>
          <w:b/>
          <w:i/>
        </w:rPr>
        <w:t>potenciálvizsgálatot</w:t>
      </w:r>
      <w:r>
        <w:t xml:space="preserve"> </w:t>
      </w:r>
      <w:r w:rsidRPr="001B4BB3">
        <w:rPr>
          <w:b/>
        </w:rPr>
        <w:t>nem végeztünk</w:t>
      </w:r>
      <w:r>
        <w:t>, mert a támogatási kérelem lapokon sok esetben irreálisan magas, valamint inkonzisztens induló és tervezett árbevételi adatokat találtunk, ami jelentősen torzította volna az eredményeket.</w:t>
      </w:r>
    </w:p>
    <w:p w:rsidR="00084397" w:rsidRDefault="00084397" w:rsidP="00084397">
      <w:pPr>
        <w:pStyle w:val="HUNHeading3"/>
        <w:ind w:left="504"/>
      </w:pPr>
      <w:bookmarkStart w:id="133" w:name="_Ref278088886"/>
      <w:bookmarkStart w:id="134" w:name="_Toc278793293"/>
      <w:bookmarkStart w:id="135" w:name="_Toc279359369"/>
      <w:r>
        <w:t>Foglalkoztatási hatás vizsgálatának módszertana</w:t>
      </w:r>
      <w:bookmarkEnd w:id="133"/>
      <w:bookmarkEnd w:id="134"/>
      <w:bookmarkEnd w:id="135"/>
    </w:p>
    <w:p w:rsidR="00084397" w:rsidRDefault="00084397" w:rsidP="00084397">
      <w:pPr>
        <w:pStyle w:val="HUNNormal"/>
      </w:pPr>
      <w:r>
        <w:t xml:space="preserve">Foglalkoztatási </w:t>
      </w:r>
      <w:r w:rsidRPr="00006426">
        <w:rPr>
          <w:b/>
          <w:i/>
        </w:rPr>
        <w:t>hatásvizsgálatot</w:t>
      </w:r>
      <w:r>
        <w:t xml:space="preserve"> - igazodva a jövedelmezőségi hatás vizsgálati módszertanához </w:t>
      </w:r>
      <w:proofErr w:type="gramStart"/>
      <w:r>
        <w:t>-  azon</w:t>
      </w:r>
      <w:proofErr w:type="gramEnd"/>
      <w:r>
        <w:t xml:space="preserve"> jo</w:t>
      </w:r>
      <w:r>
        <w:t>g</w:t>
      </w:r>
      <w:r>
        <w:t>címek esetében (ÁTK, ÉLIP) végeztünk, melyeknél találtunk lezárt projekteket, a támogatási kérelem és az OPTEN Mérlegtár foglalkoztatási adatait felhasználva megvizsgáltuk: az induló időszakhoz képest (2007) hogyan változott az entitások átlagos állománya.</w:t>
      </w:r>
    </w:p>
    <w:p w:rsidR="00084397" w:rsidRDefault="00084397" w:rsidP="00084397">
      <w:pPr>
        <w:pStyle w:val="HUNNormal"/>
      </w:pPr>
      <w:r w:rsidRPr="00006426">
        <w:rPr>
          <w:b/>
          <w:i/>
        </w:rPr>
        <w:t>Potenciálvizsgálat</w:t>
      </w:r>
      <w:r>
        <w:rPr>
          <w:b/>
        </w:rPr>
        <w:t xml:space="preserve"> </w:t>
      </w:r>
      <w:r>
        <w:t>során a támogatási kérelem adatai alapján összehasonlítottuk az induló időszak (tényl</w:t>
      </w:r>
      <w:r>
        <w:t>e</w:t>
      </w:r>
      <w:r>
        <w:t xml:space="preserve">ges) állományi létszámát és a beruházás lezárása utáni időszakra vállalt (tervezett) létszámot a következő </w:t>
      </w:r>
      <w:r>
        <w:lastRenderedPageBreak/>
        <w:t xml:space="preserve">jogcímek esetében: </w:t>
      </w:r>
      <w:r w:rsidRPr="00C23738">
        <w:rPr>
          <w:i/>
        </w:rPr>
        <w:t>Kertészeti gépek beszerzése, Öntözés, melioráció, Szárítók beszerzése, Kertészeti üz</w:t>
      </w:r>
      <w:r w:rsidRPr="00C23738">
        <w:rPr>
          <w:i/>
        </w:rPr>
        <w:t>e</w:t>
      </w:r>
      <w:r w:rsidRPr="00C23738">
        <w:rPr>
          <w:i/>
        </w:rPr>
        <w:t xml:space="preserve">mek fejlesztése, Erdészeti gépbeszerzés, ÉLIP, Turizmusfejlesztés, </w:t>
      </w:r>
      <w:proofErr w:type="spellStart"/>
      <w:r w:rsidRPr="00C23738">
        <w:rPr>
          <w:i/>
        </w:rPr>
        <w:t>Mikrovállalkozások</w:t>
      </w:r>
      <w:proofErr w:type="spellEnd"/>
      <w:r w:rsidRPr="00C23738">
        <w:rPr>
          <w:i/>
        </w:rPr>
        <w:t xml:space="preserve"> fejlesztése</w:t>
      </w:r>
      <w:r>
        <w:t>.</w:t>
      </w:r>
    </w:p>
    <w:p w:rsidR="00084397" w:rsidRPr="00006426" w:rsidRDefault="00084397" w:rsidP="00084397">
      <w:pPr>
        <w:pStyle w:val="HUNNormal"/>
      </w:pPr>
      <w:r w:rsidRPr="00627310">
        <w:t>Két jogcímnél (</w:t>
      </w:r>
      <w:r w:rsidRPr="00627310">
        <w:rPr>
          <w:i/>
        </w:rPr>
        <w:t>ÁTK</w:t>
      </w:r>
      <w:r w:rsidRPr="00627310">
        <w:t xml:space="preserve">, </w:t>
      </w:r>
      <w:r w:rsidRPr="00627310">
        <w:rPr>
          <w:i/>
        </w:rPr>
        <w:t>Gépbeszerzés</w:t>
      </w:r>
      <w:r w:rsidRPr="00627310">
        <w:t>)</w:t>
      </w:r>
      <w:r>
        <w:t xml:space="preserve"> a támogatási kérelemben szereplő SFH adatok alapján megvizsgáltuk továbbá, hogy az egyes gazdasági méretkategóriák szerint a kérelmezők tervei szerint hogyan változik az átlagos állományi létszám. </w:t>
      </w:r>
      <w:r w:rsidRPr="00006426">
        <w:t>Az SFH szerinti méretkategóriák</w:t>
      </w:r>
      <w:r>
        <w:t>at</w:t>
      </w:r>
      <w:r w:rsidRPr="00006426">
        <w:t xml:space="preserve"> </w:t>
      </w:r>
      <w:proofErr w:type="spellStart"/>
      <w:r w:rsidRPr="00006426">
        <w:t>kvartilisek</w:t>
      </w:r>
      <w:proofErr w:type="spellEnd"/>
      <w:r>
        <w:t xml:space="preserve"> kialakításával végeztük el: össz</w:t>
      </w:r>
      <w:r>
        <w:t>e</w:t>
      </w:r>
      <w:r w:rsidRPr="00006426">
        <w:t xml:space="preserve">rendeztük a támogatott gazdaságokat a 2007-es évi SFH összegek alapján. A négy </w:t>
      </w:r>
      <w:proofErr w:type="spellStart"/>
      <w:r w:rsidRPr="00006426">
        <w:t>kvartilis</w:t>
      </w:r>
      <w:proofErr w:type="spellEnd"/>
      <w:r w:rsidRPr="00006426">
        <w:t xml:space="preserve"> négy egyenlő számú gazdaságból áll: az alsó </w:t>
      </w:r>
      <w:proofErr w:type="spellStart"/>
      <w:r w:rsidRPr="00006426">
        <w:t>kvartilist</w:t>
      </w:r>
      <w:proofErr w:type="spellEnd"/>
      <w:r w:rsidRPr="00006426">
        <w:t xml:space="preserve"> elneveztük „mikro gazdaságnak”, a középső két </w:t>
      </w:r>
      <w:proofErr w:type="spellStart"/>
      <w:r w:rsidRPr="00006426">
        <w:t>kvartilist</w:t>
      </w:r>
      <w:proofErr w:type="spellEnd"/>
      <w:r w:rsidRPr="00006426">
        <w:t xml:space="preserve"> „kis ga</w:t>
      </w:r>
      <w:r w:rsidRPr="00006426">
        <w:t>z</w:t>
      </w:r>
      <w:r w:rsidRPr="00006426">
        <w:t xml:space="preserve">daságnak” és „közép gazdaságnak”, míg a felső </w:t>
      </w:r>
      <w:proofErr w:type="spellStart"/>
      <w:r w:rsidRPr="00006426">
        <w:t>kvartilist</w:t>
      </w:r>
      <w:proofErr w:type="spellEnd"/>
      <w:r w:rsidRPr="00006426">
        <w:t xml:space="preserve"> „nagygazdaságnak”. </w:t>
      </w:r>
      <w:r>
        <w:t xml:space="preserve">Ebben a megközelítésben, a méret relatív kategória, hiszen minden jogcímnél más és más lesz az egyes </w:t>
      </w:r>
      <w:proofErr w:type="spellStart"/>
      <w:r>
        <w:t>kvartilisek</w:t>
      </w:r>
      <w:proofErr w:type="spellEnd"/>
      <w:r>
        <w:t xml:space="preserve"> felső korlátja. Ez eg</w:t>
      </w:r>
      <w:r>
        <w:t>y</w:t>
      </w:r>
      <w:r>
        <w:t>részt természetesen azt okozza, hogy az így kialakított méretkategóriák nem vethetők össze a KKV-kódok szerinti tipizálással, másrészt azonban alkalmas arra, hogy az egyes jogcímek között finomabb módon ö</w:t>
      </w:r>
      <w:r>
        <w:t>s</w:t>
      </w:r>
      <w:r>
        <w:t>szehasonlíthassuk a méretbeli sajátosságokat. F</w:t>
      </w:r>
      <w:r w:rsidRPr="00006426">
        <w:t xml:space="preserve">eltételezésünk szerint </w:t>
      </w:r>
      <w:r>
        <w:t>továbbá ez a fajta tipizálás alkalmas lesz az esetleges támogatás koncentráció kimutatására is.</w:t>
      </w:r>
    </w:p>
    <w:p w:rsidR="00084397" w:rsidRDefault="00084397" w:rsidP="00084397">
      <w:pPr>
        <w:pStyle w:val="HUNHeading3"/>
        <w:ind w:left="504"/>
      </w:pPr>
      <w:bookmarkStart w:id="136" w:name="_Toc278793294"/>
      <w:bookmarkStart w:id="137" w:name="_Toc279359370"/>
      <w:r>
        <w:t>Termelékenységi vizsgálat módszertana</w:t>
      </w:r>
      <w:bookmarkEnd w:id="136"/>
      <w:bookmarkEnd w:id="137"/>
    </w:p>
    <w:p w:rsidR="00084397" w:rsidRDefault="00084397" w:rsidP="00084397">
      <w:pPr>
        <w:pStyle w:val="HUNNormal"/>
      </w:pPr>
      <w:r>
        <w:t xml:space="preserve">Termelékenységi </w:t>
      </w:r>
      <w:r w:rsidRPr="002D7A7D">
        <w:rPr>
          <w:b/>
          <w:i/>
        </w:rPr>
        <w:t>hatásvizsgálatot</w:t>
      </w:r>
      <w:r>
        <w:t xml:space="preserve"> csak azon jogcímek esetében tudunk vizsgálni (ÁTK, ÉLIP), ahol jövede</w:t>
      </w:r>
      <w:r>
        <w:t>l</w:t>
      </w:r>
      <w:r>
        <w:t>mezőségi és foglalkozatási hatást is vizsgáltunk a lezárt projektekre vonatkozóan. A munkatermelékenységi mutatót az árbevétel és a létszám hányadosaként képezzük, és azt vizsgáljuk, az induló időszakhoz képest (2007), milyen irányban változott a mutató.</w:t>
      </w:r>
    </w:p>
    <w:p w:rsidR="00084397" w:rsidRDefault="00084397" w:rsidP="00084397">
      <w:pPr>
        <w:pStyle w:val="HUNNormal"/>
      </w:pPr>
      <w:r w:rsidRPr="002D7A7D">
        <w:rPr>
          <w:b/>
          <w:i/>
        </w:rPr>
        <w:t>Potenciálvizsgálatot</w:t>
      </w:r>
      <w:r>
        <w:t xml:space="preserve"> – a jövedelmezőségi hatások vizsgálati módszertana részben leírtak alapján – </w:t>
      </w:r>
      <w:r w:rsidRPr="002D7A7D">
        <w:rPr>
          <w:b/>
        </w:rPr>
        <w:t>nem</w:t>
      </w:r>
      <w:r>
        <w:t xml:space="preserve"> </w:t>
      </w:r>
      <w:r w:rsidRPr="002D7A7D">
        <w:rPr>
          <w:b/>
        </w:rPr>
        <w:t>végeztünk</w:t>
      </w:r>
      <w:r>
        <w:t>.</w:t>
      </w:r>
    </w:p>
    <w:p w:rsidR="00084397" w:rsidRDefault="00FD66BC" w:rsidP="00084397">
      <w:pPr>
        <w:pStyle w:val="HUNHeading3"/>
        <w:ind w:left="504"/>
      </w:pPr>
      <w:bookmarkStart w:id="138" w:name="_Toc278793295"/>
      <w:bookmarkStart w:id="139" w:name="_Toc279359371"/>
      <w:r>
        <w:t xml:space="preserve">Az államháztartásra </w:t>
      </w:r>
      <w:r w:rsidR="00084397">
        <w:t>gyakorolt hatások vizsgálatának módszertana</w:t>
      </w:r>
      <w:bookmarkEnd w:id="138"/>
      <w:bookmarkEnd w:id="139"/>
    </w:p>
    <w:p w:rsidR="00084397" w:rsidRDefault="00FD66BC" w:rsidP="00084397">
      <w:pPr>
        <w:pStyle w:val="HUNNormal"/>
      </w:pPr>
      <w:r>
        <w:t>Az államháztartásra</w:t>
      </w:r>
      <w:r w:rsidR="00084397">
        <w:t xml:space="preserve"> gyakorolt hatások vizsgálata során alapvetően két tényezőt értékeltünk: a beruházások </w:t>
      </w:r>
      <w:proofErr w:type="spellStart"/>
      <w:r w:rsidR="00084397" w:rsidRPr="00D21FF7">
        <w:rPr>
          <w:b/>
        </w:rPr>
        <w:t>ÁFA-tartalmának</w:t>
      </w:r>
      <w:proofErr w:type="spellEnd"/>
      <w:r w:rsidR="00084397" w:rsidRPr="00D21FF7">
        <w:rPr>
          <w:b/>
        </w:rPr>
        <w:t xml:space="preserve"> hatását</w:t>
      </w:r>
      <w:r w:rsidR="00084397" w:rsidRPr="00D21FF7">
        <w:t xml:space="preserve"> (mint a költségvetés bevételi oldalát növelő tételt), valamint a beruházások addic</w:t>
      </w:r>
      <w:r w:rsidR="00084397" w:rsidRPr="00D21FF7">
        <w:t>i</w:t>
      </w:r>
      <w:r w:rsidR="00084397" w:rsidRPr="00D21FF7">
        <w:t xml:space="preserve">onális </w:t>
      </w:r>
      <w:r w:rsidR="00084397" w:rsidRPr="00D21FF7">
        <w:rPr>
          <w:b/>
        </w:rPr>
        <w:t>importszükségletét</w:t>
      </w:r>
      <w:r w:rsidR="00084397">
        <w:t xml:space="preserve"> (mint külkereskedelmi egyensúlyrontó tételt). Mivel </w:t>
      </w:r>
      <w:proofErr w:type="gramStart"/>
      <w:r w:rsidR="00084397">
        <w:t>ezen</w:t>
      </w:r>
      <w:proofErr w:type="gramEnd"/>
      <w:r w:rsidR="00084397">
        <w:t xml:space="preserve"> hatások – stratégiai je</w:t>
      </w:r>
      <w:r w:rsidR="00084397">
        <w:t>l</w:t>
      </w:r>
      <w:r w:rsidR="00084397">
        <w:t xml:space="preserve">legüknél fogva -  alapvetően kihathatnak egyes fejlesztéspolitikai döntésekre, nem hatás-, hanem </w:t>
      </w:r>
      <w:r w:rsidR="00084397" w:rsidRPr="00D21FF7">
        <w:rPr>
          <w:b/>
          <w:i/>
        </w:rPr>
        <w:t>potenciá</w:t>
      </w:r>
      <w:r w:rsidR="00084397" w:rsidRPr="00D21FF7">
        <w:rPr>
          <w:b/>
          <w:i/>
        </w:rPr>
        <w:t>l</w:t>
      </w:r>
      <w:r w:rsidR="00084397" w:rsidRPr="00D21FF7">
        <w:rPr>
          <w:b/>
          <w:i/>
        </w:rPr>
        <w:t>vizsgálatot</w:t>
      </w:r>
      <w:r w:rsidR="00084397">
        <w:t xml:space="preserve"> végeztünk: nem csak a lezárt, hanem a megítélt támogatással rendelkező beruházásokat is figy</w:t>
      </w:r>
      <w:r w:rsidR="00084397">
        <w:t>e</w:t>
      </w:r>
      <w:r w:rsidR="00084397">
        <w:t>lembe véve.</w:t>
      </w:r>
    </w:p>
    <w:p w:rsidR="00084397" w:rsidRDefault="00084397" w:rsidP="00084397">
      <w:pPr>
        <w:pStyle w:val="HUNNormal"/>
      </w:pPr>
      <w:r>
        <w:t xml:space="preserve">Az </w:t>
      </w:r>
      <w:proofErr w:type="spellStart"/>
      <w:r w:rsidRPr="00874BC9">
        <w:rPr>
          <w:b/>
        </w:rPr>
        <w:t>ÁFA-tartalom</w:t>
      </w:r>
      <w:proofErr w:type="spellEnd"/>
      <w:r>
        <w:t xml:space="preserve"> vizsgálatához az </w:t>
      </w:r>
      <w:proofErr w:type="spellStart"/>
      <w:r>
        <w:t>IIER-ben</w:t>
      </w:r>
      <w:proofErr w:type="spellEnd"/>
      <w:r>
        <w:t xml:space="preserve"> rögzített támogatási kérelmek tervezett kiadási (költség) tételeiből leválogattuk a személyi és a dologi típusú (gép, technológia stb.) kiadások</w:t>
      </w:r>
      <w:r w:rsidRPr="00627310">
        <w:t>at. A dologi kiadásoknál egy ált</w:t>
      </w:r>
      <w:r w:rsidRPr="00627310">
        <w:t>a</w:t>
      </w:r>
      <w:r w:rsidRPr="00627310">
        <w:t>lunk készített becslés alapján vizsgáljuk a támogatások ÁFA tartalmát.</w:t>
      </w:r>
    </w:p>
    <w:p w:rsidR="00084397" w:rsidRDefault="00084397" w:rsidP="00084397">
      <w:pPr>
        <w:pStyle w:val="HUNNormal"/>
        <w:spacing w:before="240"/>
      </w:pPr>
      <w:r>
        <w:t>Az importszükséglet vizsgálatához a vásárolt gépek származási helyét gyűjtöttük le a támogatási kérelem, valamint a gépkatalógus adatai alapján.</w:t>
      </w:r>
    </w:p>
    <w:p w:rsidR="00084397" w:rsidRDefault="00084397" w:rsidP="00084397">
      <w:pPr>
        <w:pStyle w:val="HUNNormal"/>
      </w:pPr>
      <w:r>
        <w:t xml:space="preserve">A vizsgálatba – az Előzetes Értékelő Jelentésben leírtak szerint </w:t>
      </w:r>
      <w:proofErr w:type="gramStart"/>
      <w:r>
        <w:t>-  a</w:t>
      </w:r>
      <w:proofErr w:type="gramEnd"/>
      <w:r>
        <w:t xml:space="preserve"> következő jogcímeket vontuk be: </w:t>
      </w:r>
      <w:r w:rsidRPr="002D0F09">
        <w:rPr>
          <w:i/>
        </w:rPr>
        <w:t>ÉLIP, ÁTK, Gépbeszerzés, Tanyabusz, Kertészeti gépek beszerzése, Kertészeti üzemek fejlesztése, Öntözés, meli</w:t>
      </w:r>
      <w:r w:rsidRPr="002D0F09">
        <w:rPr>
          <w:i/>
        </w:rPr>
        <w:t>o</w:t>
      </w:r>
      <w:r w:rsidRPr="002D0F09">
        <w:rPr>
          <w:i/>
        </w:rPr>
        <w:t xml:space="preserve">ráció, Szárítók beszerzése, Erdészeti gépbeszerzés, </w:t>
      </w:r>
      <w:proofErr w:type="spellStart"/>
      <w:r w:rsidRPr="002D0F09">
        <w:rPr>
          <w:i/>
        </w:rPr>
        <w:t>Mikrovállalkozások</w:t>
      </w:r>
      <w:proofErr w:type="spellEnd"/>
      <w:r w:rsidRPr="002D0F09">
        <w:rPr>
          <w:i/>
        </w:rPr>
        <w:t xml:space="preserve"> fejlesztése, Turizmusfejlesztés, Ü</w:t>
      </w:r>
      <w:r w:rsidRPr="002D0F09">
        <w:rPr>
          <w:i/>
        </w:rPr>
        <w:t>l</w:t>
      </w:r>
      <w:r w:rsidRPr="002D0F09">
        <w:rPr>
          <w:i/>
        </w:rPr>
        <w:t>tetvények támogatása</w:t>
      </w:r>
      <w:r>
        <w:t>.</w:t>
      </w:r>
    </w:p>
    <w:p w:rsidR="00084397" w:rsidRDefault="00084397" w:rsidP="00084397">
      <w:pPr>
        <w:jc w:val="both"/>
      </w:pPr>
    </w:p>
    <w:p w:rsidR="00084397" w:rsidRDefault="00084397" w:rsidP="00084397">
      <w:pPr>
        <w:pStyle w:val="HUNHeading3"/>
        <w:ind w:left="504"/>
      </w:pPr>
      <w:bookmarkStart w:id="140" w:name="_Toc278793296"/>
      <w:bookmarkStart w:id="141" w:name="_Toc279359372"/>
      <w:r>
        <w:lastRenderedPageBreak/>
        <w:t>További statisztikai vizsgálatok</w:t>
      </w:r>
      <w:bookmarkEnd w:id="140"/>
      <w:bookmarkEnd w:id="141"/>
    </w:p>
    <w:p w:rsidR="00084397" w:rsidRDefault="00084397" w:rsidP="00084397">
      <w:pPr>
        <w:jc w:val="both"/>
      </w:pPr>
      <w:r>
        <w:t xml:space="preserve">Az </w:t>
      </w:r>
      <w:proofErr w:type="spellStart"/>
      <w:r>
        <w:t>IIER-ben</w:t>
      </w:r>
      <w:proofErr w:type="spellEnd"/>
      <w:r>
        <w:t xml:space="preserve"> rögzített adatok alapján a következő további statisztikai elemzéseket végezzük el:</w:t>
      </w:r>
    </w:p>
    <w:p w:rsidR="00084397" w:rsidRDefault="00084397" w:rsidP="00071630">
      <w:pPr>
        <w:pStyle w:val="ListParagraph"/>
        <w:numPr>
          <w:ilvl w:val="0"/>
          <w:numId w:val="45"/>
        </w:numPr>
        <w:jc w:val="both"/>
      </w:pPr>
      <w:r>
        <w:t xml:space="preserve">A gazdaságok </w:t>
      </w:r>
      <w:r w:rsidRPr="0094102A">
        <w:rPr>
          <w:b/>
        </w:rPr>
        <w:t>SFH méret szerinti megoszlása</w:t>
      </w:r>
      <w:r>
        <w:t xml:space="preserve">: az </w:t>
      </w:r>
      <w:r w:rsidRPr="0094102A">
        <w:rPr>
          <w:i/>
        </w:rPr>
        <w:t>ÁTK, Gépbeszerzés, Kertészeti gépek beszerzése, Fiatal gazdálkodók támogatása, Öntözés, melioráció</w:t>
      </w:r>
      <w:r>
        <w:t xml:space="preserve"> jogcímek esetében – méretkategóriánként megvizsgáljuk az SFH összeg, összes megítélt támogatás és az átlagos megítél támogatás mutat</w:t>
      </w:r>
      <w:r>
        <w:t>ó</w:t>
      </w:r>
      <w:r>
        <w:t>kat.</w:t>
      </w:r>
    </w:p>
    <w:p w:rsidR="00084397" w:rsidRDefault="00084397" w:rsidP="00071630">
      <w:pPr>
        <w:pStyle w:val="ListParagraph"/>
        <w:numPr>
          <w:ilvl w:val="0"/>
          <w:numId w:val="45"/>
        </w:numPr>
        <w:jc w:val="both"/>
      </w:pPr>
      <w:r>
        <w:t xml:space="preserve">A támogatási kérelemben benyújtott projekt </w:t>
      </w:r>
      <w:r w:rsidRPr="0094102A">
        <w:rPr>
          <w:b/>
        </w:rPr>
        <w:t>költségszerkezetek</w:t>
      </w:r>
      <w:r>
        <w:t xml:space="preserve"> vizsgálata: </w:t>
      </w:r>
      <w:r w:rsidRPr="0094102A">
        <w:rPr>
          <w:i/>
        </w:rPr>
        <w:t xml:space="preserve">ÉLIP, Kertészeti üzemek fejlesztése, Öntözés, melioráció, Szárító beszerzése, </w:t>
      </w:r>
      <w:proofErr w:type="spellStart"/>
      <w:r w:rsidRPr="0094102A">
        <w:rPr>
          <w:i/>
        </w:rPr>
        <w:t>Mikrovállalkozások</w:t>
      </w:r>
      <w:proofErr w:type="spellEnd"/>
      <w:r w:rsidRPr="0094102A">
        <w:rPr>
          <w:i/>
        </w:rPr>
        <w:t xml:space="preserve"> fejlesztése, Turizmusfe</w:t>
      </w:r>
      <w:r w:rsidRPr="0094102A">
        <w:rPr>
          <w:i/>
        </w:rPr>
        <w:t>j</w:t>
      </w:r>
      <w:r w:rsidRPr="0094102A">
        <w:rPr>
          <w:i/>
        </w:rPr>
        <w:t>lesztés és Ültetvények támogatása</w:t>
      </w:r>
      <w:r>
        <w:t xml:space="preserve"> jogcímek esetében. Mindenképpen megemlítendő, hogy a köl</w:t>
      </w:r>
      <w:r>
        <w:t>t</w:t>
      </w:r>
      <w:r>
        <w:t>ségek vizsgálata során nem az elszámolható kiadásokat, hanem a megítélt támogatást elemeztük: projektenként a költségszerkezeti arányokat a megítélt támogatási összegekre vetítettük, ezáltal é</w:t>
      </w:r>
      <w:r>
        <w:t>r</w:t>
      </w:r>
      <w:r>
        <w:t>tékelhetővé vált, hogy az egyes költségtételekre az ÚMVP keretből milyen összeg folyt.</w:t>
      </w:r>
    </w:p>
    <w:p w:rsidR="00084397" w:rsidRDefault="00084397" w:rsidP="00071630">
      <w:pPr>
        <w:pStyle w:val="ListParagraph"/>
        <w:numPr>
          <w:ilvl w:val="0"/>
          <w:numId w:val="45"/>
        </w:numPr>
        <w:jc w:val="both"/>
      </w:pPr>
      <w:r w:rsidRPr="00E037AD">
        <w:rPr>
          <w:b/>
        </w:rPr>
        <w:t>ÁTK</w:t>
      </w:r>
      <w:r>
        <w:t xml:space="preserve"> jogcím </w:t>
      </w:r>
      <w:r w:rsidRPr="00E037AD">
        <w:rPr>
          <w:b/>
        </w:rPr>
        <w:t>további</w:t>
      </w:r>
      <w:r>
        <w:t xml:space="preserve"> </w:t>
      </w:r>
      <w:r w:rsidRPr="00E037AD">
        <w:rPr>
          <w:b/>
        </w:rPr>
        <w:t>elemzése</w:t>
      </w:r>
      <w:r>
        <w:t xml:space="preserve">: a támogatások regionális bontásával, valamint a költségek </w:t>
      </w:r>
      <w:proofErr w:type="spellStart"/>
      <w:r>
        <w:t>élyebb</w:t>
      </w:r>
      <w:proofErr w:type="spellEnd"/>
      <w:r>
        <w:t xml:space="preserve"> szerkezeti elemzésével további információt adunk a jogcímről.</w:t>
      </w:r>
    </w:p>
    <w:p w:rsidR="00084397" w:rsidRDefault="00084397" w:rsidP="00084397">
      <w:pPr>
        <w:pStyle w:val="HUNHeading2"/>
        <w:ind w:left="432"/>
      </w:pPr>
      <w:bookmarkStart w:id="142" w:name="_Ref278093726"/>
      <w:bookmarkStart w:id="143" w:name="_Toc278793297"/>
      <w:bookmarkStart w:id="144" w:name="_Toc279359373"/>
      <w:r>
        <w:t>Statisztikai elemzés</w:t>
      </w:r>
      <w:bookmarkEnd w:id="142"/>
      <w:bookmarkEnd w:id="143"/>
      <w:bookmarkEnd w:id="144"/>
    </w:p>
    <w:p w:rsidR="00084397" w:rsidRDefault="00084397" w:rsidP="00084397">
      <w:pPr>
        <w:pStyle w:val="HUNHeading3"/>
        <w:ind w:left="504"/>
      </w:pPr>
      <w:bookmarkStart w:id="145" w:name="_Toc278793298"/>
      <w:bookmarkStart w:id="146" w:name="_Toc279359374"/>
      <w:r>
        <w:t>Jövedelmezőségi hatás</w:t>
      </w:r>
      <w:bookmarkEnd w:id="145"/>
      <w:bookmarkEnd w:id="146"/>
    </w:p>
    <w:p w:rsidR="00084397" w:rsidRPr="00A12D1F" w:rsidRDefault="00084397" w:rsidP="00084397">
      <w:pPr>
        <w:jc w:val="both"/>
        <w:rPr>
          <w:b/>
          <w:u w:val="single"/>
        </w:rPr>
      </w:pPr>
      <w:r w:rsidRPr="00A12D1F">
        <w:rPr>
          <w:b/>
          <w:u w:val="single"/>
        </w:rPr>
        <w:t>Hatásvizsgálat</w:t>
      </w:r>
    </w:p>
    <w:p w:rsidR="00084397" w:rsidRPr="00A92894" w:rsidRDefault="00084397" w:rsidP="00084397">
      <w:pPr>
        <w:jc w:val="both"/>
      </w:pPr>
      <w:r>
        <w:t xml:space="preserve">Az </w:t>
      </w:r>
      <w:r w:rsidRPr="0035739D">
        <w:rPr>
          <w:b/>
        </w:rPr>
        <w:t xml:space="preserve">Állattartó telepek korszerűsítése </w:t>
      </w:r>
      <w:r>
        <w:t>jogcím vizsgálata során megállapítottuk, az átlagos árbevétel növekedés 33%-os volt lezárt projektek és a kontrollcsoport körében</w:t>
      </w:r>
      <w:r w:rsidRPr="00BA27DF">
        <w:rPr>
          <w:b/>
        </w:rPr>
        <w:t>,</w:t>
      </w:r>
      <w:r>
        <w:t xml:space="preserve"> ami abszolút értékben </w:t>
      </w:r>
      <w:r w:rsidRPr="00BA27DF">
        <w:rPr>
          <w:b/>
        </w:rPr>
        <w:t>40 milliós növekedést j</w:t>
      </w:r>
      <w:r w:rsidRPr="00BA27DF">
        <w:rPr>
          <w:b/>
        </w:rPr>
        <w:t>e</w:t>
      </w:r>
      <w:r w:rsidRPr="00BA27DF">
        <w:rPr>
          <w:b/>
        </w:rPr>
        <w:t>lent átlagosan</w:t>
      </w:r>
      <w:r>
        <w:t xml:space="preserve"> 2009 és 2007 között (</w:t>
      </w:r>
      <w:r w:rsidRPr="00627310">
        <w:rPr>
          <w:highlight w:val="yellow"/>
        </w:rPr>
        <w:t>lásd:</w:t>
      </w:r>
      <w:fldSimple w:instr=" REF _Ref278205673 \h  \* MERGEFORMAT ">
        <w:r w:rsidR="002D1B7A" w:rsidRPr="002D1B7A">
          <w:rPr>
            <w:noProof/>
            <w:highlight w:val="yellow"/>
          </w:rPr>
          <w:t>11</w:t>
        </w:r>
      </w:fldSimple>
      <w:r w:rsidRPr="00627310">
        <w:rPr>
          <w:highlight w:val="yellow"/>
        </w:rPr>
        <w:t>. táblázat</w:t>
      </w:r>
      <w:r>
        <w:t xml:space="preserve">). </w:t>
      </w:r>
    </w:p>
    <w:tbl>
      <w:tblPr>
        <w:tblStyle w:val="ColorfulList-Accent2"/>
        <w:tblW w:w="0" w:type="auto"/>
        <w:jc w:val="center"/>
        <w:tblLook w:val="04A0"/>
      </w:tblPr>
      <w:tblGrid>
        <w:gridCol w:w="960"/>
        <w:gridCol w:w="960"/>
        <w:gridCol w:w="960"/>
        <w:gridCol w:w="960"/>
        <w:gridCol w:w="960"/>
        <w:gridCol w:w="960"/>
        <w:gridCol w:w="960"/>
        <w:gridCol w:w="1017"/>
      </w:tblGrid>
      <w:tr w:rsidR="00084397" w:rsidRPr="00290871" w:rsidTr="00084397">
        <w:trPr>
          <w:cnfStyle w:val="100000000000"/>
          <w:trHeight w:val="285"/>
          <w:jc w:val="center"/>
        </w:trPr>
        <w:tc>
          <w:tcPr>
            <w:cnfStyle w:val="001000000000"/>
            <w:tcW w:w="960" w:type="dxa"/>
            <w:noWrap/>
            <w:vAlign w:val="center"/>
            <w:hideMark/>
          </w:tcPr>
          <w:p w:rsidR="00084397" w:rsidRPr="00290871" w:rsidRDefault="00084397" w:rsidP="00084397">
            <w:pPr>
              <w:jc w:val="center"/>
              <w:rPr>
                <w:sz w:val="16"/>
                <w:szCs w:val="18"/>
              </w:rPr>
            </w:pPr>
            <w:r w:rsidRPr="00290871">
              <w:rPr>
                <w:sz w:val="16"/>
                <w:szCs w:val="18"/>
              </w:rPr>
              <w:t>Függő változók</w:t>
            </w:r>
          </w:p>
        </w:tc>
        <w:tc>
          <w:tcPr>
            <w:tcW w:w="960" w:type="dxa"/>
            <w:noWrap/>
            <w:vAlign w:val="center"/>
            <w:hideMark/>
          </w:tcPr>
          <w:p w:rsidR="00084397" w:rsidRPr="00290871" w:rsidRDefault="00084397" w:rsidP="00084397">
            <w:pPr>
              <w:jc w:val="center"/>
              <w:cnfStyle w:val="100000000000"/>
              <w:rPr>
                <w:sz w:val="16"/>
                <w:szCs w:val="18"/>
              </w:rPr>
            </w:pPr>
            <w:r w:rsidRPr="00290871">
              <w:rPr>
                <w:sz w:val="16"/>
                <w:szCs w:val="18"/>
              </w:rPr>
              <w:t>Átlag</w:t>
            </w:r>
          </w:p>
        </w:tc>
        <w:tc>
          <w:tcPr>
            <w:tcW w:w="960" w:type="dxa"/>
            <w:noWrap/>
            <w:vAlign w:val="center"/>
            <w:hideMark/>
          </w:tcPr>
          <w:p w:rsidR="00084397" w:rsidRPr="00290871" w:rsidRDefault="00084397" w:rsidP="00084397">
            <w:pPr>
              <w:jc w:val="center"/>
              <w:cnfStyle w:val="100000000000"/>
              <w:rPr>
                <w:sz w:val="16"/>
                <w:szCs w:val="18"/>
              </w:rPr>
            </w:pPr>
            <w:r w:rsidRPr="00290871">
              <w:rPr>
                <w:sz w:val="16"/>
                <w:szCs w:val="18"/>
              </w:rPr>
              <w:t>Medián</w:t>
            </w:r>
          </w:p>
        </w:tc>
        <w:tc>
          <w:tcPr>
            <w:tcW w:w="960" w:type="dxa"/>
            <w:noWrap/>
            <w:vAlign w:val="center"/>
            <w:hideMark/>
          </w:tcPr>
          <w:p w:rsidR="00084397" w:rsidRPr="00290871" w:rsidRDefault="00084397" w:rsidP="00084397">
            <w:pPr>
              <w:jc w:val="center"/>
              <w:cnfStyle w:val="100000000000"/>
              <w:rPr>
                <w:sz w:val="16"/>
                <w:szCs w:val="18"/>
              </w:rPr>
            </w:pPr>
            <w:r w:rsidRPr="00290871">
              <w:rPr>
                <w:sz w:val="16"/>
                <w:szCs w:val="18"/>
              </w:rPr>
              <w:t>Maximum</w:t>
            </w:r>
          </w:p>
        </w:tc>
        <w:tc>
          <w:tcPr>
            <w:tcW w:w="960" w:type="dxa"/>
            <w:noWrap/>
            <w:vAlign w:val="center"/>
            <w:hideMark/>
          </w:tcPr>
          <w:p w:rsidR="00084397" w:rsidRPr="00290871" w:rsidRDefault="00084397" w:rsidP="00084397">
            <w:pPr>
              <w:jc w:val="center"/>
              <w:cnfStyle w:val="100000000000"/>
              <w:rPr>
                <w:sz w:val="16"/>
                <w:szCs w:val="18"/>
              </w:rPr>
            </w:pPr>
            <w:r w:rsidRPr="00290871">
              <w:rPr>
                <w:sz w:val="16"/>
                <w:szCs w:val="18"/>
              </w:rPr>
              <w:t>Minimum</w:t>
            </w:r>
          </w:p>
        </w:tc>
        <w:tc>
          <w:tcPr>
            <w:tcW w:w="960" w:type="dxa"/>
            <w:noWrap/>
            <w:vAlign w:val="center"/>
            <w:hideMark/>
          </w:tcPr>
          <w:p w:rsidR="00084397" w:rsidRPr="00290871" w:rsidRDefault="00084397" w:rsidP="00084397">
            <w:pPr>
              <w:jc w:val="center"/>
              <w:cnfStyle w:val="100000000000"/>
              <w:rPr>
                <w:sz w:val="16"/>
                <w:szCs w:val="18"/>
              </w:rPr>
            </w:pPr>
            <w:r w:rsidRPr="00290871">
              <w:rPr>
                <w:sz w:val="16"/>
                <w:szCs w:val="18"/>
              </w:rPr>
              <w:t>Szórás</w:t>
            </w:r>
          </w:p>
        </w:tc>
        <w:tc>
          <w:tcPr>
            <w:tcW w:w="960" w:type="dxa"/>
            <w:noWrap/>
            <w:vAlign w:val="center"/>
            <w:hideMark/>
          </w:tcPr>
          <w:p w:rsidR="00084397" w:rsidRPr="00290871" w:rsidRDefault="00084397" w:rsidP="00084397">
            <w:pPr>
              <w:jc w:val="center"/>
              <w:cnfStyle w:val="100000000000"/>
              <w:rPr>
                <w:sz w:val="16"/>
                <w:szCs w:val="18"/>
              </w:rPr>
            </w:pPr>
            <w:r w:rsidRPr="00290871">
              <w:rPr>
                <w:sz w:val="16"/>
                <w:szCs w:val="18"/>
              </w:rPr>
              <w:t>Ferdeség</w:t>
            </w:r>
          </w:p>
        </w:tc>
        <w:tc>
          <w:tcPr>
            <w:tcW w:w="1017" w:type="dxa"/>
            <w:noWrap/>
            <w:vAlign w:val="center"/>
            <w:hideMark/>
          </w:tcPr>
          <w:p w:rsidR="00084397" w:rsidRPr="00290871" w:rsidRDefault="00084397" w:rsidP="00084397">
            <w:pPr>
              <w:jc w:val="center"/>
              <w:cnfStyle w:val="100000000000"/>
              <w:rPr>
                <w:sz w:val="16"/>
                <w:szCs w:val="18"/>
              </w:rPr>
            </w:pPr>
            <w:r w:rsidRPr="00290871">
              <w:rPr>
                <w:sz w:val="16"/>
                <w:szCs w:val="18"/>
              </w:rPr>
              <w:t>Csúcsosság</w:t>
            </w:r>
          </w:p>
        </w:tc>
      </w:tr>
      <w:tr w:rsidR="00084397" w:rsidRPr="00290871" w:rsidTr="00084397">
        <w:trPr>
          <w:cnfStyle w:val="000000100000"/>
          <w:trHeight w:val="270"/>
          <w:jc w:val="center"/>
        </w:trPr>
        <w:tc>
          <w:tcPr>
            <w:cnfStyle w:val="001000000000"/>
            <w:tcW w:w="960" w:type="dxa"/>
            <w:noWrap/>
            <w:vAlign w:val="center"/>
            <w:hideMark/>
          </w:tcPr>
          <w:p w:rsidR="00084397" w:rsidRPr="00290871" w:rsidRDefault="00084397" w:rsidP="00084397">
            <w:pPr>
              <w:jc w:val="center"/>
              <w:rPr>
                <w:sz w:val="16"/>
                <w:szCs w:val="18"/>
              </w:rPr>
            </w:pPr>
            <w:r w:rsidRPr="00290871">
              <w:rPr>
                <w:sz w:val="16"/>
                <w:szCs w:val="18"/>
              </w:rPr>
              <w:t>REV</w:t>
            </w:r>
          </w:p>
        </w:tc>
        <w:tc>
          <w:tcPr>
            <w:tcW w:w="960" w:type="dxa"/>
            <w:noWrap/>
            <w:vAlign w:val="center"/>
            <w:hideMark/>
          </w:tcPr>
          <w:p w:rsidR="00084397" w:rsidRPr="00290871" w:rsidRDefault="00084397" w:rsidP="00084397">
            <w:pPr>
              <w:jc w:val="center"/>
              <w:cnfStyle w:val="000000100000"/>
              <w:rPr>
                <w:sz w:val="16"/>
                <w:szCs w:val="18"/>
              </w:rPr>
            </w:pPr>
            <w:r w:rsidRPr="00290871">
              <w:rPr>
                <w:sz w:val="16"/>
                <w:szCs w:val="18"/>
              </w:rPr>
              <w:t>0.334362</w:t>
            </w:r>
          </w:p>
        </w:tc>
        <w:tc>
          <w:tcPr>
            <w:tcW w:w="960" w:type="dxa"/>
            <w:noWrap/>
            <w:vAlign w:val="center"/>
            <w:hideMark/>
          </w:tcPr>
          <w:p w:rsidR="00084397" w:rsidRPr="00290871" w:rsidRDefault="00084397" w:rsidP="00084397">
            <w:pPr>
              <w:jc w:val="center"/>
              <w:cnfStyle w:val="000000100000"/>
              <w:rPr>
                <w:sz w:val="16"/>
                <w:szCs w:val="18"/>
              </w:rPr>
            </w:pPr>
            <w:r w:rsidRPr="00290871">
              <w:rPr>
                <w:sz w:val="16"/>
                <w:szCs w:val="18"/>
              </w:rPr>
              <w:t>0.060443</w:t>
            </w:r>
          </w:p>
        </w:tc>
        <w:tc>
          <w:tcPr>
            <w:tcW w:w="960" w:type="dxa"/>
            <w:noWrap/>
            <w:vAlign w:val="center"/>
            <w:hideMark/>
          </w:tcPr>
          <w:p w:rsidR="00084397" w:rsidRPr="00290871" w:rsidRDefault="00084397" w:rsidP="00084397">
            <w:pPr>
              <w:jc w:val="center"/>
              <w:cnfStyle w:val="000000100000"/>
              <w:rPr>
                <w:sz w:val="16"/>
                <w:szCs w:val="18"/>
              </w:rPr>
            </w:pPr>
            <w:r w:rsidRPr="00290871">
              <w:rPr>
                <w:sz w:val="16"/>
                <w:szCs w:val="18"/>
              </w:rPr>
              <w:t>17.84152</w:t>
            </w:r>
          </w:p>
        </w:tc>
        <w:tc>
          <w:tcPr>
            <w:tcW w:w="960" w:type="dxa"/>
            <w:noWrap/>
            <w:vAlign w:val="center"/>
            <w:hideMark/>
          </w:tcPr>
          <w:p w:rsidR="00084397" w:rsidRPr="00290871" w:rsidRDefault="00084397" w:rsidP="00084397">
            <w:pPr>
              <w:jc w:val="center"/>
              <w:cnfStyle w:val="000000100000"/>
              <w:rPr>
                <w:sz w:val="16"/>
                <w:szCs w:val="18"/>
              </w:rPr>
            </w:pPr>
            <w:r w:rsidRPr="00290871">
              <w:rPr>
                <w:sz w:val="16"/>
                <w:szCs w:val="18"/>
              </w:rPr>
              <w:t>- .998540</w:t>
            </w:r>
          </w:p>
        </w:tc>
        <w:tc>
          <w:tcPr>
            <w:tcW w:w="960" w:type="dxa"/>
            <w:noWrap/>
            <w:vAlign w:val="center"/>
            <w:hideMark/>
          </w:tcPr>
          <w:p w:rsidR="00084397" w:rsidRPr="00290871" w:rsidRDefault="00084397" w:rsidP="00084397">
            <w:pPr>
              <w:jc w:val="center"/>
              <w:cnfStyle w:val="000000100000"/>
              <w:rPr>
                <w:sz w:val="16"/>
                <w:szCs w:val="18"/>
              </w:rPr>
            </w:pPr>
            <w:r w:rsidRPr="00290871">
              <w:rPr>
                <w:sz w:val="16"/>
                <w:szCs w:val="18"/>
              </w:rPr>
              <w:t>1.840031</w:t>
            </w:r>
          </w:p>
        </w:tc>
        <w:tc>
          <w:tcPr>
            <w:tcW w:w="960" w:type="dxa"/>
            <w:noWrap/>
            <w:vAlign w:val="center"/>
            <w:hideMark/>
          </w:tcPr>
          <w:p w:rsidR="00084397" w:rsidRPr="00290871" w:rsidRDefault="00084397" w:rsidP="00084397">
            <w:pPr>
              <w:jc w:val="center"/>
              <w:cnfStyle w:val="000000100000"/>
              <w:rPr>
                <w:sz w:val="16"/>
                <w:szCs w:val="18"/>
              </w:rPr>
            </w:pPr>
            <w:r w:rsidRPr="00290871">
              <w:rPr>
                <w:sz w:val="16"/>
                <w:szCs w:val="18"/>
              </w:rPr>
              <w:t>6.945961</w:t>
            </w:r>
          </w:p>
        </w:tc>
        <w:tc>
          <w:tcPr>
            <w:tcW w:w="1017" w:type="dxa"/>
            <w:noWrap/>
            <w:vAlign w:val="center"/>
            <w:hideMark/>
          </w:tcPr>
          <w:p w:rsidR="00084397" w:rsidRPr="00290871" w:rsidRDefault="00084397" w:rsidP="00084397">
            <w:pPr>
              <w:jc w:val="center"/>
              <w:cnfStyle w:val="000000100000"/>
              <w:rPr>
                <w:sz w:val="16"/>
                <w:szCs w:val="18"/>
              </w:rPr>
            </w:pPr>
            <w:r w:rsidRPr="00290871">
              <w:rPr>
                <w:sz w:val="16"/>
                <w:szCs w:val="18"/>
              </w:rPr>
              <w:t>57.92937</w:t>
            </w:r>
          </w:p>
        </w:tc>
      </w:tr>
      <w:tr w:rsidR="00084397" w:rsidRPr="00290871" w:rsidTr="00084397">
        <w:trPr>
          <w:trHeight w:val="270"/>
          <w:jc w:val="center"/>
        </w:trPr>
        <w:tc>
          <w:tcPr>
            <w:cnfStyle w:val="001000000000"/>
            <w:tcW w:w="960" w:type="dxa"/>
            <w:noWrap/>
            <w:vAlign w:val="center"/>
            <w:hideMark/>
          </w:tcPr>
          <w:p w:rsidR="00084397" w:rsidRPr="00290871" w:rsidRDefault="00084397" w:rsidP="00084397">
            <w:pPr>
              <w:jc w:val="center"/>
              <w:rPr>
                <w:sz w:val="16"/>
                <w:szCs w:val="18"/>
              </w:rPr>
            </w:pPr>
            <w:r w:rsidRPr="00290871">
              <w:rPr>
                <w:sz w:val="16"/>
                <w:szCs w:val="18"/>
              </w:rPr>
              <w:t>REVABS</w:t>
            </w:r>
          </w:p>
        </w:tc>
        <w:tc>
          <w:tcPr>
            <w:tcW w:w="960" w:type="dxa"/>
            <w:noWrap/>
            <w:vAlign w:val="center"/>
            <w:hideMark/>
          </w:tcPr>
          <w:p w:rsidR="00084397" w:rsidRPr="00290871" w:rsidRDefault="00084397" w:rsidP="00084397">
            <w:pPr>
              <w:jc w:val="center"/>
              <w:cnfStyle w:val="000000000000"/>
              <w:rPr>
                <w:sz w:val="16"/>
                <w:szCs w:val="18"/>
              </w:rPr>
            </w:pPr>
            <w:r w:rsidRPr="00290871">
              <w:rPr>
                <w:sz w:val="16"/>
                <w:szCs w:val="18"/>
              </w:rPr>
              <w:t>40442.65</w:t>
            </w:r>
          </w:p>
        </w:tc>
        <w:tc>
          <w:tcPr>
            <w:tcW w:w="960" w:type="dxa"/>
            <w:noWrap/>
            <w:vAlign w:val="center"/>
            <w:hideMark/>
          </w:tcPr>
          <w:p w:rsidR="00084397" w:rsidRPr="00290871" w:rsidRDefault="00084397" w:rsidP="00084397">
            <w:pPr>
              <w:jc w:val="center"/>
              <w:cnfStyle w:val="000000000000"/>
              <w:rPr>
                <w:sz w:val="16"/>
                <w:szCs w:val="18"/>
              </w:rPr>
            </w:pPr>
            <w:r w:rsidRPr="00290871">
              <w:rPr>
                <w:sz w:val="16"/>
                <w:szCs w:val="18"/>
              </w:rPr>
              <w:t>3304.500</w:t>
            </w:r>
          </w:p>
        </w:tc>
        <w:tc>
          <w:tcPr>
            <w:tcW w:w="960" w:type="dxa"/>
            <w:noWrap/>
            <w:vAlign w:val="center"/>
            <w:hideMark/>
          </w:tcPr>
          <w:p w:rsidR="00084397" w:rsidRPr="00290871" w:rsidRDefault="00084397" w:rsidP="00084397">
            <w:pPr>
              <w:jc w:val="center"/>
              <w:cnfStyle w:val="000000000000"/>
              <w:rPr>
                <w:sz w:val="16"/>
                <w:szCs w:val="18"/>
              </w:rPr>
            </w:pPr>
            <w:r w:rsidRPr="00290871">
              <w:rPr>
                <w:sz w:val="16"/>
                <w:szCs w:val="18"/>
              </w:rPr>
              <w:t>3762294.</w:t>
            </w:r>
          </w:p>
        </w:tc>
        <w:tc>
          <w:tcPr>
            <w:tcW w:w="960" w:type="dxa"/>
            <w:noWrap/>
            <w:vAlign w:val="center"/>
            <w:hideMark/>
          </w:tcPr>
          <w:p w:rsidR="00084397" w:rsidRPr="00290871" w:rsidRDefault="00084397" w:rsidP="00084397">
            <w:pPr>
              <w:jc w:val="center"/>
              <w:cnfStyle w:val="000000000000"/>
              <w:rPr>
                <w:sz w:val="16"/>
                <w:szCs w:val="18"/>
              </w:rPr>
            </w:pPr>
            <w:r w:rsidRPr="00290871">
              <w:rPr>
                <w:sz w:val="16"/>
                <w:szCs w:val="18"/>
              </w:rPr>
              <w:t>-2309772</w:t>
            </w:r>
          </w:p>
        </w:tc>
        <w:tc>
          <w:tcPr>
            <w:tcW w:w="960" w:type="dxa"/>
            <w:noWrap/>
            <w:vAlign w:val="center"/>
            <w:hideMark/>
          </w:tcPr>
          <w:p w:rsidR="00084397" w:rsidRPr="00290871" w:rsidRDefault="00084397" w:rsidP="00084397">
            <w:pPr>
              <w:jc w:val="center"/>
              <w:cnfStyle w:val="000000000000"/>
              <w:rPr>
                <w:sz w:val="16"/>
                <w:szCs w:val="18"/>
              </w:rPr>
            </w:pPr>
            <w:r w:rsidRPr="00290871">
              <w:rPr>
                <w:sz w:val="16"/>
                <w:szCs w:val="18"/>
              </w:rPr>
              <w:t>404951.3</w:t>
            </w:r>
          </w:p>
        </w:tc>
        <w:tc>
          <w:tcPr>
            <w:tcW w:w="960" w:type="dxa"/>
            <w:noWrap/>
            <w:vAlign w:val="center"/>
            <w:hideMark/>
          </w:tcPr>
          <w:p w:rsidR="00084397" w:rsidRPr="00290871" w:rsidRDefault="00084397" w:rsidP="00084397">
            <w:pPr>
              <w:jc w:val="center"/>
              <w:cnfStyle w:val="000000000000"/>
              <w:rPr>
                <w:sz w:val="16"/>
                <w:szCs w:val="18"/>
              </w:rPr>
            </w:pPr>
            <w:r w:rsidRPr="00290871">
              <w:rPr>
                <w:sz w:val="16"/>
                <w:szCs w:val="18"/>
              </w:rPr>
              <w:t>3.577999</w:t>
            </w:r>
          </w:p>
        </w:tc>
        <w:tc>
          <w:tcPr>
            <w:tcW w:w="1017" w:type="dxa"/>
            <w:noWrap/>
            <w:vAlign w:val="center"/>
            <w:hideMark/>
          </w:tcPr>
          <w:p w:rsidR="00084397" w:rsidRPr="00290871" w:rsidRDefault="00084397" w:rsidP="00084397">
            <w:pPr>
              <w:keepNext/>
              <w:jc w:val="center"/>
              <w:cnfStyle w:val="000000000000"/>
              <w:rPr>
                <w:sz w:val="16"/>
                <w:szCs w:val="18"/>
              </w:rPr>
            </w:pPr>
            <w:r w:rsidRPr="00290871">
              <w:rPr>
                <w:sz w:val="16"/>
                <w:szCs w:val="18"/>
              </w:rPr>
              <w:t>46.99179</w:t>
            </w:r>
          </w:p>
        </w:tc>
      </w:tr>
    </w:tbl>
    <w:p w:rsidR="00084397" w:rsidRDefault="003F44DC" w:rsidP="00084397">
      <w:pPr>
        <w:pStyle w:val="Caption"/>
        <w:spacing w:before="240"/>
        <w:jc w:val="center"/>
        <w:rPr>
          <w:color w:val="auto"/>
        </w:rPr>
      </w:pPr>
      <w:r>
        <w:rPr>
          <w:color w:val="auto"/>
        </w:rPr>
        <w:fldChar w:fldCharType="begin"/>
      </w:r>
      <w:r w:rsidR="00084397">
        <w:rPr>
          <w:color w:val="auto"/>
        </w:rPr>
        <w:instrText xml:space="preserve"> SEQ táblázat \* ARABIC </w:instrText>
      </w:r>
      <w:r>
        <w:rPr>
          <w:color w:val="auto"/>
        </w:rPr>
        <w:fldChar w:fldCharType="separate"/>
      </w:r>
      <w:bookmarkStart w:id="147" w:name="_Ref278205673"/>
      <w:r w:rsidR="002D1B7A">
        <w:rPr>
          <w:noProof/>
          <w:color w:val="auto"/>
        </w:rPr>
        <w:t>11</w:t>
      </w:r>
      <w:bookmarkEnd w:id="147"/>
      <w:r>
        <w:rPr>
          <w:color w:val="auto"/>
        </w:rPr>
        <w:fldChar w:fldCharType="end"/>
      </w:r>
      <w:r w:rsidR="00084397" w:rsidRPr="00290871">
        <w:rPr>
          <w:color w:val="auto"/>
        </w:rPr>
        <w:t>. táblázat:</w:t>
      </w:r>
      <w:r w:rsidR="00084397">
        <w:rPr>
          <w:color w:val="auto"/>
        </w:rPr>
        <w:t xml:space="preserve"> Függő változóink leíró statisztikája az </w:t>
      </w:r>
      <w:proofErr w:type="spellStart"/>
      <w:r w:rsidR="00084397">
        <w:rPr>
          <w:color w:val="auto"/>
        </w:rPr>
        <w:t>ökonometriai</w:t>
      </w:r>
      <w:proofErr w:type="spellEnd"/>
      <w:r w:rsidR="00084397">
        <w:rPr>
          <w:color w:val="auto"/>
        </w:rPr>
        <w:t xml:space="preserve"> modellben</w:t>
      </w:r>
    </w:p>
    <w:p w:rsidR="00084397" w:rsidRDefault="00084397" w:rsidP="00084397">
      <w:pPr>
        <w:jc w:val="both"/>
      </w:pPr>
      <w:r>
        <w:t xml:space="preserve">Megállapítható továbbá, hogy </w:t>
      </w:r>
      <w:r w:rsidRPr="0035739D">
        <w:t xml:space="preserve">5%-os </w:t>
      </w:r>
      <w:proofErr w:type="spellStart"/>
      <w:r w:rsidRPr="0035739D">
        <w:t>szignifikancia</w:t>
      </w:r>
      <w:proofErr w:type="spellEnd"/>
      <w:r w:rsidRPr="0035739D">
        <w:t xml:space="preserve"> szint mellett a támogatások jelenlétének hatása átlag</w:t>
      </w:r>
      <w:r w:rsidRPr="0035739D">
        <w:t>o</w:t>
      </w:r>
      <w:r w:rsidRPr="0035739D">
        <w:t>san 60 százalékponttal emelte a 2009</w:t>
      </w:r>
      <w:r>
        <w:t xml:space="preserve">-es árbevétel/2007-es árbevétel alapon képzett árbevétel növekmény százalékos értékét a </w:t>
      </w:r>
      <w:r w:rsidRPr="001A02CC">
        <w:rPr>
          <w:b/>
        </w:rPr>
        <w:t>lezárt</w:t>
      </w:r>
      <w:r>
        <w:t xml:space="preserve"> </w:t>
      </w:r>
      <w:r w:rsidRPr="001A02CC">
        <w:rPr>
          <w:b/>
        </w:rPr>
        <w:t>ÁTK</w:t>
      </w:r>
      <w:r>
        <w:t xml:space="preserve"> </w:t>
      </w:r>
      <w:r w:rsidRPr="001A02CC">
        <w:rPr>
          <w:b/>
        </w:rPr>
        <w:t>projekttel</w:t>
      </w:r>
      <w:r>
        <w:t xml:space="preserve"> </w:t>
      </w:r>
      <w:r w:rsidRPr="001A02CC">
        <w:rPr>
          <w:b/>
        </w:rPr>
        <w:t>rendelkező</w:t>
      </w:r>
      <w:r>
        <w:t xml:space="preserve"> </w:t>
      </w:r>
      <w:r>
        <w:rPr>
          <w:b/>
        </w:rPr>
        <w:t>entitások</w:t>
      </w:r>
      <w:r>
        <w:t xml:space="preserve"> körében (lásd: </w:t>
      </w:r>
      <w:fldSimple w:instr=" REF _Ref277947952 \h  \* MERGEFORMAT ">
        <w:r w:rsidR="002D1B7A" w:rsidRPr="002D1B7A">
          <w:rPr>
            <w:noProof/>
            <w:highlight w:val="yellow"/>
          </w:rPr>
          <w:t>28</w:t>
        </w:r>
      </w:fldSimple>
      <w:r w:rsidRPr="0035739D">
        <w:rPr>
          <w:highlight w:val="yellow"/>
        </w:rPr>
        <w:t>. ábra</w:t>
      </w:r>
      <w:r>
        <w:t>).</w:t>
      </w:r>
    </w:p>
    <w:p w:rsidR="00084397" w:rsidRDefault="00084397" w:rsidP="00084397">
      <w:pPr>
        <w:keepNext/>
        <w:jc w:val="center"/>
      </w:pPr>
      <w:r w:rsidRPr="007F086C">
        <w:rPr>
          <w:noProof/>
        </w:rPr>
        <w:lastRenderedPageBreak/>
        <w:drawing>
          <wp:inline distT="0" distB="0" distL="0" distR="0">
            <wp:extent cx="5818505" cy="2638656"/>
            <wp:effectExtent l="19050" t="19050" r="48895" b="28344"/>
            <wp:docPr id="8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srcRect/>
                    <a:stretch>
                      <a:fillRect/>
                    </a:stretch>
                  </pic:blipFill>
                  <pic:spPr bwMode="auto">
                    <a:xfrm>
                      <a:off x="0" y="0"/>
                      <a:ext cx="5818505" cy="2638656"/>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p w:rsidR="00084397" w:rsidRDefault="003F44DC" w:rsidP="00084397">
      <w:pPr>
        <w:pStyle w:val="Caption"/>
        <w:jc w:val="center"/>
        <w:rPr>
          <w:color w:val="auto"/>
        </w:rPr>
      </w:pPr>
      <w:r w:rsidRPr="007F086C">
        <w:rPr>
          <w:color w:val="auto"/>
        </w:rPr>
        <w:fldChar w:fldCharType="begin"/>
      </w:r>
      <w:r w:rsidR="00084397" w:rsidRPr="007F086C">
        <w:rPr>
          <w:color w:val="auto"/>
        </w:rPr>
        <w:instrText xml:space="preserve"> SEQ ábra \* ARABIC </w:instrText>
      </w:r>
      <w:r w:rsidRPr="007F086C">
        <w:rPr>
          <w:color w:val="auto"/>
        </w:rPr>
        <w:fldChar w:fldCharType="separate"/>
      </w:r>
      <w:bookmarkStart w:id="148" w:name="_Ref277947952"/>
      <w:r w:rsidR="002D1B7A">
        <w:rPr>
          <w:noProof/>
          <w:color w:val="auto"/>
        </w:rPr>
        <w:t>28</w:t>
      </w:r>
      <w:bookmarkEnd w:id="148"/>
      <w:r w:rsidRPr="007F086C">
        <w:rPr>
          <w:color w:val="auto"/>
        </w:rPr>
        <w:fldChar w:fldCharType="end"/>
      </w:r>
      <w:r w:rsidR="00084397" w:rsidRPr="007F086C">
        <w:rPr>
          <w:color w:val="auto"/>
        </w:rPr>
        <w:t>. ábra:</w:t>
      </w:r>
      <w:r w:rsidR="00084397">
        <w:rPr>
          <w:color w:val="auto"/>
        </w:rPr>
        <w:t xml:space="preserve"> </w:t>
      </w:r>
      <w:proofErr w:type="spellStart"/>
      <w:r w:rsidR="00084397">
        <w:rPr>
          <w:color w:val="auto"/>
        </w:rPr>
        <w:t>Least</w:t>
      </w:r>
      <w:proofErr w:type="spellEnd"/>
      <w:r w:rsidR="00084397">
        <w:rPr>
          <w:color w:val="auto"/>
        </w:rPr>
        <w:t xml:space="preserve"> </w:t>
      </w:r>
      <w:proofErr w:type="spellStart"/>
      <w:r w:rsidR="00084397">
        <w:rPr>
          <w:color w:val="auto"/>
        </w:rPr>
        <w:t>Squares</w:t>
      </w:r>
      <w:proofErr w:type="spellEnd"/>
      <w:r w:rsidR="00084397">
        <w:rPr>
          <w:color w:val="auto"/>
        </w:rPr>
        <w:t xml:space="preserve"> ÁTK – REV</w:t>
      </w:r>
    </w:p>
    <w:p w:rsidR="00084397" w:rsidRDefault="00084397" w:rsidP="00084397">
      <w:pPr>
        <w:jc w:val="both"/>
      </w:pPr>
      <w:r>
        <w:t xml:space="preserve">Az árbevétel növekedés abszolút értékére készített egyszerű modellnél a fentihez hasonló becslési eljárással jártunk el (lásd: </w:t>
      </w:r>
      <w:fldSimple w:instr=" REF _Ref277948000 \h  \* MERGEFORMAT ">
        <w:r w:rsidR="002D1B7A" w:rsidRPr="002D1B7A">
          <w:rPr>
            <w:noProof/>
            <w:highlight w:val="yellow"/>
          </w:rPr>
          <w:t>29</w:t>
        </w:r>
      </w:fldSimple>
      <w:r w:rsidRPr="0035739D">
        <w:rPr>
          <w:highlight w:val="yellow"/>
        </w:rPr>
        <w:t>. ábra</w:t>
      </w:r>
      <w:r>
        <w:t>).</w:t>
      </w:r>
    </w:p>
    <w:p w:rsidR="00084397" w:rsidRDefault="00084397" w:rsidP="00084397">
      <w:pPr>
        <w:keepNext/>
        <w:jc w:val="both"/>
      </w:pPr>
      <w:r w:rsidRPr="007F086C">
        <w:rPr>
          <w:noProof/>
        </w:rPr>
        <w:drawing>
          <wp:inline distT="0" distB="0" distL="0" distR="0">
            <wp:extent cx="5818505" cy="2589055"/>
            <wp:effectExtent l="19050" t="0" r="0" b="0"/>
            <wp:docPr id="8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srcRect/>
                    <a:stretch>
                      <a:fillRect/>
                    </a:stretch>
                  </pic:blipFill>
                  <pic:spPr bwMode="auto">
                    <a:xfrm>
                      <a:off x="0" y="0"/>
                      <a:ext cx="5818505" cy="2589055"/>
                    </a:xfrm>
                    <a:prstGeom prst="rect">
                      <a:avLst/>
                    </a:prstGeom>
                    <a:noFill/>
                    <a:ln w="9525">
                      <a:noFill/>
                      <a:miter lim="800000"/>
                      <a:headEnd/>
                      <a:tailEnd/>
                    </a:ln>
                  </pic:spPr>
                </pic:pic>
              </a:graphicData>
            </a:graphic>
          </wp:inline>
        </w:drawing>
      </w:r>
    </w:p>
    <w:bookmarkStart w:id="149" w:name="_Ref277780276"/>
    <w:p w:rsidR="00084397" w:rsidRDefault="003F44DC" w:rsidP="00084397">
      <w:pPr>
        <w:pStyle w:val="Caption"/>
        <w:jc w:val="center"/>
        <w:rPr>
          <w:color w:val="auto"/>
        </w:rPr>
      </w:pPr>
      <w:r w:rsidRPr="007F086C">
        <w:rPr>
          <w:color w:val="auto"/>
        </w:rPr>
        <w:fldChar w:fldCharType="begin"/>
      </w:r>
      <w:r w:rsidR="00084397" w:rsidRPr="007F086C">
        <w:rPr>
          <w:color w:val="auto"/>
        </w:rPr>
        <w:instrText xml:space="preserve"> SEQ ábra \* ARABIC </w:instrText>
      </w:r>
      <w:r w:rsidRPr="007F086C">
        <w:rPr>
          <w:color w:val="auto"/>
        </w:rPr>
        <w:fldChar w:fldCharType="separate"/>
      </w:r>
      <w:bookmarkStart w:id="150" w:name="_Ref277948000"/>
      <w:r w:rsidR="002D1B7A">
        <w:rPr>
          <w:noProof/>
          <w:color w:val="auto"/>
        </w:rPr>
        <w:t>29</w:t>
      </w:r>
      <w:bookmarkEnd w:id="150"/>
      <w:r w:rsidRPr="007F086C">
        <w:rPr>
          <w:color w:val="auto"/>
        </w:rPr>
        <w:fldChar w:fldCharType="end"/>
      </w:r>
      <w:r w:rsidR="00084397" w:rsidRPr="007F086C">
        <w:rPr>
          <w:color w:val="auto"/>
        </w:rPr>
        <w:t>. ábra</w:t>
      </w:r>
      <w:bookmarkEnd w:id="149"/>
      <w:r w:rsidR="00084397" w:rsidRPr="007F086C">
        <w:rPr>
          <w:color w:val="auto"/>
        </w:rPr>
        <w:t>:</w:t>
      </w:r>
      <w:r w:rsidR="00084397">
        <w:rPr>
          <w:color w:val="auto"/>
        </w:rPr>
        <w:t xml:space="preserve"> </w:t>
      </w:r>
      <w:proofErr w:type="spellStart"/>
      <w:r w:rsidR="00084397">
        <w:rPr>
          <w:color w:val="auto"/>
        </w:rPr>
        <w:t>Least</w:t>
      </w:r>
      <w:proofErr w:type="spellEnd"/>
      <w:r w:rsidR="00084397">
        <w:rPr>
          <w:color w:val="auto"/>
        </w:rPr>
        <w:t xml:space="preserve"> </w:t>
      </w:r>
      <w:proofErr w:type="spellStart"/>
      <w:r w:rsidR="00084397">
        <w:rPr>
          <w:color w:val="auto"/>
        </w:rPr>
        <w:t>Squares</w:t>
      </w:r>
      <w:proofErr w:type="spellEnd"/>
      <w:r w:rsidR="00084397">
        <w:rPr>
          <w:color w:val="auto"/>
        </w:rPr>
        <w:t xml:space="preserve"> ÁTK – REVABS</w:t>
      </w:r>
    </w:p>
    <w:p w:rsidR="00084397" w:rsidRPr="0035739D" w:rsidRDefault="00084397" w:rsidP="00084397">
      <w:pPr>
        <w:jc w:val="both"/>
      </w:pPr>
      <w:r w:rsidRPr="0035739D">
        <w:t xml:space="preserve">5%-os </w:t>
      </w:r>
      <w:proofErr w:type="spellStart"/>
      <w:r w:rsidRPr="0035739D">
        <w:t>szignifikancia</w:t>
      </w:r>
      <w:proofErr w:type="spellEnd"/>
      <w:r w:rsidRPr="0035739D">
        <w:t xml:space="preserve"> szint mellett a támogatások jelenlétének hatása átlagosan 128,7 millió forinttal emelte a 2009-es árbevétel értékét 2007-hez képest a lezárt ÁTK projekttel rendelkező vállalatok körében.</w:t>
      </w:r>
      <w:r>
        <w:t xml:space="preserve"> </w:t>
      </w:r>
    </w:p>
    <w:p w:rsidR="00084397" w:rsidRDefault="00084397" w:rsidP="00084397">
      <w:pPr>
        <w:jc w:val="both"/>
      </w:pPr>
      <w:r>
        <w:t xml:space="preserve">Az </w:t>
      </w:r>
      <w:proofErr w:type="spellStart"/>
      <w:r>
        <w:t>ÁTK-ban</w:t>
      </w:r>
      <w:proofErr w:type="spellEnd"/>
      <w:r>
        <w:t xml:space="preserve"> lezárt projektek gazdasági hatása a kontrollcsoporttal szemben, a vizsgálatunk alapján kimuta</w:t>
      </w:r>
      <w:r>
        <w:t>t</w:t>
      </w:r>
      <w:r>
        <w:t xml:space="preserve">ható (lásd: </w:t>
      </w:r>
      <w:fldSimple w:instr=" REF _Ref277948113 \h  \* MERGEFORMAT ">
        <w:r w:rsidR="002D1B7A" w:rsidRPr="002D1B7A">
          <w:rPr>
            <w:noProof/>
            <w:highlight w:val="yellow"/>
          </w:rPr>
          <w:t>12</w:t>
        </w:r>
      </w:fldSimple>
      <w:r w:rsidRPr="0030118F">
        <w:rPr>
          <w:highlight w:val="yellow"/>
        </w:rPr>
        <w:t>. tábla</w:t>
      </w:r>
      <w:r>
        <w:t>).</w:t>
      </w:r>
    </w:p>
    <w:p w:rsidR="00FD66BC" w:rsidRDefault="00FD66BC" w:rsidP="00084397">
      <w:pPr>
        <w:jc w:val="both"/>
      </w:pPr>
    </w:p>
    <w:p w:rsidR="00FD66BC" w:rsidRDefault="00FD66BC" w:rsidP="00084397">
      <w:pPr>
        <w:jc w:val="both"/>
      </w:pPr>
    </w:p>
    <w:p w:rsidR="00FD66BC" w:rsidRDefault="00FD66BC" w:rsidP="00084397">
      <w:pPr>
        <w:jc w:val="both"/>
      </w:pPr>
    </w:p>
    <w:p w:rsidR="00FD66BC" w:rsidRDefault="00FD66BC" w:rsidP="00084397">
      <w:pPr>
        <w:jc w:val="both"/>
      </w:pPr>
    </w:p>
    <w:tbl>
      <w:tblPr>
        <w:tblStyle w:val="MediumShading2-Accent2"/>
        <w:tblW w:w="0" w:type="auto"/>
        <w:tblLook w:val="04A0"/>
      </w:tblPr>
      <w:tblGrid>
        <w:gridCol w:w="3101"/>
        <w:gridCol w:w="3101"/>
        <w:gridCol w:w="3101"/>
      </w:tblGrid>
      <w:tr w:rsidR="00084397" w:rsidTr="00084397">
        <w:trPr>
          <w:cnfStyle w:val="100000000000"/>
        </w:trPr>
        <w:tc>
          <w:tcPr>
            <w:cnfStyle w:val="001000000100"/>
            <w:tcW w:w="3101" w:type="dxa"/>
            <w:vAlign w:val="center"/>
          </w:tcPr>
          <w:p w:rsidR="00084397" w:rsidRDefault="00084397" w:rsidP="00084397">
            <w:pPr>
              <w:jc w:val="center"/>
            </w:pPr>
          </w:p>
        </w:tc>
        <w:tc>
          <w:tcPr>
            <w:tcW w:w="3101" w:type="dxa"/>
            <w:vAlign w:val="center"/>
          </w:tcPr>
          <w:p w:rsidR="00084397" w:rsidRDefault="00084397" w:rsidP="00084397">
            <w:pPr>
              <w:jc w:val="center"/>
              <w:cnfStyle w:val="100000000000"/>
            </w:pPr>
            <w:r>
              <w:t>Lezárt projektek</w:t>
            </w:r>
          </w:p>
        </w:tc>
        <w:tc>
          <w:tcPr>
            <w:tcW w:w="3101" w:type="dxa"/>
            <w:vAlign w:val="center"/>
          </w:tcPr>
          <w:p w:rsidR="00084397" w:rsidRDefault="00084397" w:rsidP="00084397">
            <w:pPr>
              <w:jc w:val="center"/>
              <w:cnfStyle w:val="100000000000"/>
            </w:pPr>
            <w:r>
              <w:t>Kontrollvállalatok</w:t>
            </w:r>
          </w:p>
        </w:tc>
      </w:tr>
      <w:tr w:rsidR="00084397" w:rsidTr="00084397">
        <w:trPr>
          <w:cnfStyle w:val="000000100000"/>
        </w:trPr>
        <w:tc>
          <w:tcPr>
            <w:cnfStyle w:val="001000000000"/>
            <w:tcW w:w="3101" w:type="dxa"/>
            <w:vAlign w:val="center"/>
          </w:tcPr>
          <w:p w:rsidR="00084397" w:rsidRDefault="00084397" w:rsidP="00084397">
            <w:pPr>
              <w:jc w:val="center"/>
            </w:pPr>
            <w:r>
              <w:t>Árbevétel növekedés összesen</w:t>
            </w:r>
          </w:p>
        </w:tc>
        <w:tc>
          <w:tcPr>
            <w:tcW w:w="3101" w:type="dxa"/>
            <w:vAlign w:val="center"/>
          </w:tcPr>
          <w:p w:rsidR="00084397" w:rsidRDefault="00084397" w:rsidP="00084397">
            <w:pPr>
              <w:jc w:val="center"/>
              <w:cnfStyle w:val="000000100000"/>
            </w:pPr>
            <w:r>
              <w:t>10,46 Mrd Ft</w:t>
            </w:r>
          </w:p>
        </w:tc>
        <w:tc>
          <w:tcPr>
            <w:tcW w:w="3101" w:type="dxa"/>
            <w:vAlign w:val="center"/>
          </w:tcPr>
          <w:p w:rsidR="00084397" w:rsidRDefault="00084397" w:rsidP="00084397">
            <w:pPr>
              <w:jc w:val="center"/>
              <w:cnfStyle w:val="000000100000"/>
            </w:pPr>
            <w:r>
              <w:t>-2,53 Mrd Ft</w:t>
            </w:r>
          </w:p>
        </w:tc>
      </w:tr>
      <w:tr w:rsidR="00084397" w:rsidTr="00084397">
        <w:tc>
          <w:tcPr>
            <w:cnfStyle w:val="001000000000"/>
            <w:tcW w:w="3101" w:type="dxa"/>
            <w:vAlign w:val="center"/>
          </w:tcPr>
          <w:p w:rsidR="00084397" w:rsidRDefault="00084397" w:rsidP="00084397">
            <w:pPr>
              <w:jc w:val="center"/>
            </w:pPr>
            <w:r>
              <w:t>Árbevétel növekmény átlagosan</w:t>
            </w:r>
          </w:p>
        </w:tc>
        <w:tc>
          <w:tcPr>
            <w:tcW w:w="3101" w:type="dxa"/>
            <w:vAlign w:val="center"/>
          </w:tcPr>
          <w:p w:rsidR="00084397" w:rsidRDefault="00084397" w:rsidP="00084397">
            <w:pPr>
              <w:jc w:val="center"/>
              <w:cnfStyle w:val="000000000000"/>
            </w:pPr>
            <w:r>
              <w:t>64,0%</w:t>
            </w:r>
          </w:p>
        </w:tc>
        <w:tc>
          <w:tcPr>
            <w:tcW w:w="3101" w:type="dxa"/>
            <w:vAlign w:val="center"/>
          </w:tcPr>
          <w:p w:rsidR="00084397" w:rsidRDefault="00084397" w:rsidP="00084397">
            <w:pPr>
              <w:keepNext/>
              <w:jc w:val="center"/>
              <w:cnfStyle w:val="000000000000"/>
            </w:pPr>
            <w:r>
              <w:t>-2,5%</w:t>
            </w:r>
          </w:p>
        </w:tc>
      </w:tr>
    </w:tbl>
    <w:bookmarkStart w:id="151" w:name="_Ref277780043"/>
    <w:p w:rsidR="00084397" w:rsidRDefault="003F44DC" w:rsidP="00084397">
      <w:pPr>
        <w:pStyle w:val="Caption"/>
        <w:spacing w:before="240"/>
        <w:jc w:val="center"/>
        <w:rPr>
          <w:color w:val="auto"/>
        </w:rPr>
      </w:pPr>
      <w:r>
        <w:rPr>
          <w:color w:val="auto"/>
        </w:rPr>
        <w:fldChar w:fldCharType="begin"/>
      </w:r>
      <w:r w:rsidR="00084397">
        <w:rPr>
          <w:color w:val="auto"/>
        </w:rPr>
        <w:instrText xml:space="preserve"> SEQ táblázat \* ARABIC </w:instrText>
      </w:r>
      <w:r>
        <w:rPr>
          <w:color w:val="auto"/>
        </w:rPr>
        <w:fldChar w:fldCharType="separate"/>
      </w:r>
      <w:bookmarkStart w:id="152" w:name="_Ref277948113"/>
      <w:r w:rsidR="002D1B7A">
        <w:rPr>
          <w:noProof/>
          <w:color w:val="auto"/>
        </w:rPr>
        <w:t>12</w:t>
      </w:r>
      <w:bookmarkEnd w:id="152"/>
      <w:r>
        <w:rPr>
          <w:color w:val="auto"/>
        </w:rPr>
        <w:fldChar w:fldCharType="end"/>
      </w:r>
      <w:r w:rsidR="00084397" w:rsidRPr="002B55CD">
        <w:rPr>
          <w:color w:val="auto"/>
        </w:rPr>
        <w:t>. táblázat</w:t>
      </w:r>
      <w:bookmarkEnd w:id="151"/>
      <w:r w:rsidR="00084397">
        <w:rPr>
          <w:color w:val="auto"/>
        </w:rPr>
        <w:t>: ÁTK Lezárt projektek és kontrollcsoport összehasonlítása</w:t>
      </w:r>
    </w:p>
    <w:p w:rsidR="00084397" w:rsidRDefault="00084397" w:rsidP="00084397">
      <w:pPr>
        <w:jc w:val="both"/>
      </w:pPr>
      <w:r>
        <w:t>A kapott eredmények felkeltették érdeklődésünket: vajon tényleg ennyire sikeres a jogcím, vagy a vizsgált minta összetétele nem tekinthető reprezentánsnak a teljes jogcímre nézve?</w:t>
      </w:r>
    </w:p>
    <w:p w:rsidR="00084397" w:rsidRDefault="00084397" w:rsidP="00084397">
      <w:pPr>
        <w:jc w:val="both"/>
      </w:pPr>
      <w:r>
        <w:t xml:space="preserve">A vizsgált csoportból kiválasztottuk a 10 legnagyobb árbevétel-növekedési dinamikát felmutató entitást, és telefonos lekérdezés során kiegészítő információkat gyűjtöttünk a beruházás körülményeiről, hatásairól. A lekérdezés során a megkeresett vállalatvezetők egybehangzóan azt nyilatkozták, hogy a támogatások nem bírtak meghatározó szereppel a tapasztalt növekedésben, de a jelenlétüknek volt részleges pozitív hatása. </w:t>
      </w:r>
      <w:r w:rsidR="00FD66BC">
        <w:t xml:space="preserve">A felmérés eredményét dokumentáló táblázatot az intézkedés értékelésénél mutatjuk be. </w:t>
      </w:r>
      <w:r>
        <w:t xml:space="preserve">Ez a tapasztalat egybecseng a FADN adatbázisán végzett </w:t>
      </w:r>
      <w:proofErr w:type="spellStart"/>
      <w:r>
        <w:t>ökonometriai</w:t>
      </w:r>
      <w:proofErr w:type="spellEnd"/>
      <w:r>
        <w:t xml:space="preserve"> vizsgálatok eredményével is (</w:t>
      </w:r>
      <w:fldSimple w:instr=" REF _Ref276147488 \h  \* MERGEFORMAT ">
        <w:r w:rsidR="002D1B7A" w:rsidRPr="002D1B7A">
          <w:rPr>
            <w:noProof/>
            <w:highlight w:val="yellow"/>
          </w:rPr>
          <w:t>21</w:t>
        </w:r>
        <w:r w:rsidR="002D1B7A" w:rsidRPr="002D1B7A">
          <w:rPr>
            <w:highlight w:val="yellow"/>
          </w:rPr>
          <w:t>. ábra</w:t>
        </w:r>
      </w:fldSimple>
      <w:r>
        <w:t xml:space="preserve"> és </w:t>
      </w:r>
      <w:fldSimple w:instr=" REF _Ref277780276 \h  \* MERGEFORMAT ">
        <w:r w:rsidR="002D1B7A" w:rsidRPr="002D1B7A">
          <w:rPr>
            <w:noProof/>
            <w:highlight w:val="yellow"/>
          </w:rPr>
          <w:t>29</w:t>
        </w:r>
        <w:r w:rsidR="002D1B7A" w:rsidRPr="002D1B7A">
          <w:rPr>
            <w:highlight w:val="yellow"/>
          </w:rPr>
          <w:t>. ábra</w:t>
        </w:r>
      </w:fldSimple>
      <w:r>
        <w:t>).</w:t>
      </w:r>
    </w:p>
    <w:p w:rsidR="00084397" w:rsidRDefault="00084397" w:rsidP="00084397">
      <w:pPr>
        <w:pStyle w:val="HUNNormal"/>
      </w:pPr>
    </w:p>
    <w:p w:rsidR="00084397" w:rsidRDefault="00084397" w:rsidP="00084397">
      <w:pPr>
        <w:jc w:val="both"/>
      </w:pPr>
      <w:r w:rsidRPr="00B136B3">
        <w:t xml:space="preserve">Az </w:t>
      </w:r>
      <w:r w:rsidRPr="00B136B3">
        <w:rPr>
          <w:b/>
        </w:rPr>
        <w:t>ÉLIP</w:t>
      </w:r>
      <w:r w:rsidRPr="00B136B3">
        <w:t xml:space="preserve"> jogcím esetében</w:t>
      </w:r>
      <w:r>
        <w:t xml:space="preserve"> a következő eredményeket kaptuk: modellünkben a támogatások a lehető legro</w:t>
      </w:r>
      <w:r>
        <w:t>s</w:t>
      </w:r>
      <w:r>
        <w:t xml:space="preserve">szabb módon magyarázzák az árbevétel változását abszolút értelemben (REVABS), mint ahogy azt a </w:t>
      </w:r>
      <w:fldSimple w:instr=" REF _Ref277514667 \h  \* MERGEFORMAT ">
        <w:r w:rsidR="002D1B7A" w:rsidRPr="002D1B7A">
          <w:rPr>
            <w:noProof/>
            <w:highlight w:val="yellow"/>
          </w:rPr>
          <w:t>30</w:t>
        </w:r>
        <w:r w:rsidR="002D1B7A" w:rsidRPr="002D1B7A">
          <w:rPr>
            <w:highlight w:val="yellow"/>
          </w:rPr>
          <w:t>. ábra</w:t>
        </w:r>
      </w:fldSimple>
      <w:r>
        <w:t xml:space="preserve"> mutatja. Az igazított R-négyzet értéke egyenesen negatív, így a modellünk alapján kijelenthetjük, hogy a t</w:t>
      </w:r>
      <w:r>
        <w:t>á</w:t>
      </w:r>
      <w:r>
        <w:t>mogatások nem magyarázzák a választott mintán az élelmiszeripari árbevétel növekedést.</w:t>
      </w:r>
    </w:p>
    <w:p w:rsidR="00084397" w:rsidRDefault="00084397" w:rsidP="00084397">
      <w:pPr>
        <w:jc w:val="both"/>
      </w:pPr>
      <w:r>
        <w:t xml:space="preserve">A függő változóinkat leíró statisztikával </w:t>
      </w:r>
      <w:proofErr w:type="gramStart"/>
      <w:r>
        <w:t>a</w:t>
      </w:r>
      <w:proofErr w:type="gramEnd"/>
      <w:r>
        <w:t xml:space="preserve"> </w:t>
      </w:r>
      <w:r w:rsidR="003F44DC">
        <w:fldChar w:fldCharType="begin"/>
      </w:r>
      <w:r>
        <w:instrText xml:space="preserve"> REF _Ref278203124 \h </w:instrText>
      </w:r>
      <w:r w:rsidR="003F44DC">
        <w:fldChar w:fldCharType="separate"/>
      </w:r>
      <w:r w:rsidR="002D1B7A">
        <w:rPr>
          <w:b/>
          <w:bCs/>
          <w:lang w:val="en-US"/>
        </w:rPr>
        <w:t>Error! Reference source not found.</w:t>
      </w:r>
      <w:r w:rsidR="003F44DC">
        <w:fldChar w:fldCharType="end"/>
      </w:r>
      <w:r>
        <w:t xml:space="preserve"> </w:t>
      </w:r>
      <w:proofErr w:type="gramStart"/>
      <w:r>
        <w:t>jellemzi</w:t>
      </w:r>
      <w:proofErr w:type="gramEnd"/>
      <w:r>
        <w:t>. Láthatjuk, hogy a n</w:t>
      </w:r>
      <w:r>
        <w:t>ö</w:t>
      </w:r>
      <w:r>
        <w:t>vekedési mutatók magas standard hibával rendelkeznek, így a konkrét átlagértékeket nem tudjuk értelme</w:t>
      </w:r>
      <w:r>
        <w:t>z</w:t>
      </w:r>
      <w:r>
        <w:t>ni.</w:t>
      </w:r>
    </w:p>
    <w:tbl>
      <w:tblPr>
        <w:tblStyle w:val="MediumShading1-Accent2"/>
        <w:tblW w:w="0" w:type="auto"/>
        <w:tblLook w:val="04A0"/>
      </w:tblPr>
      <w:tblGrid>
        <w:gridCol w:w="841"/>
        <w:gridCol w:w="1151"/>
        <w:gridCol w:w="1310"/>
        <w:gridCol w:w="1045"/>
        <w:gridCol w:w="1114"/>
        <w:gridCol w:w="918"/>
        <w:gridCol w:w="1482"/>
        <w:gridCol w:w="1302"/>
      </w:tblGrid>
      <w:tr w:rsidR="00084397" w:rsidRPr="00670D9C" w:rsidTr="00084397">
        <w:trPr>
          <w:cnfStyle w:val="100000000000"/>
          <w:trHeight w:val="315"/>
        </w:trPr>
        <w:tc>
          <w:tcPr>
            <w:cnfStyle w:val="001000000000"/>
            <w:tcW w:w="0" w:type="auto"/>
            <w:noWrap/>
            <w:vAlign w:val="center"/>
            <w:hideMark/>
          </w:tcPr>
          <w:p w:rsidR="00084397" w:rsidRPr="00670D9C" w:rsidRDefault="00084397" w:rsidP="00084397">
            <w:pPr>
              <w:jc w:val="center"/>
              <w:rPr>
                <w:sz w:val="18"/>
              </w:rPr>
            </w:pPr>
          </w:p>
        </w:tc>
        <w:tc>
          <w:tcPr>
            <w:tcW w:w="0" w:type="auto"/>
            <w:noWrap/>
            <w:vAlign w:val="center"/>
            <w:hideMark/>
          </w:tcPr>
          <w:p w:rsidR="00084397" w:rsidRPr="00670D9C" w:rsidRDefault="00084397" w:rsidP="00084397">
            <w:pPr>
              <w:jc w:val="center"/>
              <w:cnfStyle w:val="100000000000"/>
              <w:rPr>
                <w:sz w:val="18"/>
              </w:rPr>
            </w:pPr>
            <w:r w:rsidRPr="00670D9C">
              <w:rPr>
                <w:sz w:val="18"/>
              </w:rPr>
              <w:t>Átlag</w:t>
            </w:r>
          </w:p>
        </w:tc>
        <w:tc>
          <w:tcPr>
            <w:tcW w:w="0" w:type="auto"/>
            <w:noWrap/>
            <w:vAlign w:val="center"/>
            <w:hideMark/>
          </w:tcPr>
          <w:p w:rsidR="00084397" w:rsidRPr="00670D9C" w:rsidRDefault="00084397" w:rsidP="00084397">
            <w:pPr>
              <w:jc w:val="center"/>
              <w:cnfStyle w:val="100000000000"/>
              <w:rPr>
                <w:sz w:val="18"/>
              </w:rPr>
            </w:pPr>
            <w:r w:rsidRPr="00670D9C">
              <w:rPr>
                <w:sz w:val="18"/>
              </w:rPr>
              <w:t>Standard Hiba</w:t>
            </w:r>
          </w:p>
        </w:tc>
        <w:tc>
          <w:tcPr>
            <w:tcW w:w="0" w:type="auto"/>
            <w:noWrap/>
            <w:vAlign w:val="center"/>
            <w:hideMark/>
          </w:tcPr>
          <w:p w:rsidR="00084397" w:rsidRPr="00670D9C" w:rsidRDefault="00084397" w:rsidP="00084397">
            <w:pPr>
              <w:jc w:val="center"/>
              <w:cnfStyle w:val="100000000000"/>
              <w:rPr>
                <w:sz w:val="18"/>
              </w:rPr>
            </w:pPr>
            <w:r w:rsidRPr="00670D9C">
              <w:rPr>
                <w:sz w:val="18"/>
              </w:rPr>
              <w:t>Medián</w:t>
            </w:r>
          </w:p>
        </w:tc>
        <w:tc>
          <w:tcPr>
            <w:tcW w:w="0" w:type="auto"/>
            <w:noWrap/>
            <w:vAlign w:val="center"/>
            <w:hideMark/>
          </w:tcPr>
          <w:p w:rsidR="00084397" w:rsidRPr="00670D9C" w:rsidRDefault="00084397" w:rsidP="00084397">
            <w:pPr>
              <w:jc w:val="center"/>
              <w:cnfStyle w:val="100000000000"/>
              <w:rPr>
                <w:sz w:val="18"/>
              </w:rPr>
            </w:pPr>
            <w:r w:rsidRPr="00670D9C">
              <w:rPr>
                <w:sz w:val="18"/>
              </w:rPr>
              <w:t>Csúcsosság</w:t>
            </w:r>
          </w:p>
        </w:tc>
        <w:tc>
          <w:tcPr>
            <w:tcW w:w="0" w:type="auto"/>
            <w:noWrap/>
            <w:vAlign w:val="center"/>
            <w:hideMark/>
          </w:tcPr>
          <w:p w:rsidR="00084397" w:rsidRPr="00670D9C" w:rsidRDefault="00084397" w:rsidP="00084397">
            <w:pPr>
              <w:jc w:val="center"/>
              <w:cnfStyle w:val="100000000000"/>
              <w:rPr>
                <w:sz w:val="18"/>
              </w:rPr>
            </w:pPr>
            <w:r w:rsidRPr="00670D9C">
              <w:rPr>
                <w:sz w:val="18"/>
              </w:rPr>
              <w:t>Ferdeség</w:t>
            </w:r>
          </w:p>
        </w:tc>
        <w:tc>
          <w:tcPr>
            <w:tcW w:w="0" w:type="auto"/>
            <w:noWrap/>
            <w:vAlign w:val="center"/>
            <w:hideMark/>
          </w:tcPr>
          <w:p w:rsidR="00084397" w:rsidRPr="00670D9C" w:rsidRDefault="00084397" w:rsidP="00084397">
            <w:pPr>
              <w:jc w:val="center"/>
              <w:cnfStyle w:val="100000000000"/>
              <w:rPr>
                <w:sz w:val="18"/>
              </w:rPr>
            </w:pPr>
            <w:r w:rsidRPr="00670D9C">
              <w:rPr>
                <w:sz w:val="18"/>
              </w:rPr>
              <w:t>Minimum</w:t>
            </w:r>
          </w:p>
        </w:tc>
        <w:tc>
          <w:tcPr>
            <w:tcW w:w="0" w:type="auto"/>
            <w:noWrap/>
            <w:vAlign w:val="center"/>
            <w:hideMark/>
          </w:tcPr>
          <w:p w:rsidR="00084397" w:rsidRPr="00670D9C" w:rsidRDefault="00084397" w:rsidP="00084397">
            <w:pPr>
              <w:jc w:val="center"/>
              <w:cnfStyle w:val="100000000000"/>
              <w:rPr>
                <w:sz w:val="18"/>
              </w:rPr>
            </w:pPr>
            <w:r w:rsidRPr="00670D9C">
              <w:rPr>
                <w:sz w:val="18"/>
              </w:rPr>
              <w:t>Maximum</w:t>
            </w:r>
          </w:p>
        </w:tc>
      </w:tr>
      <w:tr w:rsidR="00084397" w:rsidRPr="00670D9C" w:rsidTr="00084397">
        <w:trPr>
          <w:cnfStyle w:val="000000100000"/>
          <w:trHeight w:val="315"/>
        </w:trPr>
        <w:tc>
          <w:tcPr>
            <w:cnfStyle w:val="001000000000"/>
            <w:tcW w:w="0" w:type="auto"/>
            <w:noWrap/>
            <w:vAlign w:val="center"/>
            <w:hideMark/>
          </w:tcPr>
          <w:p w:rsidR="00084397" w:rsidRPr="00670D9C" w:rsidRDefault="00084397" w:rsidP="00084397">
            <w:pPr>
              <w:jc w:val="center"/>
              <w:rPr>
                <w:i/>
                <w:iCs/>
                <w:sz w:val="18"/>
              </w:rPr>
            </w:pPr>
            <w:r w:rsidRPr="00670D9C">
              <w:rPr>
                <w:i/>
                <w:iCs/>
                <w:sz w:val="18"/>
              </w:rPr>
              <w:t>REV</w:t>
            </w:r>
          </w:p>
        </w:tc>
        <w:tc>
          <w:tcPr>
            <w:tcW w:w="0" w:type="auto"/>
            <w:noWrap/>
            <w:vAlign w:val="center"/>
            <w:hideMark/>
          </w:tcPr>
          <w:p w:rsidR="00084397" w:rsidRPr="00670D9C" w:rsidRDefault="00084397" w:rsidP="00084397">
            <w:pPr>
              <w:jc w:val="center"/>
              <w:cnfStyle w:val="000000100000"/>
              <w:rPr>
                <w:sz w:val="18"/>
              </w:rPr>
            </w:pPr>
            <w:r w:rsidRPr="00670D9C">
              <w:rPr>
                <w:sz w:val="18"/>
              </w:rPr>
              <w:t>5,69</w:t>
            </w:r>
          </w:p>
        </w:tc>
        <w:tc>
          <w:tcPr>
            <w:tcW w:w="0" w:type="auto"/>
            <w:noWrap/>
            <w:vAlign w:val="center"/>
            <w:hideMark/>
          </w:tcPr>
          <w:p w:rsidR="00084397" w:rsidRPr="00670D9C" w:rsidRDefault="00084397" w:rsidP="00084397">
            <w:pPr>
              <w:jc w:val="center"/>
              <w:cnfStyle w:val="000000100000"/>
              <w:rPr>
                <w:sz w:val="18"/>
              </w:rPr>
            </w:pPr>
            <w:r w:rsidRPr="00670D9C">
              <w:rPr>
                <w:sz w:val="18"/>
              </w:rPr>
              <w:t>5,07</w:t>
            </w:r>
          </w:p>
        </w:tc>
        <w:tc>
          <w:tcPr>
            <w:tcW w:w="0" w:type="auto"/>
            <w:noWrap/>
            <w:vAlign w:val="center"/>
            <w:hideMark/>
          </w:tcPr>
          <w:p w:rsidR="00084397" w:rsidRPr="00670D9C" w:rsidRDefault="00084397" w:rsidP="00084397">
            <w:pPr>
              <w:jc w:val="center"/>
              <w:cnfStyle w:val="000000100000"/>
              <w:rPr>
                <w:sz w:val="18"/>
              </w:rPr>
            </w:pPr>
            <w:r w:rsidRPr="00670D9C">
              <w:rPr>
                <w:sz w:val="18"/>
              </w:rPr>
              <w:t>0,25</w:t>
            </w:r>
          </w:p>
        </w:tc>
        <w:tc>
          <w:tcPr>
            <w:tcW w:w="0" w:type="auto"/>
            <w:noWrap/>
            <w:vAlign w:val="center"/>
            <w:hideMark/>
          </w:tcPr>
          <w:p w:rsidR="00084397" w:rsidRPr="00670D9C" w:rsidRDefault="00084397" w:rsidP="00084397">
            <w:pPr>
              <w:jc w:val="center"/>
              <w:cnfStyle w:val="000000100000"/>
              <w:rPr>
                <w:sz w:val="18"/>
              </w:rPr>
            </w:pPr>
            <w:r w:rsidRPr="00670D9C">
              <w:rPr>
                <w:sz w:val="18"/>
              </w:rPr>
              <w:t>44,86</w:t>
            </w:r>
          </w:p>
        </w:tc>
        <w:tc>
          <w:tcPr>
            <w:tcW w:w="0" w:type="auto"/>
            <w:noWrap/>
            <w:vAlign w:val="center"/>
            <w:hideMark/>
          </w:tcPr>
          <w:p w:rsidR="00084397" w:rsidRPr="00670D9C" w:rsidRDefault="00084397" w:rsidP="00084397">
            <w:pPr>
              <w:jc w:val="center"/>
              <w:cnfStyle w:val="000000100000"/>
              <w:rPr>
                <w:sz w:val="18"/>
              </w:rPr>
            </w:pPr>
            <w:r w:rsidRPr="00670D9C">
              <w:rPr>
                <w:sz w:val="18"/>
              </w:rPr>
              <w:t>6,69</w:t>
            </w:r>
          </w:p>
        </w:tc>
        <w:tc>
          <w:tcPr>
            <w:tcW w:w="0" w:type="auto"/>
            <w:noWrap/>
            <w:vAlign w:val="center"/>
            <w:hideMark/>
          </w:tcPr>
          <w:p w:rsidR="00084397" w:rsidRPr="00670D9C" w:rsidRDefault="00084397" w:rsidP="00084397">
            <w:pPr>
              <w:jc w:val="center"/>
              <w:cnfStyle w:val="000000100000"/>
              <w:rPr>
                <w:sz w:val="18"/>
              </w:rPr>
            </w:pPr>
            <w:r>
              <w:rPr>
                <w:sz w:val="18"/>
              </w:rPr>
              <w:t>-</w:t>
            </w:r>
            <w:r w:rsidRPr="00670D9C">
              <w:rPr>
                <w:sz w:val="18"/>
              </w:rPr>
              <w:t xml:space="preserve">  0,88</w:t>
            </w:r>
          </w:p>
        </w:tc>
        <w:tc>
          <w:tcPr>
            <w:tcW w:w="0" w:type="auto"/>
            <w:noWrap/>
            <w:vAlign w:val="center"/>
            <w:hideMark/>
          </w:tcPr>
          <w:p w:rsidR="00084397" w:rsidRPr="00670D9C" w:rsidRDefault="00084397" w:rsidP="00084397">
            <w:pPr>
              <w:jc w:val="center"/>
              <w:cnfStyle w:val="000000100000"/>
              <w:rPr>
                <w:sz w:val="18"/>
              </w:rPr>
            </w:pPr>
            <w:r w:rsidRPr="00670D9C">
              <w:rPr>
                <w:sz w:val="18"/>
              </w:rPr>
              <w:t>228,39</w:t>
            </w:r>
          </w:p>
        </w:tc>
      </w:tr>
      <w:tr w:rsidR="00084397" w:rsidRPr="00670D9C" w:rsidTr="00084397">
        <w:trPr>
          <w:cnfStyle w:val="000000010000"/>
          <w:trHeight w:val="300"/>
        </w:trPr>
        <w:tc>
          <w:tcPr>
            <w:cnfStyle w:val="001000000000"/>
            <w:tcW w:w="0" w:type="auto"/>
            <w:noWrap/>
            <w:vAlign w:val="center"/>
            <w:hideMark/>
          </w:tcPr>
          <w:p w:rsidR="00084397" w:rsidRPr="00670D9C" w:rsidRDefault="00084397" w:rsidP="00084397">
            <w:pPr>
              <w:jc w:val="center"/>
              <w:rPr>
                <w:i/>
                <w:iCs/>
                <w:sz w:val="18"/>
              </w:rPr>
            </w:pPr>
            <w:r w:rsidRPr="00670D9C">
              <w:rPr>
                <w:i/>
                <w:iCs/>
                <w:sz w:val="18"/>
              </w:rPr>
              <w:t>REVABS</w:t>
            </w:r>
          </w:p>
        </w:tc>
        <w:tc>
          <w:tcPr>
            <w:tcW w:w="0" w:type="auto"/>
            <w:noWrap/>
            <w:vAlign w:val="center"/>
            <w:hideMark/>
          </w:tcPr>
          <w:p w:rsidR="00084397" w:rsidRPr="00670D9C" w:rsidRDefault="00084397" w:rsidP="00084397">
            <w:pPr>
              <w:jc w:val="center"/>
              <w:cnfStyle w:val="000000010000"/>
              <w:rPr>
                <w:sz w:val="18"/>
              </w:rPr>
            </w:pPr>
            <w:r w:rsidRPr="00670D9C">
              <w:rPr>
                <w:sz w:val="18"/>
              </w:rPr>
              <w:t>106 325,76</w:t>
            </w:r>
          </w:p>
        </w:tc>
        <w:tc>
          <w:tcPr>
            <w:tcW w:w="0" w:type="auto"/>
            <w:noWrap/>
            <w:vAlign w:val="center"/>
            <w:hideMark/>
          </w:tcPr>
          <w:p w:rsidR="00084397" w:rsidRPr="00670D9C" w:rsidRDefault="00084397" w:rsidP="00084397">
            <w:pPr>
              <w:jc w:val="center"/>
              <w:cnfStyle w:val="000000010000"/>
              <w:rPr>
                <w:sz w:val="18"/>
              </w:rPr>
            </w:pPr>
            <w:r w:rsidRPr="00670D9C">
              <w:rPr>
                <w:sz w:val="18"/>
              </w:rPr>
              <w:t>153 025,33</w:t>
            </w:r>
          </w:p>
        </w:tc>
        <w:tc>
          <w:tcPr>
            <w:tcW w:w="0" w:type="auto"/>
            <w:noWrap/>
            <w:vAlign w:val="center"/>
            <w:hideMark/>
          </w:tcPr>
          <w:p w:rsidR="00084397" w:rsidRPr="00670D9C" w:rsidRDefault="00084397" w:rsidP="00084397">
            <w:pPr>
              <w:jc w:val="center"/>
              <w:cnfStyle w:val="000000010000"/>
              <w:rPr>
                <w:sz w:val="18"/>
              </w:rPr>
            </w:pPr>
            <w:r w:rsidRPr="00670D9C">
              <w:rPr>
                <w:sz w:val="18"/>
              </w:rPr>
              <w:t>49 775,00</w:t>
            </w:r>
          </w:p>
        </w:tc>
        <w:tc>
          <w:tcPr>
            <w:tcW w:w="0" w:type="auto"/>
            <w:noWrap/>
            <w:vAlign w:val="center"/>
            <w:hideMark/>
          </w:tcPr>
          <w:p w:rsidR="00084397" w:rsidRPr="00670D9C" w:rsidRDefault="00084397" w:rsidP="00084397">
            <w:pPr>
              <w:jc w:val="center"/>
              <w:cnfStyle w:val="000000010000"/>
              <w:rPr>
                <w:sz w:val="18"/>
              </w:rPr>
            </w:pPr>
            <w:r w:rsidRPr="00670D9C">
              <w:rPr>
                <w:sz w:val="18"/>
              </w:rPr>
              <w:t>5,31</w:t>
            </w:r>
          </w:p>
        </w:tc>
        <w:tc>
          <w:tcPr>
            <w:tcW w:w="0" w:type="auto"/>
            <w:noWrap/>
            <w:vAlign w:val="center"/>
            <w:hideMark/>
          </w:tcPr>
          <w:p w:rsidR="00084397" w:rsidRPr="00670D9C" w:rsidRDefault="00084397" w:rsidP="00084397">
            <w:pPr>
              <w:jc w:val="center"/>
              <w:cnfStyle w:val="000000010000"/>
              <w:rPr>
                <w:sz w:val="18"/>
              </w:rPr>
            </w:pPr>
            <w:r>
              <w:rPr>
                <w:sz w:val="18"/>
              </w:rPr>
              <w:t>-</w:t>
            </w:r>
            <w:r w:rsidRPr="00670D9C">
              <w:rPr>
                <w:sz w:val="18"/>
              </w:rPr>
              <w:t xml:space="preserve"> 0,06</w:t>
            </w:r>
          </w:p>
        </w:tc>
        <w:tc>
          <w:tcPr>
            <w:tcW w:w="0" w:type="auto"/>
            <w:noWrap/>
            <w:vAlign w:val="center"/>
            <w:hideMark/>
          </w:tcPr>
          <w:p w:rsidR="00084397" w:rsidRPr="00670D9C" w:rsidRDefault="00084397" w:rsidP="00084397">
            <w:pPr>
              <w:jc w:val="center"/>
              <w:cnfStyle w:val="000000010000"/>
              <w:rPr>
                <w:sz w:val="18"/>
              </w:rPr>
            </w:pPr>
            <w:r w:rsidRPr="00670D9C">
              <w:rPr>
                <w:sz w:val="18"/>
              </w:rPr>
              <w:t>-   3 324 488,00</w:t>
            </w:r>
          </w:p>
        </w:tc>
        <w:tc>
          <w:tcPr>
            <w:tcW w:w="0" w:type="auto"/>
            <w:noWrap/>
            <w:vAlign w:val="center"/>
            <w:hideMark/>
          </w:tcPr>
          <w:p w:rsidR="00084397" w:rsidRPr="00670D9C" w:rsidRDefault="00084397" w:rsidP="00084397">
            <w:pPr>
              <w:jc w:val="center"/>
              <w:cnfStyle w:val="000000010000"/>
              <w:rPr>
                <w:sz w:val="18"/>
              </w:rPr>
            </w:pPr>
            <w:r w:rsidRPr="00670D9C">
              <w:rPr>
                <w:sz w:val="18"/>
              </w:rPr>
              <w:t>3 467 441,00</w:t>
            </w:r>
          </w:p>
        </w:tc>
      </w:tr>
    </w:tbl>
    <w:p w:rsidR="00084397" w:rsidRDefault="003F44DC" w:rsidP="00084397">
      <w:pPr>
        <w:pStyle w:val="Caption"/>
        <w:spacing w:before="240"/>
        <w:jc w:val="center"/>
        <w:rPr>
          <w:color w:val="auto"/>
        </w:rPr>
      </w:pPr>
      <w:r>
        <w:rPr>
          <w:color w:val="auto"/>
        </w:rPr>
        <w:fldChar w:fldCharType="begin"/>
      </w:r>
      <w:r w:rsidR="00084397">
        <w:rPr>
          <w:color w:val="auto"/>
        </w:rPr>
        <w:instrText xml:space="preserve"> SEQ táblázat \* ARABIC </w:instrText>
      </w:r>
      <w:r>
        <w:rPr>
          <w:color w:val="auto"/>
        </w:rPr>
        <w:fldChar w:fldCharType="separate"/>
      </w:r>
      <w:r w:rsidR="002D1B7A">
        <w:rPr>
          <w:noProof/>
          <w:color w:val="auto"/>
        </w:rPr>
        <w:t>13</w:t>
      </w:r>
      <w:r>
        <w:rPr>
          <w:color w:val="auto"/>
        </w:rPr>
        <w:fldChar w:fldCharType="end"/>
      </w:r>
      <w:r w:rsidR="00084397" w:rsidRPr="00290871">
        <w:rPr>
          <w:color w:val="auto"/>
        </w:rPr>
        <w:t>. táblázat:</w:t>
      </w:r>
      <w:r w:rsidR="00084397">
        <w:rPr>
          <w:color w:val="auto"/>
        </w:rPr>
        <w:t xml:space="preserve"> Függő változóink leíró statisztikája az </w:t>
      </w:r>
      <w:proofErr w:type="spellStart"/>
      <w:r w:rsidR="00084397">
        <w:rPr>
          <w:color w:val="auto"/>
        </w:rPr>
        <w:t>ökonometriai</w:t>
      </w:r>
      <w:proofErr w:type="spellEnd"/>
      <w:r w:rsidR="00084397">
        <w:rPr>
          <w:color w:val="auto"/>
        </w:rPr>
        <w:t xml:space="preserve"> modellben</w:t>
      </w:r>
    </w:p>
    <w:p w:rsidR="00084397" w:rsidRDefault="00084397" w:rsidP="00084397">
      <w:pPr>
        <w:jc w:val="both"/>
      </w:pPr>
    </w:p>
    <w:p w:rsidR="00084397" w:rsidRDefault="00084397" w:rsidP="00084397">
      <w:pPr>
        <w:pStyle w:val="HUNNormal"/>
        <w:keepNext/>
        <w:jc w:val="center"/>
      </w:pPr>
      <w:r w:rsidRPr="00D1452E">
        <w:rPr>
          <w:noProof/>
        </w:rPr>
        <w:lastRenderedPageBreak/>
        <w:drawing>
          <wp:inline distT="0" distB="0" distL="0" distR="0">
            <wp:extent cx="4679739" cy="2880000"/>
            <wp:effectExtent l="19050" t="19050" r="63711" b="15600"/>
            <wp:docPr id="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srcRect/>
                    <a:stretch>
                      <a:fillRect/>
                    </a:stretch>
                  </pic:blipFill>
                  <pic:spPr bwMode="auto">
                    <a:xfrm>
                      <a:off x="0" y="0"/>
                      <a:ext cx="4679739" cy="288000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bookmarkStart w:id="153" w:name="_Ref277514667"/>
    <w:p w:rsidR="00084397" w:rsidRDefault="003F44DC" w:rsidP="00084397">
      <w:pPr>
        <w:pStyle w:val="Caption"/>
        <w:jc w:val="center"/>
        <w:rPr>
          <w:color w:val="auto"/>
        </w:rPr>
      </w:pPr>
      <w:r w:rsidRPr="00450BD0">
        <w:rPr>
          <w:color w:val="auto"/>
        </w:rPr>
        <w:fldChar w:fldCharType="begin"/>
      </w:r>
      <w:r w:rsidR="00084397" w:rsidRPr="00450BD0">
        <w:rPr>
          <w:color w:val="auto"/>
        </w:rPr>
        <w:instrText xml:space="preserve"> SEQ ábra \* ARABIC </w:instrText>
      </w:r>
      <w:r w:rsidRPr="00450BD0">
        <w:rPr>
          <w:color w:val="auto"/>
        </w:rPr>
        <w:fldChar w:fldCharType="separate"/>
      </w:r>
      <w:r w:rsidR="002D1B7A">
        <w:rPr>
          <w:noProof/>
          <w:color w:val="auto"/>
        </w:rPr>
        <w:t>30</w:t>
      </w:r>
      <w:r w:rsidRPr="00450BD0">
        <w:rPr>
          <w:color w:val="auto"/>
        </w:rPr>
        <w:fldChar w:fldCharType="end"/>
      </w:r>
      <w:r w:rsidR="00084397" w:rsidRPr="00450BD0">
        <w:rPr>
          <w:color w:val="auto"/>
        </w:rPr>
        <w:t>. ábra</w:t>
      </w:r>
      <w:bookmarkEnd w:id="153"/>
      <w:r w:rsidR="00084397" w:rsidRPr="00450BD0">
        <w:rPr>
          <w:color w:val="auto"/>
        </w:rPr>
        <w:t xml:space="preserve">: </w:t>
      </w:r>
      <w:proofErr w:type="spellStart"/>
      <w:r w:rsidR="00084397">
        <w:rPr>
          <w:color w:val="auto"/>
        </w:rPr>
        <w:t>Least</w:t>
      </w:r>
      <w:proofErr w:type="spellEnd"/>
      <w:r w:rsidR="00084397">
        <w:rPr>
          <w:color w:val="auto"/>
        </w:rPr>
        <w:t xml:space="preserve"> </w:t>
      </w:r>
      <w:proofErr w:type="spellStart"/>
      <w:r w:rsidR="00084397">
        <w:rPr>
          <w:color w:val="auto"/>
        </w:rPr>
        <w:t>Squares</w:t>
      </w:r>
      <w:proofErr w:type="spellEnd"/>
      <w:r w:rsidR="00084397">
        <w:rPr>
          <w:color w:val="auto"/>
        </w:rPr>
        <w:t xml:space="preserve"> becslés ÉLIP – REVABS</w:t>
      </w:r>
    </w:p>
    <w:p w:rsidR="00084397" w:rsidRDefault="00084397" w:rsidP="00084397">
      <w:pPr>
        <w:keepNext/>
        <w:jc w:val="center"/>
      </w:pPr>
      <w:r w:rsidRPr="00450BD0">
        <w:rPr>
          <w:noProof/>
        </w:rPr>
        <w:drawing>
          <wp:inline distT="0" distB="0" distL="0" distR="0">
            <wp:extent cx="4516632" cy="2880000"/>
            <wp:effectExtent l="19050" t="19050" r="55368" b="15600"/>
            <wp:docPr id="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srcRect/>
                    <a:stretch>
                      <a:fillRect/>
                    </a:stretch>
                  </pic:blipFill>
                  <pic:spPr bwMode="auto">
                    <a:xfrm>
                      <a:off x="0" y="0"/>
                      <a:ext cx="4516632" cy="288000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bookmarkStart w:id="154" w:name="_Ref277515539"/>
    <w:p w:rsidR="00084397" w:rsidRPr="00450BD0" w:rsidRDefault="003F44DC" w:rsidP="00084397">
      <w:pPr>
        <w:pStyle w:val="Caption"/>
        <w:jc w:val="center"/>
        <w:rPr>
          <w:color w:val="auto"/>
        </w:rPr>
      </w:pPr>
      <w:r w:rsidRPr="00450BD0">
        <w:rPr>
          <w:color w:val="auto"/>
        </w:rPr>
        <w:fldChar w:fldCharType="begin"/>
      </w:r>
      <w:r w:rsidR="00084397" w:rsidRPr="00450BD0">
        <w:rPr>
          <w:color w:val="auto"/>
        </w:rPr>
        <w:instrText xml:space="preserve"> SEQ ábra \* ARABIC </w:instrText>
      </w:r>
      <w:r w:rsidRPr="00450BD0">
        <w:rPr>
          <w:color w:val="auto"/>
        </w:rPr>
        <w:fldChar w:fldCharType="separate"/>
      </w:r>
      <w:r w:rsidR="002D1B7A">
        <w:rPr>
          <w:noProof/>
          <w:color w:val="auto"/>
        </w:rPr>
        <w:t>31</w:t>
      </w:r>
      <w:r w:rsidRPr="00450BD0">
        <w:rPr>
          <w:color w:val="auto"/>
        </w:rPr>
        <w:fldChar w:fldCharType="end"/>
      </w:r>
      <w:r w:rsidR="00084397" w:rsidRPr="00450BD0">
        <w:rPr>
          <w:color w:val="auto"/>
        </w:rPr>
        <w:t>. ábra</w:t>
      </w:r>
      <w:bookmarkEnd w:id="154"/>
      <w:r w:rsidR="00084397" w:rsidRPr="00450BD0">
        <w:rPr>
          <w:color w:val="auto"/>
        </w:rPr>
        <w:t xml:space="preserve">: </w:t>
      </w:r>
      <w:proofErr w:type="spellStart"/>
      <w:r w:rsidR="00084397" w:rsidRPr="00450BD0">
        <w:rPr>
          <w:color w:val="auto"/>
        </w:rPr>
        <w:t>Least</w:t>
      </w:r>
      <w:proofErr w:type="spellEnd"/>
      <w:r w:rsidR="00084397" w:rsidRPr="00450BD0">
        <w:rPr>
          <w:color w:val="auto"/>
        </w:rPr>
        <w:t xml:space="preserve"> </w:t>
      </w:r>
      <w:proofErr w:type="spellStart"/>
      <w:r w:rsidR="00084397" w:rsidRPr="00450BD0">
        <w:rPr>
          <w:color w:val="auto"/>
        </w:rPr>
        <w:t>Squares</w:t>
      </w:r>
      <w:proofErr w:type="spellEnd"/>
      <w:r w:rsidR="00084397" w:rsidRPr="00450BD0">
        <w:rPr>
          <w:color w:val="auto"/>
        </w:rPr>
        <w:t xml:space="preserve"> becslés ÉLIP – REV</w:t>
      </w:r>
    </w:p>
    <w:p w:rsidR="00084397" w:rsidRDefault="00084397" w:rsidP="00084397">
      <w:pPr>
        <w:jc w:val="both"/>
      </w:pPr>
      <w:r>
        <w:t xml:space="preserve">Ahogy azt a </w:t>
      </w:r>
      <w:r w:rsidR="003F44DC">
        <w:fldChar w:fldCharType="begin"/>
      </w:r>
      <w:r>
        <w:instrText xml:space="preserve"> REF _Ref277515539 \h </w:instrText>
      </w:r>
      <w:r w:rsidR="003F44DC">
        <w:fldChar w:fldCharType="separate"/>
      </w:r>
      <w:r w:rsidR="002D1B7A">
        <w:rPr>
          <w:noProof/>
        </w:rPr>
        <w:t>31</w:t>
      </w:r>
      <w:r w:rsidR="002D1B7A" w:rsidRPr="00450BD0">
        <w:t>. ábra</w:t>
      </w:r>
      <w:r w:rsidR="003F44DC">
        <w:fldChar w:fldCharType="end"/>
      </w:r>
      <w:r>
        <w:t xml:space="preserve"> mutatja, a relatív értelemben vett árbevétel növekedés és a támogatás között nincs érdemi regressziós kapcsolat. A támogatás változónk az 5%-os </w:t>
      </w:r>
      <w:proofErr w:type="spellStart"/>
      <w:r>
        <w:t>szignifikancia</w:t>
      </w:r>
      <w:proofErr w:type="spellEnd"/>
      <w:r>
        <w:t xml:space="preserve"> határértéket messze megh</w:t>
      </w:r>
      <w:r>
        <w:t>a</w:t>
      </w:r>
      <w:r>
        <w:t>ladja, és a modellünk igazított magyarázóereje szintén negatív. Kijelenthetjük, hogy vizsgált vállalkozáso</w:t>
      </w:r>
      <w:r>
        <w:t>k</w:t>
      </w:r>
      <w:r>
        <w:t>ban a támogatási összegek semmilyen mértékben nem magyarázzák az árbevétel növekedést.</w:t>
      </w:r>
    </w:p>
    <w:p w:rsidR="00FD66BC" w:rsidRDefault="00FD66BC" w:rsidP="00084397">
      <w:pPr>
        <w:jc w:val="both"/>
      </w:pPr>
    </w:p>
    <w:p w:rsidR="00FD66BC" w:rsidRDefault="00FD66BC" w:rsidP="00084397">
      <w:pPr>
        <w:jc w:val="both"/>
      </w:pPr>
    </w:p>
    <w:p w:rsidR="00084397" w:rsidRDefault="00084397" w:rsidP="00084397">
      <w:pPr>
        <w:pStyle w:val="HUNHeading3"/>
        <w:ind w:left="504"/>
      </w:pPr>
      <w:bookmarkStart w:id="155" w:name="_Toc278793299"/>
      <w:bookmarkStart w:id="156" w:name="_Toc279359375"/>
      <w:r>
        <w:lastRenderedPageBreak/>
        <w:t>Foglalkoztatási hatás</w:t>
      </w:r>
      <w:bookmarkEnd w:id="155"/>
      <w:bookmarkEnd w:id="156"/>
    </w:p>
    <w:p w:rsidR="00084397" w:rsidRPr="00C23738" w:rsidRDefault="00084397" w:rsidP="00084397">
      <w:pPr>
        <w:pStyle w:val="HUNNormal"/>
        <w:rPr>
          <w:b/>
          <w:u w:val="single"/>
        </w:rPr>
      </w:pPr>
      <w:r w:rsidRPr="00C23738">
        <w:rPr>
          <w:b/>
          <w:u w:val="single"/>
        </w:rPr>
        <w:t>Hatásvizsgálat</w:t>
      </w:r>
    </w:p>
    <w:p w:rsidR="00084397" w:rsidRDefault="00084397" w:rsidP="00084397">
      <w:pPr>
        <w:pStyle w:val="HUNNormal"/>
      </w:pPr>
      <w:r>
        <w:t xml:space="preserve">A foglalkoztatási hatás vizsgálatának </w:t>
      </w:r>
      <w:r w:rsidRPr="000451B5">
        <w:rPr>
          <w:b/>
        </w:rPr>
        <w:t>első körében</w:t>
      </w:r>
      <w:r>
        <w:t xml:space="preserve"> megnéztük, hogyan változott a beruházást megelőző és a beruházást követő gazdasági év átlagos állományi létszáma, a lezárt beruházások esetében (vagyis azon projektek esetében, melyeknél jövedelmezőségi hatást vizsgáltunk).</w:t>
      </w:r>
    </w:p>
    <w:p w:rsidR="00084397" w:rsidRDefault="00084397" w:rsidP="00084397">
      <w:pPr>
        <w:pStyle w:val="HUNNormal"/>
      </w:pPr>
      <w:r>
        <w:t xml:space="preserve">Összesen 241 db projektet vizsgáltunk meg: 196 db ÁTK és 45 db ÉLIP </w:t>
      </w:r>
      <w:proofErr w:type="gramStart"/>
      <w:r>
        <w:t>beruházást</w:t>
      </w:r>
      <w:r>
        <w:rPr>
          <w:rStyle w:val="FootnoteReference"/>
        </w:rPr>
        <w:footnoteReference w:id="27"/>
      </w:r>
      <w:r>
        <w:t>,</w:t>
      </w:r>
      <w:proofErr w:type="gramEnd"/>
      <w:r>
        <w:t xml:space="preserve"> a vizsgálat eredm</w:t>
      </w:r>
      <w:r>
        <w:t>é</w:t>
      </w:r>
      <w:r>
        <w:t>nyét a következő táblázat szemlélteti.</w:t>
      </w:r>
    </w:p>
    <w:p w:rsidR="00084397" w:rsidRDefault="00084397" w:rsidP="00084397">
      <w:pPr>
        <w:pStyle w:val="HUNNormal"/>
        <w:jc w:val="center"/>
      </w:pPr>
      <w:r>
        <w:rPr>
          <w:noProof/>
        </w:rPr>
        <w:drawing>
          <wp:inline distT="0" distB="0" distL="0" distR="0">
            <wp:extent cx="4010025" cy="1932433"/>
            <wp:effectExtent l="19050" t="0" r="9525" b="0"/>
            <wp:docPr id="8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cstate="print"/>
                    <a:srcRect l="2455" t="23822" r="59343" b="32199"/>
                    <a:stretch>
                      <a:fillRect/>
                    </a:stretch>
                  </pic:blipFill>
                  <pic:spPr bwMode="auto">
                    <a:xfrm>
                      <a:off x="0" y="0"/>
                      <a:ext cx="4012396" cy="1933575"/>
                    </a:xfrm>
                    <a:prstGeom prst="rect">
                      <a:avLst/>
                    </a:prstGeom>
                    <a:noFill/>
                    <a:ln w="9525">
                      <a:noFill/>
                      <a:miter lim="800000"/>
                      <a:headEnd/>
                      <a:tailEnd/>
                    </a:ln>
                  </pic:spPr>
                </pic:pic>
              </a:graphicData>
            </a:graphic>
          </wp:inline>
        </w:drawing>
      </w:r>
    </w:p>
    <w:p w:rsidR="00084397" w:rsidRPr="00E33311" w:rsidRDefault="003F44DC" w:rsidP="00084397">
      <w:pPr>
        <w:pStyle w:val="Caption"/>
        <w:jc w:val="center"/>
        <w:rPr>
          <w:color w:val="auto"/>
        </w:rPr>
      </w:pPr>
      <w:r w:rsidRPr="00E33311">
        <w:rPr>
          <w:color w:val="auto"/>
        </w:rPr>
        <w:fldChar w:fldCharType="begin"/>
      </w:r>
      <w:r w:rsidR="00084397" w:rsidRPr="00E33311">
        <w:rPr>
          <w:color w:val="auto"/>
        </w:rPr>
        <w:instrText xml:space="preserve"> SEQ táblázat \* ARABIC </w:instrText>
      </w:r>
      <w:r w:rsidRPr="00E33311">
        <w:rPr>
          <w:color w:val="auto"/>
        </w:rPr>
        <w:fldChar w:fldCharType="separate"/>
      </w:r>
      <w:r w:rsidR="002D1B7A">
        <w:rPr>
          <w:noProof/>
          <w:color w:val="auto"/>
        </w:rPr>
        <w:t>14</w:t>
      </w:r>
      <w:r w:rsidRPr="00E33311">
        <w:rPr>
          <w:color w:val="auto"/>
        </w:rPr>
        <w:fldChar w:fldCharType="end"/>
      </w:r>
      <w:r w:rsidR="00084397" w:rsidRPr="00E33311">
        <w:rPr>
          <w:color w:val="auto"/>
        </w:rPr>
        <w:t>. táblázat: Foglalkoztatás vizsgálata - lezárt projektek</w:t>
      </w:r>
    </w:p>
    <w:p w:rsidR="00084397" w:rsidRDefault="00084397" w:rsidP="00084397">
      <w:pPr>
        <w:pStyle w:val="HUNNormal"/>
      </w:pPr>
      <w:r>
        <w:t xml:space="preserve">Megállapítható, hogy </w:t>
      </w:r>
      <w:r w:rsidRPr="0017651A">
        <w:rPr>
          <w:b/>
        </w:rPr>
        <w:t>ÁTK</w:t>
      </w:r>
      <w:r>
        <w:t xml:space="preserve"> jogcím esetén a vizsgált csoport 176 fő (175,58) létszámleépítést tervezett a t</w:t>
      </w:r>
      <w:r>
        <w:t>á</w:t>
      </w:r>
      <w:r>
        <w:t>mogatási kérelmek adatai alapján – ezzel szemben 113 fővel (112,5) nőtt az átlagos állományi létszám. A kontrollcsoportnál azonban mind a tervezett, mind a tényleges létszám csökkent: az előbbi 19 fővel, az utóbbi 227 fővel. Megemlítendő, hogy a tervezett és a tényleges létszámok közötti korrelációs együttható meglehetősen gyenge: a vizsgált csoportnál 14,6%, a kontrollcsoportnál 35,5%. Mindezek alapján megítél</w:t>
      </w:r>
      <w:r>
        <w:t>é</w:t>
      </w:r>
      <w:r>
        <w:t>sünk szerint elhamarkodott döntés lenne véleményt mondani a támogatás foglalkoztatási hatásáról.</w:t>
      </w:r>
    </w:p>
    <w:p w:rsidR="00084397" w:rsidRDefault="00084397" w:rsidP="00084397">
      <w:pPr>
        <w:pStyle w:val="HUNNormal"/>
      </w:pPr>
      <w:r>
        <w:t xml:space="preserve">Az </w:t>
      </w:r>
      <w:r w:rsidRPr="00CD46DE">
        <w:rPr>
          <w:b/>
        </w:rPr>
        <w:t>ÉLIP</w:t>
      </w:r>
      <w:r>
        <w:t xml:space="preserve"> jogcím meglehetős hasonlóságot mutat az ÁTK kontrollcsoport vizsgálata során tapasztaltakkal: a vizsgált csoport esetében terv és tény oldalon is jelentős létszámleépítést tapasztaltunk (rendre 234 és 288 fő), ami a kontrollcsoport esetében még nagyobb értékű (rendre 341 és 231 fő). A korrelációs együttható az ÉLIP jogcímnél jóval erősebb, mint az </w:t>
      </w:r>
      <w:proofErr w:type="spellStart"/>
      <w:r>
        <w:t>ÁTK-nál</w:t>
      </w:r>
      <w:proofErr w:type="spellEnd"/>
      <w:r>
        <w:t>, ennek ellenére javasolt óvatosan kezelni az eredmény inter</w:t>
      </w:r>
      <w:r>
        <w:t>p</w:t>
      </w:r>
      <w:r>
        <w:t>retációját.</w:t>
      </w:r>
    </w:p>
    <w:p w:rsidR="00084397" w:rsidRDefault="00084397" w:rsidP="00084397">
      <w:pPr>
        <w:pStyle w:val="HUNNormal"/>
      </w:pPr>
    </w:p>
    <w:p w:rsidR="00084397" w:rsidRPr="00C23738" w:rsidRDefault="00084397" w:rsidP="00084397">
      <w:pPr>
        <w:pStyle w:val="HUNNormal"/>
        <w:keepNext/>
        <w:rPr>
          <w:b/>
          <w:u w:val="single"/>
        </w:rPr>
      </w:pPr>
      <w:r w:rsidRPr="00C23738">
        <w:rPr>
          <w:b/>
          <w:u w:val="single"/>
        </w:rPr>
        <w:lastRenderedPageBreak/>
        <w:t>Potenciálvizsgálat</w:t>
      </w:r>
    </w:p>
    <w:p w:rsidR="00084397" w:rsidRDefault="00084397" w:rsidP="00084397">
      <w:pPr>
        <w:pStyle w:val="HUNNormal"/>
        <w:keepNext/>
      </w:pPr>
      <w:r>
        <w:t xml:space="preserve">A foglalkoztatási hatás becslésének </w:t>
      </w:r>
      <w:r w:rsidRPr="00DD4D08">
        <w:rPr>
          <w:b/>
        </w:rPr>
        <w:t>második körében</w:t>
      </w:r>
      <w:r>
        <w:t xml:space="preserve"> összehasonlítottuk a támogatási kérelem adatlapon megadott induló időszaki (tényleges) és a beruházás lezárása utáni időszak (tervezett) </w:t>
      </w:r>
      <w:proofErr w:type="gramStart"/>
      <w:r>
        <w:t>létszámai</w:t>
      </w:r>
      <w:r>
        <w:rPr>
          <w:rStyle w:val="FootnoteReference"/>
        </w:rPr>
        <w:footnoteReference w:id="28"/>
      </w:r>
      <w:r>
        <w:t>.</w:t>
      </w:r>
      <w:proofErr w:type="gramEnd"/>
      <w:r>
        <w:t xml:space="preserve"> Az ö</w:t>
      </w:r>
      <w:r>
        <w:t>s</w:t>
      </w:r>
      <w:r>
        <w:t>szehasonlítás eredményét a következő táblázat mutatja be. Ezek alapján megállapítható, hogy létszámleép</w:t>
      </w:r>
      <w:r>
        <w:t>í</w:t>
      </w:r>
      <w:r>
        <w:t>téssel csak két jogcím számolt (Öntözés és Szárítók támogatása), ami ilyen jellegű technológiai beruházások esetében racionális döntésként értelmezhető, a többi jogcímben ezzel szemben létszámbővítéssel terveznek a kedvezményezettek.</w:t>
      </w:r>
    </w:p>
    <w:p w:rsidR="00084397" w:rsidRDefault="00084397" w:rsidP="00084397">
      <w:pPr>
        <w:pStyle w:val="HUNNormal"/>
        <w:jc w:val="center"/>
        <w:rPr>
          <w:highlight w:val="yellow"/>
        </w:rPr>
      </w:pPr>
      <w:r>
        <w:rPr>
          <w:noProof/>
        </w:rPr>
        <w:drawing>
          <wp:inline distT="0" distB="0" distL="0" distR="0">
            <wp:extent cx="4614454" cy="1543050"/>
            <wp:effectExtent l="19050" t="0" r="0" b="0"/>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srcRect l="2455" t="24084" r="46154" b="48429"/>
                    <a:stretch>
                      <a:fillRect/>
                    </a:stretch>
                  </pic:blipFill>
                  <pic:spPr bwMode="auto">
                    <a:xfrm>
                      <a:off x="0" y="0"/>
                      <a:ext cx="4614454" cy="1543050"/>
                    </a:xfrm>
                    <a:prstGeom prst="rect">
                      <a:avLst/>
                    </a:prstGeom>
                    <a:noFill/>
                    <a:ln w="9525">
                      <a:noFill/>
                      <a:miter lim="800000"/>
                      <a:headEnd/>
                      <a:tailEnd/>
                    </a:ln>
                  </pic:spPr>
                </pic:pic>
              </a:graphicData>
            </a:graphic>
          </wp:inline>
        </w:drawing>
      </w:r>
    </w:p>
    <w:p w:rsidR="00084397" w:rsidRPr="003A2682" w:rsidRDefault="003F44DC" w:rsidP="00084397">
      <w:pPr>
        <w:pStyle w:val="Caption"/>
        <w:jc w:val="center"/>
        <w:rPr>
          <w:color w:val="auto"/>
          <w:highlight w:val="yellow"/>
        </w:rPr>
      </w:pPr>
      <w:r w:rsidRPr="007578EF">
        <w:rPr>
          <w:color w:val="auto"/>
        </w:rPr>
        <w:fldChar w:fldCharType="begin"/>
      </w:r>
      <w:r w:rsidR="00084397" w:rsidRPr="007578EF">
        <w:rPr>
          <w:color w:val="auto"/>
        </w:rPr>
        <w:instrText xml:space="preserve"> SEQ táblázat \* ARABIC </w:instrText>
      </w:r>
      <w:r w:rsidRPr="007578EF">
        <w:rPr>
          <w:color w:val="auto"/>
        </w:rPr>
        <w:fldChar w:fldCharType="separate"/>
      </w:r>
      <w:r w:rsidR="002D1B7A">
        <w:rPr>
          <w:noProof/>
          <w:color w:val="auto"/>
        </w:rPr>
        <w:t>15</w:t>
      </w:r>
      <w:r w:rsidRPr="007578EF">
        <w:rPr>
          <w:color w:val="auto"/>
        </w:rPr>
        <w:fldChar w:fldCharType="end"/>
      </w:r>
      <w:r w:rsidR="00084397" w:rsidRPr="007578EF">
        <w:rPr>
          <w:color w:val="auto"/>
        </w:rPr>
        <w:t>. t</w:t>
      </w:r>
      <w:r w:rsidR="00084397" w:rsidRPr="003A2682">
        <w:rPr>
          <w:color w:val="auto"/>
        </w:rPr>
        <w:t>áblázat: További jogcímek tervezett létszámváltozásai</w:t>
      </w:r>
    </w:p>
    <w:p w:rsidR="00084397" w:rsidRDefault="00084397" w:rsidP="00084397">
      <w:pPr>
        <w:pStyle w:val="HUNNormal"/>
      </w:pPr>
      <w:r>
        <w:t xml:space="preserve">A létszámadatok mélyebb elemzéséhez megvizsgáltuk két jogcím esetében (ÁTK, Gépbeszerzés), milyen </w:t>
      </w:r>
      <w:r w:rsidRPr="008958A5">
        <w:rPr>
          <w:b/>
        </w:rPr>
        <w:t>létszám-vállalásokat</w:t>
      </w:r>
      <w:r>
        <w:t xml:space="preserve"> tettek a pályázók gazdasági </w:t>
      </w:r>
      <w:r w:rsidRPr="008958A5">
        <w:rPr>
          <w:b/>
        </w:rPr>
        <w:t>méretnagyság</w:t>
      </w:r>
      <w:r>
        <w:t xml:space="preserve"> </w:t>
      </w:r>
      <w:r w:rsidRPr="008958A5">
        <w:rPr>
          <w:b/>
        </w:rPr>
        <w:t>szerint</w:t>
      </w:r>
      <w:r>
        <w:rPr>
          <w:b/>
        </w:rPr>
        <w:t xml:space="preserve"> (SFH érték alapján)</w:t>
      </w:r>
      <w:r>
        <w:t>.</w:t>
      </w:r>
    </w:p>
    <w:tbl>
      <w:tblPr>
        <w:tblStyle w:val="MediumGrid3-Accent2"/>
        <w:tblW w:w="0" w:type="auto"/>
        <w:tblLook w:val="04A0"/>
      </w:tblPr>
      <w:tblGrid>
        <w:gridCol w:w="2384"/>
        <w:gridCol w:w="2138"/>
        <w:gridCol w:w="1695"/>
        <w:gridCol w:w="1581"/>
        <w:gridCol w:w="1581"/>
      </w:tblGrid>
      <w:tr w:rsidR="00084397" w:rsidRPr="00314A63" w:rsidTr="00084397">
        <w:trPr>
          <w:cnfStyle w:val="100000000000"/>
          <w:trHeight w:val="255"/>
          <w:tblHeader/>
        </w:trPr>
        <w:tc>
          <w:tcPr>
            <w:cnfStyle w:val="001000000000"/>
            <w:tcW w:w="2384" w:type="dxa"/>
            <w:noWrap/>
            <w:vAlign w:val="center"/>
            <w:hideMark/>
          </w:tcPr>
          <w:p w:rsidR="00084397" w:rsidRPr="00314A63" w:rsidRDefault="00084397" w:rsidP="00084397">
            <w:pPr>
              <w:jc w:val="center"/>
              <w:rPr>
                <w:sz w:val="18"/>
              </w:rPr>
            </w:pPr>
            <w:r w:rsidRPr="00314A63">
              <w:rPr>
                <w:sz w:val="18"/>
              </w:rPr>
              <w:t>Méretkategóriák SFH 2007 alapján (ÁTK I-II.)</w:t>
            </w:r>
          </w:p>
        </w:tc>
        <w:tc>
          <w:tcPr>
            <w:tcW w:w="2138" w:type="dxa"/>
            <w:noWrap/>
            <w:vAlign w:val="center"/>
            <w:hideMark/>
          </w:tcPr>
          <w:p w:rsidR="00084397" w:rsidRPr="00314A63" w:rsidRDefault="00084397" w:rsidP="00084397">
            <w:pPr>
              <w:jc w:val="center"/>
              <w:cnfStyle w:val="100000000000"/>
              <w:rPr>
                <w:sz w:val="18"/>
              </w:rPr>
            </w:pPr>
            <w:r>
              <w:rPr>
                <w:sz w:val="18"/>
              </w:rPr>
              <w:t>Átlagos támogatási ö</w:t>
            </w:r>
            <w:r>
              <w:rPr>
                <w:sz w:val="18"/>
              </w:rPr>
              <w:t>s</w:t>
            </w:r>
            <w:r>
              <w:rPr>
                <w:sz w:val="18"/>
              </w:rPr>
              <w:t>szegek</w:t>
            </w:r>
          </w:p>
        </w:tc>
        <w:tc>
          <w:tcPr>
            <w:tcW w:w="1695" w:type="dxa"/>
            <w:noWrap/>
            <w:vAlign w:val="center"/>
            <w:hideMark/>
          </w:tcPr>
          <w:p w:rsidR="00084397" w:rsidRPr="00314A63" w:rsidRDefault="00084397" w:rsidP="00084397">
            <w:pPr>
              <w:jc w:val="center"/>
              <w:cnfStyle w:val="100000000000"/>
              <w:rPr>
                <w:sz w:val="18"/>
              </w:rPr>
            </w:pPr>
            <w:r w:rsidRPr="00314A63">
              <w:rPr>
                <w:sz w:val="18"/>
              </w:rPr>
              <w:t>Tervezett létszá</w:t>
            </w:r>
            <w:r w:rsidRPr="00314A63">
              <w:rPr>
                <w:sz w:val="18"/>
              </w:rPr>
              <w:t>m</w:t>
            </w:r>
            <w:r w:rsidRPr="00314A63">
              <w:rPr>
                <w:sz w:val="18"/>
              </w:rPr>
              <w:t>bővítés</w:t>
            </w:r>
          </w:p>
        </w:tc>
        <w:tc>
          <w:tcPr>
            <w:tcW w:w="1581" w:type="dxa"/>
            <w:noWrap/>
            <w:vAlign w:val="center"/>
            <w:hideMark/>
          </w:tcPr>
          <w:p w:rsidR="00084397" w:rsidRDefault="00084397" w:rsidP="00084397">
            <w:pPr>
              <w:jc w:val="center"/>
              <w:cnfStyle w:val="100000000000"/>
              <w:rPr>
                <w:color w:val="FFFFFF"/>
                <w:sz w:val="18"/>
                <w:szCs w:val="18"/>
              </w:rPr>
            </w:pPr>
            <w:r>
              <w:rPr>
                <w:color w:val="FFFFFF"/>
                <w:sz w:val="18"/>
                <w:szCs w:val="18"/>
              </w:rPr>
              <w:t xml:space="preserve">Átlaglétszám (fejlesztés előtti tény) </w:t>
            </w:r>
          </w:p>
        </w:tc>
        <w:tc>
          <w:tcPr>
            <w:tcW w:w="1581" w:type="dxa"/>
            <w:noWrap/>
            <w:vAlign w:val="center"/>
            <w:hideMark/>
          </w:tcPr>
          <w:p w:rsidR="00084397" w:rsidRDefault="00084397" w:rsidP="00084397">
            <w:pPr>
              <w:jc w:val="center"/>
              <w:cnfStyle w:val="100000000000"/>
              <w:rPr>
                <w:color w:val="FFFFFF"/>
                <w:sz w:val="18"/>
                <w:szCs w:val="18"/>
              </w:rPr>
            </w:pPr>
            <w:r>
              <w:rPr>
                <w:color w:val="FFFFFF"/>
                <w:sz w:val="18"/>
                <w:szCs w:val="18"/>
              </w:rPr>
              <w:t>Átlaglétszám (fejlesztés utánra vállalt)</w:t>
            </w:r>
          </w:p>
        </w:tc>
      </w:tr>
      <w:tr w:rsidR="00084397" w:rsidRPr="00314A63" w:rsidTr="00084397">
        <w:trPr>
          <w:cnfStyle w:val="000000100000"/>
          <w:trHeight w:val="255"/>
        </w:trPr>
        <w:tc>
          <w:tcPr>
            <w:cnfStyle w:val="001000000000"/>
            <w:tcW w:w="2384" w:type="dxa"/>
            <w:noWrap/>
            <w:vAlign w:val="center"/>
            <w:hideMark/>
          </w:tcPr>
          <w:p w:rsidR="00084397" w:rsidRPr="007C1861" w:rsidRDefault="00084397" w:rsidP="00084397">
            <w:pPr>
              <w:jc w:val="center"/>
              <w:rPr>
                <w:sz w:val="18"/>
                <w:szCs w:val="18"/>
              </w:rPr>
            </w:pPr>
            <w:r w:rsidRPr="007C1861">
              <w:rPr>
                <w:sz w:val="18"/>
                <w:szCs w:val="18"/>
              </w:rPr>
              <w:t xml:space="preserve">Nagy </w:t>
            </w:r>
            <w:r>
              <w:rPr>
                <w:sz w:val="18"/>
                <w:szCs w:val="18"/>
              </w:rPr>
              <w:t>gazdálkodó</w:t>
            </w:r>
          </w:p>
        </w:tc>
        <w:tc>
          <w:tcPr>
            <w:tcW w:w="2138" w:type="dxa"/>
            <w:noWrap/>
            <w:vAlign w:val="center"/>
            <w:hideMark/>
          </w:tcPr>
          <w:p w:rsidR="00084397" w:rsidRDefault="00084397" w:rsidP="00084397">
            <w:pPr>
              <w:jc w:val="center"/>
              <w:cnfStyle w:val="000000100000"/>
              <w:rPr>
                <w:color w:val="000000"/>
                <w:sz w:val="18"/>
                <w:szCs w:val="18"/>
              </w:rPr>
            </w:pPr>
            <w:r>
              <w:rPr>
                <w:color w:val="000000"/>
                <w:sz w:val="18"/>
                <w:szCs w:val="18"/>
              </w:rPr>
              <w:t>236 952 298,88 Ft</w:t>
            </w:r>
          </w:p>
        </w:tc>
        <w:tc>
          <w:tcPr>
            <w:tcW w:w="1695" w:type="dxa"/>
            <w:noWrap/>
            <w:vAlign w:val="center"/>
            <w:hideMark/>
          </w:tcPr>
          <w:p w:rsidR="00084397" w:rsidRPr="007C1861" w:rsidRDefault="00084397" w:rsidP="00084397">
            <w:pPr>
              <w:jc w:val="center"/>
              <w:cnfStyle w:val="000000100000"/>
              <w:rPr>
                <w:b/>
                <w:i/>
                <w:color w:val="000000"/>
                <w:sz w:val="18"/>
                <w:szCs w:val="18"/>
              </w:rPr>
            </w:pPr>
            <w:r>
              <w:rPr>
                <w:b/>
                <w:i/>
                <w:color w:val="000000"/>
                <w:sz w:val="18"/>
                <w:szCs w:val="18"/>
              </w:rPr>
              <w:t>-</w:t>
            </w:r>
            <w:r w:rsidRPr="007C1861">
              <w:rPr>
                <w:b/>
                <w:i/>
                <w:color w:val="000000"/>
                <w:sz w:val="18"/>
                <w:szCs w:val="18"/>
              </w:rPr>
              <w:t xml:space="preserve"> 2 917,50</w:t>
            </w:r>
          </w:p>
        </w:tc>
        <w:tc>
          <w:tcPr>
            <w:tcW w:w="1581" w:type="dxa"/>
            <w:noWrap/>
            <w:vAlign w:val="center"/>
            <w:hideMark/>
          </w:tcPr>
          <w:p w:rsidR="00084397" w:rsidRDefault="00084397" w:rsidP="00084397">
            <w:pPr>
              <w:jc w:val="center"/>
              <w:cnfStyle w:val="000000100000"/>
              <w:rPr>
                <w:color w:val="000000"/>
                <w:sz w:val="18"/>
                <w:szCs w:val="18"/>
              </w:rPr>
            </w:pPr>
            <w:r>
              <w:rPr>
                <w:color w:val="000000"/>
                <w:sz w:val="18"/>
                <w:szCs w:val="18"/>
              </w:rPr>
              <w:t>47 320,00</w:t>
            </w:r>
          </w:p>
        </w:tc>
        <w:tc>
          <w:tcPr>
            <w:tcW w:w="1581" w:type="dxa"/>
            <w:noWrap/>
            <w:vAlign w:val="center"/>
            <w:hideMark/>
          </w:tcPr>
          <w:p w:rsidR="00084397" w:rsidRDefault="00084397" w:rsidP="00084397">
            <w:pPr>
              <w:jc w:val="center"/>
              <w:cnfStyle w:val="000000100000"/>
              <w:rPr>
                <w:color w:val="000000"/>
                <w:sz w:val="18"/>
                <w:szCs w:val="18"/>
              </w:rPr>
            </w:pPr>
            <w:r>
              <w:rPr>
                <w:color w:val="000000"/>
                <w:sz w:val="18"/>
                <w:szCs w:val="18"/>
              </w:rPr>
              <w:t>44 402,50</w:t>
            </w:r>
          </w:p>
        </w:tc>
      </w:tr>
      <w:tr w:rsidR="00084397" w:rsidRPr="00314A63" w:rsidTr="00084397">
        <w:trPr>
          <w:trHeight w:val="255"/>
        </w:trPr>
        <w:tc>
          <w:tcPr>
            <w:cnfStyle w:val="001000000000"/>
            <w:tcW w:w="2384" w:type="dxa"/>
            <w:noWrap/>
            <w:vAlign w:val="center"/>
            <w:hideMark/>
          </w:tcPr>
          <w:p w:rsidR="00084397" w:rsidRPr="007C1861" w:rsidRDefault="00084397" w:rsidP="00084397">
            <w:pPr>
              <w:jc w:val="center"/>
              <w:rPr>
                <w:sz w:val="18"/>
                <w:szCs w:val="18"/>
              </w:rPr>
            </w:pPr>
            <w:r w:rsidRPr="007C1861">
              <w:rPr>
                <w:sz w:val="18"/>
                <w:szCs w:val="18"/>
              </w:rPr>
              <w:t>Középgazdálkodó</w:t>
            </w:r>
          </w:p>
        </w:tc>
        <w:tc>
          <w:tcPr>
            <w:tcW w:w="2138" w:type="dxa"/>
            <w:noWrap/>
            <w:vAlign w:val="center"/>
            <w:hideMark/>
          </w:tcPr>
          <w:p w:rsidR="00084397" w:rsidRDefault="00084397" w:rsidP="00084397">
            <w:pPr>
              <w:jc w:val="center"/>
              <w:cnfStyle w:val="000000000000"/>
              <w:rPr>
                <w:color w:val="000000"/>
                <w:sz w:val="18"/>
                <w:szCs w:val="18"/>
              </w:rPr>
            </w:pPr>
            <w:r>
              <w:rPr>
                <w:color w:val="000000"/>
                <w:sz w:val="18"/>
                <w:szCs w:val="18"/>
              </w:rPr>
              <w:t>106 638 702,54 Ft</w:t>
            </w:r>
          </w:p>
        </w:tc>
        <w:tc>
          <w:tcPr>
            <w:tcW w:w="1695" w:type="dxa"/>
            <w:noWrap/>
            <w:vAlign w:val="center"/>
            <w:hideMark/>
          </w:tcPr>
          <w:p w:rsidR="00084397" w:rsidRDefault="00084397" w:rsidP="00084397">
            <w:pPr>
              <w:jc w:val="center"/>
              <w:cnfStyle w:val="000000000000"/>
              <w:rPr>
                <w:color w:val="000000"/>
                <w:sz w:val="18"/>
                <w:szCs w:val="18"/>
              </w:rPr>
            </w:pPr>
            <w:r>
              <w:rPr>
                <w:color w:val="000000"/>
                <w:sz w:val="18"/>
                <w:szCs w:val="18"/>
              </w:rPr>
              <w:t>89,90</w:t>
            </w:r>
          </w:p>
        </w:tc>
        <w:tc>
          <w:tcPr>
            <w:tcW w:w="1581" w:type="dxa"/>
            <w:noWrap/>
            <w:vAlign w:val="center"/>
            <w:hideMark/>
          </w:tcPr>
          <w:p w:rsidR="00084397" w:rsidRDefault="00084397" w:rsidP="00084397">
            <w:pPr>
              <w:jc w:val="center"/>
              <w:cnfStyle w:val="000000000000"/>
              <w:rPr>
                <w:color w:val="000000"/>
                <w:sz w:val="18"/>
                <w:szCs w:val="18"/>
              </w:rPr>
            </w:pPr>
            <w:r>
              <w:rPr>
                <w:color w:val="000000"/>
                <w:sz w:val="18"/>
                <w:szCs w:val="18"/>
              </w:rPr>
              <w:t>12 435,40</w:t>
            </w:r>
          </w:p>
        </w:tc>
        <w:tc>
          <w:tcPr>
            <w:tcW w:w="1581" w:type="dxa"/>
            <w:noWrap/>
            <w:vAlign w:val="center"/>
            <w:hideMark/>
          </w:tcPr>
          <w:p w:rsidR="00084397" w:rsidRDefault="00084397" w:rsidP="00084397">
            <w:pPr>
              <w:jc w:val="center"/>
              <w:cnfStyle w:val="000000000000"/>
              <w:rPr>
                <w:color w:val="000000"/>
                <w:sz w:val="18"/>
                <w:szCs w:val="18"/>
              </w:rPr>
            </w:pPr>
            <w:r>
              <w:rPr>
                <w:color w:val="000000"/>
                <w:sz w:val="18"/>
                <w:szCs w:val="18"/>
              </w:rPr>
              <w:t>12 525,30</w:t>
            </w:r>
          </w:p>
        </w:tc>
      </w:tr>
      <w:tr w:rsidR="00084397" w:rsidRPr="00314A63" w:rsidTr="00084397">
        <w:trPr>
          <w:cnfStyle w:val="000000100000"/>
          <w:trHeight w:val="255"/>
        </w:trPr>
        <w:tc>
          <w:tcPr>
            <w:cnfStyle w:val="001000000000"/>
            <w:tcW w:w="2384" w:type="dxa"/>
            <w:noWrap/>
            <w:vAlign w:val="center"/>
            <w:hideMark/>
          </w:tcPr>
          <w:p w:rsidR="00084397" w:rsidRPr="007C1861" w:rsidRDefault="00084397" w:rsidP="00084397">
            <w:pPr>
              <w:jc w:val="center"/>
              <w:rPr>
                <w:sz w:val="18"/>
                <w:szCs w:val="18"/>
              </w:rPr>
            </w:pPr>
            <w:r w:rsidRPr="007C1861">
              <w:rPr>
                <w:sz w:val="18"/>
                <w:szCs w:val="18"/>
              </w:rPr>
              <w:t xml:space="preserve">Kis </w:t>
            </w:r>
            <w:r>
              <w:rPr>
                <w:sz w:val="18"/>
                <w:szCs w:val="18"/>
              </w:rPr>
              <w:t>gazdálkodó</w:t>
            </w:r>
          </w:p>
        </w:tc>
        <w:tc>
          <w:tcPr>
            <w:tcW w:w="2138" w:type="dxa"/>
            <w:noWrap/>
            <w:vAlign w:val="center"/>
            <w:hideMark/>
          </w:tcPr>
          <w:p w:rsidR="00084397" w:rsidRDefault="00084397" w:rsidP="00084397">
            <w:pPr>
              <w:jc w:val="center"/>
              <w:cnfStyle w:val="000000100000"/>
              <w:rPr>
                <w:color w:val="000000"/>
                <w:sz w:val="18"/>
                <w:szCs w:val="18"/>
              </w:rPr>
            </w:pPr>
            <w:r>
              <w:rPr>
                <w:color w:val="000000"/>
                <w:sz w:val="18"/>
                <w:szCs w:val="18"/>
              </w:rPr>
              <w:t>77 833 970,96 Ft</w:t>
            </w:r>
          </w:p>
        </w:tc>
        <w:tc>
          <w:tcPr>
            <w:tcW w:w="1695" w:type="dxa"/>
            <w:noWrap/>
            <w:vAlign w:val="center"/>
            <w:hideMark/>
          </w:tcPr>
          <w:p w:rsidR="00084397" w:rsidRDefault="00084397" w:rsidP="00084397">
            <w:pPr>
              <w:jc w:val="center"/>
              <w:cnfStyle w:val="000000100000"/>
              <w:rPr>
                <w:color w:val="000000"/>
                <w:sz w:val="18"/>
                <w:szCs w:val="18"/>
              </w:rPr>
            </w:pPr>
            <w:r>
              <w:rPr>
                <w:color w:val="000000"/>
                <w:sz w:val="18"/>
                <w:szCs w:val="18"/>
              </w:rPr>
              <w:t>524,80</w:t>
            </w:r>
          </w:p>
        </w:tc>
        <w:tc>
          <w:tcPr>
            <w:tcW w:w="1581" w:type="dxa"/>
            <w:noWrap/>
            <w:vAlign w:val="center"/>
            <w:hideMark/>
          </w:tcPr>
          <w:p w:rsidR="00084397" w:rsidRDefault="00084397" w:rsidP="00084397">
            <w:pPr>
              <w:jc w:val="center"/>
              <w:cnfStyle w:val="000000100000"/>
              <w:rPr>
                <w:color w:val="000000"/>
                <w:sz w:val="18"/>
                <w:szCs w:val="18"/>
              </w:rPr>
            </w:pPr>
            <w:r>
              <w:rPr>
                <w:color w:val="000000"/>
                <w:sz w:val="18"/>
                <w:szCs w:val="18"/>
              </w:rPr>
              <w:t>2 403,20</w:t>
            </w:r>
          </w:p>
        </w:tc>
        <w:tc>
          <w:tcPr>
            <w:tcW w:w="1581" w:type="dxa"/>
            <w:noWrap/>
            <w:vAlign w:val="center"/>
            <w:hideMark/>
          </w:tcPr>
          <w:p w:rsidR="00084397" w:rsidRDefault="00084397" w:rsidP="00084397">
            <w:pPr>
              <w:jc w:val="center"/>
              <w:cnfStyle w:val="000000100000"/>
              <w:rPr>
                <w:color w:val="000000"/>
                <w:sz w:val="18"/>
                <w:szCs w:val="18"/>
              </w:rPr>
            </w:pPr>
            <w:r>
              <w:rPr>
                <w:color w:val="000000"/>
                <w:sz w:val="18"/>
                <w:szCs w:val="18"/>
              </w:rPr>
              <w:t>2 928,00</w:t>
            </w:r>
          </w:p>
        </w:tc>
      </w:tr>
      <w:tr w:rsidR="00084397" w:rsidRPr="00314A63" w:rsidTr="00084397">
        <w:trPr>
          <w:trHeight w:val="255"/>
        </w:trPr>
        <w:tc>
          <w:tcPr>
            <w:cnfStyle w:val="001000000000"/>
            <w:tcW w:w="2384" w:type="dxa"/>
            <w:noWrap/>
            <w:vAlign w:val="center"/>
            <w:hideMark/>
          </w:tcPr>
          <w:p w:rsidR="00084397" w:rsidRPr="007C1861" w:rsidRDefault="00084397" w:rsidP="00084397">
            <w:pPr>
              <w:jc w:val="center"/>
              <w:rPr>
                <w:sz w:val="18"/>
                <w:szCs w:val="18"/>
              </w:rPr>
            </w:pPr>
            <w:r w:rsidRPr="007C1861">
              <w:rPr>
                <w:sz w:val="18"/>
                <w:szCs w:val="18"/>
              </w:rPr>
              <w:t xml:space="preserve">Mikro </w:t>
            </w:r>
            <w:r>
              <w:rPr>
                <w:sz w:val="18"/>
                <w:szCs w:val="18"/>
              </w:rPr>
              <w:t>gazdálkodó</w:t>
            </w:r>
          </w:p>
        </w:tc>
        <w:tc>
          <w:tcPr>
            <w:tcW w:w="2138" w:type="dxa"/>
            <w:noWrap/>
            <w:vAlign w:val="center"/>
            <w:hideMark/>
          </w:tcPr>
          <w:p w:rsidR="00084397" w:rsidRDefault="00084397" w:rsidP="00084397">
            <w:pPr>
              <w:jc w:val="center"/>
              <w:cnfStyle w:val="000000000000"/>
              <w:rPr>
                <w:color w:val="000000"/>
                <w:sz w:val="18"/>
                <w:szCs w:val="18"/>
              </w:rPr>
            </w:pPr>
            <w:r>
              <w:rPr>
                <w:color w:val="000000"/>
                <w:sz w:val="18"/>
                <w:szCs w:val="18"/>
              </w:rPr>
              <w:t>39 673 335,95 Ft</w:t>
            </w:r>
          </w:p>
        </w:tc>
        <w:tc>
          <w:tcPr>
            <w:tcW w:w="1695" w:type="dxa"/>
            <w:noWrap/>
            <w:vAlign w:val="center"/>
            <w:hideMark/>
          </w:tcPr>
          <w:p w:rsidR="00084397" w:rsidRDefault="00084397" w:rsidP="00084397">
            <w:pPr>
              <w:jc w:val="center"/>
              <w:cnfStyle w:val="000000000000"/>
              <w:rPr>
                <w:color w:val="000000"/>
                <w:sz w:val="18"/>
                <w:szCs w:val="18"/>
              </w:rPr>
            </w:pPr>
            <w:r>
              <w:rPr>
                <w:color w:val="000000"/>
                <w:sz w:val="18"/>
                <w:szCs w:val="18"/>
              </w:rPr>
              <w:t>409,90</w:t>
            </w:r>
          </w:p>
        </w:tc>
        <w:tc>
          <w:tcPr>
            <w:tcW w:w="1581" w:type="dxa"/>
            <w:noWrap/>
            <w:vAlign w:val="center"/>
            <w:hideMark/>
          </w:tcPr>
          <w:p w:rsidR="00084397" w:rsidRDefault="00084397" w:rsidP="00084397">
            <w:pPr>
              <w:jc w:val="center"/>
              <w:cnfStyle w:val="000000000000"/>
              <w:rPr>
                <w:color w:val="000000"/>
                <w:sz w:val="18"/>
                <w:szCs w:val="18"/>
              </w:rPr>
            </w:pPr>
            <w:r>
              <w:rPr>
                <w:color w:val="000000"/>
                <w:sz w:val="18"/>
                <w:szCs w:val="18"/>
              </w:rPr>
              <w:t>1 136,10</w:t>
            </w:r>
          </w:p>
        </w:tc>
        <w:tc>
          <w:tcPr>
            <w:tcW w:w="1581" w:type="dxa"/>
            <w:noWrap/>
            <w:vAlign w:val="center"/>
            <w:hideMark/>
          </w:tcPr>
          <w:p w:rsidR="00084397" w:rsidRDefault="00084397" w:rsidP="00084397">
            <w:pPr>
              <w:jc w:val="center"/>
              <w:cnfStyle w:val="000000000000"/>
              <w:rPr>
                <w:color w:val="000000"/>
                <w:sz w:val="18"/>
                <w:szCs w:val="18"/>
              </w:rPr>
            </w:pPr>
            <w:r>
              <w:rPr>
                <w:color w:val="000000"/>
                <w:sz w:val="18"/>
                <w:szCs w:val="18"/>
              </w:rPr>
              <w:t>1 546,00</w:t>
            </w:r>
          </w:p>
        </w:tc>
      </w:tr>
      <w:tr w:rsidR="00084397" w:rsidRPr="00314A63" w:rsidTr="00084397">
        <w:trPr>
          <w:cnfStyle w:val="000000100000"/>
          <w:trHeight w:val="270"/>
        </w:trPr>
        <w:tc>
          <w:tcPr>
            <w:cnfStyle w:val="001000000000"/>
            <w:tcW w:w="2384" w:type="dxa"/>
            <w:noWrap/>
            <w:vAlign w:val="center"/>
            <w:hideMark/>
          </w:tcPr>
          <w:p w:rsidR="00084397" w:rsidRPr="00314A63" w:rsidRDefault="00084397" w:rsidP="00084397">
            <w:pPr>
              <w:jc w:val="center"/>
              <w:rPr>
                <w:sz w:val="18"/>
              </w:rPr>
            </w:pPr>
            <w:r w:rsidRPr="00314A63">
              <w:rPr>
                <w:sz w:val="18"/>
              </w:rPr>
              <w:t>Nincs beosztályozva</w:t>
            </w:r>
            <w:r w:rsidRPr="00314A63">
              <w:rPr>
                <w:rStyle w:val="FootnoteReference"/>
                <w:sz w:val="18"/>
              </w:rPr>
              <w:footnoteReference w:id="29"/>
            </w:r>
          </w:p>
        </w:tc>
        <w:tc>
          <w:tcPr>
            <w:tcW w:w="2138" w:type="dxa"/>
            <w:noWrap/>
            <w:vAlign w:val="center"/>
            <w:hideMark/>
          </w:tcPr>
          <w:p w:rsidR="00084397" w:rsidRDefault="00084397" w:rsidP="00084397">
            <w:pPr>
              <w:jc w:val="center"/>
              <w:cnfStyle w:val="000000100000"/>
              <w:rPr>
                <w:color w:val="000000"/>
                <w:sz w:val="18"/>
                <w:szCs w:val="18"/>
              </w:rPr>
            </w:pPr>
            <w:r>
              <w:rPr>
                <w:color w:val="000000"/>
                <w:sz w:val="18"/>
                <w:szCs w:val="18"/>
              </w:rPr>
              <w:t>20 772 263,25 Ft</w:t>
            </w:r>
          </w:p>
        </w:tc>
        <w:tc>
          <w:tcPr>
            <w:tcW w:w="1695" w:type="dxa"/>
            <w:noWrap/>
            <w:vAlign w:val="center"/>
            <w:hideMark/>
          </w:tcPr>
          <w:p w:rsidR="00084397" w:rsidRDefault="00084397" w:rsidP="00084397">
            <w:pPr>
              <w:jc w:val="center"/>
              <w:cnfStyle w:val="000000100000"/>
              <w:rPr>
                <w:color w:val="000000"/>
                <w:sz w:val="18"/>
                <w:szCs w:val="18"/>
              </w:rPr>
            </w:pPr>
            <w:r>
              <w:rPr>
                <w:color w:val="000000"/>
                <w:sz w:val="18"/>
                <w:szCs w:val="18"/>
              </w:rPr>
              <w:t>258,50</w:t>
            </w:r>
          </w:p>
        </w:tc>
        <w:tc>
          <w:tcPr>
            <w:tcW w:w="1581" w:type="dxa"/>
            <w:noWrap/>
            <w:vAlign w:val="center"/>
            <w:hideMark/>
          </w:tcPr>
          <w:p w:rsidR="00084397" w:rsidRDefault="00084397" w:rsidP="00084397">
            <w:pPr>
              <w:jc w:val="center"/>
              <w:cnfStyle w:val="000000100000"/>
              <w:rPr>
                <w:color w:val="000000"/>
                <w:sz w:val="18"/>
                <w:szCs w:val="18"/>
              </w:rPr>
            </w:pPr>
            <w:r>
              <w:rPr>
                <w:color w:val="000000"/>
                <w:sz w:val="18"/>
                <w:szCs w:val="18"/>
              </w:rPr>
              <w:t>12 874,00</w:t>
            </w:r>
          </w:p>
        </w:tc>
        <w:tc>
          <w:tcPr>
            <w:tcW w:w="1581" w:type="dxa"/>
            <w:noWrap/>
            <w:vAlign w:val="center"/>
            <w:hideMark/>
          </w:tcPr>
          <w:p w:rsidR="00084397" w:rsidRDefault="00084397" w:rsidP="00084397">
            <w:pPr>
              <w:jc w:val="center"/>
              <w:cnfStyle w:val="000000100000"/>
              <w:rPr>
                <w:color w:val="000000"/>
                <w:sz w:val="18"/>
                <w:szCs w:val="18"/>
              </w:rPr>
            </w:pPr>
            <w:r>
              <w:rPr>
                <w:color w:val="000000"/>
                <w:sz w:val="18"/>
                <w:szCs w:val="18"/>
              </w:rPr>
              <w:t>13 132,50</w:t>
            </w:r>
          </w:p>
        </w:tc>
      </w:tr>
      <w:tr w:rsidR="00084397" w:rsidRPr="00314A63" w:rsidTr="00084397">
        <w:trPr>
          <w:trHeight w:val="285"/>
        </w:trPr>
        <w:tc>
          <w:tcPr>
            <w:cnfStyle w:val="001000000000"/>
            <w:tcW w:w="2384" w:type="dxa"/>
            <w:noWrap/>
            <w:vAlign w:val="center"/>
            <w:hideMark/>
          </w:tcPr>
          <w:p w:rsidR="00084397" w:rsidRPr="00314A63" w:rsidRDefault="00084397" w:rsidP="00084397">
            <w:pPr>
              <w:jc w:val="center"/>
              <w:rPr>
                <w:sz w:val="18"/>
              </w:rPr>
            </w:pPr>
            <w:r w:rsidRPr="00314A63">
              <w:rPr>
                <w:sz w:val="18"/>
              </w:rPr>
              <w:t>Összesen</w:t>
            </w:r>
          </w:p>
        </w:tc>
        <w:tc>
          <w:tcPr>
            <w:tcW w:w="2138" w:type="dxa"/>
            <w:noWrap/>
            <w:vAlign w:val="center"/>
            <w:hideMark/>
          </w:tcPr>
          <w:p w:rsidR="00084397" w:rsidRDefault="00084397" w:rsidP="00084397">
            <w:pPr>
              <w:jc w:val="center"/>
              <w:cnfStyle w:val="000000000000"/>
              <w:rPr>
                <w:b/>
                <w:bCs/>
                <w:color w:val="000000"/>
                <w:sz w:val="18"/>
                <w:szCs w:val="18"/>
              </w:rPr>
            </w:pPr>
            <w:r>
              <w:rPr>
                <w:b/>
                <w:bCs/>
                <w:color w:val="000000"/>
                <w:sz w:val="18"/>
                <w:szCs w:val="18"/>
              </w:rPr>
              <w:t>96 649 149,08 Ft</w:t>
            </w:r>
          </w:p>
        </w:tc>
        <w:tc>
          <w:tcPr>
            <w:tcW w:w="1695" w:type="dxa"/>
            <w:noWrap/>
            <w:vAlign w:val="center"/>
            <w:hideMark/>
          </w:tcPr>
          <w:p w:rsidR="00084397" w:rsidRDefault="00084397" w:rsidP="00084397">
            <w:pPr>
              <w:jc w:val="center"/>
              <w:cnfStyle w:val="000000000000"/>
              <w:rPr>
                <w:b/>
                <w:bCs/>
                <w:color w:val="000000"/>
                <w:sz w:val="18"/>
                <w:szCs w:val="18"/>
              </w:rPr>
            </w:pPr>
            <w:r>
              <w:rPr>
                <w:b/>
                <w:bCs/>
                <w:color w:val="000000"/>
                <w:sz w:val="18"/>
                <w:szCs w:val="18"/>
              </w:rPr>
              <w:t>- 1 634,40</w:t>
            </w:r>
          </w:p>
        </w:tc>
        <w:tc>
          <w:tcPr>
            <w:tcW w:w="1581" w:type="dxa"/>
            <w:noWrap/>
            <w:vAlign w:val="center"/>
            <w:hideMark/>
          </w:tcPr>
          <w:p w:rsidR="00084397" w:rsidRDefault="00084397" w:rsidP="00084397">
            <w:pPr>
              <w:jc w:val="center"/>
              <w:cnfStyle w:val="000000000000"/>
              <w:rPr>
                <w:b/>
                <w:bCs/>
                <w:color w:val="000000"/>
                <w:sz w:val="18"/>
                <w:szCs w:val="18"/>
              </w:rPr>
            </w:pPr>
            <w:r>
              <w:rPr>
                <w:b/>
                <w:bCs/>
                <w:color w:val="000000"/>
                <w:sz w:val="18"/>
                <w:szCs w:val="18"/>
              </w:rPr>
              <w:t>76 168,70</w:t>
            </w:r>
          </w:p>
        </w:tc>
        <w:tc>
          <w:tcPr>
            <w:tcW w:w="1581" w:type="dxa"/>
            <w:noWrap/>
            <w:vAlign w:val="center"/>
            <w:hideMark/>
          </w:tcPr>
          <w:p w:rsidR="00084397" w:rsidRDefault="00084397" w:rsidP="00084397">
            <w:pPr>
              <w:jc w:val="center"/>
              <w:cnfStyle w:val="000000000000"/>
              <w:rPr>
                <w:b/>
                <w:bCs/>
                <w:color w:val="000000"/>
                <w:sz w:val="18"/>
                <w:szCs w:val="18"/>
              </w:rPr>
            </w:pPr>
            <w:r>
              <w:rPr>
                <w:b/>
                <w:bCs/>
                <w:color w:val="000000"/>
                <w:sz w:val="18"/>
                <w:szCs w:val="18"/>
              </w:rPr>
              <w:t>74 534,30</w:t>
            </w:r>
          </w:p>
        </w:tc>
      </w:tr>
    </w:tbl>
    <w:bookmarkStart w:id="157" w:name="_Ref277782908"/>
    <w:p w:rsidR="00084397" w:rsidRPr="00A5419F" w:rsidRDefault="003F44DC" w:rsidP="00084397">
      <w:pPr>
        <w:pStyle w:val="Caption"/>
        <w:spacing w:before="240"/>
        <w:jc w:val="center"/>
        <w:rPr>
          <w:color w:val="auto"/>
        </w:rPr>
      </w:pPr>
      <w:r>
        <w:rPr>
          <w:color w:val="auto"/>
        </w:rPr>
        <w:fldChar w:fldCharType="begin"/>
      </w:r>
      <w:r w:rsidR="00084397">
        <w:rPr>
          <w:color w:val="auto"/>
        </w:rPr>
        <w:instrText xml:space="preserve"> SEQ táblázat \* ARABIC </w:instrText>
      </w:r>
      <w:r>
        <w:rPr>
          <w:color w:val="auto"/>
        </w:rPr>
        <w:fldChar w:fldCharType="separate"/>
      </w:r>
      <w:r w:rsidR="002D1B7A">
        <w:rPr>
          <w:noProof/>
          <w:color w:val="auto"/>
        </w:rPr>
        <w:t>16</w:t>
      </w:r>
      <w:r>
        <w:rPr>
          <w:color w:val="auto"/>
        </w:rPr>
        <w:fldChar w:fldCharType="end"/>
      </w:r>
      <w:r w:rsidR="00084397" w:rsidRPr="00A5419F">
        <w:rPr>
          <w:color w:val="auto"/>
        </w:rPr>
        <w:t>. táblázat</w:t>
      </w:r>
      <w:bookmarkEnd w:id="157"/>
      <w:r w:rsidR="00084397">
        <w:rPr>
          <w:color w:val="auto"/>
        </w:rPr>
        <w:t>: ÁTK I-II. Jóváhagyott támogatottakra vonatkozó tervezett létszám bővítési kimutatás SFH 2007 összegek alapján történt méretbesorolás szerint</w:t>
      </w:r>
    </w:p>
    <w:p w:rsidR="00084397" w:rsidRDefault="00084397" w:rsidP="00084397">
      <w:pPr>
        <w:spacing w:before="240"/>
        <w:jc w:val="both"/>
      </w:pPr>
      <w:r>
        <w:t xml:space="preserve">Mint azt a fenti táblázat </w:t>
      </w:r>
      <w:r w:rsidRPr="00EE49B3">
        <w:t>mutatja</w:t>
      </w:r>
      <w:r>
        <w:t xml:space="preserve"> (</w:t>
      </w:r>
      <w:r w:rsidR="003F44DC">
        <w:fldChar w:fldCharType="begin"/>
      </w:r>
      <w:r>
        <w:instrText xml:space="preserve"> REF _Ref277782908 \h </w:instrText>
      </w:r>
      <w:r w:rsidR="003F44DC">
        <w:fldChar w:fldCharType="separate"/>
      </w:r>
      <w:r w:rsidR="002D1B7A">
        <w:rPr>
          <w:noProof/>
        </w:rPr>
        <w:t>16</w:t>
      </w:r>
      <w:r w:rsidR="002D1B7A" w:rsidRPr="00A5419F">
        <w:t>. táblázat</w:t>
      </w:r>
      <w:r w:rsidR="003F44DC">
        <w:fldChar w:fldCharType="end"/>
      </w:r>
      <w:r>
        <w:t>)</w:t>
      </w:r>
      <w:r w:rsidRPr="00EE49B3">
        <w:t xml:space="preserve">, míg a mikro-, kis- és középméretű </w:t>
      </w:r>
      <w:r>
        <w:t>gazdálkodók</w:t>
      </w:r>
      <w:r w:rsidRPr="00EE49B3">
        <w:t xml:space="preserve"> esetében a munkahelyteremtő hatást tulajdoníthatunk a támogatásoknak, addig a „nagyok” a támogatások révén elért fejlesztések ellenére is jele</w:t>
      </w:r>
      <w:r>
        <w:t xml:space="preserve">ntős létszámleépítést terveznek az ÁTK I-II. </w:t>
      </w:r>
      <w:proofErr w:type="gramStart"/>
      <w:r>
        <w:t>jogcímekben</w:t>
      </w:r>
      <w:proofErr w:type="gramEnd"/>
      <w:r>
        <w:t xml:space="preserve">. Az ÁTK III. jogcímre – </w:t>
      </w:r>
      <w:r>
        <w:lastRenderedPageBreak/>
        <w:t>bár ebben a jogcímben még nincsenek megítélt támogatások – is elvégeztük a fenti elemzést, melynek eredményét az alábbi táblázat tartalmazza.</w:t>
      </w:r>
    </w:p>
    <w:p w:rsidR="00084397" w:rsidRDefault="00084397" w:rsidP="00084397">
      <w:pPr>
        <w:spacing w:before="240"/>
        <w:jc w:val="both"/>
      </w:pPr>
    </w:p>
    <w:tbl>
      <w:tblPr>
        <w:tblStyle w:val="MediumGrid3-Accent2"/>
        <w:tblW w:w="5000" w:type="pct"/>
        <w:tblLayout w:type="fixed"/>
        <w:tblLook w:val="04A0"/>
      </w:tblPr>
      <w:tblGrid>
        <w:gridCol w:w="2661"/>
        <w:gridCol w:w="2126"/>
        <w:gridCol w:w="1418"/>
        <w:gridCol w:w="1416"/>
        <w:gridCol w:w="1758"/>
      </w:tblGrid>
      <w:tr w:rsidR="00084397" w:rsidRPr="00C86F79" w:rsidTr="00084397">
        <w:trPr>
          <w:cnfStyle w:val="100000000000"/>
          <w:trHeight w:val="255"/>
        </w:trPr>
        <w:tc>
          <w:tcPr>
            <w:cnfStyle w:val="001000000000"/>
            <w:tcW w:w="1418" w:type="pct"/>
            <w:noWrap/>
            <w:vAlign w:val="center"/>
            <w:hideMark/>
          </w:tcPr>
          <w:p w:rsidR="00084397" w:rsidRDefault="00084397" w:rsidP="00084397">
            <w:pPr>
              <w:jc w:val="center"/>
              <w:rPr>
                <w:color w:val="FFFFFF"/>
                <w:sz w:val="18"/>
                <w:szCs w:val="18"/>
              </w:rPr>
            </w:pPr>
            <w:r w:rsidRPr="00314A63">
              <w:rPr>
                <w:sz w:val="18"/>
              </w:rPr>
              <w:t>Méretkategóriák SFH 2007 alapján (ÁTK I</w:t>
            </w:r>
            <w:r>
              <w:rPr>
                <w:sz w:val="18"/>
              </w:rPr>
              <w:t>II)</w:t>
            </w:r>
          </w:p>
        </w:tc>
        <w:tc>
          <w:tcPr>
            <w:tcW w:w="1133" w:type="pct"/>
            <w:vAlign w:val="center"/>
          </w:tcPr>
          <w:p w:rsidR="00084397" w:rsidRDefault="00084397" w:rsidP="00084397">
            <w:pPr>
              <w:jc w:val="center"/>
              <w:cnfStyle w:val="100000000000"/>
              <w:rPr>
                <w:color w:val="FFFFFF"/>
                <w:sz w:val="18"/>
                <w:szCs w:val="18"/>
              </w:rPr>
            </w:pPr>
            <w:r>
              <w:rPr>
                <w:color w:val="FFFFFF"/>
                <w:sz w:val="18"/>
                <w:szCs w:val="18"/>
              </w:rPr>
              <w:t>Igényelt támogatási összegek</w:t>
            </w:r>
          </w:p>
        </w:tc>
        <w:tc>
          <w:tcPr>
            <w:tcW w:w="756" w:type="pct"/>
            <w:vAlign w:val="center"/>
          </w:tcPr>
          <w:p w:rsidR="00084397" w:rsidRDefault="00084397" w:rsidP="00084397">
            <w:pPr>
              <w:jc w:val="center"/>
              <w:cnfStyle w:val="100000000000"/>
              <w:rPr>
                <w:color w:val="FFFFFF"/>
                <w:sz w:val="18"/>
                <w:szCs w:val="18"/>
              </w:rPr>
            </w:pPr>
            <w:r>
              <w:rPr>
                <w:color w:val="FFFFFF"/>
                <w:sz w:val="18"/>
                <w:szCs w:val="18"/>
              </w:rPr>
              <w:t>Tervezett lé</w:t>
            </w:r>
            <w:r>
              <w:rPr>
                <w:color w:val="FFFFFF"/>
                <w:sz w:val="18"/>
                <w:szCs w:val="18"/>
              </w:rPr>
              <w:t>t</w:t>
            </w:r>
            <w:r>
              <w:rPr>
                <w:color w:val="FFFFFF"/>
                <w:sz w:val="18"/>
                <w:szCs w:val="18"/>
              </w:rPr>
              <w:t>számbővítés</w:t>
            </w:r>
          </w:p>
        </w:tc>
        <w:tc>
          <w:tcPr>
            <w:tcW w:w="755" w:type="pct"/>
            <w:vAlign w:val="center"/>
          </w:tcPr>
          <w:p w:rsidR="00084397" w:rsidRDefault="00084397" w:rsidP="00084397">
            <w:pPr>
              <w:jc w:val="center"/>
              <w:cnfStyle w:val="100000000000"/>
              <w:rPr>
                <w:color w:val="FFFFFF"/>
                <w:sz w:val="18"/>
                <w:szCs w:val="18"/>
              </w:rPr>
            </w:pPr>
            <w:r>
              <w:rPr>
                <w:color w:val="FFFFFF"/>
                <w:sz w:val="18"/>
                <w:szCs w:val="18"/>
              </w:rPr>
              <w:t>Átlaglétszám (fejlesztés előtti tény)</w:t>
            </w:r>
          </w:p>
        </w:tc>
        <w:tc>
          <w:tcPr>
            <w:tcW w:w="937" w:type="pct"/>
            <w:noWrap/>
            <w:vAlign w:val="center"/>
            <w:hideMark/>
          </w:tcPr>
          <w:p w:rsidR="00084397" w:rsidRDefault="00084397" w:rsidP="00084397">
            <w:pPr>
              <w:jc w:val="center"/>
              <w:cnfStyle w:val="100000000000"/>
              <w:rPr>
                <w:color w:val="FFFFFF"/>
                <w:sz w:val="18"/>
                <w:szCs w:val="18"/>
              </w:rPr>
            </w:pPr>
            <w:r>
              <w:rPr>
                <w:color w:val="FFFFFF"/>
                <w:sz w:val="18"/>
                <w:szCs w:val="18"/>
              </w:rPr>
              <w:t>Átlaglétszám (fe</w:t>
            </w:r>
            <w:r>
              <w:rPr>
                <w:color w:val="FFFFFF"/>
                <w:sz w:val="18"/>
                <w:szCs w:val="18"/>
              </w:rPr>
              <w:t>j</w:t>
            </w:r>
            <w:r>
              <w:rPr>
                <w:color w:val="FFFFFF"/>
                <w:sz w:val="18"/>
                <w:szCs w:val="18"/>
              </w:rPr>
              <w:t>lesztés utánra vá</w:t>
            </w:r>
            <w:r>
              <w:rPr>
                <w:color w:val="FFFFFF"/>
                <w:sz w:val="18"/>
                <w:szCs w:val="18"/>
              </w:rPr>
              <w:t>l</w:t>
            </w:r>
            <w:r>
              <w:rPr>
                <w:color w:val="FFFFFF"/>
                <w:sz w:val="18"/>
                <w:szCs w:val="18"/>
              </w:rPr>
              <w:t>lalt)</w:t>
            </w:r>
          </w:p>
        </w:tc>
      </w:tr>
      <w:tr w:rsidR="00084397" w:rsidRPr="00C86F79" w:rsidTr="00084397">
        <w:trPr>
          <w:cnfStyle w:val="000000100000"/>
          <w:trHeight w:val="255"/>
        </w:trPr>
        <w:tc>
          <w:tcPr>
            <w:cnfStyle w:val="001000000000"/>
            <w:tcW w:w="1418" w:type="pct"/>
            <w:noWrap/>
            <w:vAlign w:val="center"/>
            <w:hideMark/>
          </w:tcPr>
          <w:p w:rsidR="00084397" w:rsidRPr="00E23D8F" w:rsidRDefault="00084397" w:rsidP="00084397">
            <w:pPr>
              <w:jc w:val="center"/>
              <w:rPr>
                <w:sz w:val="18"/>
                <w:szCs w:val="18"/>
              </w:rPr>
            </w:pPr>
            <w:r w:rsidRPr="00E23D8F">
              <w:rPr>
                <w:sz w:val="18"/>
                <w:szCs w:val="18"/>
              </w:rPr>
              <w:t>Nagy gazdálkodó</w:t>
            </w:r>
          </w:p>
        </w:tc>
        <w:tc>
          <w:tcPr>
            <w:tcW w:w="1133" w:type="pct"/>
            <w:vAlign w:val="center"/>
          </w:tcPr>
          <w:p w:rsidR="00084397" w:rsidRDefault="00084397" w:rsidP="00084397">
            <w:pPr>
              <w:jc w:val="center"/>
              <w:cnfStyle w:val="000000100000"/>
              <w:rPr>
                <w:color w:val="000000"/>
                <w:sz w:val="18"/>
                <w:szCs w:val="18"/>
              </w:rPr>
            </w:pPr>
            <w:r>
              <w:rPr>
                <w:color w:val="000000"/>
                <w:sz w:val="18"/>
                <w:szCs w:val="18"/>
              </w:rPr>
              <w:t>27 223 653 406 Ft</w:t>
            </w:r>
          </w:p>
        </w:tc>
        <w:tc>
          <w:tcPr>
            <w:tcW w:w="756" w:type="pct"/>
            <w:vAlign w:val="center"/>
          </w:tcPr>
          <w:p w:rsidR="00084397" w:rsidRPr="00E23D8F" w:rsidRDefault="00084397" w:rsidP="00084397">
            <w:pPr>
              <w:jc w:val="center"/>
              <w:cnfStyle w:val="000000100000"/>
              <w:rPr>
                <w:b/>
                <w:bCs/>
                <w:i/>
                <w:iCs/>
                <w:sz w:val="18"/>
                <w:szCs w:val="18"/>
              </w:rPr>
            </w:pPr>
            <w:r w:rsidRPr="00E23D8F">
              <w:rPr>
                <w:b/>
                <w:bCs/>
                <w:i/>
                <w:iCs/>
                <w:sz w:val="18"/>
                <w:szCs w:val="18"/>
              </w:rPr>
              <w:t>-1165,3</w:t>
            </w:r>
          </w:p>
        </w:tc>
        <w:tc>
          <w:tcPr>
            <w:tcW w:w="755" w:type="pct"/>
            <w:vAlign w:val="center"/>
          </w:tcPr>
          <w:p w:rsidR="00084397" w:rsidRDefault="00084397" w:rsidP="00084397">
            <w:pPr>
              <w:jc w:val="center"/>
              <w:cnfStyle w:val="000000100000"/>
              <w:rPr>
                <w:color w:val="000000"/>
                <w:sz w:val="18"/>
                <w:szCs w:val="18"/>
              </w:rPr>
            </w:pPr>
            <w:r>
              <w:rPr>
                <w:color w:val="000000"/>
                <w:sz w:val="18"/>
                <w:szCs w:val="18"/>
              </w:rPr>
              <w:t>16250,3</w:t>
            </w:r>
          </w:p>
        </w:tc>
        <w:tc>
          <w:tcPr>
            <w:tcW w:w="937" w:type="pct"/>
            <w:noWrap/>
            <w:vAlign w:val="center"/>
            <w:hideMark/>
          </w:tcPr>
          <w:p w:rsidR="00084397" w:rsidRDefault="00084397" w:rsidP="00084397">
            <w:pPr>
              <w:jc w:val="center"/>
              <w:cnfStyle w:val="000000100000"/>
              <w:rPr>
                <w:color w:val="000000"/>
                <w:sz w:val="18"/>
                <w:szCs w:val="18"/>
              </w:rPr>
            </w:pPr>
            <w:r>
              <w:rPr>
                <w:color w:val="000000"/>
                <w:sz w:val="18"/>
                <w:szCs w:val="18"/>
              </w:rPr>
              <w:t>15085</w:t>
            </w:r>
          </w:p>
        </w:tc>
      </w:tr>
      <w:tr w:rsidR="00084397" w:rsidRPr="00C86F79" w:rsidTr="00084397">
        <w:trPr>
          <w:trHeight w:val="255"/>
        </w:trPr>
        <w:tc>
          <w:tcPr>
            <w:cnfStyle w:val="001000000000"/>
            <w:tcW w:w="1418" w:type="pct"/>
            <w:noWrap/>
            <w:vAlign w:val="center"/>
            <w:hideMark/>
          </w:tcPr>
          <w:p w:rsidR="00084397" w:rsidRPr="00E23D8F" w:rsidRDefault="00084397" w:rsidP="00084397">
            <w:pPr>
              <w:jc w:val="center"/>
              <w:rPr>
                <w:sz w:val="18"/>
                <w:szCs w:val="18"/>
              </w:rPr>
            </w:pPr>
            <w:r w:rsidRPr="00E23D8F">
              <w:rPr>
                <w:sz w:val="18"/>
                <w:szCs w:val="18"/>
              </w:rPr>
              <w:t>Középgazdálkodó</w:t>
            </w:r>
          </w:p>
        </w:tc>
        <w:tc>
          <w:tcPr>
            <w:tcW w:w="1133" w:type="pct"/>
            <w:vAlign w:val="center"/>
          </w:tcPr>
          <w:p w:rsidR="00084397" w:rsidRDefault="00084397" w:rsidP="00084397">
            <w:pPr>
              <w:jc w:val="center"/>
              <w:cnfStyle w:val="000000000000"/>
              <w:rPr>
                <w:color w:val="000000"/>
                <w:sz w:val="18"/>
                <w:szCs w:val="18"/>
              </w:rPr>
            </w:pPr>
            <w:r>
              <w:rPr>
                <w:color w:val="000000"/>
                <w:sz w:val="18"/>
                <w:szCs w:val="18"/>
              </w:rPr>
              <w:t>18 291 376 454 Ft</w:t>
            </w:r>
          </w:p>
        </w:tc>
        <w:tc>
          <w:tcPr>
            <w:tcW w:w="756" w:type="pct"/>
            <w:vAlign w:val="center"/>
          </w:tcPr>
          <w:p w:rsidR="00084397" w:rsidRDefault="00084397" w:rsidP="00084397">
            <w:pPr>
              <w:jc w:val="center"/>
              <w:cnfStyle w:val="000000000000"/>
              <w:rPr>
                <w:color w:val="000000"/>
                <w:sz w:val="18"/>
                <w:szCs w:val="18"/>
              </w:rPr>
            </w:pPr>
            <w:r>
              <w:rPr>
                <w:color w:val="000000"/>
                <w:sz w:val="18"/>
                <w:szCs w:val="18"/>
              </w:rPr>
              <w:t>218,1</w:t>
            </w:r>
          </w:p>
        </w:tc>
        <w:tc>
          <w:tcPr>
            <w:tcW w:w="755" w:type="pct"/>
            <w:vAlign w:val="center"/>
          </w:tcPr>
          <w:p w:rsidR="00084397" w:rsidRDefault="00084397" w:rsidP="00084397">
            <w:pPr>
              <w:jc w:val="center"/>
              <w:cnfStyle w:val="000000000000"/>
              <w:rPr>
                <w:color w:val="000000"/>
                <w:sz w:val="18"/>
                <w:szCs w:val="18"/>
              </w:rPr>
            </w:pPr>
            <w:r>
              <w:rPr>
                <w:color w:val="000000"/>
                <w:sz w:val="18"/>
                <w:szCs w:val="18"/>
              </w:rPr>
              <w:t>1781,9</w:t>
            </w:r>
          </w:p>
        </w:tc>
        <w:tc>
          <w:tcPr>
            <w:tcW w:w="937" w:type="pct"/>
            <w:noWrap/>
            <w:vAlign w:val="center"/>
            <w:hideMark/>
          </w:tcPr>
          <w:p w:rsidR="00084397" w:rsidRDefault="00084397" w:rsidP="00084397">
            <w:pPr>
              <w:jc w:val="center"/>
              <w:cnfStyle w:val="000000000000"/>
              <w:rPr>
                <w:color w:val="000000"/>
                <w:sz w:val="18"/>
                <w:szCs w:val="18"/>
              </w:rPr>
            </w:pPr>
            <w:r>
              <w:rPr>
                <w:color w:val="000000"/>
                <w:sz w:val="18"/>
                <w:szCs w:val="18"/>
              </w:rPr>
              <w:t>2000</w:t>
            </w:r>
          </w:p>
        </w:tc>
      </w:tr>
      <w:tr w:rsidR="00084397" w:rsidRPr="00C86F79" w:rsidTr="00084397">
        <w:trPr>
          <w:cnfStyle w:val="000000100000"/>
          <w:trHeight w:val="255"/>
        </w:trPr>
        <w:tc>
          <w:tcPr>
            <w:cnfStyle w:val="001000000000"/>
            <w:tcW w:w="1418" w:type="pct"/>
            <w:noWrap/>
            <w:vAlign w:val="center"/>
            <w:hideMark/>
          </w:tcPr>
          <w:p w:rsidR="00084397" w:rsidRPr="00E23D8F" w:rsidRDefault="00084397" w:rsidP="00084397">
            <w:pPr>
              <w:jc w:val="center"/>
              <w:rPr>
                <w:sz w:val="18"/>
                <w:szCs w:val="18"/>
              </w:rPr>
            </w:pPr>
            <w:r w:rsidRPr="00E23D8F">
              <w:rPr>
                <w:sz w:val="18"/>
                <w:szCs w:val="18"/>
              </w:rPr>
              <w:t>Kis gazdálkodó</w:t>
            </w:r>
          </w:p>
        </w:tc>
        <w:tc>
          <w:tcPr>
            <w:tcW w:w="1133" w:type="pct"/>
            <w:vAlign w:val="center"/>
          </w:tcPr>
          <w:p w:rsidR="00084397" w:rsidRDefault="00084397" w:rsidP="00084397">
            <w:pPr>
              <w:jc w:val="center"/>
              <w:cnfStyle w:val="000000100000"/>
              <w:rPr>
                <w:color w:val="000000"/>
                <w:sz w:val="18"/>
                <w:szCs w:val="18"/>
              </w:rPr>
            </w:pPr>
            <w:r>
              <w:rPr>
                <w:color w:val="000000"/>
                <w:sz w:val="18"/>
                <w:szCs w:val="18"/>
              </w:rPr>
              <w:t>9 473 937 746 Ft</w:t>
            </w:r>
          </w:p>
        </w:tc>
        <w:tc>
          <w:tcPr>
            <w:tcW w:w="756" w:type="pct"/>
            <w:vAlign w:val="center"/>
          </w:tcPr>
          <w:p w:rsidR="00084397" w:rsidRDefault="00084397" w:rsidP="00084397">
            <w:pPr>
              <w:jc w:val="center"/>
              <w:cnfStyle w:val="000000100000"/>
              <w:rPr>
                <w:color w:val="000000"/>
                <w:sz w:val="18"/>
                <w:szCs w:val="18"/>
              </w:rPr>
            </w:pPr>
            <w:r>
              <w:rPr>
                <w:color w:val="000000"/>
                <w:sz w:val="18"/>
                <w:szCs w:val="18"/>
              </w:rPr>
              <w:t>163,42</w:t>
            </w:r>
          </w:p>
        </w:tc>
        <w:tc>
          <w:tcPr>
            <w:tcW w:w="755" w:type="pct"/>
            <w:vAlign w:val="center"/>
          </w:tcPr>
          <w:p w:rsidR="00084397" w:rsidRDefault="00084397" w:rsidP="00084397">
            <w:pPr>
              <w:jc w:val="center"/>
              <w:cnfStyle w:val="000000100000"/>
              <w:rPr>
                <w:color w:val="000000"/>
                <w:sz w:val="18"/>
                <w:szCs w:val="18"/>
              </w:rPr>
            </w:pPr>
            <w:r>
              <w:rPr>
                <w:color w:val="000000"/>
                <w:sz w:val="18"/>
                <w:szCs w:val="18"/>
              </w:rPr>
              <w:t>455,58</w:t>
            </w:r>
          </w:p>
        </w:tc>
        <w:tc>
          <w:tcPr>
            <w:tcW w:w="937" w:type="pct"/>
            <w:noWrap/>
            <w:vAlign w:val="center"/>
            <w:hideMark/>
          </w:tcPr>
          <w:p w:rsidR="00084397" w:rsidRDefault="00084397" w:rsidP="00084397">
            <w:pPr>
              <w:jc w:val="center"/>
              <w:cnfStyle w:val="000000100000"/>
              <w:rPr>
                <w:color w:val="000000"/>
                <w:sz w:val="18"/>
                <w:szCs w:val="18"/>
              </w:rPr>
            </w:pPr>
            <w:r>
              <w:rPr>
                <w:color w:val="000000"/>
                <w:sz w:val="18"/>
                <w:szCs w:val="18"/>
              </w:rPr>
              <w:t>619</w:t>
            </w:r>
          </w:p>
        </w:tc>
      </w:tr>
      <w:tr w:rsidR="00084397" w:rsidRPr="00C86F79" w:rsidTr="00084397">
        <w:trPr>
          <w:trHeight w:val="255"/>
        </w:trPr>
        <w:tc>
          <w:tcPr>
            <w:cnfStyle w:val="001000000000"/>
            <w:tcW w:w="1418" w:type="pct"/>
            <w:noWrap/>
            <w:vAlign w:val="center"/>
            <w:hideMark/>
          </w:tcPr>
          <w:p w:rsidR="00084397" w:rsidRPr="00E23D8F" w:rsidRDefault="00084397" w:rsidP="00084397">
            <w:pPr>
              <w:jc w:val="center"/>
              <w:rPr>
                <w:sz w:val="18"/>
                <w:szCs w:val="18"/>
              </w:rPr>
            </w:pPr>
            <w:r w:rsidRPr="00E23D8F">
              <w:rPr>
                <w:sz w:val="18"/>
                <w:szCs w:val="18"/>
              </w:rPr>
              <w:t>Mikro gazdálkodó</w:t>
            </w:r>
          </w:p>
        </w:tc>
        <w:tc>
          <w:tcPr>
            <w:tcW w:w="1133" w:type="pct"/>
            <w:vAlign w:val="center"/>
          </w:tcPr>
          <w:p w:rsidR="00084397" w:rsidRDefault="00084397" w:rsidP="00084397">
            <w:pPr>
              <w:jc w:val="center"/>
              <w:cnfStyle w:val="000000000000"/>
              <w:rPr>
                <w:color w:val="000000"/>
                <w:sz w:val="18"/>
                <w:szCs w:val="18"/>
              </w:rPr>
            </w:pPr>
            <w:r>
              <w:rPr>
                <w:color w:val="000000"/>
                <w:sz w:val="18"/>
                <w:szCs w:val="18"/>
              </w:rPr>
              <w:t>7 668 673 402 Ft</w:t>
            </w:r>
          </w:p>
        </w:tc>
        <w:tc>
          <w:tcPr>
            <w:tcW w:w="756" w:type="pct"/>
            <w:vAlign w:val="center"/>
          </w:tcPr>
          <w:p w:rsidR="00084397" w:rsidRDefault="00084397" w:rsidP="00084397">
            <w:pPr>
              <w:jc w:val="center"/>
              <w:cnfStyle w:val="000000000000"/>
              <w:rPr>
                <w:color w:val="000000"/>
                <w:sz w:val="18"/>
                <w:szCs w:val="18"/>
              </w:rPr>
            </w:pPr>
            <w:r>
              <w:rPr>
                <w:color w:val="000000"/>
                <w:sz w:val="18"/>
                <w:szCs w:val="18"/>
              </w:rPr>
              <w:t>100,25</w:t>
            </w:r>
          </w:p>
        </w:tc>
        <w:tc>
          <w:tcPr>
            <w:tcW w:w="755" w:type="pct"/>
            <w:vAlign w:val="center"/>
          </w:tcPr>
          <w:p w:rsidR="00084397" w:rsidRDefault="00084397" w:rsidP="00084397">
            <w:pPr>
              <w:jc w:val="center"/>
              <w:cnfStyle w:val="000000000000"/>
              <w:rPr>
                <w:color w:val="000000"/>
                <w:sz w:val="18"/>
                <w:szCs w:val="18"/>
              </w:rPr>
            </w:pPr>
            <w:r>
              <w:rPr>
                <w:color w:val="000000"/>
                <w:sz w:val="18"/>
                <w:szCs w:val="18"/>
              </w:rPr>
              <w:t>174,75</w:t>
            </w:r>
          </w:p>
        </w:tc>
        <w:tc>
          <w:tcPr>
            <w:tcW w:w="937" w:type="pct"/>
            <w:noWrap/>
            <w:vAlign w:val="center"/>
            <w:hideMark/>
          </w:tcPr>
          <w:p w:rsidR="00084397" w:rsidRDefault="00084397" w:rsidP="00084397">
            <w:pPr>
              <w:jc w:val="center"/>
              <w:cnfStyle w:val="000000000000"/>
              <w:rPr>
                <w:color w:val="000000"/>
                <w:sz w:val="18"/>
                <w:szCs w:val="18"/>
              </w:rPr>
            </w:pPr>
            <w:r>
              <w:rPr>
                <w:color w:val="000000"/>
                <w:sz w:val="18"/>
                <w:szCs w:val="18"/>
              </w:rPr>
              <w:t>275</w:t>
            </w:r>
          </w:p>
        </w:tc>
      </w:tr>
      <w:tr w:rsidR="00084397" w:rsidRPr="00C86F79" w:rsidTr="00084397">
        <w:trPr>
          <w:cnfStyle w:val="000000100000"/>
          <w:trHeight w:val="255"/>
        </w:trPr>
        <w:tc>
          <w:tcPr>
            <w:cnfStyle w:val="001000000000"/>
            <w:tcW w:w="1418" w:type="pct"/>
            <w:noWrap/>
            <w:vAlign w:val="center"/>
            <w:hideMark/>
          </w:tcPr>
          <w:p w:rsidR="00084397" w:rsidRPr="00E23D8F" w:rsidRDefault="00084397" w:rsidP="00084397">
            <w:pPr>
              <w:jc w:val="center"/>
              <w:rPr>
                <w:sz w:val="18"/>
                <w:szCs w:val="18"/>
              </w:rPr>
            </w:pPr>
            <w:r w:rsidRPr="00E23D8F">
              <w:rPr>
                <w:bCs w:val="0"/>
                <w:sz w:val="18"/>
                <w:szCs w:val="18"/>
              </w:rPr>
              <w:t>Összesen</w:t>
            </w:r>
          </w:p>
        </w:tc>
        <w:tc>
          <w:tcPr>
            <w:tcW w:w="1133" w:type="pct"/>
            <w:vAlign w:val="center"/>
          </w:tcPr>
          <w:p w:rsidR="00084397" w:rsidRDefault="00084397" w:rsidP="00084397">
            <w:pPr>
              <w:jc w:val="center"/>
              <w:cnfStyle w:val="000000100000"/>
              <w:rPr>
                <w:b/>
                <w:bCs/>
                <w:color w:val="000000"/>
                <w:sz w:val="18"/>
                <w:szCs w:val="18"/>
              </w:rPr>
            </w:pPr>
            <w:r>
              <w:rPr>
                <w:b/>
                <w:bCs/>
                <w:color w:val="000000"/>
                <w:sz w:val="18"/>
                <w:szCs w:val="18"/>
              </w:rPr>
              <w:t>62 657 641 008 Ft</w:t>
            </w:r>
          </w:p>
        </w:tc>
        <w:tc>
          <w:tcPr>
            <w:tcW w:w="756" w:type="pct"/>
            <w:vAlign w:val="center"/>
          </w:tcPr>
          <w:p w:rsidR="00084397" w:rsidRDefault="00084397" w:rsidP="00084397">
            <w:pPr>
              <w:jc w:val="center"/>
              <w:cnfStyle w:val="000000100000"/>
              <w:rPr>
                <w:b/>
                <w:bCs/>
                <w:color w:val="000000"/>
                <w:sz w:val="18"/>
                <w:szCs w:val="18"/>
              </w:rPr>
            </w:pPr>
            <w:r>
              <w:rPr>
                <w:b/>
                <w:bCs/>
                <w:color w:val="000000"/>
                <w:sz w:val="18"/>
                <w:szCs w:val="18"/>
              </w:rPr>
              <w:t>-683,53</w:t>
            </w:r>
          </w:p>
        </w:tc>
        <w:tc>
          <w:tcPr>
            <w:tcW w:w="755" w:type="pct"/>
            <w:vAlign w:val="center"/>
          </w:tcPr>
          <w:p w:rsidR="00084397" w:rsidRDefault="00084397" w:rsidP="00084397">
            <w:pPr>
              <w:jc w:val="center"/>
              <w:cnfStyle w:val="000000100000"/>
              <w:rPr>
                <w:b/>
                <w:bCs/>
                <w:color w:val="000000"/>
                <w:sz w:val="18"/>
                <w:szCs w:val="18"/>
              </w:rPr>
            </w:pPr>
            <w:r>
              <w:rPr>
                <w:b/>
                <w:bCs/>
                <w:color w:val="000000"/>
                <w:sz w:val="18"/>
                <w:szCs w:val="18"/>
              </w:rPr>
              <w:t>18662,53</w:t>
            </w:r>
          </w:p>
        </w:tc>
        <w:tc>
          <w:tcPr>
            <w:tcW w:w="937" w:type="pct"/>
            <w:noWrap/>
            <w:vAlign w:val="center"/>
            <w:hideMark/>
          </w:tcPr>
          <w:p w:rsidR="00084397" w:rsidRDefault="00084397" w:rsidP="00084397">
            <w:pPr>
              <w:jc w:val="center"/>
              <w:cnfStyle w:val="000000100000"/>
              <w:rPr>
                <w:b/>
                <w:bCs/>
                <w:color w:val="000000"/>
                <w:sz w:val="18"/>
                <w:szCs w:val="18"/>
              </w:rPr>
            </w:pPr>
            <w:r>
              <w:rPr>
                <w:b/>
                <w:bCs/>
                <w:color w:val="000000"/>
                <w:sz w:val="18"/>
                <w:szCs w:val="18"/>
              </w:rPr>
              <w:t>17979</w:t>
            </w:r>
          </w:p>
        </w:tc>
      </w:tr>
    </w:tbl>
    <w:bookmarkStart w:id="158" w:name="_Ref277526273"/>
    <w:p w:rsidR="00084397" w:rsidRDefault="003F44DC" w:rsidP="00084397">
      <w:pPr>
        <w:pStyle w:val="Caption"/>
        <w:spacing w:before="240"/>
        <w:jc w:val="center"/>
        <w:rPr>
          <w:color w:val="auto"/>
        </w:rPr>
      </w:pPr>
      <w:r>
        <w:rPr>
          <w:color w:val="auto"/>
        </w:rPr>
        <w:fldChar w:fldCharType="begin"/>
      </w:r>
      <w:r w:rsidR="00084397">
        <w:rPr>
          <w:color w:val="auto"/>
        </w:rPr>
        <w:instrText xml:space="preserve"> SEQ táblázat \* ARABIC </w:instrText>
      </w:r>
      <w:r>
        <w:rPr>
          <w:color w:val="auto"/>
        </w:rPr>
        <w:fldChar w:fldCharType="separate"/>
      </w:r>
      <w:r w:rsidR="002D1B7A">
        <w:rPr>
          <w:noProof/>
          <w:color w:val="auto"/>
        </w:rPr>
        <w:t>17</w:t>
      </w:r>
      <w:r>
        <w:rPr>
          <w:color w:val="auto"/>
        </w:rPr>
        <w:fldChar w:fldCharType="end"/>
      </w:r>
      <w:r w:rsidR="00084397" w:rsidRPr="00B97EDD">
        <w:rPr>
          <w:color w:val="auto"/>
        </w:rPr>
        <w:t>. táblázat</w:t>
      </w:r>
      <w:bookmarkEnd w:id="158"/>
      <w:r w:rsidR="00084397">
        <w:rPr>
          <w:color w:val="auto"/>
        </w:rPr>
        <w:t>: ÁTK III. jogcím tervezett létszámbővítése</w:t>
      </w:r>
    </w:p>
    <w:p w:rsidR="00084397" w:rsidRDefault="00084397" w:rsidP="00084397">
      <w:pPr>
        <w:jc w:val="both"/>
      </w:pPr>
      <w:r>
        <w:t>Bár a kisebb gazdálkodói kategóriákban láthatóan a kezdeti foglalkoztatási szint is egy nagyságrenddel k</w:t>
      </w:r>
      <w:r>
        <w:t>i</w:t>
      </w:r>
      <w:r>
        <w:t>sebb, mint a nagyméretű gazdálkodók esetében, látható, hogy a mikro és kisméretű gazdaságok a méretn</w:t>
      </w:r>
      <w:r>
        <w:t>ö</w:t>
      </w:r>
      <w:r>
        <w:t>vekedési célok mellett valós munkahelyteremtő potenciállal bírnak (hangsúlyoznunk kell, hogy terv szinten!). Amennyiben megvizsgáljuk, hogy milyen statisztikai összefüggés lehet az igényelt (megítélt) támogatási ö</w:t>
      </w:r>
      <w:r>
        <w:t>s</w:t>
      </w:r>
      <w:r>
        <w:t>szeg, az SFH összeg (értsd: gazdaság mérete), valamint a tervezett létszámbővítés között, megállapítható, hogy az igényelt támogatás és az SFH összeg között gyenge pozitív összefüggés, míg az SFH összeg és a tervezett létszámbővítés között negatív összefüggés található (lásd következő táblázat).</w:t>
      </w:r>
    </w:p>
    <w:tbl>
      <w:tblPr>
        <w:tblStyle w:val="MediumGrid3-Accent2"/>
        <w:tblW w:w="5000" w:type="pct"/>
        <w:jc w:val="center"/>
        <w:tblLook w:val="04A0"/>
      </w:tblPr>
      <w:tblGrid>
        <w:gridCol w:w="2625"/>
        <w:gridCol w:w="2941"/>
        <w:gridCol w:w="1388"/>
        <w:gridCol w:w="2425"/>
      </w:tblGrid>
      <w:tr w:rsidR="00084397" w:rsidRPr="00141BB9" w:rsidTr="00084397">
        <w:trPr>
          <w:cnfStyle w:val="100000000000"/>
          <w:trHeight w:val="255"/>
          <w:jc w:val="center"/>
        </w:trPr>
        <w:tc>
          <w:tcPr>
            <w:cnfStyle w:val="001000000000"/>
            <w:tcW w:w="1399" w:type="pct"/>
            <w:vAlign w:val="center"/>
            <w:hideMark/>
          </w:tcPr>
          <w:p w:rsidR="00084397" w:rsidRPr="00141BB9" w:rsidRDefault="00084397" w:rsidP="00084397">
            <w:pPr>
              <w:jc w:val="center"/>
              <w:rPr>
                <w:sz w:val="18"/>
                <w:szCs w:val="18"/>
              </w:rPr>
            </w:pPr>
            <w:r w:rsidRPr="00141BB9">
              <w:rPr>
                <w:sz w:val="18"/>
                <w:szCs w:val="18"/>
              </w:rPr>
              <w:t>Korrelációs együttható</w:t>
            </w:r>
            <w:r>
              <w:rPr>
                <w:sz w:val="18"/>
                <w:szCs w:val="18"/>
              </w:rPr>
              <w:t xml:space="preserve"> (ÁTK III.)</w:t>
            </w:r>
          </w:p>
        </w:tc>
        <w:tc>
          <w:tcPr>
            <w:tcW w:w="1568" w:type="pct"/>
            <w:vAlign w:val="center"/>
            <w:hideMark/>
          </w:tcPr>
          <w:p w:rsidR="00084397" w:rsidRPr="00141BB9" w:rsidRDefault="00084397" w:rsidP="00084397">
            <w:pPr>
              <w:jc w:val="center"/>
              <w:cnfStyle w:val="100000000000"/>
              <w:rPr>
                <w:sz w:val="18"/>
                <w:szCs w:val="18"/>
              </w:rPr>
            </w:pPr>
            <w:r w:rsidRPr="00141BB9">
              <w:rPr>
                <w:sz w:val="18"/>
                <w:szCs w:val="18"/>
              </w:rPr>
              <w:t>Igényelt támogatási összeg</w:t>
            </w:r>
          </w:p>
        </w:tc>
        <w:tc>
          <w:tcPr>
            <w:tcW w:w="740" w:type="pct"/>
            <w:vAlign w:val="center"/>
            <w:hideMark/>
          </w:tcPr>
          <w:p w:rsidR="00084397" w:rsidRPr="00141BB9" w:rsidRDefault="00084397" w:rsidP="00084397">
            <w:pPr>
              <w:jc w:val="center"/>
              <w:cnfStyle w:val="100000000000"/>
              <w:rPr>
                <w:sz w:val="18"/>
                <w:szCs w:val="18"/>
              </w:rPr>
            </w:pPr>
            <w:r w:rsidRPr="00141BB9">
              <w:rPr>
                <w:sz w:val="18"/>
                <w:szCs w:val="18"/>
              </w:rPr>
              <w:t>SFH ÖSSZEG</w:t>
            </w:r>
          </w:p>
        </w:tc>
        <w:tc>
          <w:tcPr>
            <w:tcW w:w="1294" w:type="pct"/>
            <w:vAlign w:val="center"/>
            <w:hideMark/>
          </w:tcPr>
          <w:p w:rsidR="00084397" w:rsidRPr="00141BB9" w:rsidRDefault="00084397" w:rsidP="00084397">
            <w:pPr>
              <w:jc w:val="center"/>
              <w:cnfStyle w:val="100000000000"/>
              <w:rPr>
                <w:sz w:val="18"/>
                <w:szCs w:val="18"/>
              </w:rPr>
            </w:pPr>
            <w:r w:rsidRPr="00141BB9">
              <w:rPr>
                <w:sz w:val="18"/>
                <w:szCs w:val="18"/>
              </w:rPr>
              <w:t>Tervezett létszámbővítés</w:t>
            </w:r>
          </w:p>
        </w:tc>
      </w:tr>
      <w:tr w:rsidR="00084397" w:rsidRPr="00141BB9" w:rsidTr="00084397">
        <w:trPr>
          <w:cnfStyle w:val="000000100000"/>
          <w:trHeight w:val="510"/>
          <w:jc w:val="center"/>
        </w:trPr>
        <w:tc>
          <w:tcPr>
            <w:cnfStyle w:val="001000000000"/>
            <w:tcW w:w="1399" w:type="pct"/>
            <w:vAlign w:val="center"/>
            <w:hideMark/>
          </w:tcPr>
          <w:p w:rsidR="00084397" w:rsidRPr="00141BB9" w:rsidRDefault="00084397" w:rsidP="00084397">
            <w:pPr>
              <w:jc w:val="center"/>
              <w:rPr>
                <w:sz w:val="18"/>
                <w:szCs w:val="18"/>
              </w:rPr>
            </w:pPr>
            <w:r w:rsidRPr="00141BB9">
              <w:rPr>
                <w:sz w:val="18"/>
                <w:szCs w:val="18"/>
              </w:rPr>
              <w:t>Igényelt támogatási összeg</w:t>
            </w:r>
          </w:p>
        </w:tc>
        <w:tc>
          <w:tcPr>
            <w:tcW w:w="1568" w:type="pct"/>
            <w:noWrap/>
            <w:vAlign w:val="center"/>
            <w:hideMark/>
          </w:tcPr>
          <w:p w:rsidR="00084397" w:rsidRPr="00141BB9" w:rsidRDefault="00084397" w:rsidP="00084397">
            <w:pPr>
              <w:jc w:val="center"/>
              <w:cnfStyle w:val="000000100000"/>
              <w:rPr>
                <w:b/>
                <w:bCs/>
                <w:i/>
                <w:iCs/>
                <w:sz w:val="18"/>
                <w:szCs w:val="18"/>
              </w:rPr>
            </w:pPr>
            <w:r w:rsidRPr="00141BB9">
              <w:rPr>
                <w:b/>
                <w:bCs/>
                <w:i/>
                <w:iCs/>
                <w:sz w:val="18"/>
                <w:szCs w:val="18"/>
              </w:rPr>
              <w:t>1</w:t>
            </w:r>
          </w:p>
        </w:tc>
        <w:tc>
          <w:tcPr>
            <w:tcW w:w="740" w:type="pct"/>
            <w:noWrap/>
            <w:vAlign w:val="center"/>
            <w:hideMark/>
          </w:tcPr>
          <w:p w:rsidR="00084397" w:rsidRPr="00141BB9" w:rsidRDefault="00084397" w:rsidP="00084397">
            <w:pPr>
              <w:jc w:val="center"/>
              <w:cnfStyle w:val="000000100000"/>
              <w:rPr>
                <w:b/>
                <w:bCs/>
                <w:i/>
                <w:iCs/>
                <w:sz w:val="18"/>
                <w:szCs w:val="18"/>
              </w:rPr>
            </w:pPr>
          </w:p>
        </w:tc>
        <w:tc>
          <w:tcPr>
            <w:tcW w:w="1294" w:type="pct"/>
            <w:noWrap/>
            <w:vAlign w:val="center"/>
            <w:hideMark/>
          </w:tcPr>
          <w:p w:rsidR="00084397" w:rsidRPr="00141BB9" w:rsidRDefault="00084397" w:rsidP="00084397">
            <w:pPr>
              <w:jc w:val="center"/>
              <w:cnfStyle w:val="000000100000"/>
              <w:rPr>
                <w:b/>
                <w:bCs/>
                <w:i/>
                <w:iCs/>
                <w:sz w:val="18"/>
                <w:szCs w:val="18"/>
              </w:rPr>
            </w:pPr>
          </w:p>
        </w:tc>
      </w:tr>
      <w:tr w:rsidR="00084397" w:rsidRPr="00141BB9" w:rsidTr="00084397">
        <w:trPr>
          <w:trHeight w:val="330"/>
          <w:jc w:val="center"/>
        </w:trPr>
        <w:tc>
          <w:tcPr>
            <w:cnfStyle w:val="001000000000"/>
            <w:tcW w:w="1399" w:type="pct"/>
            <w:vAlign w:val="center"/>
            <w:hideMark/>
          </w:tcPr>
          <w:p w:rsidR="00084397" w:rsidRPr="00141BB9" w:rsidRDefault="00084397" w:rsidP="00084397">
            <w:pPr>
              <w:jc w:val="center"/>
              <w:rPr>
                <w:sz w:val="18"/>
                <w:szCs w:val="18"/>
              </w:rPr>
            </w:pPr>
            <w:r w:rsidRPr="00141BB9">
              <w:rPr>
                <w:sz w:val="18"/>
                <w:szCs w:val="18"/>
              </w:rPr>
              <w:t>SFH ÖSSZEG</w:t>
            </w:r>
          </w:p>
        </w:tc>
        <w:tc>
          <w:tcPr>
            <w:tcW w:w="1568" w:type="pct"/>
            <w:noWrap/>
            <w:vAlign w:val="center"/>
            <w:hideMark/>
          </w:tcPr>
          <w:p w:rsidR="00084397" w:rsidRPr="00141BB9" w:rsidRDefault="00084397" w:rsidP="00084397">
            <w:pPr>
              <w:jc w:val="center"/>
              <w:cnfStyle w:val="000000000000"/>
              <w:rPr>
                <w:b/>
                <w:bCs/>
                <w:i/>
                <w:iCs/>
                <w:sz w:val="18"/>
                <w:szCs w:val="18"/>
              </w:rPr>
            </w:pPr>
            <w:r w:rsidRPr="00141BB9">
              <w:rPr>
                <w:b/>
                <w:bCs/>
                <w:i/>
                <w:iCs/>
                <w:sz w:val="18"/>
                <w:szCs w:val="18"/>
              </w:rPr>
              <w:t>0,26</w:t>
            </w:r>
          </w:p>
        </w:tc>
        <w:tc>
          <w:tcPr>
            <w:tcW w:w="740" w:type="pct"/>
            <w:noWrap/>
            <w:vAlign w:val="center"/>
            <w:hideMark/>
          </w:tcPr>
          <w:p w:rsidR="00084397" w:rsidRPr="00141BB9" w:rsidRDefault="00084397" w:rsidP="00084397">
            <w:pPr>
              <w:jc w:val="center"/>
              <w:cnfStyle w:val="000000000000"/>
              <w:rPr>
                <w:b/>
                <w:bCs/>
                <w:i/>
                <w:iCs/>
                <w:sz w:val="18"/>
                <w:szCs w:val="18"/>
              </w:rPr>
            </w:pPr>
            <w:r w:rsidRPr="00141BB9">
              <w:rPr>
                <w:b/>
                <w:bCs/>
                <w:i/>
                <w:iCs/>
                <w:sz w:val="18"/>
                <w:szCs w:val="18"/>
              </w:rPr>
              <w:t>1</w:t>
            </w:r>
          </w:p>
        </w:tc>
        <w:tc>
          <w:tcPr>
            <w:tcW w:w="1294" w:type="pct"/>
            <w:noWrap/>
            <w:vAlign w:val="center"/>
            <w:hideMark/>
          </w:tcPr>
          <w:p w:rsidR="00084397" w:rsidRPr="00141BB9" w:rsidRDefault="00084397" w:rsidP="00084397">
            <w:pPr>
              <w:jc w:val="center"/>
              <w:cnfStyle w:val="000000000000"/>
              <w:rPr>
                <w:b/>
                <w:bCs/>
                <w:i/>
                <w:iCs/>
                <w:sz w:val="18"/>
                <w:szCs w:val="18"/>
              </w:rPr>
            </w:pPr>
          </w:p>
        </w:tc>
      </w:tr>
      <w:tr w:rsidR="00084397" w:rsidRPr="00141BB9" w:rsidTr="00084397">
        <w:trPr>
          <w:cnfStyle w:val="000000100000"/>
          <w:trHeight w:val="345"/>
          <w:jc w:val="center"/>
        </w:trPr>
        <w:tc>
          <w:tcPr>
            <w:cnfStyle w:val="001000000000"/>
            <w:tcW w:w="1399" w:type="pct"/>
            <w:vAlign w:val="center"/>
            <w:hideMark/>
          </w:tcPr>
          <w:p w:rsidR="00084397" w:rsidRPr="00141BB9" w:rsidRDefault="00084397" w:rsidP="00084397">
            <w:pPr>
              <w:jc w:val="center"/>
              <w:rPr>
                <w:sz w:val="18"/>
                <w:szCs w:val="18"/>
              </w:rPr>
            </w:pPr>
            <w:r w:rsidRPr="00141BB9">
              <w:rPr>
                <w:sz w:val="18"/>
                <w:szCs w:val="18"/>
              </w:rPr>
              <w:t>Tervezett létszámbővítés</w:t>
            </w:r>
          </w:p>
        </w:tc>
        <w:tc>
          <w:tcPr>
            <w:tcW w:w="1568" w:type="pct"/>
            <w:noWrap/>
            <w:vAlign w:val="center"/>
            <w:hideMark/>
          </w:tcPr>
          <w:p w:rsidR="00084397" w:rsidRPr="00141BB9" w:rsidRDefault="00084397" w:rsidP="00084397">
            <w:pPr>
              <w:jc w:val="center"/>
              <w:cnfStyle w:val="000000100000"/>
              <w:rPr>
                <w:b/>
                <w:bCs/>
                <w:i/>
                <w:iCs/>
                <w:sz w:val="18"/>
                <w:szCs w:val="18"/>
              </w:rPr>
            </w:pPr>
            <w:r w:rsidRPr="00141BB9">
              <w:rPr>
                <w:b/>
                <w:bCs/>
                <w:i/>
                <w:iCs/>
                <w:sz w:val="18"/>
                <w:szCs w:val="18"/>
              </w:rPr>
              <w:t>-  0,03</w:t>
            </w:r>
          </w:p>
        </w:tc>
        <w:tc>
          <w:tcPr>
            <w:tcW w:w="740" w:type="pct"/>
            <w:noWrap/>
            <w:vAlign w:val="center"/>
            <w:hideMark/>
          </w:tcPr>
          <w:p w:rsidR="00084397" w:rsidRPr="00141BB9" w:rsidRDefault="00084397" w:rsidP="00084397">
            <w:pPr>
              <w:jc w:val="center"/>
              <w:cnfStyle w:val="000000100000"/>
              <w:rPr>
                <w:b/>
                <w:bCs/>
                <w:i/>
                <w:iCs/>
                <w:sz w:val="18"/>
                <w:szCs w:val="18"/>
              </w:rPr>
            </w:pPr>
            <w:r w:rsidRPr="00141BB9">
              <w:rPr>
                <w:b/>
                <w:bCs/>
                <w:i/>
                <w:iCs/>
                <w:sz w:val="18"/>
                <w:szCs w:val="18"/>
              </w:rPr>
              <w:t>- 0,37</w:t>
            </w:r>
          </w:p>
        </w:tc>
        <w:tc>
          <w:tcPr>
            <w:tcW w:w="1294" w:type="pct"/>
            <w:noWrap/>
            <w:vAlign w:val="center"/>
            <w:hideMark/>
          </w:tcPr>
          <w:p w:rsidR="00084397" w:rsidRPr="00141BB9" w:rsidRDefault="00084397" w:rsidP="00084397">
            <w:pPr>
              <w:keepNext/>
              <w:jc w:val="center"/>
              <w:cnfStyle w:val="000000100000"/>
              <w:rPr>
                <w:b/>
                <w:bCs/>
                <w:i/>
                <w:iCs/>
                <w:sz w:val="18"/>
                <w:szCs w:val="18"/>
              </w:rPr>
            </w:pPr>
            <w:r w:rsidRPr="00141BB9">
              <w:rPr>
                <w:b/>
                <w:bCs/>
                <w:i/>
                <w:iCs/>
                <w:sz w:val="18"/>
                <w:szCs w:val="18"/>
              </w:rPr>
              <w:t>1</w:t>
            </w:r>
          </w:p>
        </w:tc>
      </w:tr>
    </w:tbl>
    <w:bookmarkStart w:id="159" w:name="_Ref277783062"/>
    <w:p w:rsidR="00084397" w:rsidRDefault="003F44DC" w:rsidP="00084397">
      <w:pPr>
        <w:pStyle w:val="Caption"/>
        <w:spacing w:before="240"/>
        <w:jc w:val="center"/>
        <w:rPr>
          <w:color w:val="auto"/>
        </w:rPr>
      </w:pPr>
      <w:r>
        <w:rPr>
          <w:color w:val="auto"/>
        </w:rPr>
        <w:fldChar w:fldCharType="begin"/>
      </w:r>
      <w:r w:rsidR="00084397">
        <w:rPr>
          <w:color w:val="auto"/>
        </w:rPr>
        <w:instrText xml:space="preserve"> SEQ táblázat \* ARABIC </w:instrText>
      </w:r>
      <w:r>
        <w:rPr>
          <w:color w:val="auto"/>
        </w:rPr>
        <w:fldChar w:fldCharType="separate"/>
      </w:r>
      <w:r w:rsidR="002D1B7A">
        <w:rPr>
          <w:noProof/>
          <w:color w:val="auto"/>
        </w:rPr>
        <w:t>18</w:t>
      </w:r>
      <w:r>
        <w:rPr>
          <w:color w:val="auto"/>
        </w:rPr>
        <w:fldChar w:fldCharType="end"/>
      </w:r>
      <w:r w:rsidR="00084397" w:rsidRPr="003A171B">
        <w:rPr>
          <w:color w:val="auto"/>
        </w:rPr>
        <w:t>. táblázat</w:t>
      </w:r>
      <w:bookmarkEnd w:id="159"/>
      <w:r w:rsidR="00084397">
        <w:rPr>
          <w:color w:val="auto"/>
        </w:rPr>
        <w:t>: Igényelt összegek, SFH összegek és tervezett létszámbővítés korrelációja</w:t>
      </w:r>
    </w:p>
    <w:p w:rsidR="00084397" w:rsidRDefault="00084397" w:rsidP="00084397">
      <w:pPr>
        <w:pStyle w:val="HUNNormal"/>
      </w:pPr>
      <w:r>
        <w:t xml:space="preserve">Ami a </w:t>
      </w:r>
      <w:r w:rsidRPr="00C14D9A">
        <w:rPr>
          <w:b/>
        </w:rPr>
        <w:t>Gépbeszerzés</w:t>
      </w:r>
      <w:r>
        <w:t xml:space="preserve"> jogcím hasonló irányú vizsgálatát illeti, megállapítható, hogy </w:t>
      </w:r>
      <w:r w:rsidRPr="00D136CA">
        <w:t xml:space="preserve">rendkívül eltérően alakul az alkalmazotti létszám várható alakulása </w:t>
      </w:r>
      <w:r>
        <w:t>a támogatottak méretei alapján. Bár nyilvánvaló, hogy az egyes méretkategóriákon belül egyaránt előfordul a létszámcsökkenés és a létszámbővítés is, azonban az összes</w:t>
      </w:r>
      <w:r>
        <w:t>í</w:t>
      </w:r>
      <w:r>
        <w:t>tett értékek azt mutatják, hogy míg a mikro-, kis- és középméretű vállalkozások esetében a munkahelyt</w:t>
      </w:r>
      <w:r>
        <w:t>e</w:t>
      </w:r>
      <w:r>
        <w:t xml:space="preserve">remtő hatást tulajdoníthatunk a támogatásoknak, addig a </w:t>
      </w:r>
      <w:r w:rsidRPr="00D136CA">
        <w:t>„nagyok” a támogatások révén elért fejlesztések ellenére is jelentős létszámleépítést terveznek.</w:t>
      </w:r>
      <w:r>
        <w:t xml:space="preserve"> A források oldaláról vizsgálva az látható, hogy a rendelkezé</w:t>
      </w:r>
      <w:r>
        <w:t>s</w:t>
      </w:r>
      <w:r>
        <w:t xml:space="preserve">re álló 76 milliárd forint hozzávetőlegesen fele olyan nagyüzemek beruházására fordítódik, ahol összesen nagyjából 5000 munkahely megszűnésével kell számolnunk. Megítélésünk szerint ennek az lehet a </w:t>
      </w:r>
      <w:r w:rsidRPr="005C3ACC">
        <w:rPr>
          <w:b/>
        </w:rPr>
        <w:t>fő oka</w:t>
      </w:r>
      <w:r>
        <w:t xml:space="preserve">, hogy a </w:t>
      </w:r>
      <w:r w:rsidRPr="005C3ACC">
        <w:rPr>
          <w:b/>
        </w:rPr>
        <w:t>kis- és közepes vállalkozások esetében</w:t>
      </w:r>
      <w:r>
        <w:t xml:space="preserve"> a fejlesztés </w:t>
      </w:r>
      <w:r w:rsidRPr="005C3ACC">
        <w:rPr>
          <w:b/>
        </w:rPr>
        <w:t>célja</w:t>
      </w:r>
      <w:r>
        <w:t xml:space="preserve"> alapvetően </w:t>
      </w:r>
      <w:r w:rsidRPr="005C3ACC">
        <w:rPr>
          <w:b/>
        </w:rPr>
        <w:t>kapacitás</w:t>
      </w:r>
      <w:r>
        <w:t xml:space="preserve"> és a termelési </w:t>
      </w:r>
      <w:r w:rsidRPr="005C3ACC">
        <w:rPr>
          <w:b/>
        </w:rPr>
        <w:t>vol</w:t>
      </w:r>
      <w:r w:rsidRPr="005C3ACC">
        <w:rPr>
          <w:b/>
        </w:rPr>
        <w:t>u</w:t>
      </w:r>
      <w:r w:rsidRPr="005C3ACC">
        <w:rPr>
          <w:b/>
        </w:rPr>
        <w:t>men</w:t>
      </w:r>
      <w:r>
        <w:t xml:space="preserve"> </w:t>
      </w:r>
      <w:r w:rsidRPr="005C3ACC">
        <w:rPr>
          <w:b/>
        </w:rPr>
        <w:t>növelése</w:t>
      </w:r>
      <w:r>
        <w:t xml:space="preserve"> volt, </w:t>
      </w:r>
      <w:r w:rsidRPr="005C3ACC">
        <w:rPr>
          <w:b/>
        </w:rPr>
        <w:t>míg</w:t>
      </w:r>
      <w:r>
        <w:t xml:space="preserve"> a </w:t>
      </w:r>
      <w:r w:rsidRPr="005C3ACC">
        <w:rPr>
          <w:b/>
        </w:rPr>
        <w:t>nagyüzemek</w:t>
      </w:r>
      <w:r>
        <w:t xml:space="preserve"> esetében elsősorban olyan </w:t>
      </w:r>
      <w:r w:rsidRPr="005C3ACC">
        <w:rPr>
          <w:b/>
        </w:rPr>
        <w:t>modernizációs</w:t>
      </w:r>
      <w:r>
        <w:t xml:space="preserve"> korszerűsítések történtek, </w:t>
      </w:r>
      <w:r>
        <w:lastRenderedPageBreak/>
        <w:t>melyek az elért költségcsökkentések révén igyekeztek a jövedelem növelését biztosítani. Előbbiek az inputok növelésével, utóbbiak az inputok csökkentésével kívánják ugyanazt (a magasabb jövedelmet) elérni, ma</w:t>
      </w:r>
      <w:r>
        <w:t>r</w:t>
      </w:r>
      <w:r>
        <w:t>kánsan eltérő foglalkoztatási stratégia mentén.</w:t>
      </w:r>
    </w:p>
    <w:p w:rsidR="00084397" w:rsidRDefault="00084397" w:rsidP="00084397">
      <w:pPr>
        <w:pStyle w:val="HUNNormal"/>
      </w:pPr>
    </w:p>
    <w:tbl>
      <w:tblPr>
        <w:tblStyle w:val="MediumGrid3-Accent2"/>
        <w:tblW w:w="5000" w:type="pct"/>
        <w:jc w:val="center"/>
        <w:tblLook w:val="04A0"/>
      </w:tblPr>
      <w:tblGrid>
        <w:gridCol w:w="2155"/>
        <w:gridCol w:w="2349"/>
        <w:gridCol w:w="1615"/>
        <w:gridCol w:w="1412"/>
        <w:gridCol w:w="1848"/>
      </w:tblGrid>
      <w:tr w:rsidR="00084397" w:rsidRPr="00C509D9" w:rsidTr="00084397">
        <w:trPr>
          <w:cnfStyle w:val="100000000000"/>
          <w:jc w:val="center"/>
        </w:trPr>
        <w:tc>
          <w:tcPr>
            <w:cnfStyle w:val="001000000000"/>
            <w:tcW w:w="1149" w:type="pct"/>
            <w:vAlign w:val="center"/>
          </w:tcPr>
          <w:p w:rsidR="00084397" w:rsidRPr="00C509D9" w:rsidRDefault="00084397" w:rsidP="00084397">
            <w:pPr>
              <w:jc w:val="center"/>
              <w:rPr>
                <w:rFonts w:cs="Arial"/>
                <w:color w:val="FFFFFF"/>
                <w:sz w:val="18"/>
                <w:szCs w:val="18"/>
              </w:rPr>
            </w:pPr>
            <w:r w:rsidRPr="00C509D9">
              <w:rPr>
                <w:rFonts w:cs="Arial"/>
                <w:color w:val="FFFFFF"/>
                <w:sz w:val="18"/>
                <w:szCs w:val="18"/>
              </w:rPr>
              <w:t>Méretkategóriák</w:t>
            </w:r>
            <w:r>
              <w:rPr>
                <w:rFonts w:cs="Arial"/>
                <w:color w:val="FFFFFF"/>
                <w:sz w:val="18"/>
                <w:szCs w:val="18"/>
              </w:rPr>
              <w:t xml:space="preserve"> SFH 2007 alapján (Gépb</w:t>
            </w:r>
            <w:r>
              <w:rPr>
                <w:rFonts w:cs="Arial"/>
                <w:color w:val="FFFFFF"/>
                <w:sz w:val="18"/>
                <w:szCs w:val="18"/>
              </w:rPr>
              <w:t>e</w:t>
            </w:r>
            <w:r>
              <w:rPr>
                <w:rFonts w:cs="Arial"/>
                <w:color w:val="FFFFFF"/>
                <w:sz w:val="18"/>
                <w:szCs w:val="18"/>
              </w:rPr>
              <w:t>szerzés)</w:t>
            </w:r>
          </w:p>
        </w:tc>
        <w:tc>
          <w:tcPr>
            <w:tcW w:w="1252" w:type="pct"/>
            <w:vAlign w:val="center"/>
          </w:tcPr>
          <w:p w:rsidR="00084397" w:rsidRPr="00C509D9" w:rsidRDefault="00084397" w:rsidP="00084397">
            <w:pPr>
              <w:jc w:val="center"/>
              <w:cnfStyle w:val="100000000000"/>
              <w:rPr>
                <w:rFonts w:cs="Arial"/>
                <w:color w:val="FFFFFF"/>
                <w:sz w:val="18"/>
                <w:szCs w:val="18"/>
              </w:rPr>
            </w:pPr>
            <w:r>
              <w:rPr>
                <w:rFonts w:cs="Arial"/>
                <w:color w:val="FFFFFF"/>
                <w:sz w:val="18"/>
                <w:szCs w:val="18"/>
              </w:rPr>
              <w:t>Átlagos támogatási össz</w:t>
            </w:r>
            <w:r>
              <w:rPr>
                <w:rFonts w:cs="Arial"/>
                <w:color w:val="FFFFFF"/>
                <w:sz w:val="18"/>
                <w:szCs w:val="18"/>
              </w:rPr>
              <w:t>e</w:t>
            </w:r>
            <w:r>
              <w:rPr>
                <w:rFonts w:cs="Arial"/>
                <w:color w:val="FFFFFF"/>
                <w:sz w:val="18"/>
                <w:szCs w:val="18"/>
              </w:rPr>
              <w:t>gek</w:t>
            </w:r>
          </w:p>
        </w:tc>
        <w:tc>
          <w:tcPr>
            <w:tcW w:w="861" w:type="pct"/>
            <w:vAlign w:val="center"/>
          </w:tcPr>
          <w:p w:rsidR="00084397" w:rsidRPr="00C509D9" w:rsidRDefault="00084397" w:rsidP="00084397">
            <w:pPr>
              <w:jc w:val="center"/>
              <w:cnfStyle w:val="100000000000"/>
              <w:rPr>
                <w:rFonts w:cs="Arial"/>
                <w:color w:val="FFFFFF"/>
                <w:sz w:val="18"/>
                <w:szCs w:val="18"/>
              </w:rPr>
            </w:pPr>
            <w:r>
              <w:rPr>
                <w:rFonts w:cs="Arial"/>
                <w:color w:val="FFFFFF"/>
                <w:sz w:val="18"/>
                <w:szCs w:val="18"/>
              </w:rPr>
              <w:t>Tervezett lé</w:t>
            </w:r>
            <w:r>
              <w:rPr>
                <w:rFonts w:cs="Arial"/>
                <w:color w:val="FFFFFF"/>
                <w:sz w:val="18"/>
                <w:szCs w:val="18"/>
              </w:rPr>
              <w:t>t</w:t>
            </w:r>
            <w:r>
              <w:rPr>
                <w:rFonts w:cs="Arial"/>
                <w:color w:val="FFFFFF"/>
                <w:sz w:val="18"/>
                <w:szCs w:val="18"/>
              </w:rPr>
              <w:t>számbővítés</w:t>
            </w:r>
          </w:p>
        </w:tc>
        <w:tc>
          <w:tcPr>
            <w:tcW w:w="753" w:type="pct"/>
            <w:vAlign w:val="center"/>
          </w:tcPr>
          <w:p w:rsidR="00084397" w:rsidRPr="00C509D9" w:rsidRDefault="00084397" w:rsidP="00084397">
            <w:pPr>
              <w:jc w:val="center"/>
              <w:cnfStyle w:val="100000000000"/>
              <w:rPr>
                <w:rFonts w:cs="Arial"/>
                <w:color w:val="FFFFFF"/>
                <w:sz w:val="18"/>
                <w:szCs w:val="18"/>
              </w:rPr>
            </w:pPr>
            <w:r>
              <w:rPr>
                <w:rFonts w:cs="Arial"/>
                <w:color w:val="FFFFFF"/>
                <w:sz w:val="18"/>
                <w:szCs w:val="18"/>
              </w:rPr>
              <w:t>Átlaglétszám (</w:t>
            </w:r>
            <w:proofErr w:type="spellStart"/>
            <w:r>
              <w:rPr>
                <w:rFonts w:cs="Arial"/>
                <w:color w:val="FFFFFF"/>
                <w:sz w:val="18"/>
                <w:szCs w:val="18"/>
              </w:rPr>
              <w:t>fejelsztés</w:t>
            </w:r>
            <w:proofErr w:type="spellEnd"/>
            <w:r>
              <w:rPr>
                <w:rFonts w:cs="Arial"/>
                <w:color w:val="FFFFFF"/>
                <w:sz w:val="18"/>
                <w:szCs w:val="18"/>
              </w:rPr>
              <w:t xml:space="preserve"> </w:t>
            </w:r>
            <w:proofErr w:type="spellStart"/>
            <w:r>
              <w:rPr>
                <w:rFonts w:cs="Arial"/>
                <w:color w:val="FFFFFF"/>
                <w:sz w:val="18"/>
                <w:szCs w:val="18"/>
              </w:rPr>
              <w:t>előőti</w:t>
            </w:r>
            <w:proofErr w:type="spellEnd"/>
            <w:r>
              <w:rPr>
                <w:rFonts w:cs="Arial"/>
                <w:color w:val="FFFFFF"/>
                <w:sz w:val="18"/>
                <w:szCs w:val="18"/>
              </w:rPr>
              <w:t xml:space="preserve"> tény)</w:t>
            </w:r>
          </w:p>
        </w:tc>
        <w:tc>
          <w:tcPr>
            <w:tcW w:w="985" w:type="pct"/>
            <w:vAlign w:val="center"/>
          </w:tcPr>
          <w:p w:rsidR="00084397" w:rsidRPr="00C509D9" w:rsidRDefault="00084397" w:rsidP="00084397">
            <w:pPr>
              <w:jc w:val="center"/>
              <w:cnfStyle w:val="100000000000"/>
              <w:rPr>
                <w:rFonts w:cs="Arial"/>
                <w:color w:val="FFFFFF"/>
                <w:sz w:val="18"/>
                <w:szCs w:val="18"/>
              </w:rPr>
            </w:pPr>
            <w:r>
              <w:rPr>
                <w:rFonts w:cs="Arial"/>
                <w:color w:val="FFFFFF"/>
                <w:sz w:val="18"/>
                <w:szCs w:val="18"/>
              </w:rPr>
              <w:t>Átlaglétszám (fejles</w:t>
            </w:r>
            <w:r>
              <w:rPr>
                <w:rFonts w:cs="Arial"/>
                <w:color w:val="FFFFFF"/>
                <w:sz w:val="18"/>
                <w:szCs w:val="18"/>
              </w:rPr>
              <w:t>z</w:t>
            </w:r>
            <w:r>
              <w:rPr>
                <w:rFonts w:cs="Arial"/>
                <w:color w:val="FFFFFF"/>
                <w:sz w:val="18"/>
                <w:szCs w:val="18"/>
              </w:rPr>
              <w:t>tés utánra vállalt)</w:t>
            </w:r>
          </w:p>
        </w:tc>
      </w:tr>
      <w:tr w:rsidR="00084397" w:rsidRPr="00C509D9" w:rsidTr="00084397">
        <w:trPr>
          <w:cnfStyle w:val="000000100000"/>
          <w:jc w:val="center"/>
        </w:trPr>
        <w:tc>
          <w:tcPr>
            <w:cnfStyle w:val="001000000000"/>
            <w:tcW w:w="1149" w:type="pct"/>
            <w:vAlign w:val="center"/>
          </w:tcPr>
          <w:p w:rsidR="00084397" w:rsidRPr="00C509D9" w:rsidRDefault="00084397" w:rsidP="00084397">
            <w:pPr>
              <w:jc w:val="center"/>
              <w:rPr>
                <w:rFonts w:cs="Arial"/>
                <w:b w:val="0"/>
                <w:sz w:val="18"/>
                <w:szCs w:val="18"/>
              </w:rPr>
            </w:pPr>
            <w:r>
              <w:rPr>
                <w:rFonts w:cs="Arial"/>
                <w:b w:val="0"/>
                <w:sz w:val="18"/>
                <w:szCs w:val="18"/>
              </w:rPr>
              <w:t>Mikro vállalkozás</w:t>
            </w:r>
          </w:p>
        </w:tc>
        <w:tc>
          <w:tcPr>
            <w:tcW w:w="1252" w:type="pct"/>
            <w:vAlign w:val="center"/>
          </w:tcPr>
          <w:p w:rsidR="00084397" w:rsidRPr="002B6127" w:rsidRDefault="00084397" w:rsidP="00084397">
            <w:pPr>
              <w:autoSpaceDE w:val="0"/>
              <w:autoSpaceDN w:val="0"/>
              <w:adjustRightInd w:val="0"/>
              <w:jc w:val="center"/>
              <w:cnfStyle w:val="000000100000"/>
            </w:pPr>
            <w:r w:rsidRPr="002B6127">
              <w:t>3 005</w:t>
            </w:r>
            <w:r>
              <w:t> </w:t>
            </w:r>
            <w:r w:rsidRPr="002B6127">
              <w:t>524</w:t>
            </w:r>
            <w:r>
              <w:t xml:space="preserve"> Ft</w:t>
            </w:r>
          </w:p>
        </w:tc>
        <w:tc>
          <w:tcPr>
            <w:tcW w:w="861" w:type="pct"/>
            <w:vAlign w:val="center"/>
          </w:tcPr>
          <w:p w:rsidR="00084397" w:rsidRPr="00DD33B9" w:rsidRDefault="00084397" w:rsidP="00084397">
            <w:pPr>
              <w:jc w:val="center"/>
              <w:cnfStyle w:val="000000100000"/>
              <w:rPr>
                <w:rFonts w:cs="Arial"/>
                <w:color w:val="000000"/>
                <w:sz w:val="18"/>
                <w:szCs w:val="18"/>
              </w:rPr>
            </w:pPr>
            <w:r w:rsidRPr="00DD33B9">
              <w:rPr>
                <w:rFonts w:cs="Arial"/>
                <w:color w:val="000000"/>
                <w:sz w:val="18"/>
                <w:szCs w:val="18"/>
              </w:rPr>
              <w:t>369</w:t>
            </w:r>
          </w:p>
        </w:tc>
        <w:tc>
          <w:tcPr>
            <w:tcW w:w="753" w:type="pct"/>
            <w:vAlign w:val="center"/>
          </w:tcPr>
          <w:p w:rsidR="00084397" w:rsidRPr="00C509D9" w:rsidRDefault="00084397" w:rsidP="00084397">
            <w:pPr>
              <w:jc w:val="center"/>
              <w:cnfStyle w:val="000000100000"/>
              <w:rPr>
                <w:rFonts w:cs="Arial"/>
                <w:color w:val="000000"/>
                <w:sz w:val="18"/>
                <w:szCs w:val="18"/>
              </w:rPr>
            </w:pPr>
            <w:r w:rsidRPr="00C509D9">
              <w:rPr>
                <w:rFonts w:cs="Arial"/>
                <w:color w:val="000000"/>
                <w:sz w:val="18"/>
                <w:szCs w:val="18"/>
              </w:rPr>
              <w:t>3 528</w:t>
            </w:r>
          </w:p>
        </w:tc>
        <w:tc>
          <w:tcPr>
            <w:tcW w:w="985" w:type="pct"/>
            <w:vAlign w:val="center"/>
          </w:tcPr>
          <w:p w:rsidR="00084397" w:rsidRPr="00C509D9" w:rsidRDefault="00084397" w:rsidP="00084397">
            <w:pPr>
              <w:jc w:val="center"/>
              <w:cnfStyle w:val="000000100000"/>
              <w:rPr>
                <w:rFonts w:cs="Arial"/>
                <w:color w:val="000000"/>
                <w:sz w:val="18"/>
                <w:szCs w:val="18"/>
              </w:rPr>
            </w:pPr>
            <w:r w:rsidRPr="00C509D9">
              <w:rPr>
                <w:rFonts w:cs="Arial"/>
                <w:color w:val="000000"/>
                <w:sz w:val="18"/>
                <w:szCs w:val="18"/>
              </w:rPr>
              <w:t>3 897</w:t>
            </w:r>
          </w:p>
        </w:tc>
      </w:tr>
      <w:tr w:rsidR="00084397" w:rsidRPr="00C509D9" w:rsidTr="00084397">
        <w:trPr>
          <w:jc w:val="center"/>
        </w:trPr>
        <w:tc>
          <w:tcPr>
            <w:cnfStyle w:val="001000000000"/>
            <w:tcW w:w="1149" w:type="pct"/>
            <w:vAlign w:val="center"/>
          </w:tcPr>
          <w:p w:rsidR="00084397" w:rsidRPr="00C509D9" w:rsidRDefault="00084397" w:rsidP="00084397">
            <w:pPr>
              <w:jc w:val="center"/>
              <w:rPr>
                <w:rFonts w:cs="Arial"/>
                <w:b w:val="0"/>
                <w:sz w:val="18"/>
                <w:szCs w:val="18"/>
              </w:rPr>
            </w:pPr>
            <w:r>
              <w:rPr>
                <w:rFonts w:cs="Arial"/>
                <w:b w:val="0"/>
                <w:sz w:val="18"/>
                <w:szCs w:val="18"/>
              </w:rPr>
              <w:t>Kisvállalkozás</w:t>
            </w:r>
          </w:p>
        </w:tc>
        <w:tc>
          <w:tcPr>
            <w:tcW w:w="1252" w:type="pct"/>
            <w:vAlign w:val="center"/>
          </w:tcPr>
          <w:p w:rsidR="00084397" w:rsidRPr="002B6127" w:rsidRDefault="00084397" w:rsidP="00084397">
            <w:pPr>
              <w:autoSpaceDE w:val="0"/>
              <w:autoSpaceDN w:val="0"/>
              <w:adjustRightInd w:val="0"/>
              <w:jc w:val="center"/>
              <w:cnfStyle w:val="000000000000"/>
            </w:pPr>
            <w:r w:rsidRPr="002B6127">
              <w:t>4 263</w:t>
            </w:r>
            <w:r>
              <w:t> </w:t>
            </w:r>
            <w:r w:rsidRPr="002B6127">
              <w:t>879</w:t>
            </w:r>
            <w:r>
              <w:t xml:space="preserve"> Ft</w:t>
            </w:r>
          </w:p>
        </w:tc>
        <w:tc>
          <w:tcPr>
            <w:tcW w:w="861" w:type="pct"/>
            <w:vAlign w:val="center"/>
          </w:tcPr>
          <w:p w:rsidR="00084397" w:rsidRPr="00DD33B9" w:rsidRDefault="00084397" w:rsidP="00084397">
            <w:pPr>
              <w:jc w:val="center"/>
              <w:cnfStyle w:val="000000000000"/>
              <w:rPr>
                <w:rFonts w:cs="Arial"/>
                <w:color w:val="000000"/>
                <w:sz w:val="18"/>
                <w:szCs w:val="18"/>
              </w:rPr>
            </w:pPr>
            <w:r w:rsidRPr="00DD33B9">
              <w:rPr>
                <w:rFonts w:cs="Arial"/>
                <w:color w:val="000000"/>
                <w:sz w:val="18"/>
                <w:szCs w:val="18"/>
              </w:rPr>
              <w:t>461</w:t>
            </w:r>
          </w:p>
        </w:tc>
        <w:tc>
          <w:tcPr>
            <w:tcW w:w="753" w:type="pct"/>
            <w:vAlign w:val="center"/>
          </w:tcPr>
          <w:p w:rsidR="00084397" w:rsidRPr="00C509D9" w:rsidRDefault="00084397" w:rsidP="00084397">
            <w:pPr>
              <w:jc w:val="center"/>
              <w:cnfStyle w:val="000000000000"/>
              <w:rPr>
                <w:rFonts w:cs="Arial"/>
                <w:color w:val="000000"/>
                <w:sz w:val="18"/>
                <w:szCs w:val="18"/>
              </w:rPr>
            </w:pPr>
            <w:r w:rsidRPr="00C509D9">
              <w:rPr>
                <w:rFonts w:cs="Arial"/>
                <w:color w:val="000000"/>
                <w:sz w:val="18"/>
                <w:szCs w:val="18"/>
              </w:rPr>
              <w:t>4 321</w:t>
            </w:r>
          </w:p>
        </w:tc>
        <w:tc>
          <w:tcPr>
            <w:tcW w:w="985" w:type="pct"/>
            <w:vAlign w:val="center"/>
          </w:tcPr>
          <w:p w:rsidR="00084397" w:rsidRPr="00C509D9" w:rsidRDefault="00084397" w:rsidP="00084397">
            <w:pPr>
              <w:jc w:val="center"/>
              <w:cnfStyle w:val="000000000000"/>
              <w:rPr>
                <w:rFonts w:cs="Arial"/>
                <w:color w:val="000000"/>
                <w:sz w:val="18"/>
                <w:szCs w:val="18"/>
              </w:rPr>
            </w:pPr>
            <w:r w:rsidRPr="00C509D9">
              <w:rPr>
                <w:rFonts w:cs="Arial"/>
                <w:color w:val="000000"/>
                <w:sz w:val="18"/>
                <w:szCs w:val="18"/>
              </w:rPr>
              <w:t>4 782</w:t>
            </w:r>
          </w:p>
        </w:tc>
      </w:tr>
      <w:tr w:rsidR="00084397" w:rsidRPr="00C509D9" w:rsidTr="00084397">
        <w:trPr>
          <w:cnfStyle w:val="000000100000"/>
          <w:jc w:val="center"/>
        </w:trPr>
        <w:tc>
          <w:tcPr>
            <w:cnfStyle w:val="001000000000"/>
            <w:tcW w:w="1149" w:type="pct"/>
            <w:vAlign w:val="center"/>
          </w:tcPr>
          <w:p w:rsidR="00084397" w:rsidRPr="00C509D9" w:rsidRDefault="00084397" w:rsidP="00084397">
            <w:pPr>
              <w:jc w:val="center"/>
              <w:rPr>
                <w:rFonts w:cs="Arial"/>
                <w:b w:val="0"/>
                <w:sz w:val="18"/>
                <w:szCs w:val="18"/>
              </w:rPr>
            </w:pPr>
            <w:r>
              <w:rPr>
                <w:rFonts w:cs="Arial"/>
                <w:b w:val="0"/>
                <w:sz w:val="18"/>
                <w:szCs w:val="18"/>
              </w:rPr>
              <w:t>Közepes vállalkozás</w:t>
            </w:r>
          </w:p>
        </w:tc>
        <w:tc>
          <w:tcPr>
            <w:tcW w:w="1252" w:type="pct"/>
            <w:vAlign w:val="center"/>
          </w:tcPr>
          <w:p w:rsidR="00084397" w:rsidRPr="002B6127" w:rsidRDefault="00084397" w:rsidP="00084397">
            <w:pPr>
              <w:autoSpaceDE w:val="0"/>
              <w:autoSpaceDN w:val="0"/>
              <w:adjustRightInd w:val="0"/>
              <w:jc w:val="center"/>
              <w:cnfStyle w:val="000000100000"/>
            </w:pPr>
            <w:r w:rsidRPr="002B6127">
              <w:t>8 365</w:t>
            </w:r>
            <w:r>
              <w:t> </w:t>
            </w:r>
            <w:r w:rsidRPr="002B6127">
              <w:t>816</w:t>
            </w:r>
            <w:r>
              <w:t xml:space="preserve"> Ft</w:t>
            </w:r>
          </w:p>
        </w:tc>
        <w:tc>
          <w:tcPr>
            <w:tcW w:w="861" w:type="pct"/>
            <w:vAlign w:val="center"/>
          </w:tcPr>
          <w:p w:rsidR="00084397" w:rsidRPr="00DD33B9" w:rsidRDefault="00084397" w:rsidP="00084397">
            <w:pPr>
              <w:jc w:val="center"/>
              <w:cnfStyle w:val="000000100000"/>
              <w:rPr>
                <w:rFonts w:cs="Arial"/>
                <w:color w:val="000000"/>
                <w:sz w:val="18"/>
                <w:szCs w:val="18"/>
              </w:rPr>
            </w:pPr>
            <w:r w:rsidRPr="00DD33B9">
              <w:rPr>
                <w:rFonts w:cs="Arial"/>
                <w:color w:val="000000"/>
                <w:sz w:val="18"/>
                <w:szCs w:val="18"/>
              </w:rPr>
              <w:t>771</w:t>
            </w:r>
          </w:p>
        </w:tc>
        <w:tc>
          <w:tcPr>
            <w:tcW w:w="753" w:type="pct"/>
            <w:vAlign w:val="center"/>
          </w:tcPr>
          <w:p w:rsidR="00084397" w:rsidRPr="00C509D9" w:rsidRDefault="00084397" w:rsidP="00084397">
            <w:pPr>
              <w:jc w:val="center"/>
              <w:cnfStyle w:val="000000100000"/>
              <w:rPr>
                <w:rFonts w:cs="Arial"/>
                <w:color w:val="000000"/>
                <w:sz w:val="18"/>
                <w:szCs w:val="18"/>
              </w:rPr>
            </w:pPr>
            <w:r w:rsidRPr="00C509D9">
              <w:rPr>
                <w:rFonts w:cs="Arial"/>
                <w:color w:val="000000"/>
                <w:sz w:val="18"/>
                <w:szCs w:val="18"/>
              </w:rPr>
              <w:t>7 009</w:t>
            </w:r>
          </w:p>
        </w:tc>
        <w:tc>
          <w:tcPr>
            <w:tcW w:w="985" w:type="pct"/>
            <w:vAlign w:val="center"/>
          </w:tcPr>
          <w:p w:rsidR="00084397" w:rsidRPr="00C509D9" w:rsidRDefault="00084397" w:rsidP="00084397">
            <w:pPr>
              <w:jc w:val="center"/>
              <w:cnfStyle w:val="000000100000"/>
              <w:rPr>
                <w:rFonts w:cs="Arial"/>
                <w:color w:val="000000"/>
                <w:sz w:val="18"/>
                <w:szCs w:val="18"/>
              </w:rPr>
            </w:pPr>
            <w:r w:rsidRPr="00C509D9">
              <w:rPr>
                <w:rFonts w:cs="Arial"/>
                <w:color w:val="000000"/>
                <w:sz w:val="18"/>
                <w:szCs w:val="18"/>
              </w:rPr>
              <w:t>7 780</w:t>
            </w:r>
          </w:p>
        </w:tc>
      </w:tr>
      <w:tr w:rsidR="00084397" w:rsidRPr="00C509D9" w:rsidTr="00084397">
        <w:trPr>
          <w:jc w:val="center"/>
        </w:trPr>
        <w:tc>
          <w:tcPr>
            <w:cnfStyle w:val="001000000000"/>
            <w:tcW w:w="1149" w:type="pct"/>
            <w:vAlign w:val="center"/>
          </w:tcPr>
          <w:p w:rsidR="00084397" w:rsidRPr="00C509D9" w:rsidRDefault="00084397" w:rsidP="00084397">
            <w:pPr>
              <w:jc w:val="center"/>
              <w:rPr>
                <w:rFonts w:cs="Arial"/>
                <w:b w:val="0"/>
                <w:sz w:val="18"/>
                <w:szCs w:val="18"/>
              </w:rPr>
            </w:pPr>
            <w:r>
              <w:rPr>
                <w:rFonts w:cs="Arial"/>
                <w:b w:val="0"/>
                <w:sz w:val="18"/>
                <w:szCs w:val="18"/>
              </w:rPr>
              <w:t>Nagyvállalkozás</w:t>
            </w:r>
          </w:p>
        </w:tc>
        <w:tc>
          <w:tcPr>
            <w:tcW w:w="1252" w:type="pct"/>
            <w:vAlign w:val="center"/>
          </w:tcPr>
          <w:p w:rsidR="00084397" w:rsidRPr="002B6127" w:rsidRDefault="00084397" w:rsidP="00084397">
            <w:pPr>
              <w:autoSpaceDE w:val="0"/>
              <w:autoSpaceDN w:val="0"/>
              <w:adjustRightInd w:val="0"/>
              <w:jc w:val="center"/>
              <w:cnfStyle w:val="000000000000"/>
            </w:pPr>
            <w:r w:rsidRPr="002B6127">
              <w:t>18 393</w:t>
            </w:r>
            <w:r>
              <w:t> </w:t>
            </w:r>
            <w:r w:rsidRPr="002B6127">
              <w:t>874</w:t>
            </w:r>
            <w:r>
              <w:t xml:space="preserve"> Ft</w:t>
            </w:r>
          </w:p>
        </w:tc>
        <w:tc>
          <w:tcPr>
            <w:tcW w:w="861" w:type="pct"/>
            <w:vAlign w:val="center"/>
          </w:tcPr>
          <w:p w:rsidR="00084397" w:rsidRPr="00DD33B9" w:rsidRDefault="00084397" w:rsidP="00084397">
            <w:pPr>
              <w:jc w:val="center"/>
              <w:cnfStyle w:val="000000000000"/>
              <w:rPr>
                <w:rFonts w:cs="Arial"/>
                <w:color w:val="000000"/>
                <w:sz w:val="18"/>
                <w:szCs w:val="18"/>
              </w:rPr>
            </w:pPr>
            <w:r w:rsidRPr="00DD33B9">
              <w:rPr>
                <w:rFonts w:cs="Arial"/>
                <w:color w:val="000000"/>
                <w:sz w:val="18"/>
                <w:szCs w:val="18"/>
              </w:rPr>
              <w:t>- 5 412</w:t>
            </w:r>
          </w:p>
        </w:tc>
        <w:tc>
          <w:tcPr>
            <w:tcW w:w="753" w:type="pct"/>
            <w:vAlign w:val="center"/>
          </w:tcPr>
          <w:p w:rsidR="00084397" w:rsidRPr="00C509D9" w:rsidRDefault="00084397" w:rsidP="00084397">
            <w:pPr>
              <w:jc w:val="center"/>
              <w:cnfStyle w:val="000000000000"/>
              <w:rPr>
                <w:rFonts w:cs="Arial"/>
                <w:color w:val="000000"/>
                <w:sz w:val="18"/>
                <w:szCs w:val="18"/>
              </w:rPr>
            </w:pPr>
            <w:r w:rsidRPr="00C509D9">
              <w:rPr>
                <w:rFonts w:cs="Arial"/>
                <w:color w:val="000000"/>
                <w:sz w:val="18"/>
                <w:szCs w:val="18"/>
              </w:rPr>
              <w:t>88 179</w:t>
            </w:r>
          </w:p>
        </w:tc>
        <w:tc>
          <w:tcPr>
            <w:tcW w:w="985" w:type="pct"/>
            <w:vAlign w:val="center"/>
          </w:tcPr>
          <w:p w:rsidR="00084397" w:rsidRPr="00C509D9" w:rsidRDefault="00084397" w:rsidP="00084397">
            <w:pPr>
              <w:jc w:val="center"/>
              <w:cnfStyle w:val="000000000000"/>
              <w:rPr>
                <w:rFonts w:cs="Arial"/>
                <w:color w:val="000000"/>
                <w:sz w:val="18"/>
                <w:szCs w:val="18"/>
              </w:rPr>
            </w:pPr>
            <w:r w:rsidRPr="00C509D9">
              <w:rPr>
                <w:rFonts w:cs="Arial"/>
                <w:color w:val="000000"/>
                <w:sz w:val="18"/>
                <w:szCs w:val="18"/>
              </w:rPr>
              <w:t>82 767</w:t>
            </w:r>
          </w:p>
        </w:tc>
      </w:tr>
      <w:tr w:rsidR="00084397" w:rsidRPr="00C509D9" w:rsidTr="00084397">
        <w:trPr>
          <w:cnfStyle w:val="000000100000"/>
          <w:jc w:val="center"/>
        </w:trPr>
        <w:tc>
          <w:tcPr>
            <w:cnfStyle w:val="001000000000"/>
            <w:tcW w:w="1149" w:type="pct"/>
            <w:vAlign w:val="center"/>
          </w:tcPr>
          <w:p w:rsidR="00084397" w:rsidRPr="00C509D9" w:rsidRDefault="00084397" w:rsidP="00084397">
            <w:pPr>
              <w:jc w:val="center"/>
              <w:rPr>
                <w:rFonts w:cs="Arial"/>
                <w:b w:val="0"/>
                <w:sz w:val="18"/>
                <w:szCs w:val="18"/>
              </w:rPr>
            </w:pPr>
            <w:r w:rsidRPr="00C509D9">
              <w:rPr>
                <w:rFonts w:cs="Arial"/>
                <w:b w:val="0"/>
                <w:sz w:val="18"/>
                <w:szCs w:val="18"/>
              </w:rPr>
              <w:t>Nincs benn a vizsgála</w:t>
            </w:r>
            <w:r w:rsidRPr="00C509D9">
              <w:rPr>
                <w:rFonts w:cs="Arial"/>
                <w:b w:val="0"/>
                <w:sz w:val="18"/>
                <w:szCs w:val="18"/>
              </w:rPr>
              <w:t>t</w:t>
            </w:r>
            <w:r w:rsidRPr="00C509D9">
              <w:rPr>
                <w:rFonts w:cs="Arial"/>
                <w:b w:val="0"/>
                <w:sz w:val="18"/>
                <w:szCs w:val="18"/>
              </w:rPr>
              <w:t>ban</w:t>
            </w:r>
            <w:r w:rsidRPr="00C509D9">
              <w:rPr>
                <w:rStyle w:val="FootnoteReference"/>
                <w:rFonts w:cs="Arial"/>
                <w:b w:val="0"/>
                <w:sz w:val="18"/>
                <w:szCs w:val="18"/>
              </w:rPr>
              <w:footnoteReference w:id="30"/>
            </w:r>
          </w:p>
        </w:tc>
        <w:tc>
          <w:tcPr>
            <w:tcW w:w="1252" w:type="pct"/>
            <w:vAlign w:val="center"/>
          </w:tcPr>
          <w:p w:rsidR="00084397" w:rsidRPr="002B6127" w:rsidRDefault="00084397" w:rsidP="00084397">
            <w:pPr>
              <w:autoSpaceDE w:val="0"/>
              <w:autoSpaceDN w:val="0"/>
              <w:adjustRightInd w:val="0"/>
              <w:jc w:val="center"/>
              <w:cnfStyle w:val="000000100000"/>
            </w:pPr>
            <w:r w:rsidRPr="002B6127">
              <w:t>6 883</w:t>
            </w:r>
            <w:r>
              <w:t> </w:t>
            </w:r>
            <w:r w:rsidRPr="002B6127">
              <w:t>962</w:t>
            </w:r>
            <w:r>
              <w:t xml:space="preserve"> Ft</w:t>
            </w:r>
          </w:p>
        </w:tc>
        <w:tc>
          <w:tcPr>
            <w:tcW w:w="861" w:type="pct"/>
            <w:vAlign w:val="center"/>
          </w:tcPr>
          <w:p w:rsidR="00084397" w:rsidRPr="00DD33B9" w:rsidRDefault="00084397" w:rsidP="00084397">
            <w:pPr>
              <w:jc w:val="center"/>
              <w:cnfStyle w:val="000000100000"/>
              <w:rPr>
                <w:rFonts w:cs="Arial"/>
                <w:color w:val="000000"/>
                <w:sz w:val="18"/>
                <w:szCs w:val="18"/>
              </w:rPr>
            </w:pPr>
            <w:r w:rsidRPr="00DD33B9">
              <w:rPr>
                <w:rFonts w:cs="Arial"/>
                <w:color w:val="000000"/>
                <w:sz w:val="18"/>
                <w:szCs w:val="18"/>
              </w:rPr>
              <w:t>600</w:t>
            </w:r>
          </w:p>
        </w:tc>
        <w:tc>
          <w:tcPr>
            <w:tcW w:w="753" w:type="pct"/>
            <w:vAlign w:val="center"/>
          </w:tcPr>
          <w:p w:rsidR="00084397" w:rsidRPr="00C509D9" w:rsidRDefault="00084397" w:rsidP="00084397">
            <w:pPr>
              <w:jc w:val="center"/>
              <w:cnfStyle w:val="000000100000"/>
              <w:rPr>
                <w:rFonts w:cs="Arial"/>
                <w:color w:val="000000"/>
                <w:sz w:val="18"/>
                <w:szCs w:val="18"/>
              </w:rPr>
            </w:pPr>
            <w:r w:rsidRPr="00C509D9">
              <w:rPr>
                <w:rFonts w:cs="Arial"/>
                <w:color w:val="000000"/>
                <w:sz w:val="18"/>
                <w:szCs w:val="18"/>
              </w:rPr>
              <w:t>6 812</w:t>
            </w:r>
          </w:p>
        </w:tc>
        <w:tc>
          <w:tcPr>
            <w:tcW w:w="985" w:type="pct"/>
            <w:vAlign w:val="center"/>
          </w:tcPr>
          <w:p w:rsidR="00084397" w:rsidRPr="00C509D9" w:rsidRDefault="00084397" w:rsidP="00084397">
            <w:pPr>
              <w:jc w:val="center"/>
              <w:cnfStyle w:val="000000100000"/>
              <w:rPr>
                <w:rFonts w:cs="Arial"/>
                <w:color w:val="000000"/>
                <w:sz w:val="18"/>
                <w:szCs w:val="18"/>
              </w:rPr>
            </w:pPr>
            <w:r w:rsidRPr="00C509D9">
              <w:rPr>
                <w:rFonts w:cs="Arial"/>
                <w:color w:val="000000"/>
                <w:sz w:val="18"/>
                <w:szCs w:val="18"/>
              </w:rPr>
              <w:t>7 412</w:t>
            </w:r>
          </w:p>
        </w:tc>
      </w:tr>
      <w:tr w:rsidR="00084397" w:rsidRPr="00C509D9" w:rsidTr="00084397">
        <w:trPr>
          <w:jc w:val="center"/>
        </w:trPr>
        <w:tc>
          <w:tcPr>
            <w:cnfStyle w:val="001000000000"/>
            <w:tcW w:w="1149" w:type="pct"/>
            <w:vAlign w:val="center"/>
          </w:tcPr>
          <w:p w:rsidR="00084397" w:rsidRPr="00C509D9" w:rsidRDefault="00084397" w:rsidP="00084397">
            <w:pPr>
              <w:jc w:val="center"/>
              <w:rPr>
                <w:rFonts w:cs="Arial"/>
                <w:b w:val="0"/>
                <w:bCs w:val="0"/>
                <w:sz w:val="18"/>
                <w:szCs w:val="18"/>
              </w:rPr>
            </w:pPr>
            <w:r w:rsidRPr="00C509D9">
              <w:rPr>
                <w:rFonts w:cs="Arial"/>
                <w:bCs w:val="0"/>
                <w:sz w:val="18"/>
                <w:szCs w:val="18"/>
              </w:rPr>
              <w:t>Összesen</w:t>
            </w:r>
          </w:p>
        </w:tc>
        <w:tc>
          <w:tcPr>
            <w:tcW w:w="1252" w:type="pct"/>
            <w:vAlign w:val="center"/>
          </w:tcPr>
          <w:p w:rsidR="00084397" w:rsidRPr="00C509D9" w:rsidRDefault="00084397" w:rsidP="00084397">
            <w:pPr>
              <w:jc w:val="center"/>
              <w:cnfStyle w:val="000000000000"/>
              <w:rPr>
                <w:rFonts w:cs="Arial"/>
                <w:b/>
                <w:bCs/>
                <w:color w:val="000000"/>
                <w:sz w:val="18"/>
                <w:szCs w:val="18"/>
              </w:rPr>
            </w:pPr>
            <w:r w:rsidRPr="00C509D9">
              <w:rPr>
                <w:rFonts w:cs="Arial"/>
                <w:b/>
                <w:bCs/>
                <w:color w:val="000000"/>
                <w:sz w:val="18"/>
                <w:szCs w:val="18"/>
              </w:rPr>
              <w:t>76 784 719 852 Ft</w:t>
            </w:r>
          </w:p>
        </w:tc>
        <w:tc>
          <w:tcPr>
            <w:tcW w:w="861" w:type="pct"/>
            <w:vAlign w:val="center"/>
          </w:tcPr>
          <w:p w:rsidR="00084397" w:rsidRPr="00DD33B9" w:rsidRDefault="00084397" w:rsidP="00084397">
            <w:pPr>
              <w:jc w:val="center"/>
              <w:cnfStyle w:val="000000000000"/>
              <w:rPr>
                <w:rFonts w:cs="Arial"/>
                <w:b/>
                <w:bCs/>
                <w:color w:val="000000"/>
                <w:sz w:val="18"/>
                <w:szCs w:val="18"/>
              </w:rPr>
            </w:pPr>
            <w:r w:rsidRPr="00DD33B9">
              <w:rPr>
                <w:rFonts w:cs="Arial"/>
                <w:b/>
                <w:bCs/>
                <w:color w:val="000000"/>
                <w:sz w:val="18"/>
                <w:szCs w:val="18"/>
              </w:rPr>
              <w:t>-3 211</w:t>
            </w:r>
          </w:p>
        </w:tc>
        <w:tc>
          <w:tcPr>
            <w:tcW w:w="753" w:type="pct"/>
            <w:vAlign w:val="center"/>
          </w:tcPr>
          <w:p w:rsidR="00084397" w:rsidRPr="00C509D9" w:rsidRDefault="00084397" w:rsidP="00084397">
            <w:pPr>
              <w:jc w:val="center"/>
              <w:cnfStyle w:val="000000000000"/>
              <w:rPr>
                <w:rFonts w:cs="Arial"/>
                <w:b/>
                <w:bCs/>
                <w:color w:val="000000"/>
                <w:sz w:val="18"/>
                <w:szCs w:val="18"/>
              </w:rPr>
            </w:pPr>
            <w:r w:rsidRPr="00C509D9">
              <w:rPr>
                <w:rFonts w:cs="Arial"/>
                <w:b/>
                <w:bCs/>
                <w:color w:val="000000"/>
                <w:sz w:val="18"/>
                <w:szCs w:val="18"/>
              </w:rPr>
              <w:t>109 849</w:t>
            </w:r>
          </w:p>
        </w:tc>
        <w:tc>
          <w:tcPr>
            <w:tcW w:w="985" w:type="pct"/>
            <w:vAlign w:val="center"/>
          </w:tcPr>
          <w:p w:rsidR="00084397" w:rsidRPr="00C509D9" w:rsidRDefault="00084397" w:rsidP="00084397">
            <w:pPr>
              <w:jc w:val="center"/>
              <w:cnfStyle w:val="000000000000"/>
              <w:rPr>
                <w:rFonts w:cs="Arial"/>
                <w:b/>
                <w:bCs/>
                <w:color w:val="000000"/>
                <w:sz w:val="18"/>
                <w:szCs w:val="18"/>
              </w:rPr>
            </w:pPr>
            <w:r w:rsidRPr="00C509D9">
              <w:rPr>
                <w:rFonts w:cs="Arial"/>
                <w:b/>
                <w:bCs/>
                <w:color w:val="000000"/>
                <w:sz w:val="18"/>
                <w:szCs w:val="18"/>
              </w:rPr>
              <w:t>106 638</w:t>
            </w:r>
          </w:p>
        </w:tc>
      </w:tr>
    </w:tbl>
    <w:p w:rsidR="00084397" w:rsidRPr="0075261A" w:rsidRDefault="003F44DC" w:rsidP="00084397">
      <w:pPr>
        <w:pStyle w:val="Caption"/>
        <w:spacing w:before="240"/>
        <w:jc w:val="center"/>
        <w:rPr>
          <w:color w:val="auto"/>
        </w:rPr>
      </w:pPr>
      <w:r w:rsidRPr="0075261A">
        <w:rPr>
          <w:color w:val="auto"/>
        </w:rPr>
        <w:fldChar w:fldCharType="begin"/>
      </w:r>
      <w:r w:rsidR="00084397" w:rsidRPr="0075261A">
        <w:rPr>
          <w:color w:val="auto"/>
        </w:rPr>
        <w:instrText xml:space="preserve"> SEQ táblázat \* ARABIC </w:instrText>
      </w:r>
      <w:r w:rsidRPr="0075261A">
        <w:rPr>
          <w:color w:val="auto"/>
        </w:rPr>
        <w:fldChar w:fldCharType="separate"/>
      </w:r>
      <w:r w:rsidR="002D1B7A">
        <w:rPr>
          <w:noProof/>
          <w:color w:val="auto"/>
        </w:rPr>
        <w:t>19</w:t>
      </w:r>
      <w:r w:rsidRPr="0075261A">
        <w:rPr>
          <w:color w:val="auto"/>
        </w:rPr>
        <w:fldChar w:fldCharType="end"/>
      </w:r>
      <w:r w:rsidR="00084397" w:rsidRPr="0075261A">
        <w:rPr>
          <w:color w:val="auto"/>
        </w:rPr>
        <w:t>. táblázat: Gépbeszerzés jogcím foglalkoztatási potenciálja</w:t>
      </w:r>
    </w:p>
    <w:p w:rsidR="00084397" w:rsidRDefault="00084397" w:rsidP="00084397">
      <w:pPr>
        <w:jc w:val="both"/>
      </w:pPr>
      <w:r>
        <w:t>Ami a megítélt támogatási összegek, az SFH összeg és a tervezett létszámbővítés közötti statisztikai kapcs</w:t>
      </w:r>
      <w:r>
        <w:t>o</w:t>
      </w:r>
      <w:r>
        <w:t>latot mutatja, megállapítható, hogy helyes a megérzésünk a támogatás és a méret pozitív korrelációjáról, azonban újfent negatív a mutatónk értéke a létszámbővítés és a másik két kategória között, ami azt jelenti, hogy a nagyobb gazdálkodók (magasabb támogatással és SFH összeggel) hajlamosabbnak mutatkoztak a létszámleépítésre.</w:t>
      </w:r>
    </w:p>
    <w:tbl>
      <w:tblPr>
        <w:tblStyle w:val="MediumGrid3-Accent2"/>
        <w:tblW w:w="5000" w:type="pct"/>
        <w:jc w:val="center"/>
        <w:tblLook w:val="04A0"/>
      </w:tblPr>
      <w:tblGrid>
        <w:gridCol w:w="2440"/>
        <w:gridCol w:w="2904"/>
        <w:gridCol w:w="1726"/>
        <w:gridCol w:w="2309"/>
      </w:tblGrid>
      <w:tr w:rsidR="00084397" w:rsidRPr="008C7ADD" w:rsidTr="00084397">
        <w:trPr>
          <w:cnfStyle w:val="100000000000"/>
          <w:trHeight w:val="270"/>
          <w:tblHeader/>
          <w:jc w:val="center"/>
        </w:trPr>
        <w:tc>
          <w:tcPr>
            <w:cnfStyle w:val="001000000000"/>
            <w:tcW w:w="1301" w:type="pct"/>
            <w:noWrap/>
            <w:vAlign w:val="center"/>
            <w:hideMark/>
          </w:tcPr>
          <w:p w:rsidR="00084397" w:rsidRPr="00217D25" w:rsidRDefault="00084397" w:rsidP="00084397">
            <w:pPr>
              <w:jc w:val="center"/>
              <w:rPr>
                <w:iCs/>
                <w:sz w:val="18"/>
              </w:rPr>
            </w:pPr>
            <w:r w:rsidRPr="00217D25">
              <w:rPr>
                <w:iCs/>
                <w:sz w:val="18"/>
              </w:rPr>
              <w:t>Korrelációs együttható</w:t>
            </w:r>
          </w:p>
        </w:tc>
        <w:tc>
          <w:tcPr>
            <w:tcW w:w="1548" w:type="pct"/>
            <w:noWrap/>
            <w:vAlign w:val="center"/>
            <w:hideMark/>
          </w:tcPr>
          <w:p w:rsidR="00084397" w:rsidRPr="00217D25" w:rsidRDefault="00084397" w:rsidP="00084397">
            <w:pPr>
              <w:jc w:val="center"/>
              <w:cnfStyle w:val="100000000000"/>
              <w:rPr>
                <w:iCs/>
                <w:sz w:val="18"/>
              </w:rPr>
            </w:pPr>
            <w:r w:rsidRPr="00217D25">
              <w:rPr>
                <w:iCs/>
                <w:sz w:val="18"/>
              </w:rPr>
              <w:t>Megítélt támogatási összeg</w:t>
            </w:r>
          </w:p>
        </w:tc>
        <w:tc>
          <w:tcPr>
            <w:tcW w:w="920" w:type="pct"/>
            <w:noWrap/>
            <w:vAlign w:val="center"/>
            <w:hideMark/>
          </w:tcPr>
          <w:p w:rsidR="00084397" w:rsidRPr="00217D25" w:rsidRDefault="00084397" w:rsidP="00084397">
            <w:pPr>
              <w:jc w:val="center"/>
              <w:cnfStyle w:val="100000000000"/>
              <w:rPr>
                <w:iCs/>
                <w:sz w:val="18"/>
              </w:rPr>
            </w:pPr>
            <w:r w:rsidRPr="00217D25">
              <w:rPr>
                <w:iCs/>
                <w:sz w:val="18"/>
              </w:rPr>
              <w:t xml:space="preserve">SFH </w:t>
            </w:r>
            <w:r>
              <w:rPr>
                <w:iCs/>
                <w:sz w:val="18"/>
              </w:rPr>
              <w:t>összeg</w:t>
            </w:r>
          </w:p>
        </w:tc>
        <w:tc>
          <w:tcPr>
            <w:tcW w:w="1231" w:type="pct"/>
            <w:noWrap/>
            <w:vAlign w:val="center"/>
            <w:hideMark/>
          </w:tcPr>
          <w:p w:rsidR="00084397" w:rsidRPr="00217D25" w:rsidRDefault="00084397" w:rsidP="00084397">
            <w:pPr>
              <w:jc w:val="center"/>
              <w:cnfStyle w:val="100000000000"/>
              <w:rPr>
                <w:iCs/>
                <w:sz w:val="18"/>
              </w:rPr>
            </w:pPr>
            <w:r>
              <w:rPr>
                <w:iCs/>
                <w:sz w:val="18"/>
              </w:rPr>
              <w:t>Tervezett létszámbővítés</w:t>
            </w:r>
          </w:p>
        </w:tc>
      </w:tr>
      <w:tr w:rsidR="00084397" w:rsidRPr="008C7ADD" w:rsidTr="00084397">
        <w:trPr>
          <w:cnfStyle w:val="000000100000"/>
          <w:trHeight w:val="270"/>
          <w:jc w:val="center"/>
        </w:trPr>
        <w:tc>
          <w:tcPr>
            <w:cnfStyle w:val="001000000000"/>
            <w:tcW w:w="1301" w:type="pct"/>
            <w:noWrap/>
            <w:vAlign w:val="center"/>
            <w:hideMark/>
          </w:tcPr>
          <w:p w:rsidR="00084397" w:rsidRPr="00217D25" w:rsidRDefault="00084397" w:rsidP="00084397">
            <w:pPr>
              <w:jc w:val="center"/>
              <w:rPr>
                <w:sz w:val="18"/>
              </w:rPr>
            </w:pPr>
            <w:r>
              <w:rPr>
                <w:sz w:val="18"/>
              </w:rPr>
              <w:t>Megítélt t</w:t>
            </w:r>
            <w:r w:rsidRPr="00217D25">
              <w:rPr>
                <w:sz w:val="18"/>
              </w:rPr>
              <w:t>ámogatási összeg</w:t>
            </w:r>
          </w:p>
        </w:tc>
        <w:tc>
          <w:tcPr>
            <w:tcW w:w="1548" w:type="pct"/>
            <w:noWrap/>
            <w:vAlign w:val="center"/>
            <w:hideMark/>
          </w:tcPr>
          <w:p w:rsidR="00084397" w:rsidRPr="00217D25" w:rsidRDefault="00084397" w:rsidP="00084397">
            <w:pPr>
              <w:jc w:val="center"/>
              <w:cnfStyle w:val="000000100000"/>
              <w:rPr>
                <w:b/>
                <w:i/>
                <w:sz w:val="18"/>
              </w:rPr>
            </w:pPr>
            <w:r w:rsidRPr="00217D25">
              <w:rPr>
                <w:b/>
                <w:i/>
                <w:sz w:val="18"/>
              </w:rPr>
              <w:t>1</w:t>
            </w:r>
          </w:p>
        </w:tc>
        <w:tc>
          <w:tcPr>
            <w:tcW w:w="920" w:type="pct"/>
            <w:noWrap/>
            <w:vAlign w:val="center"/>
            <w:hideMark/>
          </w:tcPr>
          <w:p w:rsidR="00084397" w:rsidRPr="00217D25" w:rsidRDefault="00084397" w:rsidP="00084397">
            <w:pPr>
              <w:jc w:val="center"/>
              <w:cnfStyle w:val="000000100000"/>
              <w:rPr>
                <w:b/>
                <w:i/>
                <w:sz w:val="18"/>
              </w:rPr>
            </w:pPr>
          </w:p>
        </w:tc>
        <w:tc>
          <w:tcPr>
            <w:tcW w:w="1231" w:type="pct"/>
            <w:noWrap/>
            <w:vAlign w:val="center"/>
            <w:hideMark/>
          </w:tcPr>
          <w:p w:rsidR="00084397" w:rsidRPr="00217D25" w:rsidRDefault="00084397" w:rsidP="00084397">
            <w:pPr>
              <w:jc w:val="center"/>
              <w:cnfStyle w:val="000000100000"/>
              <w:rPr>
                <w:b/>
                <w:i/>
                <w:sz w:val="18"/>
              </w:rPr>
            </w:pPr>
          </w:p>
        </w:tc>
      </w:tr>
      <w:tr w:rsidR="00084397" w:rsidRPr="008C7ADD" w:rsidTr="00084397">
        <w:trPr>
          <w:trHeight w:val="270"/>
          <w:jc w:val="center"/>
        </w:trPr>
        <w:tc>
          <w:tcPr>
            <w:cnfStyle w:val="001000000000"/>
            <w:tcW w:w="1301" w:type="pct"/>
            <w:noWrap/>
            <w:vAlign w:val="center"/>
            <w:hideMark/>
          </w:tcPr>
          <w:p w:rsidR="00084397" w:rsidRPr="00217D25" w:rsidRDefault="00084397" w:rsidP="00084397">
            <w:pPr>
              <w:jc w:val="center"/>
              <w:rPr>
                <w:sz w:val="18"/>
              </w:rPr>
            </w:pPr>
            <w:r w:rsidRPr="00217D25">
              <w:rPr>
                <w:sz w:val="18"/>
              </w:rPr>
              <w:t>SFH 2007</w:t>
            </w:r>
          </w:p>
        </w:tc>
        <w:tc>
          <w:tcPr>
            <w:tcW w:w="1548" w:type="pct"/>
            <w:noWrap/>
            <w:vAlign w:val="center"/>
            <w:hideMark/>
          </w:tcPr>
          <w:p w:rsidR="00084397" w:rsidRPr="00217D25" w:rsidRDefault="00084397" w:rsidP="00084397">
            <w:pPr>
              <w:jc w:val="center"/>
              <w:cnfStyle w:val="000000000000"/>
              <w:rPr>
                <w:b/>
                <w:i/>
                <w:sz w:val="18"/>
              </w:rPr>
            </w:pPr>
            <w:r w:rsidRPr="00217D25">
              <w:rPr>
                <w:b/>
                <w:i/>
                <w:sz w:val="18"/>
              </w:rPr>
              <w:t>0,41</w:t>
            </w:r>
          </w:p>
        </w:tc>
        <w:tc>
          <w:tcPr>
            <w:tcW w:w="920" w:type="pct"/>
            <w:noWrap/>
            <w:vAlign w:val="center"/>
            <w:hideMark/>
          </w:tcPr>
          <w:p w:rsidR="00084397" w:rsidRPr="00217D25" w:rsidRDefault="00084397" w:rsidP="00084397">
            <w:pPr>
              <w:jc w:val="center"/>
              <w:cnfStyle w:val="000000000000"/>
              <w:rPr>
                <w:b/>
                <w:i/>
                <w:sz w:val="18"/>
              </w:rPr>
            </w:pPr>
            <w:r w:rsidRPr="00217D25">
              <w:rPr>
                <w:b/>
                <w:i/>
                <w:sz w:val="18"/>
              </w:rPr>
              <w:t>1</w:t>
            </w:r>
          </w:p>
        </w:tc>
        <w:tc>
          <w:tcPr>
            <w:tcW w:w="1231" w:type="pct"/>
            <w:noWrap/>
            <w:vAlign w:val="center"/>
            <w:hideMark/>
          </w:tcPr>
          <w:p w:rsidR="00084397" w:rsidRPr="00217D25" w:rsidRDefault="00084397" w:rsidP="00084397">
            <w:pPr>
              <w:jc w:val="center"/>
              <w:cnfStyle w:val="000000000000"/>
              <w:rPr>
                <w:b/>
                <w:i/>
                <w:sz w:val="18"/>
              </w:rPr>
            </w:pPr>
          </w:p>
        </w:tc>
      </w:tr>
      <w:tr w:rsidR="00084397" w:rsidRPr="008C7ADD" w:rsidTr="00084397">
        <w:trPr>
          <w:cnfStyle w:val="000000100000"/>
          <w:trHeight w:val="285"/>
          <w:jc w:val="center"/>
        </w:trPr>
        <w:tc>
          <w:tcPr>
            <w:cnfStyle w:val="001000000000"/>
            <w:tcW w:w="1301" w:type="pct"/>
            <w:noWrap/>
            <w:vAlign w:val="center"/>
            <w:hideMark/>
          </w:tcPr>
          <w:p w:rsidR="00084397" w:rsidRPr="00217D25" w:rsidRDefault="00084397" w:rsidP="00084397">
            <w:pPr>
              <w:jc w:val="center"/>
              <w:rPr>
                <w:sz w:val="18"/>
              </w:rPr>
            </w:pPr>
            <w:r>
              <w:rPr>
                <w:sz w:val="18"/>
              </w:rPr>
              <w:t>Tervezett létszámbővítés</w:t>
            </w:r>
          </w:p>
        </w:tc>
        <w:tc>
          <w:tcPr>
            <w:tcW w:w="1548" w:type="pct"/>
            <w:noWrap/>
            <w:vAlign w:val="center"/>
            <w:hideMark/>
          </w:tcPr>
          <w:p w:rsidR="00084397" w:rsidRPr="00217D25" w:rsidRDefault="00084397" w:rsidP="00084397">
            <w:pPr>
              <w:jc w:val="center"/>
              <w:cnfStyle w:val="000000100000"/>
              <w:rPr>
                <w:b/>
                <w:i/>
                <w:sz w:val="18"/>
              </w:rPr>
            </w:pPr>
            <w:r w:rsidRPr="00217D25">
              <w:rPr>
                <w:b/>
                <w:i/>
                <w:sz w:val="18"/>
              </w:rPr>
              <w:t>-0,11</w:t>
            </w:r>
          </w:p>
        </w:tc>
        <w:tc>
          <w:tcPr>
            <w:tcW w:w="920" w:type="pct"/>
            <w:noWrap/>
            <w:vAlign w:val="center"/>
            <w:hideMark/>
          </w:tcPr>
          <w:p w:rsidR="00084397" w:rsidRPr="00217D25" w:rsidRDefault="00084397" w:rsidP="00084397">
            <w:pPr>
              <w:jc w:val="center"/>
              <w:cnfStyle w:val="000000100000"/>
              <w:rPr>
                <w:b/>
                <w:i/>
                <w:sz w:val="18"/>
              </w:rPr>
            </w:pPr>
            <w:r w:rsidRPr="00217D25">
              <w:rPr>
                <w:b/>
                <w:i/>
                <w:sz w:val="18"/>
              </w:rPr>
              <w:t>-0,28</w:t>
            </w:r>
          </w:p>
        </w:tc>
        <w:tc>
          <w:tcPr>
            <w:tcW w:w="1231" w:type="pct"/>
            <w:noWrap/>
            <w:vAlign w:val="center"/>
            <w:hideMark/>
          </w:tcPr>
          <w:p w:rsidR="00084397" w:rsidRPr="00217D25" w:rsidRDefault="00084397" w:rsidP="00084397">
            <w:pPr>
              <w:keepNext/>
              <w:jc w:val="center"/>
              <w:cnfStyle w:val="000000100000"/>
              <w:rPr>
                <w:b/>
                <w:i/>
                <w:sz w:val="18"/>
              </w:rPr>
            </w:pPr>
            <w:r w:rsidRPr="00217D25">
              <w:rPr>
                <w:b/>
                <w:i/>
                <w:sz w:val="18"/>
              </w:rPr>
              <w:t>1</w:t>
            </w:r>
          </w:p>
        </w:tc>
      </w:tr>
    </w:tbl>
    <w:bookmarkStart w:id="160" w:name="_Ref277852562"/>
    <w:p w:rsidR="00084397" w:rsidRDefault="003F44DC" w:rsidP="00084397">
      <w:pPr>
        <w:pStyle w:val="Caption"/>
        <w:spacing w:before="240"/>
        <w:jc w:val="center"/>
        <w:rPr>
          <w:color w:val="auto"/>
        </w:rPr>
      </w:pPr>
      <w:r>
        <w:rPr>
          <w:color w:val="auto"/>
        </w:rPr>
        <w:fldChar w:fldCharType="begin"/>
      </w:r>
      <w:r w:rsidR="00084397">
        <w:rPr>
          <w:color w:val="auto"/>
        </w:rPr>
        <w:instrText xml:space="preserve"> SEQ táblázat \* ARABIC </w:instrText>
      </w:r>
      <w:r>
        <w:rPr>
          <w:color w:val="auto"/>
        </w:rPr>
        <w:fldChar w:fldCharType="separate"/>
      </w:r>
      <w:r w:rsidR="002D1B7A">
        <w:rPr>
          <w:noProof/>
          <w:color w:val="auto"/>
        </w:rPr>
        <w:t>20</w:t>
      </w:r>
      <w:r>
        <w:rPr>
          <w:color w:val="auto"/>
        </w:rPr>
        <w:fldChar w:fldCharType="end"/>
      </w:r>
      <w:r w:rsidR="00084397" w:rsidRPr="008C7ADD">
        <w:rPr>
          <w:color w:val="auto"/>
        </w:rPr>
        <w:t>. táblázat</w:t>
      </w:r>
      <w:bookmarkEnd w:id="160"/>
      <w:r w:rsidR="00084397">
        <w:rPr>
          <w:color w:val="auto"/>
        </w:rPr>
        <w:t>: SFH kategóriák és támogatási összegek összefüggése 2.</w:t>
      </w:r>
    </w:p>
    <w:p w:rsidR="00084397" w:rsidRDefault="00084397" w:rsidP="00084397">
      <w:pPr>
        <w:jc w:val="both"/>
      </w:pPr>
    </w:p>
    <w:p w:rsidR="00FD66BC" w:rsidRDefault="00FD66BC" w:rsidP="00084397">
      <w:pPr>
        <w:jc w:val="both"/>
      </w:pPr>
    </w:p>
    <w:p w:rsidR="00FD66BC" w:rsidRDefault="00FD66BC" w:rsidP="00084397">
      <w:pPr>
        <w:jc w:val="both"/>
      </w:pPr>
    </w:p>
    <w:p w:rsidR="00084397" w:rsidRDefault="00084397" w:rsidP="00084397">
      <w:pPr>
        <w:pStyle w:val="HUNHeading3"/>
        <w:ind w:left="504"/>
      </w:pPr>
      <w:bookmarkStart w:id="161" w:name="_Toc278793300"/>
      <w:bookmarkStart w:id="162" w:name="_Toc279359376"/>
      <w:r>
        <w:lastRenderedPageBreak/>
        <w:t>Termelékenységi vizsgálat</w:t>
      </w:r>
      <w:bookmarkEnd w:id="161"/>
      <w:bookmarkEnd w:id="162"/>
    </w:p>
    <w:p w:rsidR="00084397" w:rsidRPr="002D0F09" w:rsidRDefault="00084397" w:rsidP="00084397">
      <w:pPr>
        <w:jc w:val="both"/>
        <w:rPr>
          <w:b/>
          <w:u w:val="single"/>
        </w:rPr>
      </w:pPr>
      <w:r w:rsidRPr="002D0F09">
        <w:rPr>
          <w:b/>
          <w:u w:val="single"/>
        </w:rPr>
        <w:t>Hatásvizsgálat</w:t>
      </w:r>
    </w:p>
    <w:p w:rsidR="00084397" w:rsidRDefault="00084397" w:rsidP="00084397">
      <w:pPr>
        <w:jc w:val="both"/>
      </w:pPr>
      <w:r>
        <w:t>A munkatermelékenység változásának vizsgálatát csak az ÁTK és ÉLIP jogcímek esetében végeztük el, ö</w:t>
      </w:r>
      <w:r>
        <w:t>s</w:t>
      </w:r>
      <w:r>
        <w:t>szehasonlítva a fejlesztést megelőző év tényleges 1 alkalmazotti létszámra vetített nettó árbevételét, és a fejlesztést követő év tényleges mutatóját.</w:t>
      </w:r>
    </w:p>
    <w:p w:rsidR="00084397" w:rsidRDefault="00084397" w:rsidP="00084397">
      <w:pPr>
        <w:jc w:val="both"/>
      </w:pPr>
      <w:r>
        <w:t>A vizsgálat során megállapítottuk, hogy az ÁTK jogcím esetében mind a vizsgált csoportnál, mind a kontrol</w:t>
      </w:r>
      <w:r>
        <w:t>l</w:t>
      </w:r>
      <w:r>
        <w:t xml:space="preserve">csoportnál csökkent a fent leírt mutató: az előbbinél 2 719 180 </w:t>
      </w:r>
      <w:proofErr w:type="spellStart"/>
      <w:r>
        <w:t>Ft-al</w:t>
      </w:r>
      <w:proofErr w:type="spellEnd"/>
      <w:r>
        <w:t xml:space="preserve">, az utóbbinál 1 654 050 </w:t>
      </w:r>
      <w:proofErr w:type="spellStart"/>
      <w:r>
        <w:t>Ft-al</w:t>
      </w:r>
      <w:proofErr w:type="spellEnd"/>
      <w:r>
        <w:t xml:space="preserve">. Ennek alapvetően az </w:t>
      </w:r>
      <w:proofErr w:type="spellStart"/>
      <w:r>
        <w:t>az</w:t>
      </w:r>
      <w:proofErr w:type="spellEnd"/>
      <w:r>
        <w:t xml:space="preserve"> oka, hogy a vizsgált csoport kiemelkedő árbevétel növekményét létszámbővítés mellett érte el, míg a kontrollcsoport a szerényebb mértékű bevétel növekedés mellett drasztikusabb létszám leépítést mutathat fel.</w:t>
      </w:r>
    </w:p>
    <w:p w:rsidR="00084397" w:rsidRDefault="00084397" w:rsidP="00084397">
      <w:pPr>
        <w:jc w:val="both"/>
      </w:pPr>
      <w:r>
        <w:t>Az ÉLIP jogcím vizsgálata – legalábbis munkatermelékenységi szempontból – kedvezőbb képet adott: a viz</w:t>
      </w:r>
      <w:r>
        <w:t>s</w:t>
      </w:r>
      <w:r>
        <w:t>gált csoportban 254 776 Ft-os, a kontrollcsoportban 1 567 968 Ft-os növekedés volt tapasztalható. Me</w:t>
      </w:r>
      <w:r>
        <w:t>g</w:t>
      </w:r>
      <w:r>
        <w:t xml:space="preserve">jegyzendő, hogy mindezt jelentős létszámleépítés kísérte, az </w:t>
      </w:r>
      <w:r w:rsidRPr="007578EF">
        <w:t xml:space="preserve">árbevétel – az ÁTK jogcímnél szolidabb </w:t>
      </w:r>
      <w:proofErr w:type="gramStart"/>
      <w:r w:rsidRPr="007578EF">
        <w:t>-  vált</w:t>
      </w:r>
      <w:r w:rsidRPr="007578EF">
        <w:t>o</w:t>
      </w:r>
      <w:r w:rsidRPr="007578EF">
        <w:t>zása</w:t>
      </w:r>
      <w:proofErr w:type="gramEnd"/>
      <w:r w:rsidRPr="007578EF">
        <w:t xml:space="preserve"> mellett.</w:t>
      </w:r>
    </w:p>
    <w:p w:rsidR="00084397" w:rsidRDefault="00084397" w:rsidP="00084397">
      <w:pPr>
        <w:jc w:val="both"/>
      </w:pPr>
    </w:p>
    <w:p w:rsidR="00084397" w:rsidRDefault="00084397" w:rsidP="00084397">
      <w:pPr>
        <w:pStyle w:val="HUNHeading3"/>
        <w:ind w:left="504"/>
      </w:pPr>
      <w:bookmarkStart w:id="163" w:name="_Ref278092914"/>
      <w:bookmarkStart w:id="164" w:name="_Toc278793301"/>
      <w:bookmarkStart w:id="165" w:name="_Toc279359377"/>
      <w:r>
        <w:t>Nemzetgazdaságra gyakorolt hatások</w:t>
      </w:r>
      <w:bookmarkEnd w:id="163"/>
      <w:bookmarkEnd w:id="164"/>
      <w:bookmarkEnd w:id="165"/>
    </w:p>
    <w:p w:rsidR="00084397" w:rsidRPr="002D0F09" w:rsidRDefault="00084397" w:rsidP="00084397">
      <w:pPr>
        <w:pStyle w:val="HUNNormal"/>
        <w:rPr>
          <w:b/>
          <w:u w:val="single"/>
        </w:rPr>
      </w:pPr>
      <w:r w:rsidRPr="002D0F09">
        <w:rPr>
          <w:b/>
          <w:u w:val="single"/>
        </w:rPr>
        <w:t>Potenciálvizsgálat</w:t>
      </w:r>
    </w:p>
    <w:p w:rsidR="00084397" w:rsidRDefault="00084397" w:rsidP="00084397">
      <w:pPr>
        <w:pStyle w:val="HUNNormal"/>
      </w:pPr>
      <w:r>
        <w:t>A vizsgálat eredményét a következő táblázat szemlélteti:</w:t>
      </w:r>
    </w:p>
    <w:tbl>
      <w:tblPr>
        <w:tblStyle w:val="MediumGrid3-Accent2"/>
        <w:tblW w:w="5000" w:type="pct"/>
        <w:tblLook w:val="04A0"/>
      </w:tblPr>
      <w:tblGrid>
        <w:gridCol w:w="2093"/>
        <w:gridCol w:w="2125"/>
        <w:gridCol w:w="2816"/>
        <w:gridCol w:w="2345"/>
      </w:tblGrid>
      <w:tr w:rsidR="00084397" w:rsidRPr="00D914D6" w:rsidTr="00084397">
        <w:trPr>
          <w:cnfStyle w:val="100000000000"/>
        </w:trPr>
        <w:tc>
          <w:tcPr>
            <w:cnfStyle w:val="001000000000"/>
            <w:tcW w:w="1116" w:type="pct"/>
            <w:vAlign w:val="center"/>
          </w:tcPr>
          <w:p w:rsidR="00084397" w:rsidRPr="00D914D6" w:rsidRDefault="00084397" w:rsidP="00084397">
            <w:pPr>
              <w:pStyle w:val="HUNNormal"/>
              <w:jc w:val="center"/>
              <w:rPr>
                <w:b w:val="0"/>
                <w:sz w:val="18"/>
                <w:szCs w:val="18"/>
              </w:rPr>
            </w:pPr>
            <w:r w:rsidRPr="00D914D6">
              <w:rPr>
                <w:sz w:val="18"/>
                <w:szCs w:val="18"/>
              </w:rPr>
              <w:t>Jogcím</w:t>
            </w:r>
          </w:p>
        </w:tc>
        <w:tc>
          <w:tcPr>
            <w:tcW w:w="1133" w:type="pct"/>
            <w:vAlign w:val="center"/>
          </w:tcPr>
          <w:p w:rsidR="00084397" w:rsidRPr="00D914D6" w:rsidRDefault="00084397" w:rsidP="00084397">
            <w:pPr>
              <w:pStyle w:val="HUNNormal"/>
              <w:jc w:val="center"/>
              <w:cnfStyle w:val="100000000000"/>
              <w:rPr>
                <w:b w:val="0"/>
                <w:sz w:val="18"/>
                <w:szCs w:val="18"/>
              </w:rPr>
            </w:pPr>
            <w:r>
              <w:rPr>
                <w:sz w:val="18"/>
                <w:szCs w:val="18"/>
              </w:rPr>
              <w:t>„Dolgi” kiadások</w:t>
            </w:r>
          </w:p>
        </w:tc>
        <w:tc>
          <w:tcPr>
            <w:tcW w:w="1501" w:type="pct"/>
            <w:vAlign w:val="center"/>
          </w:tcPr>
          <w:p w:rsidR="00084397" w:rsidRPr="00D914D6" w:rsidRDefault="00084397" w:rsidP="00084397">
            <w:pPr>
              <w:pStyle w:val="HUNNormal"/>
              <w:jc w:val="center"/>
              <w:cnfStyle w:val="100000000000"/>
              <w:rPr>
                <w:b w:val="0"/>
                <w:sz w:val="18"/>
                <w:szCs w:val="18"/>
              </w:rPr>
            </w:pPr>
            <w:r w:rsidRPr="00D914D6">
              <w:rPr>
                <w:sz w:val="18"/>
                <w:szCs w:val="18"/>
              </w:rPr>
              <w:t>ÁFA tartalom</w:t>
            </w:r>
          </w:p>
        </w:tc>
        <w:tc>
          <w:tcPr>
            <w:tcW w:w="1250" w:type="pct"/>
            <w:vAlign w:val="center"/>
          </w:tcPr>
          <w:p w:rsidR="00084397" w:rsidRPr="00D914D6" w:rsidRDefault="00084397" w:rsidP="00084397">
            <w:pPr>
              <w:pStyle w:val="HUNNormal"/>
              <w:jc w:val="center"/>
              <w:cnfStyle w:val="100000000000"/>
              <w:rPr>
                <w:b w:val="0"/>
                <w:sz w:val="18"/>
                <w:szCs w:val="18"/>
              </w:rPr>
            </w:pPr>
            <w:r w:rsidRPr="00D914D6">
              <w:rPr>
                <w:sz w:val="18"/>
                <w:szCs w:val="18"/>
              </w:rPr>
              <w:t>Export</w:t>
            </w:r>
            <w:r>
              <w:rPr>
                <w:sz w:val="18"/>
                <w:szCs w:val="18"/>
              </w:rPr>
              <w:t xml:space="preserve"> </w:t>
            </w:r>
            <w:r w:rsidRPr="00D914D6">
              <w:rPr>
                <w:sz w:val="18"/>
                <w:szCs w:val="18"/>
              </w:rPr>
              <w:t>arány</w:t>
            </w:r>
            <w:r>
              <w:rPr>
                <w:rStyle w:val="FootnoteReference"/>
                <w:sz w:val="18"/>
                <w:szCs w:val="18"/>
              </w:rPr>
              <w:footnoteReference w:id="31"/>
            </w:r>
          </w:p>
        </w:tc>
      </w:tr>
      <w:tr w:rsidR="00084397" w:rsidRPr="00D914D6" w:rsidTr="00084397">
        <w:trPr>
          <w:cnfStyle w:val="000000100000"/>
        </w:trPr>
        <w:tc>
          <w:tcPr>
            <w:cnfStyle w:val="001000000000"/>
            <w:tcW w:w="1116" w:type="pct"/>
          </w:tcPr>
          <w:p w:rsidR="00084397" w:rsidRPr="00D914D6" w:rsidRDefault="00084397" w:rsidP="00084397">
            <w:pPr>
              <w:pStyle w:val="HUNNormal"/>
              <w:jc w:val="center"/>
              <w:rPr>
                <w:b w:val="0"/>
                <w:i/>
                <w:sz w:val="18"/>
                <w:szCs w:val="18"/>
              </w:rPr>
            </w:pPr>
            <w:r w:rsidRPr="00D914D6">
              <w:rPr>
                <w:i/>
                <w:sz w:val="18"/>
                <w:szCs w:val="18"/>
              </w:rPr>
              <w:t>ÉLIP</w:t>
            </w:r>
          </w:p>
        </w:tc>
        <w:tc>
          <w:tcPr>
            <w:tcW w:w="1133" w:type="pct"/>
          </w:tcPr>
          <w:p w:rsidR="00084397" w:rsidRPr="00D914D6" w:rsidRDefault="00084397" w:rsidP="00084397">
            <w:pPr>
              <w:pStyle w:val="HUNNormal"/>
              <w:jc w:val="center"/>
              <w:cnfStyle w:val="000000100000"/>
              <w:rPr>
                <w:sz w:val="18"/>
                <w:szCs w:val="18"/>
              </w:rPr>
            </w:pPr>
            <w:r w:rsidRPr="00256D95">
              <w:rPr>
                <w:sz w:val="18"/>
                <w:szCs w:val="18"/>
              </w:rPr>
              <w:t>71 658 607 976 Ft</w:t>
            </w:r>
          </w:p>
        </w:tc>
        <w:tc>
          <w:tcPr>
            <w:tcW w:w="1501" w:type="pct"/>
          </w:tcPr>
          <w:p w:rsidR="00084397" w:rsidRPr="001D7046" w:rsidRDefault="00084397" w:rsidP="00084397">
            <w:pPr>
              <w:pStyle w:val="HUNNormal"/>
              <w:jc w:val="center"/>
              <w:cnfStyle w:val="000000100000"/>
              <w:rPr>
                <w:sz w:val="18"/>
                <w:szCs w:val="18"/>
              </w:rPr>
            </w:pPr>
            <w:r w:rsidRPr="001D7046">
              <w:rPr>
                <w:sz w:val="18"/>
                <w:szCs w:val="18"/>
              </w:rPr>
              <w:t>14 331 721 595 Ft</w:t>
            </w:r>
          </w:p>
        </w:tc>
        <w:tc>
          <w:tcPr>
            <w:tcW w:w="1250" w:type="pct"/>
          </w:tcPr>
          <w:p w:rsidR="00084397" w:rsidRPr="00D914D6" w:rsidRDefault="00084397" w:rsidP="00084397">
            <w:pPr>
              <w:pStyle w:val="HUNNormal"/>
              <w:jc w:val="center"/>
              <w:cnfStyle w:val="000000100000"/>
              <w:rPr>
                <w:sz w:val="18"/>
                <w:szCs w:val="18"/>
              </w:rPr>
            </w:pPr>
            <w:r>
              <w:rPr>
                <w:sz w:val="18"/>
                <w:szCs w:val="18"/>
              </w:rPr>
              <w:t>-</w:t>
            </w:r>
          </w:p>
        </w:tc>
      </w:tr>
      <w:tr w:rsidR="00084397" w:rsidRPr="00D914D6" w:rsidTr="00084397">
        <w:tc>
          <w:tcPr>
            <w:cnfStyle w:val="001000000000"/>
            <w:tcW w:w="1116" w:type="pct"/>
          </w:tcPr>
          <w:p w:rsidR="00084397" w:rsidRPr="00D914D6" w:rsidRDefault="00084397" w:rsidP="00084397">
            <w:pPr>
              <w:pStyle w:val="HUNNormal"/>
              <w:jc w:val="center"/>
              <w:rPr>
                <w:b w:val="0"/>
                <w:i/>
                <w:sz w:val="18"/>
                <w:szCs w:val="18"/>
              </w:rPr>
            </w:pPr>
            <w:r w:rsidRPr="00D914D6">
              <w:rPr>
                <w:i/>
                <w:sz w:val="18"/>
                <w:szCs w:val="18"/>
              </w:rPr>
              <w:t>ÁTK</w:t>
            </w:r>
          </w:p>
        </w:tc>
        <w:tc>
          <w:tcPr>
            <w:tcW w:w="1133" w:type="pct"/>
          </w:tcPr>
          <w:p w:rsidR="00084397" w:rsidRPr="00D914D6" w:rsidRDefault="00084397" w:rsidP="00084397">
            <w:pPr>
              <w:pStyle w:val="HUNNormal"/>
              <w:jc w:val="center"/>
              <w:cnfStyle w:val="000000000000"/>
              <w:rPr>
                <w:sz w:val="18"/>
                <w:szCs w:val="18"/>
              </w:rPr>
            </w:pPr>
            <w:r>
              <w:rPr>
                <w:sz w:val="18"/>
                <w:szCs w:val="18"/>
              </w:rPr>
              <w:t>182 394 432 567 Ft</w:t>
            </w:r>
          </w:p>
        </w:tc>
        <w:tc>
          <w:tcPr>
            <w:tcW w:w="1501" w:type="pct"/>
          </w:tcPr>
          <w:p w:rsidR="00084397" w:rsidRPr="001D7046" w:rsidRDefault="00084397" w:rsidP="00084397">
            <w:pPr>
              <w:pStyle w:val="HUNNormal"/>
              <w:jc w:val="center"/>
              <w:cnfStyle w:val="000000000000"/>
              <w:rPr>
                <w:sz w:val="18"/>
                <w:szCs w:val="18"/>
              </w:rPr>
            </w:pPr>
            <w:r w:rsidRPr="001D7046">
              <w:rPr>
                <w:sz w:val="18"/>
                <w:szCs w:val="18"/>
              </w:rPr>
              <w:t>36 478 886 513 Ft</w:t>
            </w:r>
          </w:p>
        </w:tc>
        <w:tc>
          <w:tcPr>
            <w:tcW w:w="1250" w:type="pct"/>
          </w:tcPr>
          <w:p w:rsidR="00084397" w:rsidRPr="00D914D6" w:rsidRDefault="00084397" w:rsidP="00084397">
            <w:pPr>
              <w:pStyle w:val="HUNNormal"/>
              <w:jc w:val="center"/>
              <w:cnfStyle w:val="000000000000"/>
              <w:rPr>
                <w:sz w:val="18"/>
                <w:szCs w:val="18"/>
              </w:rPr>
            </w:pPr>
            <w:r>
              <w:rPr>
                <w:sz w:val="18"/>
                <w:szCs w:val="18"/>
              </w:rPr>
              <w:t>-</w:t>
            </w:r>
          </w:p>
        </w:tc>
      </w:tr>
      <w:tr w:rsidR="00084397" w:rsidRPr="00D914D6" w:rsidTr="00084397">
        <w:trPr>
          <w:cnfStyle w:val="000000100000"/>
        </w:trPr>
        <w:tc>
          <w:tcPr>
            <w:cnfStyle w:val="001000000000"/>
            <w:tcW w:w="1116" w:type="pct"/>
          </w:tcPr>
          <w:p w:rsidR="00084397" w:rsidRPr="00D914D6" w:rsidRDefault="00084397" w:rsidP="00084397">
            <w:pPr>
              <w:pStyle w:val="HUNNormal"/>
              <w:jc w:val="center"/>
              <w:rPr>
                <w:b w:val="0"/>
                <w:i/>
                <w:sz w:val="18"/>
                <w:szCs w:val="18"/>
              </w:rPr>
            </w:pPr>
            <w:r w:rsidRPr="00D914D6">
              <w:rPr>
                <w:i/>
                <w:sz w:val="18"/>
                <w:szCs w:val="18"/>
              </w:rPr>
              <w:t>Gépbeszerzés</w:t>
            </w:r>
          </w:p>
        </w:tc>
        <w:tc>
          <w:tcPr>
            <w:tcW w:w="1133" w:type="pct"/>
          </w:tcPr>
          <w:p w:rsidR="00084397" w:rsidRPr="00D914D6" w:rsidRDefault="00084397" w:rsidP="00084397">
            <w:pPr>
              <w:pStyle w:val="HUNNormal"/>
              <w:jc w:val="center"/>
              <w:cnfStyle w:val="000000100000"/>
              <w:rPr>
                <w:sz w:val="18"/>
                <w:szCs w:val="18"/>
              </w:rPr>
            </w:pPr>
            <w:r w:rsidRPr="00792792">
              <w:rPr>
                <w:sz w:val="18"/>
                <w:szCs w:val="18"/>
              </w:rPr>
              <w:t>76 712 965 552 Ft</w:t>
            </w:r>
          </w:p>
        </w:tc>
        <w:tc>
          <w:tcPr>
            <w:tcW w:w="1501" w:type="pct"/>
          </w:tcPr>
          <w:p w:rsidR="00084397" w:rsidRPr="001D7046" w:rsidRDefault="00084397" w:rsidP="00084397">
            <w:pPr>
              <w:pStyle w:val="HUNNormal"/>
              <w:jc w:val="center"/>
              <w:cnfStyle w:val="000000100000"/>
              <w:rPr>
                <w:sz w:val="18"/>
                <w:szCs w:val="18"/>
              </w:rPr>
            </w:pPr>
            <w:r w:rsidRPr="001D7046">
              <w:rPr>
                <w:sz w:val="18"/>
                <w:szCs w:val="18"/>
              </w:rPr>
              <w:t>15 342 593 110 Ft</w:t>
            </w:r>
          </w:p>
        </w:tc>
        <w:tc>
          <w:tcPr>
            <w:tcW w:w="1250" w:type="pct"/>
          </w:tcPr>
          <w:p w:rsidR="00084397" w:rsidRPr="00D914D6" w:rsidRDefault="00084397" w:rsidP="00084397">
            <w:pPr>
              <w:pStyle w:val="HUNNormal"/>
              <w:jc w:val="center"/>
              <w:cnfStyle w:val="000000100000"/>
              <w:rPr>
                <w:sz w:val="18"/>
                <w:szCs w:val="18"/>
              </w:rPr>
            </w:pPr>
            <w:r>
              <w:rPr>
                <w:sz w:val="18"/>
                <w:szCs w:val="18"/>
              </w:rPr>
              <w:t>8,26% magyar származású</w:t>
            </w:r>
          </w:p>
        </w:tc>
      </w:tr>
      <w:tr w:rsidR="00084397" w:rsidRPr="00D914D6" w:rsidTr="00084397">
        <w:tc>
          <w:tcPr>
            <w:cnfStyle w:val="001000000000"/>
            <w:tcW w:w="1116" w:type="pct"/>
          </w:tcPr>
          <w:p w:rsidR="00084397" w:rsidRPr="00D914D6" w:rsidRDefault="00084397" w:rsidP="00084397">
            <w:pPr>
              <w:pStyle w:val="HUNNormal"/>
              <w:jc w:val="center"/>
              <w:rPr>
                <w:b w:val="0"/>
                <w:i/>
                <w:sz w:val="18"/>
                <w:szCs w:val="18"/>
              </w:rPr>
            </w:pPr>
            <w:r w:rsidRPr="00D914D6">
              <w:rPr>
                <w:i/>
                <w:sz w:val="18"/>
                <w:szCs w:val="18"/>
              </w:rPr>
              <w:t>Tanyabusz</w:t>
            </w:r>
          </w:p>
        </w:tc>
        <w:tc>
          <w:tcPr>
            <w:tcW w:w="1133" w:type="pct"/>
          </w:tcPr>
          <w:p w:rsidR="00084397" w:rsidRPr="00D914D6" w:rsidRDefault="00084397" w:rsidP="00084397">
            <w:pPr>
              <w:pStyle w:val="HUNNormal"/>
              <w:jc w:val="center"/>
              <w:cnfStyle w:val="000000000000"/>
              <w:rPr>
                <w:sz w:val="18"/>
                <w:szCs w:val="18"/>
              </w:rPr>
            </w:pPr>
            <w:r w:rsidRPr="00F50102">
              <w:rPr>
                <w:sz w:val="18"/>
                <w:szCs w:val="18"/>
              </w:rPr>
              <w:t>12 041 209 112 Ft</w:t>
            </w:r>
          </w:p>
        </w:tc>
        <w:tc>
          <w:tcPr>
            <w:tcW w:w="1501" w:type="pct"/>
          </w:tcPr>
          <w:p w:rsidR="00084397" w:rsidRPr="001D7046" w:rsidRDefault="00084397" w:rsidP="00084397">
            <w:pPr>
              <w:pStyle w:val="HUNNormal"/>
              <w:jc w:val="center"/>
              <w:cnfStyle w:val="000000000000"/>
              <w:rPr>
                <w:sz w:val="18"/>
                <w:szCs w:val="18"/>
              </w:rPr>
            </w:pPr>
            <w:r w:rsidRPr="001D7046">
              <w:rPr>
                <w:sz w:val="18"/>
                <w:szCs w:val="18"/>
              </w:rPr>
              <w:t>2 408 241 822 Ft</w:t>
            </w:r>
          </w:p>
        </w:tc>
        <w:tc>
          <w:tcPr>
            <w:tcW w:w="1250" w:type="pct"/>
          </w:tcPr>
          <w:p w:rsidR="00084397" w:rsidRPr="00D914D6" w:rsidRDefault="00084397" w:rsidP="00084397">
            <w:pPr>
              <w:pStyle w:val="HUNNormal"/>
              <w:jc w:val="center"/>
              <w:cnfStyle w:val="000000000000"/>
              <w:rPr>
                <w:sz w:val="18"/>
                <w:szCs w:val="18"/>
              </w:rPr>
            </w:pPr>
            <w:r>
              <w:rPr>
                <w:sz w:val="18"/>
                <w:szCs w:val="18"/>
              </w:rPr>
              <w:t>-</w:t>
            </w:r>
          </w:p>
        </w:tc>
      </w:tr>
      <w:tr w:rsidR="00084397" w:rsidRPr="00D914D6" w:rsidTr="00084397">
        <w:trPr>
          <w:cnfStyle w:val="000000100000"/>
        </w:trPr>
        <w:tc>
          <w:tcPr>
            <w:cnfStyle w:val="001000000000"/>
            <w:tcW w:w="1116" w:type="pct"/>
          </w:tcPr>
          <w:p w:rsidR="00084397" w:rsidRPr="00D914D6" w:rsidRDefault="00084397" w:rsidP="00084397">
            <w:pPr>
              <w:pStyle w:val="HUNNormal"/>
              <w:jc w:val="center"/>
              <w:rPr>
                <w:b w:val="0"/>
                <w:i/>
                <w:sz w:val="18"/>
                <w:szCs w:val="18"/>
              </w:rPr>
            </w:pPr>
            <w:r w:rsidRPr="00D914D6">
              <w:rPr>
                <w:i/>
                <w:sz w:val="18"/>
                <w:szCs w:val="18"/>
              </w:rPr>
              <w:t>Kertészeti gépek</w:t>
            </w:r>
          </w:p>
        </w:tc>
        <w:tc>
          <w:tcPr>
            <w:tcW w:w="1133" w:type="pct"/>
          </w:tcPr>
          <w:p w:rsidR="00084397" w:rsidRPr="00D914D6" w:rsidRDefault="00084397" w:rsidP="00084397">
            <w:pPr>
              <w:pStyle w:val="HUNNormal"/>
              <w:jc w:val="center"/>
              <w:cnfStyle w:val="000000100000"/>
              <w:rPr>
                <w:sz w:val="18"/>
                <w:szCs w:val="18"/>
              </w:rPr>
            </w:pPr>
            <w:r w:rsidRPr="002B7A50">
              <w:rPr>
                <w:sz w:val="18"/>
              </w:rPr>
              <w:t>9 964 104 716 Ft</w:t>
            </w:r>
          </w:p>
        </w:tc>
        <w:tc>
          <w:tcPr>
            <w:tcW w:w="1501" w:type="pct"/>
          </w:tcPr>
          <w:p w:rsidR="00084397" w:rsidRPr="001D7046" w:rsidRDefault="00084397" w:rsidP="00084397">
            <w:pPr>
              <w:pStyle w:val="HUNNormal"/>
              <w:jc w:val="center"/>
              <w:cnfStyle w:val="000000100000"/>
              <w:rPr>
                <w:sz w:val="18"/>
                <w:szCs w:val="18"/>
              </w:rPr>
            </w:pPr>
            <w:r w:rsidRPr="001D7046">
              <w:rPr>
                <w:sz w:val="18"/>
                <w:szCs w:val="18"/>
              </w:rPr>
              <w:t>1 992 820 943 Ft</w:t>
            </w:r>
          </w:p>
        </w:tc>
        <w:tc>
          <w:tcPr>
            <w:tcW w:w="1250" w:type="pct"/>
          </w:tcPr>
          <w:p w:rsidR="00084397" w:rsidRPr="00D914D6" w:rsidRDefault="00084397" w:rsidP="00084397">
            <w:pPr>
              <w:pStyle w:val="HUNNormal"/>
              <w:jc w:val="center"/>
              <w:cnfStyle w:val="000000100000"/>
              <w:rPr>
                <w:sz w:val="18"/>
                <w:szCs w:val="18"/>
              </w:rPr>
            </w:pPr>
            <w:r>
              <w:rPr>
                <w:sz w:val="18"/>
                <w:szCs w:val="18"/>
              </w:rPr>
              <w:t>2,95% magyar származású</w:t>
            </w:r>
          </w:p>
        </w:tc>
      </w:tr>
      <w:tr w:rsidR="00084397" w:rsidRPr="00D914D6" w:rsidTr="00084397">
        <w:tc>
          <w:tcPr>
            <w:cnfStyle w:val="001000000000"/>
            <w:tcW w:w="1116" w:type="pct"/>
          </w:tcPr>
          <w:p w:rsidR="00084397" w:rsidRPr="00D914D6" w:rsidRDefault="00084397" w:rsidP="00084397">
            <w:pPr>
              <w:pStyle w:val="HUNNormal"/>
              <w:jc w:val="center"/>
              <w:rPr>
                <w:b w:val="0"/>
                <w:i/>
                <w:sz w:val="18"/>
                <w:szCs w:val="18"/>
              </w:rPr>
            </w:pPr>
            <w:r w:rsidRPr="00D914D6">
              <w:rPr>
                <w:i/>
                <w:sz w:val="18"/>
                <w:szCs w:val="18"/>
              </w:rPr>
              <w:t>Kertészeti üzemek</w:t>
            </w:r>
          </w:p>
        </w:tc>
        <w:tc>
          <w:tcPr>
            <w:tcW w:w="1133" w:type="pct"/>
          </w:tcPr>
          <w:p w:rsidR="00084397" w:rsidRPr="00D914D6" w:rsidRDefault="00084397" w:rsidP="00084397">
            <w:pPr>
              <w:pStyle w:val="HUNNormal"/>
              <w:jc w:val="center"/>
              <w:cnfStyle w:val="000000000000"/>
              <w:rPr>
                <w:sz w:val="18"/>
                <w:szCs w:val="18"/>
              </w:rPr>
            </w:pPr>
            <w:r w:rsidRPr="00B64F83">
              <w:rPr>
                <w:sz w:val="18"/>
                <w:szCs w:val="18"/>
              </w:rPr>
              <w:t>14 316 639 433 Ft</w:t>
            </w:r>
          </w:p>
        </w:tc>
        <w:tc>
          <w:tcPr>
            <w:tcW w:w="1501" w:type="pct"/>
          </w:tcPr>
          <w:p w:rsidR="00084397" w:rsidRPr="001D7046" w:rsidRDefault="00084397" w:rsidP="00084397">
            <w:pPr>
              <w:pStyle w:val="HUNNormal"/>
              <w:jc w:val="center"/>
              <w:cnfStyle w:val="000000000000"/>
              <w:rPr>
                <w:sz w:val="18"/>
                <w:szCs w:val="18"/>
              </w:rPr>
            </w:pPr>
            <w:r w:rsidRPr="001D7046">
              <w:rPr>
                <w:sz w:val="18"/>
                <w:szCs w:val="18"/>
              </w:rPr>
              <w:t>2 863 327 887 Ft</w:t>
            </w:r>
          </w:p>
        </w:tc>
        <w:tc>
          <w:tcPr>
            <w:tcW w:w="1250" w:type="pct"/>
          </w:tcPr>
          <w:p w:rsidR="00084397" w:rsidRPr="00D914D6" w:rsidRDefault="00084397" w:rsidP="00084397">
            <w:pPr>
              <w:pStyle w:val="HUNNormal"/>
              <w:jc w:val="center"/>
              <w:cnfStyle w:val="000000000000"/>
              <w:rPr>
                <w:sz w:val="18"/>
                <w:szCs w:val="18"/>
              </w:rPr>
            </w:pPr>
            <w:r>
              <w:rPr>
                <w:sz w:val="18"/>
                <w:szCs w:val="18"/>
              </w:rPr>
              <w:t>-</w:t>
            </w:r>
          </w:p>
        </w:tc>
      </w:tr>
      <w:tr w:rsidR="00084397" w:rsidRPr="00D914D6" w:rsidTr="00084397">
        <w:trPr>
          <w:cnfStyle w:val="000000100000"/>
        </w:trPr>
        <w:tc>
          <w:tcPr>
            <w:cnfStyle w:val="001000000000"/>
            <w:tcW w:w="1116" w:type="pct"/>
          </w:tcPr>
          <w:p w:rsidR="00084397" w:rsidRPr="00D914D6" w:rsidRDefault="00084397" w:rsidP="00084397">
            <w:pPr>
              <w:pStyle w:val="HUNNormal"/>
              <w:jc w:val="center"/>
              <w:rPr>
                <w:b w:val="0"/>
                <w:i/>
                <w:sz w:val="18"/>
                <w:szCs w:val="18"/>
              </w:rPr>
            </w:pPr>
            <w:r w:rsidRPr="00D914D6">
              <w:rPr>
                <w:i/>
                <w:sz w:val="18"/>
                <w:szCs w:val="18"/>
              </w:rPr>
              <w:t>Öntözés</w:t>
            </w:r>
          </w:p>
        </w:tc>
        <w:tc>
          <w:tcPr>
            <w:tcW w:w="1133" w:type="pct"/>
          </w:tcPr>
          <w:p w:rsidR="00084397" w:rsidRPr="00D914D6" w:rsidRDefault="00084397" w:rsidP="00084397">
            <w:pPr>
              <w:pStyle w:val="HUNNormal"/>
              <w:jc w:val="center"/>
              <w:cnfStyle w:val="000000100000"/>
              <w:rPr>
                <w:sz w:val="18"/>
                <w:szCs w:val="18"/>
              </w:rPr>
            </w:pPr>
            <w:r w:rsidRPr="00792792">
              <w:rPr>
                <w:sz w:val="18"/>
                <w:szCs w:val="18"/>
              </w:rPr>
              <w:t>8 256 911 322 Ft</w:t>
            </w:r>
          </w:p>
        </w:tc>
        <w:tc>
          <w:tcPr>
            <w:tcW w:w="1501" w:type="pct"/>
          </w:tcPr>
          <w:p w:rsidR="00084397" w:rsidRPr="001D7046" w:rsidRDefault="00084397" w:rsidP="00084397">
            <w:pPr>
              <w:pStyle w:val="HUNNormal"/>
              <w:jc w:val="center"/>
              <w:cnfStyle w:val="000000100000"/>
              <w:rPr>
                <w:sz w:val="18"/>
                <w:szCs w:val="18"/>
              </w:rPr>
            </w:pPr>
            <w:r w:rsidRPr="001D7046">
              <w:rPr>
                <w:sz w:val="18"/>
                <w:szCs w:val="18"/>
              </w:rPr>
              <w:t>1 651 382 264 Ft</w:t>
            </w:r>
          </w:p>
        </w:tc>
        <w:tc>
          <w:tcPr>
            <w:tcW w:w="1250" w:type="pct"/>
          </w:tcPr>
          <w:p w:rsidR="00084397" w:rsidRPr="00D914D6" w:rsidRDefault="00084397" w:rsidP="00084397">
            <w:pPr>
              <w:pStyle w:val="HUNNormal"/>
              <w:jc w:val="center"/>
              <w:cnfStyle w:val="000000100000"/>
              <w:rPr>
                <w:sz w:val="18"/>
                <w:szCs w:val="18"/>
              </w:rPr>
            </w:pPr>
            <w:r>
              <w:rPr>
                <w:sz w:val="18"/>
                <w:szCs w:val="18"/>
              </w:rPr>
              <w:t>-</w:t>
            </w:r>
          </w:p>
        </w:tc>
      </w:tr>
      <w:tr w:rsidR="00084397" w:rsidRPr="00D914D6" w:rsidTr="00084397">
        <w:tc>
          <w:tcPr>
            <w:cnfStyle w:val="001000000000"/>
            <w:tcW w:w="1116" w:type="pct"/>
          </w:tcPr>
          <w:p w:rsidR="00084397" w:rsidRPr="00D914D6" w:rsidRDefault="00084397" w:rsidP="00084397">
            <w:pPr>
              <w:pStyle w:val="HUNNormal"/>
              <w:jc w:val="center"/>
              <w:rPr>
                <w:b w:val="0"/>
                <w:i/>
                <w:sz w:val="18"/>
                <w:szCs w:val="18"/>
              </w:rPr>
            </w:pPr>
            <w:r w:rsidRPr="00D914D6">
              <w:rPr>
                <w:i/>
                <w:sz w:val="18"/>
                <w:szCs w:val="18"/>
              </w:rPr>
              <w:t>Szárítók</w:t>
            </w:r>
          </w:p>
        </w:tc>
        <w:tc>
          <w:tcPr>
            <w:tcW w:w="1133" w:type="pct"/>
          </w:tcPr>
          <w:p w:rsidR="00084397" w:rsidRPr="00D914D6" w:rsidRDefault="00084397" w:rsidP="00084397">
            <w:pPr>
              <w:pStyle w:val="HUNNormal"/>
              <w:jc w:val="center"/>
              <w:cnfStyle w:val="000000000000"/>
              <w:rPr>
                <w:sz w:val="18"/>
                <w:szCs w:val="18"/>
              </w:rPr>
            </w:pPr>
            <w:r w:rsidRPr="00792792">
              <w:rPr>
                <w:sz w:val="18"/>
                <w:szCs w:val="18"/>
              </w:rPr>
              <w:t>30 235 113 606 Ft</w:t>
            </w:r>
          </w:p>
        </w:tc>
        <w:tc>
          <w:tcPr>
            <w:tcW w:w="1501" w:type="pct"/>
          </w:tcPr>
          <w:p w:rsidR="00084397" w:rsidRPr="001D7046" w:rsidRDefault="00084397" w:rsidP="00084397">
            <w:pPr>
              <w:pStyle w:val="HUNNormal"/>
              <w:jc w:val="center"/>
              <w:cnfStyle w:val="000000000000"/>
              <w:rPr>
                <w:sz w:val="18"/>
                <w:szCs w:val="18"/>
              </w:rPr>
            </w:pPr>
            <w:r w:rsidRPr="001D7046">
              <w:rPr>
                <w:sz w:val="18"/>
                <w:szCs w:val="18"/>
              </w:rPr>
              <w:t>6 047 022 721 Ft</w:t>
            </w:r>
          </w:p>
        </w:tc>
        <w:tc>
          <w:tcPr>
            <w:tcW w:w="1250" w:type="pct"/>
          </w:tcPr>
          <w:p w:rsidR="00084397" w:rsidRPr="00D914D6" w:rsidRDefault="00084397" w:rsidP="00084397">
            <w:pPr>
              <w:pStyle w:val="HUNNormal"/>
              <w:jc w:val="center"/>
              <w:cnfStyle w:val="000000000000"/>
              <w:rPr>
                <w:sz w:val="18"/>
                <w:szCs w:val="18"/>
              </w:rPr>
            </w:pPr>
            <w:r>
              <w:rPr>
                <w:sz w:val="18"/>
                <w:szCs w:val="18"/>
              </w:rPr>
              <w:t>-</w:t>
            </w:r>
          </w:p>
        </w:tc>
      </w:tr>
      <w:tr w:rsidR="00084397" w:rsidRPr="00D914D6" w:rsidTr="00084397">
        <w:trPr>
          <w:cnfStyle w:val="000000100000"/>
        </w:trPr>
        <w:tc>
          <w:tcPr>
            <w:cnfStyle w:val="001000000000"/>
            <w:tcW w:w="1116" w:type="pct"/>
          </w:tcPr>
          <w:p w:rsidR="00084397" w:rsidRPr="00D914D6" w:rsidRDefault="00084397" w:rsidP="00084397">
            <w:pPr>
              <w:pStyle w:val="HUNNormal"/>
              <w:jc w:val="center"/>
              <w:rPr>
                <w:b w:val="0"/>
                <w:i/>
                <w:sz w:val="18"/>
                <w:szCs w:val="18"/>
              </w:rPr>
            </w:pPr>
            <w:r w:rsidRPr="00D914D6">
              <w:rPr>
                <w:i/>
                <w:sz w:val="18"/>
                <w:szCs w:val="18"/>
              </w:rPr>
              <w:t>Erdészeti gépbeszerzés</w:t>
            </w:r>
          </w:p>
        </w:tc>
        <w:tc>
          <w:tcPr>
            <w:tcW w:w="1133" w:type="pct"/>
          </w:tcPr>
          <w:p w:rsidR="00084397" w:rsidRPr="00D914D6" w:rsidRDefault="00084397" w:rsidP="00084397">
            <w:pPr>
              <w:pStyle w:val="HUNNormal"/>
              <w:jc w:val="center"/>
              <w:cnfStyle w:val="000000100000"/>
              <w:rPr>
                <w:sz w:val="18"/>
                <w:szCs w:val="18"/>
              </w:rPr>
            </w:pPr>
            <w:r w:rsidRPr="00B64F83">
              <w:rPr>
                <w:sz w:val="18"/>
                <w:szCs w:val="18"/>
              </w:rPr>
              <w:t>4 586 432 127 Ft</w:t>
            </w:r>
          </w:p>
        </w:tc>
        <w:tc>
          <w:tcPr>
            <w:tcW w:w="1501" w:type="pct"/>
          </w:tcPr>
          <w:p w:rsidR="00084397" w:rsidRPr="001D7046" w:rsidRDefault="00084397" w:rsidP="00084397">
            <w:pPr>
              <w:pStyle w:val="HUNNormal"/>
              <w:jc w:val="center"/>
              <w:cnfStyle w:val="000000100000"/>
              <w:rPr>
                <w:sz w:val="18"/>
                <w:szCs w:val="18"/>
              </w:rPr>
            </w:pPr>
            <w:r w:rsidRPr="001D7046">
              <w:rPr>
                <w:sz w:val="18"/>
                <w:szCs w:val="18"/>
              </w:rPr>
              <w:t>917 286 425 Ft</w:t>
            </w:r>
          </w:p>
        </w:tc>
        <w:tc>
          <w:tcPr>
            <w:tcW w:w="1250" w:type="pct"/>
          </w:tcPr>
          <w:p w:rsidR="00084397" w:rsidRPr="00D914D6" w:rsidRDefault="00084397" w:rsidP="00084397">
            <w:pPr>
              <w:pStyle w:val="HUNNormal"/>
              <w:jc w:val="center"/>
              <w:cnfStyle w:val="000000100000"/>
              <w:rPr>
                <w:sz w:val="18"/>
                <w:szCs w:val="18"/>
              </w:rPr>
            </w:pPr>
            <w:r>
              <w:rPr>
                <w:sz w:val="18"/>
                <w:szCs w:val="18"/>
              </w:rPr>
              <w:t>-</w:t>
            </w:r>
          </w:p>
        </w:tc>
      </w:tr>
      <w:tr w:rsidR="00084397" w:rsidRPr="00D914D6" w:rsidTr="00084397">
        <w:tc>
          <w:tcPr>
            <w:cnfStyle w:val="001000000000"/>
            <w:tcW w:w="1116" w:type="pct"/>
          </w:tcPr>
          <w:p w:rsidR="00084397" w:rsidRPr="00D914D6" w:rsidRDefault="00084397" w:rsidP="00084397">
            <w:pPr>
              <w:pStyle w:val="HUNNormal"/>
              <w:jc w:val="center"/>
              <w:rPr>
                <w:b w:val="0"/>
                <w:i/>
                <w:sz w:val="18"/>
                <w:szCs w:val="18"/>
              </w:rPr>
            </w:pPr>
            <w:r w:rsidRPr="00D914D6">
              <w:rPr>
                <w:i/>
                <w:sz w:val="18"/>
                <w:szCs w:val="18"/>
              </w:rPr>
              <w:t>Mikro vállalkozások</w:t>
            </w:r>
          </w:p>
        </w:tc>
        <w:tc>
          <w:tcPr>
            <w:tcW w:w="1133" w:type="pct"/>
          </w:tcPr>
          <w:p w:rsidR="00084397" w:rsidRPr="00D914D6" w:rsidRDefault="00084397" w:rsidP="00084397">
            <w:pPr>
              <w:pStyle w:val="HUNNormal"/>
              <w:jc w:val="center"/>
              <w:cnfStyle w:val="000000000000"/>
              <w:rPr>
                <w:sz w:val="18"/>
                <w:szCs w:val="18"/>
              </w:rPr>
            </w:pPr>
            <w:r w:rsidRPr="00792792">
              <w:rPr>
                <w:sz w:val="18"/>
                <w:szCs w:val="18"/>
              </w:rPr>
              <w:t>13 971 042 839 Ft</w:t>
            </w:r>
          </w:p>
        </w:tc>
        <w:tc>
          <w:tcPr>
            <w:tcW w:w="1501" w:type="pct"/>
          </w:tcPr>
          <w:p w:rsidR="00084397" w:rsidRPr="001D7046" w:rsidRDefault="00084397" w:rsidP="00084397">
            <w:pPr>
              <w:pStyle w:val="HUNNormal"/>
              <w:jc w:val="center"/>
              <w:cnfStyle w:val="000000000000"/>
              <w:rPr>
                <w:sz w:val="18"/>
                <w:szCs w:val="18"/>
              </w:rPr>
            </w:pPr>
            <w:r w:rsidRPr="001D7046">
              <w:rPr>
                <w:sz w:val="18"/>
                <w:szCs w:val="18"/>
              </w:rPr>
              <w:t>2 794 208 568 Ft</w:t>
            </w:r>
          </w:p>
        </w:tc>
        <w:tc>
          <w:tcPr>
            <w:tcW w:w="1250" w:type="pct"/>
          </w:tcPr>
          <w:p w:rsidR="00084397" w:rsidRPr="00D914D6" w:rsidRDefault="00084397" w:rsidP="00084397">
            <w:pPr>
              <w:pStyle w:val="HUNNormal"/>
              <w:jc w:val="center"/>
              <w:cnfStyle w:val="000000000000"/>
              <w:rPr>
                <w:sz w:val="18"/>
                <w:szCs w:val="18"/>
              </w:rPr>
            </w:pPr>
            <w:r>
              <w:rPr>
                <w:sz w:val="18"/>
                <w:szCs w:val="18"/>
              </w:rPr>
              <w:t>-</w:t>
            </w:r>
          </w:p>
        </w:tc>
      </w:tr>
      <w:tr w:rsidR="00084397" w:rsidRPr="00D914D6" w:rsidTr="00084397">
        <w:trPr>
          <w:cnfStyle w:val="000000100000"/>
        </w:trPr>
        <w:tc>
          <w:tcPr>
            <w:cnfStyle w:val="001000000000"/>
            <w:tcW w:w="1116" w:type="pct"/>
          </w:tcPr>
          <w:p w:rsidR="00084397" w:rsidRPr="00D914D6" w:rsidRDefault="00084397" w:rsidP="00084397">
            <w:pPr>
              <w:pStyle w:val="HUNNormal"/>
              <w:jc w:val="center"/>
              <w:rPr>
                <w:b w:val="0"/>
                <w:i/>
                <w:sz w:val="18"/>
                <w:szCs w:val="18"/>
              </w:rPr>
            </w:pPr>
            <w:r w:rsidRPr="00D914D6">
              <w:rPr>
                <w:i/>
                <w:sz w:val="18"/>
                <w:szCs w:val="18"/>
              </w:rPr>
              <w:t>Turizmus</w:t>
            </w:r>
          </w:p>
        </w:tc>
        <w:tc>
          <w:tcPr>
            <w:tcW w:w="1133" w:type="pct"/>
          </w:tcPr>
          <w:p w:rsidR="00084397" w:rsidRPr="00D914D6" w:rsidRDefault="00084397" w:rsidP="00084397">
            <w:pPr>
              <w:pStyle w:val="HUNNormal"/>
              <w:jc w:val="center"/>
              <w:cnfStyle w:val="000000100000"/>
              <w:rPr>
                <w:sz w:val="18"/>
                <w:szCs w:val="18"/>
              </w:rPr>
            </w:pPr>
            <w:r w:rsidRPr="00792792">
              <w:rPr>
                <w:sz w:val="18"/>
                <w:szCs w:val="18"/>
              </w:rPr>
              <w:t>14 049 389 278 Ft</w:t>
            </w:r>
          </w:p>
        </w:tc>
        <w:tc>
          <w:tcPr>
            <w:tcW w:w="1501" w:type="pct"/>
          </w:tcPr>
          <w:p w:rsidR="00084397" w:rsidRPr="001D7046" w:rsidRDefault="00084397" w:rsidP="00084397">
            <w:pPr>
              <w:pStyle w:val="HUNNormal"/>
              <w:jc w:val="center"/>
              <w:cnfStyle w:val="000000100000"/>
              <w:rPr>
                <w:sz w:val="18"/>
                <w:szCs w:val="18"/>
              </w:rPr>
            </w:pPr>
            <w:r w:rsidRPr="001D7046">
              <w:rPr>
                <w:sz w:val="18"/>
                <w:szCs w:val="18"/>
              </w:rPr>
              <w:t>2 809 877 856 Ft</w:t>
            </w:r>
          </w:p>
        </w:tc>
        <w:tc>
          <w:tcPr>
            <w:tcW w:w="1250" w:type="pct"/>
          </w:tcPr>
          <w:p w:rsidR="00084397" w:rsidRPr="00D914D6" w:rsidRDefault="00084397" w:rsidP="00084397">
            <w:pPr>
              <w:pStyle w:val="HUNNormal"/>
              <w:keepNext/>
              <w:jc w:val="center"/>
              <w:cnfStyle w:val="000000100000"/>
              <w:rPr>
                <w:sz w:val="18"/>
                <w:szCs w:val="18"/>
              </w:rPr>
            </w:pPr>
            <w:r>
              <w:rPr>
                <w:sz w:val="18"/>
                <w:szCs w:val="18"/>
              </w:rPr>
              <w:t>-</w:t>
            </w:r>
          </w:p>
        </w:tc>
      </w:tr>
      <w:tr w:rsidR="00084397" w:rsidRPr="00D914D6" w:rsidTr="00084397">
        <w:tc>
          <w:tcPr>
            <w:cnfStyle w:val="001000000000"/>
            <w:tcW w:w="1116" w:type="pct"/>
          </w:tcPr>
          <w:p w:rsidR="00084397" w:rsidRPr="00D914D6" w:rsidRDefault="00084397" w:rsidP="00084397">
            <w:pPr>
              <w:pStyle w:val="HUNNormal"/>
              <w:jc w:val="center"/>
              <w:rPr>
                <w:b w:val="0"/>
                <w:i/>
                <w:sz w:val="18"/>
                <w:szCs w:val="18"/>
              </w:rPr>
            </w:pPr>
            <w:r>
              <w:rPr>
                <w:i/>
                <w:sz w:val="18"/>
                <w:szCs w:val="18"/>
              </w:rPr>
              <w:lastRenderedPageBreak/>
              <w:t>Összesen</w:t>
            </w:r>
          </w:p>
        </w:tc>
        <w:tc>
          <w:tcPr>
            <w:tcW w:w="1133" w:type="pct"/>
          </w:tcPr>
          <w:p w:rsidR="00084397" w:rsidRPr="001D7046" w:rsidRDefault="00084397" w:rsidP="00084397">
            <w:pPr>
              <w:pStyle w:val="HUNNormal"/>
              <w:jc w:val="center"/>
              <w:cnfStyle w:val="000000000000"/>
              <w:rPr>
                <w:b/>
                <w:i/>
                <w:sz w:val="18"/>
                <w:szCs w:val="18"/>
              </w:rPr>
            </w:pPr>
            <w:r w:rsidRPr="001D7046">
              <w:rPr>
                <w:b/>
                <w:i/>
                <w:sz w:val="18"/>
                <w:szCs w:val="18"/>
              </w:rPr>
              <w:t>438 186 848 528 Ft</w:t>
            </w:r>
          </w:p>
        </w:tc>
        <w:tc>
          <w:tcPr>
            <w:tcW w:w="1501" w:type="pct"/>
          </w:tcPr>
          <w:p w:rsidR="00084397" w:rsidRPr="001D7046" w:rsidRDefault="00084397" w:rsidP="00084397">
            <w:pPr>
              <w:pStyle w:val="HUNNormal"/>
              <w:jc w:val="center"/>
              <w:cnfStyle w:val="000000000000"/>
              <w:rPr>
                <w:b/>
                <w:i/>
                <w:sz w:val="18"/>
                <w:szCs w:val="18"/>
              </w:rPr>
            </w:pPr>
            <w:r w:rsidRPr="001D7046">
              <w:rPr>
                <w:b/>
                <w:i/>
                <w:sz w:val="18"/>
                <w:szCs w:val="18"/>
              </w:rPr>
              <w:t>87 637 369 706 Ft</w:t>
            </w:r>
          </w:p>
        </w:tc>
        <w:tc>
          <w:tcPr>
            <w:tcW w:w="1250" w:type="pct"/>
          </w:tcPr>
          <w:p w:rsidR="00084397" w:rsidRPr="001D7046" w:rsidRDefault="00084397" w:rsidP="00084397">
            <w:pPr>
              <w:pStyle w:val="HUNNormal"/>
              <w:keepNext/>
              <w:jc w:val="center"/>
              <w:cnfStyle w:val="000000000000"/>
              <w:rPr>
                <w:b/>
                <w:i/>
                <w:sz w:val="18"/>
                <w:szCs w:val="18"/>
              </w:rPr>
            </w:pPr>
            <w:r w:rsidRPr="001D7046">
              <w:rPr>
                <w:b/>
                <w:i/>
                <w:sz w:val="18"/>
                <w:szCs w:val="18"/>
              </w:rPr>
              <w:t>-</w:t>
            </w:r>
          </w:p>
        </w:tc>
      </w:tr>
    </w:tbl>
    <w:bookmarkStart w:id="166" w:name="_Ref277357154"/>
    <w:p w:rsidR="00084397" w:rsidRDefault="003F44DC" w:rsidP="00084397">
      <w:pPr>
        <w:pStyle w:val="Caption"/>
        <w:spacing w:before="240"/>
        <w:jc w:val="center"/>
        <w:rPr>
          <w:color w:val="auto"/>
        </w:rPr>
      </w:pPr>
      <w:r>
        <w:rPr>
          <w:color w:val="auto"/>
        </w:rPr>
        <w:fldChar w:fldCharType="begin"/>
      </w:r>
      <w:r w:rsidR="00084397">
        <w:rPr>
          <w:color w:val="auto"/>
        </w:rPr>
        <w:instrText xml:space="preserve"> SEQ táblázat \* ARABIC </w:instrText>
      </w:r>
      <w:r>
        <w:rPr>
          <w:color w:val="auto"/>
        </w:rPr>
        <w:fldChar w:fldCharType="separate"/>
      </w:r>
      <w:r w:rsidR="002D1B7A">
        <w:rPr>
          <w:noProof/>
          <w:color w:val="auto"/>
        </w:rPr>
        <w:t>21</w:t>
      </w:r>
      <w:r>
        <w:rPr>
          <w:color w:val="auto"/>
        </w:rPr>
        <w:fldChar w:fldCharType="end"/>
      </w:r>
      <w:r w:rsidR="00084397" w:rsidRPr="00D914D6">
        <w:rPr>
          <w:color w:val="auto"/>
        </w:rPr>
        <w:t>. táblázat</w:t>
      </w:r>
      <w:bookmarkEnd w:id="166"/>
      <w:r w:rsidR="00084397">
        <w:rPr>
          <w:color w:val="auto"/>
        </w:rPr>
        <w:t>: Államháztartási hatás vizsgálata</w:t>
      </w:r>
    </w:p>
    <w:p w:rsidR="00084397" w:rsidRDefault="00084397" w:rsidP="00084397">
      <w:pPr>
        <w:pStyle w:val="HUNNormal"/>
      </w:pPr>
      <w:r>
        <w:t>A megítélt támogatások költségszerkezetét megvizsgálva arra a megállapításra jutottunk, hogy néhány e</w:t>
      </w:r>
      <w:r>
        <w:t>l</w:t>
      </w:r>
      <w:r>
        <w:t xml:space="preserve">enyésző számú kivételtől eltekintve a kötelezettségvállalások teljes egészében </w:t>
      </w:r>
      <w:proofErr w:type="spellStart"/>
      <w:r>
        <w:t>ÁFA-köteles</w:t>
      </w:r>
      <w:proofErr w:type="spellEnd"/>
      <w:r>
        <w:t xml:space="preserve"> kiadás. Mivel a kifizetések folyamatosan zajlottak 2008-tól kezdve (amikor az ÁFA kulcs 20% volt még), konzervatív becsl</w:t>
      </w:r>
      <w:r>
        <w:t>é</w:t>
      </w:r>
      <w:r>
        <w:t>sünkben ezt a 20%-os kulcsot alkalmaztuk az ÁFA vonzat kiszámítására. Ezt az is indokolja, hogy néhány esetben a kedvezményezettek élhettek ÁFA visszatérítési igénnyel, amiből így az államnak nem származott bevétele. Így azt mondhatjuk, hogy a vizsgált jogcímekben megítélt támogatások hozzávetőleg 87,6 Mrd Ft ÁFA bevételt jelenthetnek optimista forgatókönyv szerint a magyar állam számára.</w:t>
      </w:r>
    </w:p>
    <w:p w:rsidR="00084397" w:rsidRDefault="00084397" w:rsidP="00084397">
      <w:pPr>
        <w:pStyle w:val="HUNNormal"/>
      </w:pPr>
      <w:r>
        <w:t xml:space="preserve">A gépbeszerzéseknél a származási hely beazonosítása </w:t>
      </w:r>
      <w:proofErr w:type="gramStart"/>
      <w:r>
        <w:t>alapján</w:t>
      </w:r>
      <w:r>
        <w:rPr>
          <w:rStyle w:val="FootnoteReference"/>
        </w:rPr>
        <w:footnoteReference w:id="32"/>
      </w:r>
      <w:r>
        <w:t>,</w:t>
      </w:r>
      <w:proofErr w:type="gramEnd"/>
      <w:r>
        <w:t xml:space="preserve"> megállapítható, hogy azok töredéke szá</w:t>
      </w:r>
      <w:r>
        <w:t>r</w:t>
      </w:r>
      <w:r>
        <w:t>mazik belföldről. Az import rontja a magyar külkereskedelmi mérleg egyenlegét, így vélhetően a gépbesze</w:t>
      </w:r>
      <w:r>
        <w:t>r</w:t>
      </w:r>
      <w:r>
        <w:t>zésekre juttatott támogatási összegek döntő többsége (90-95%-a) egyszerűen kiáramlott az országból.</w:t>
      </w:r>
    </w:p>
    <w:p w:rsidR="00084397" w:rsidRDefault="00084397" w:rsidP="00084397">
      <w:pPr>
        <w:pStyle w:val="HUNNormal"/>
      </w:pPr>
    </w:p>
    <w:p w:rsidR="00084397" w:rsidRDefault="00084397" w:rsidP="00084397">
      <w:pPr>
        <w:pStyle w:val="HUNHeading3"/>
        <w:ind w:left="504"/>
      </w:pPr>
      <w:bookmarkStart w:id="167" w:name="_Ref278093019"/>
      <w:bookmarkStart w:id="168" w:name="_Toc278793302"/>
      <w:bookmarkStart w:id="169" w:name="_Toc279359378"/>
      <w:r>
        <w:lastRenderedPageBreak/>
        <w:t>További statisztikai vizsgálatok</w:t>
      </w:r>
      <w:bookmarkEnd w:id="167"/>
      <w:bookmarkEnd w:id="168"/>
      <w:bookmarkEnd w:id="169"/>
    </w:p>
    <w:p w:rsidR="00084397" w:rsidRDefault="00084397" w:rsidP="00084397">
      <w:pPr>
        <w:pStyle w:val="HUNHeading4"/>
        <w:ind w:left="646" w:hanging="646"/>
      </w:pPr>
      <w:r>
        <w:t>Gazdaságok SFH méret szerinti megoszlása</w:t>
      </w:r>
    </w:p>
    <w:p w:rsidR="00084397" w:rsidRDefault="00084397" w:rsidP="00084397">
      <w:pPr>
        <w:pStyle w:val="HUNNormal"/>
        <w:jc w:val="center"/>
      </w:pPr>
      <w:r>
        <w:rPr>
          <w:noProof/>
        </w:rPr>
        <w:drawing>
          <wp:inline distT="0" distB="0" distL="0" distR="0">
            <wp:extent cx="5876925" cy="5141593"/>
            <wp:effectExtent l="19050" t="0" r="0" b="0"/>
            <wp:docPr id="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srcRect l="6942" t="12304" r="37594" b="10119"/>
                    <a:stretch>
                      <a:fillRect/>
                    </a:stretch>
                  </pic:blipFill>
                  <pic:spPr bwMode="auto">
                    <a:xfrm>
                      <a:off x="0" y="0"/>
                      <a:ext cx="5881501" cy="5145597"/>
                    </a:xfrm>
                    <a:prstGeom prst="rect">
                      <a:avLst/>
                    </a:prstGeom>
                    <a:noFill/>
                    <a:ln w="9525">
                      <a:noFill/>
                      <a:miter lim="800000"/>
                      <a:headEnd/>
                      <a:tailEnd/>
                    </a:ln>
                  </pic:spPr>
                </pic:pic>
              </a:graphicData>
            </a:graphic>
          </wp:inline>
        </w:drawing>
      </w:r>
    </w:p>
    <w:bookmarkStart w:id="170" w:name="_Ref278208147"/>
    <w:p w:rsidR="00084397" w:rsidRPr="0075261A" w:rsidRDefault="003F44DC" w:rsidP="00084397">
      <w:pPr>
        <w:pStyle w:val="Caption"/>
        <w:jc w:val="center"/>
        <w:rPr>
          <w:color w:val="auto"/>
        </w:rPr>
      </w:pPr>
      <w:r w:rsidRPr="0075261A">
        <w:rPr>
          <w:color w:val="auto"/>
        </w:rPr>
        <w:fldChar w:fldCharType="begin"/>
      </w:r>
      <w:r w:rsidR="00084397" w:rsidRPr="0075261A">
        <w:rPr>
          <w:color w:val="auto"/>
        </w:rPr>
        <w:instrText xml:space="preserve"> SEQ táblázat \* ARABIC </w:instrText>
      </w:r>
      <w:r w:rsidRPr="0075261A">
        <w:rPr>
          <w:color w:val="auto"/>
        </w:rPr>
        <w:fldChar w:fldCharType="separate"/>
      </w:r>
      <w:r w:rsidR="002D1B7A">
        <w:rPr>
          <w:noProof/>
          <w:color w:val="auto"/>
        </w:rPr>
        <w:t>22</w:t>
      </w:r>
      <w:r w:rsidRPr="0075261A">
        <w:rPr>
          <w:color w:val="auto"/>
        </w:rPr>
        <w:fldChar w:fldCharType="end"/>
      </w:r>
      <w:r w:rsidR="00084397" w:rsidRPr="0075261A">
        <w:rPr>
          <w:color w:val="auto"/>
        </w:rPr>
        <w:t>. táblázat</w:t>
      </w:r>
      <w:bookmarkEnd w:id="170"/>
      <w:r w:rsidR="00084397" w:rsidRPr="0075261A">
        <w:rPr>
          <w:color w:val="auto"/>
        </w:rPr>
        <w:t>: Gazdaságok SFH méret szerinti megoszlása</w:t>
      </w:r>
    </w:p>
    <w:p w:rsidR="00084397" w:rsidRDefault="00084397" w:rsidP="00084397">
      <w:pPr>
        <w:pStyle w:val="HUNNormal"/>
      </w:pPr>
      <w:r>
        <w:t xml:space="preserve">A </w:t>
      </w:r>
      <w:r w:rsidR="003F44DC">
        <w:fldChar w:fldCharType="begin"/>
      </w:r>
      <w:r>
        <w:instrText xml:space="preserve"> REF _Ref278208147 \h </w:instrText>
      </w:r>
      <w:r w:rsidR="003F44DC">
        <w:fldChar w:fldCharType="separate"/>
      </w:r>
      <w:r w:rsidR="002D1B7A">
        <w:rPr>
          <w:noProof/>
        </w:rPr>
        <w:t>22</w:t>
      </w:r>
      <w:r w:rsidR="002D1B7A" w:rsidRPr="0075261A">
        <w:t>. táblázat</w:t>
      </w:r>
      <w:r w:rsidR="003F44DC">
        <w:fldChar w:fldCharType="end"/>
      </w:r>
      <w:r>
        <w:t xml:space="preserve"> részletesen szemlélteti a vizsgálatba bevont jogcímekben támogatást nyert gazdaságok </w:t>
      </w:r>
      <w:proofErr w:type="spellStart"/>
      <w:r>
        <w:t>SFH-összeg</w:t>
      </w:r>
      <w:proofErr w:type="spellEnd"/>
      <w:r>
        <w:t xml:space="preserve"> szerinti megoszlását. Megállapítható, hogy:</w:t>
      </w:r>
    </w:p>
    <w:p w:rsidR="00084397" w:rsidRDefault="00084397" w:rsidP="00071630">
      <w:pPr>
        <w:pStyle w:val="HUNNormal"/>
        <w:numPr>
          <w:ilvl w:val="0"/>
          <w:numId w:val="46"/>
        </w:numPr>
      </w:pPr>
      <w:r>
        <w:t>az ÁTK jogcímben támogatott gazdaságok mérete kimagaslóan nagyobb, mint a többi jogcímben szereplő gazdaságoké;</w:t>
      </w:r>
    </w:p>
    <w:p w:rsidR="00084397" w:rsidRDefault="00084397" w:rsidP="00071630">
      <w:pPr>
        <w:pStyle w:val="HUNNormal"/>
        <w:numPr>
          <w:ilvl w:val="0"/>
          <w:numId w:val="46"/>
        </w:numPr>
      </w:pPr>
      <w:r>
        <w:t>a Fiatal gazda jogcím kivételével erőteljes támogatási koncentráció figyelhető meg;</w:t>
      </w:r>
    </w:p>
    <w:p w:rsidR="00084397" w:rsidRDefault="00084397" w:rsidP="00071630">
      <w:pPr>
        <w:pStyle w:val="HUNNormal"/>
        <w:numPr>
          <w:ilvl w:val="0"/>
          <w:numId w:val="46"/>
        </w:numPr>
      </w:pPr>
      <w:r>
        <w:t xml:space="preserve">az ÁTK és a Gépbeszerzés jogcímekben a nagygazdaságok átlagosan </w:t>
      </w:r>
      <w:proofErr w:type="gramStart"/>
      <w:r>
        <w:t>több, mint</w:t>
      </w:r>
      <w:proofErr w:type="gramEnd"/>
      <w:r>
        <w:t xml:space="preserve"> a dupláját „kapták” a közepes méretű gazdaságok támogatási összegénél;</w:t>
      </w:r>
    </w:p>
    <w:p w:rsidR="00084397" w:rsidRDefault="00084397" w:rsidP="00071630">
      <w:pPr>
        <w:pStyle w:val="HUNNormal"/>
        <w:numPr>
          <w:ilvl w:val="0"/>
          <w:numId w:val="46"/>
        </w:numPr>
      </w:pPr>
      <w:r>
        <w:t>az Öntözés és az ÁTK jogcím nagygazdaságainak kimagasló EUME értéke alapján megfontoland</w:t>
      </w:r>
      <w:r>
        <w:t>ó</w:t>
      </w:r>
      <w:r>
        <w:t xml:space="preserve">nak tartjuk átgondolni a támogatni kívánt célcsoportot </w:t>
      </w:r>
      <w:proofErr w:type="gramStart"/>
      <w:r>
        <w:t>( a</w:t>
      </w:r>
      <w:proofErr w:type="gramEnd"/>
      <w:r>
        <w:t xml:space="preserve"> „holtteher-veszteség” minimalizálása é</w:t>
      </w:r>
      <w:r>
        <w:t>r</w:t>
      </w:r>
      <w:r>
        <w:t>dekében).</w:t>
      </w:r>
    </w:p>
    <w:p w:rsidR="00084397" w:rsidRDefault="00084397" w:rsidP="00084397">
      <w:pPr>
        <w:pStyle w:val="HUNHeading4"/>
        <w:ind w:left="646" w:hanging="646"/>
      </w:pPr>
      <w:bookmarkStart w:id="171" w:name="_Ref278092631"/>
      <w:r>
        <w:lastRenderedPageBreak/>
        <w:t>Költség főcsoportok</w:t>
      </w:r>
      <w:bookmarkEnd w:id="171"/>
    </w:p>
    <w:p w:rsidR="00084397" w:rsidRDefault="00084397" w:rsidP="00084397">
      <w:pPr>
        <w:pStyle w:val="HUNNormal"/>
      </w:pPr>
      <w:r>
        <w:t xml:space="preserve">Az </w:t>
      </w:r>
      <w:proofErr w:type="spellStart"/>
      <w:r>
        <w:t>MVH-tól</w:t>
      </w:r>
      <w:proofErr w:type="spellEnd"/>
      <w:r>
        <w:t xml:space="preserve"> kapott ún. „tételes lista”, valamint az egyes jogcímek támogatási kérelem költségszerkezete ala</w:t>
      </w:r>
      <w:r>
        <w:t>p</w:t>
      </w:r>
      <w:r>
        <w:t xml:space="preserve">ján megvizsgáltuk a </w:t>
      </w:r>
      <w:r w:rsidRPr="00B54CDA">
        <w:rPr>
          <w:b/>
        </w:rPr>
        <w:t>beruházások</w:t>
      </w:r>
      <w:r>
        <w:t xml:space="preserve"> jellemző </w:t>
      </w:r>
      <w:r w:rsidRPr="00B54CDA">
        <w:rPr>
          <w:b/>
        </w:rPr>
        <w:t>költségszerkezetét</w:t>
      </w:r>
      <w:r>
        <w:t>. A vizsgálat eredményét a következő táblázat tartalmazza.</w:t>
      </w:r>
    </w:p>
    <w:tbl>
      <w:tblPr>
        <w:tblStyle w:val="ColorfulList-Accent2"/>
        <w:tblW w:w="0" w:type="auto"/>
        <w:jc w:val="center"/>
        <w:tblLayout w:type="fixed"/>
        <w:tblLook w:val="04A0"/>
      </w:tblPr>
      <w:tblGrid>
        <w:gridCol w:w="1520"/>
        <w:gridCol w:w="1309"/>
        <w:gridCol w:w="1310"/>
        <w:gridCol w:w="1310"/>
        <w:gridCol w:w="1310"/>
        <w:gridCol w:w="1310"/>
        <w:gridCol w:w="1310"/>
      </w:tblGrid>
      <w:tr w:rsidR="00084397" w:rsidRPr="006C6414" w:rsidTr="00084397">
        <w:trPr>
          <w:cnfStyle w:val="100000000000"/>
          <w:trHeight w:val="255"/>
          <w:jc w:val="center"/>
        </w:trPr>
        <w:tc>
          <w:tcPr>
            <w:cnfStyle w:val="001000000000"/>
            <w:tcW w:w="1520" w:type="dxa"/>
            <w:noWrap/>
            <w:vAlign w:val="center"/>
            <w:hideMark/>
          </w:tcPr>
          <w:p w:rsidR="00084397" w:rsidRPr="004F3C57" w:rsidRDefault="00084397" w:rsidP="00084397">
            <w:pPr>
              <w:jc w:val="center"/>
              <w:rPr>
                <w:i/>
                <w:smallCaps/>
                <w:sz w:val="18"/>
                <w:szCs w:val="18"/>
              </w:rPr>
            </w:pPr>
            <w:r w:rsidRPr="004F3C57">
              <w:rPr>
                <w:i/>
                <w:smallCaps/>
                <w:sz w:val="18"/>
                <w:szCs w:val="18"/>
              </w:rPr>
              <w:t>TK költség f</w:t>
            </w:r>
            <w:r w:rsidRPr="004F3C57">
              <w:rPr>
                <w:i/>
                <w:smallCaps/>
                <w:sz w:val="18"/>
                <w:szCs w:val="18"/>
              </w:rPr>
              <w:t>ő</w:t>
            </w:r>
            <w:r w:rsidRPr="004F3C57">
              <w:rPr>
                <w:i/>
                <w:smallCaps/>
                <w:sz w:val="18"/>
                <w:szCs w:val="18"/>
              </w:rPr>
              <w:t>csoportok</w:t>
            </w:r>
          </w:p>
        </w:tc>
        <w:tc>
          <w:tcPr>
            <w:tcW w:w="1309" w:type="dxa"/>
            <w:noWrap/>
            <w:vAlign w:val="center"/>
            <w:hideMark/>
          </w:tcPr>
          <w:p w:rsidR="00084397" w:rsidRPr="004F3C57" w:rsidRDefault="00084397" w:rsidP="00084397">
            <w:pPr>
              <w:jc w:val="center"/>
              <w:cnfStyle w:val="100000000000"/>
              <w:rPr>
                <w:i/>
                <w:smallCaps/>
                <w:sz w:val="18"/>
                <w:szCs w:val="18"/>
              </w:rPr>
            </w:pPr>
            <w:r w:rsidRPr="004F3C57">
              <w:rPr>
                <w:i/>
                <w:smallCaps/>
                <w:sz w:val="18"/>
                <w:szCs w:val="18"/>
              </w:rPr>
              <w:t>ÉLIP</w:t>
            </w:r>
          </w:p>
        </w:tc>
        <w:tc>
          <w:tcPr>
            <w:tcW w:w="1310" w:type="dxa"/>
            <w:vAlign w:val="center"/>
          </w:tcPr>
          <w:p w:rsidR="00084397" w:rsidRPr="004F3C57" w:rsidRDefault="00084397" w:rsidP="00084397">
            <w:pPr>
              <w:jc w:val="center"/>
              <w:cnfStyle w:val="100000000000"/>
              <w:rPr>
                <w:i/>
                <w:smallCaps/>
                <w:sz w:val="18"/>
                <w:szCs w:val="18"/>
              </w:rPr>
            </w:pPr>
            <w:r w:rsidRPr="004F3C57">
              <w:rPr>
                <w:i/>
                <w:smallCaps/>
                <w:sz w:val="18"/>
                <w:szCs w:val="18"/>
              </w:rPr>
              <w:t>Kertészeti üzemek</w:t>
            </w:r>
          </w:p>
        </w:tc>
        <w:tc>
          <w:tcPr>
            <w:tcW w:w="1310" w:type="dxa"/>
            <w:vAlign w:val="center"/>
          </w:tcPr>
          <w:p w:rsidR="00084397" w:rsidRPr="004F3C57" w:rsidRDefault="00084397" w:rsidP="00084397">
            <w:pPr>
              <w:jc w:val="center"/>
              <w:cnfStyle w:val="100000000000"/>
              <w:rPr>
                <w:i/>
                <w:smallCaps/>
                <w:sz w:val="18"/>
                <w:szCs w:val="18"/>
              </w:rPr>
            </w:pPr>
            <w:r w:rsidRPr="004F3C57">
              <w:rPr>
                <w:i/>
                <w:smallCaps/>
                <w:sz w:val="18"/>
                <w:szCs w:val="18"/>
              </w:rPr>
              <w:t>Öntözés</w:t>
            </w:r>
          </w:p>
        </w:tc>
        <w:tc>
          <w:tcPr>
            <w:tcW w:w="1310" w:type="dxa"/>
            <w:vAlign w:val="center"/>
          </w:tcPr>
          <w:p w:rsidR="00084397" w:rsidRPr="004F3C57" w:rsidRDefault="00084397" w:rsidP="00084397">
            <w:pPr>
              <w:jc w:val="center"/>
              <w:cnfStyle w:val="100000000000"/>
              <w:rPr>
                <w:i/>
                <w:smallCaps/>
                <w:sz w:val="18"/>
                <w:szCs w:val="18"/>
              </w:rPr>
            </w:pPr>
            <w:r w:rsidRPr="004F3C57">
              <w:rPr>
                <w:i/>
                <w:smallCaps/>
                <w:sz w:val="18"/>
                <w:szCs w:val="18"/>
              </w:rPr>
              <w:t>Szárítók</w:t>
            </w:r>
          </w:p>
        </w:tc>
        <w:tc>
          <w:tcPr>
            <w:tcW w:w="1310" w:type="dxa"/>
            <w:vAlign w:val="center"/>
          </w:tcPr>
          <w:p w:rsidR="00084397" w:rsidRPr="004F3C57" w:rsidRDefault="00084397" w:rsidP="00084397">
            <w:pPr>
              <w:jc w:val="center"/>
              <w:cnfStyle w:val="100000000000"/>
              <w:rPr>
                <w:i/>
                <w:smallCaps/>
                <w:sz w:val="18"/>
                <w:szCs w:val="18"/>
              </w:rPr>
            </w:pPr>
            <w:proofErr w:type="spellStart"/>
            <w:r w:rsidRPr="004F3C57">
              <w:rPr>
                <w:i/>
                <w:smallCaps/>
                <w:sz w:val="18"/>
                <w:szCs w:val="18"/>
              </w:rPr>
              <w:t>Mikrovállalkozás</w:t>
            </w:r>
            <w:proofErr w:type="spellEnd"/>
          </w:p>
        </w:tc>
        <w:tc>
          <w:tcPr>
            <w:tcW w:w="1310" w:type="dxa"/>
            <w:vAlign w:val="center"/>
          </w:tcPr>
          <w:p w:rsidR="00084397" w:rsidRPr="004F3C57" w:rsidRDefault="00084397" w:rsidP="00084397">
            <w:pPr>
              <w:jc w:val="center"/>
              <w:cnfStyle w:val="100000000000"/>
              <w:rPr>
                <w:i/>
                <w:smallCaps/>
                <w:sz w:val="18"/>
                <w:szCs w:val="18"/>
              </w:rPr>
            </w:pPr>
            <w:r w:rsidRPr="004F3C57">
              <w:rPr>
                <w:i/>
                <w:smallCaps/>
                <w:sz w:val="18"/>
                <w:szCs w:val="18"/>
              </w:rPr>
              <w:t>Turizmus</w:t>
            </w:r>
          </w:p>
        </w:tc>
      </w:tr>
      <w:tr w:rsidR="00084397" w:rsidRPr="006C6414" w:rsidTr="00084397">
        <w:trPr>
          <w:cnfStyle w:val="000000100000"/>
          <w:trHeight w:val="255"/>
          <w:jc w:val="center"/>
        </w:trPr>
        <w:tc>
          <w:tcPr>
            <w:cnfStyle w:val="001000000000"/>
            <w:tcW w:w="1520" w:type="dxa"/>
            <w:noWrap/>
            <w:hideMark/>
          </w:tcPr>
          <w:p w:rsidR="00084397" w:rsidRPr="004F3C57" w:rsidRDefault="00084397" w:rsidP="00084397">
            <w:pPr>
              <w:jc w:val="both"/>
              <w:rPr>
                <w:smallCaps/>
                <w:sz w:val="16"/>
                <w:szCs w:val="16"/>
              </w:rPr>
            </w:pPr>
            <w:r w:rsidRPr="004F3C57">
              <w:rPr>
                <w:smallCaps/>
                <w:sz w:val="16"/>
                <w:szCs w:val="16"/>
              </w:rPr>
              <w:t>Gépkatalógusból végzett beszerzés</w:t>
            </w:r>
          </w:p>
        </w:tc>
        <w:tc>
          <w:tcPr>
            <w:tcW w:w="1309" w:type="dxa"/>
            <w:noWrap/>
            <w:vAlign w:val="center"/>
            <w:hideMark/>
          </w:tcPr>
          <w:p w:rsidR="00084397" w:rsidRPr="004F3C57" w:rsidRDefault="00084397" w:rsidP="00084397">
            <w:pPr>
              <w:jc w:val="center"/>
              <w:cnfStyle w:val="000000100000"/>
              <w:rPr>
                <w:sz w:val="16"/>
                <w:szCs w:val="16"/>
              </w:rPr>
            </w:pPr>
            <w:r w:rsidRPr="004F3C57">
              <w:rPr>
                <w:sz w:val="16"/>
                <w:szCs w:val="16"/>
              </w:rPr>
              <w:t>41 434 516 774 Ft</w:t>
            </w:r>
          </w:p>
        </w:tc>
        <w:tc>
          <w:tcPr>
            <w:tcW w:w="1310" w:type="dxa"/>
            <w:vAlign w:val="center"/>
          </w:tcPr>
          <w:p w:rsidR="00084397" w:rsidRPr="004F3C57" w:rsidRDefault="00084397" w:rsidP="00084397">
            <w:pPr>
              <w:jc w:val="center"/>
              <w:cnfStyle w:val="000000100000"/>
              <w:rPr>
                <w:sz w:val="16"/>
                <w:szCs w:val="16"/>
              </w:rPr>
            </w:pPr>
            <w:r w:rsidRPr="004F3C57">
              <w:rPr>
                <w:sz w:val="16"/>
                <w:szCs w:val="16"/>
              </w:rPr>
              <w:t>1 415 716 115 Ft</w:t>
            </w:r>
          </w:p>
        </w:tc>
        <w:tc>
          <w:tcPr>
            <w:tcW w:w="1310" w:type="dxa"/>
            <w:vAlign w:val="center"/>
          </w:tcPr>
          <w:p w:rsidR="00084397" w:rsidRPr="004F3C57" w:rsidRDefault="00084397" w:rsidP="00084397">
            <w:pPr>
              <w:jc w:val="center"/>
              <w:cnfStyle w:val="000000100000"/>
              <w:rPr>
                <w:sz w:val="16"/>
                <w:szCs w:val="16"/>
              </w:rPr>
            </w:pPr>
            <w:r w:rsidRPr="004F3C57">
              <w:rPr>
                <w:sz w:val="16"/>
                <w:szCs w:val="16"/>
              </w:rPr>
              <w:t>1 790 717 386 Ft</w:t>
            </w:r>
          </w:p>
        </w:tc>
        <w:tc>
          <w:tcPr>
            <w:tcW w:w="1310" w:type="dxa"/>
            <w:vAlign w:val="center"/>
          </w:tcPr>
          <w:p w:rsidR="00084397" w:rsidRPr="004F3C57" w:rsidRDefault="00084397" w:rsidP="00084397">
            <w:pPr>
              <w:jc w:val="center"/>
              <w:cnfStyle w:val="000000100000"/>
              <w:rPr>
                <w:sz w:val="16"/>
                <w:szCs w:val="16"/>
              </w:rPr>
            </w:pPr>
            <w:r w:rsidRPr="004F3C57">
              <w:rPr>
                <w:sz w:val="16"/>
                <w:szCs w:val="16"/>
              </w:rPr>
              <w:t>21 329 928 034 Ft</w:t>
            </w:r>
          </w:p>
        </w:tc>
        <w:tc>
          <w:tcPr>
            <w:tcW w:w="1310" w:type="dxa"/>
            <w:vAlign w:val="center"/>
          </w:tcPr>
          <w:p w:rsidR="00084397" w:rsidRPr="004F3C57" w:rsidRDefault="00084397" w:rsidP="00084397">
            <w:pPr>
              <w:jc w:val="center"/>
              <w:cnfStyle w:val="000000100000"/>
              <w:rPr>
                <w:sz w:val="16"/>
                <w:szCs w:val="16"/>
              </w:rPr>
            </w:pPr>
            <w:r w:rsidRPr="004F3C57">
              <w:rPr>
                <w:sz w:val="16"/>
                <w:szCs w:val="16"/>
              </w:rPr>
              <w:t>1 452 189 813 Ft</w:t>
            </w:r>
          </w:p>
        </w:tc>
        <w:tc>
          <w:tcPr>
            <w:tcW w:w="1310" w:type="dxa"/>
            <w:vAlign w:val="center"/>
          </w:tcPr>
          <w:p w:rsidR="00084397" w:rsidRPr="004F3C57" w:rsidRDefault="00084397" w:rsidP="00084397">
            <w:pPr>
              <w:jc w:val="center"/>
              <w:cnfStyle w:val="000000100000"/>
              <w:rPr>
                <w:sz w:val="16"/>
                <w:szCs w:val="16"/>
              </w:rPr>
            </w:pPr>
            <w:r w:rsidRPr="004F3C57">
              <w:rPr>
                <w:sz w:val="16"/>
                <w:szCs w:val="16"/>
              </w:rPr>
              <w:t>51 504 189 Ft</w:t>
            </w:r>
          </w:p>
        </w:tc>
      </w:tr>
      <w:tr w:rsidR="00084397" w:rsidRPr="006C6414" w:rsidTr="00084397">
        <w:trPr>
          <w:trHeight w:val="255"/>
          <w:jc w:val="center"/>
        </w:trPr>
        <w:tc>
          <w:tcPr>
            <w:cnfStyle w:val="001000000000"/>
            <w:tcW w:w="1520" w:type="dxa"/>
            <w:noWrap/>
            <w:hideMark/>
          </w:tcPr>
          <w:p w:rsidR="00084397" w:rsidRPr="004F3C57" w:rsidRDefault="00084397" w:rsidP="00084397">
            <w:pPr>
              <w:jc w:val="both"/>
              <w:rPr>
                <w:smallCaps/>
                <w:sz w:val="16"/>
                <w:szCs w:val="16"/>
              </w:rPr>
            </w:pPr>
            <w:proofErr w:type="spellStart"/>
            <w:r w:rsidRPr="004F3C57">
              <w:rPr>
                <w:smallCaps/>
                <w:sz w:val="16"/>
                <w:szCs w:val="16"/>
              </w:rPr>
              <w:t>ÉNGY-ból</w:t>
            </w:r>
            <w:proofErr w:type="spellEnd"/>
            <w:r w:rsidRPr="004F3C57">
              <w:rPr>
                <w:smallCaps/>
                <w:sz w:val="16"/>
                <w:szCs w:val="16"/>
              </w:rPr>
              <w:t xml:space="preserve"> végzett építési beruházás</w:t>
            </w:r>
          </w:p>
        </w:tc>
        <w:tc>
          <w:tcPr>
            <w:tcW w:w="1309" w:type="dxa"/>
            <w:noWrap/>
            <w:vAlign w:val="center"/>
            <w:hideMark/>
          </w:tcPr>
          <w:p w:rsidR="00084397" w:rsidRPr="004F3C57" w:rsidRDefault="00084397" w:rsidP="00084397">
            <w:pPr>
              <w:jc w:val="center"/>
              <w:cnfStyle w:val="000000000000"/>
              <w:rPr>
                <w:sz w:val="16"/>
                <w:szCs w:val="16"/>
              </w:rPr>
            </w:pPr>
            <w:r w:rsidRPr="004F3C57">
              <w:rPr>
                <w:sz w:val="16"/>
                <w:szCs w:val="16"/>
              </w:rPr>
              <w:t>30 224 091 202 Ft</w:t>
            </w:r>
          </w:p>
        </w:tc>
        <w:tc>
          <w:tcPr>
            <w:tcW w:w="1310" w:type="dxa"/>
            <w:vAlign w:val="center"/>
          </w:tcPr>
          <w:p w:rsidR="00084397" w:rsidRPr="004F3C57" w:rsidRDefault="00084397" w:rsidP="00084397">
            <w:pPr>
              <w:jc w:val="center"/>
              <w:cnfStyle w:val="000000000000"/>
              <w:rPr>
                <w:sz w:val="16"/>
                <w:szCs w:val="16"/>
              </w:rPr>
            </w:pPr>
            <w:r w:rsidRPr="004F3C57">
              <w:rPr>
                <w:sz w:val="16"/>
                <w:szCs w:val="16"/>
              </w:rPr>
              <w:t>10 461 080 651 Ft</w:t>
            </w:r>
          </w:p>
        </w:tc>
        <w:tc>
          <w:tcPr>
            <w:tcW w:w="1310" w:type="dxa"/>
            <w:vAlign w:val="center"/>
          </w:tcPr>
          <w:p w:rsidR="00084397" w:rsidRPr="004F3C57" w:rsidRDefault="00084397" w:rsidP="00084397">
            <w:pPr>
              <w:jc w:val="center"/>
              <w:cnfStyle w:val="000000000000"/>
              <w:rPr>
                <w:sz w:val="16"/>
                <w:szCs w:val="16"/>
              </w:rPr>
            </w:pPr>
            <w:r w:rsidRPr="004F3C57">
              <w:rPr>
                <w:sz w:val="16"/>
                <w:szCs w:val="16"/>
              </w:rPr>
              <w:t>5 860 925 702 Ft</w:t>
            </w:r>
          </w:p>
        </w:tc>
        <w:tc>
          <w:tcPr>
            <w:tcW w:w="1310" w:type="dxa"/>
            <w:vAlign w:val="center"/>
          </w:tcPr>
          <w:p w:rsidR="00084397" w:rsidRPr="004F3C57" w:rsidRDefault="00084397" w:rsidP="00084397">
            <w:pPr>
              <w:jc w:val="center"/>
              <w:cnfStyle w:val="000000000000"/>
              <w:rPr>
                <w:sz w:val="16"/>
                <w:szCs w:val="16"/>
              </w:rPr>
            </w:pPr>
            <w:r w:rsidRPr="004F3C57">
              <w:rPr>
                <w:sz w:val="16"/>
                <w:szCs w:val="16"/>
              </w:rPr>
              <w:t>5 801 907 330 Ft</w:t>
            </w:r>
          </w:p>
        </w:tc>
        <w:tc>
          <w:tcPr>
            <w:tcW w:w="1310" w:type="dxa"/>
            <w:vAlign w:val="center"/>
          </w:tcPr>
          <w:p w:rsidR="00084397" w:rsidRPr="004F3C57" w:rsidRDefault="00084397" w:rsidP="00084397">
            <w:pPr>
              <w:jc w:val="center"/>
              <w:cnfStyle w:val="000000000000"/>
              <w:rPr>
                <w:sz w:val="16"/>
                <w:szCs w:val="16"/>
              </w:rPr>
            </w:pPr>
            <w:r w:rsidRPr="004F3C57">
              <w:rPr>
                <w:sz w:val="16"/>
                <w:szCs w:val="16"/>
              </w:rPr>
              <w:t>6 266 850 271 Ft</w:t>
            </w:r>
          </w:p>
        </w:tc>
        <w:tc>
          <w:tcPr>
            <w:tcW w:w="1310" w:type="dxa"/>
            <w:vAlign w:val="center"/>
          </w:tcPr>
          <w:p w:rsidR="00084397" w:rsidRPr="004F3C57" w:rsidRDefault="00084397" w:rsidP="00084397">
            <w:pPr>
              <w:jc w:val="center"/>
              <w:cnfStyle w:val="000000000000"/>
              <w:rPr>
                <w:sz w:val="16"/>
                <w:szCs w:val="16"/>
              </w:rPr>
            </w:pPr>
            <w:r w:rsidRPr="004F3C57">
              <w:rPr>
                <w:sz w:val="16"/>
                <w:szCs w:val="16"/>
              </w:rPr>
              <w:t>12 215 633 803 Ft</w:t>
            </w:r>
          </w:p>
        </w:tc>
      </w:tr>
      <w:tr w:rsidR="00084397" w:rsidRPr="006C6414" w:rsidTr="00084397">
        <w:trPr>
          <w:cnfStyle w:val="000000100000"/>
          <w:trHeight w:val="255"/>
          <w:jc w:val="center"/>
        </w:trPr>
        <w:tc>
          <w:tcPr>
            <w:cnfStyle w:val="001000000000"/>
            <w:tcW w:w="1520" w:type="dxa"/>
            <w:noWrap/>
            <w:hideMark/>
          </w:tcPr>
          <w:p w:rsidR="00084397" w:rsidRPr="004F3C57" w:rsidRDefault="00084397" w:rsidP="00084397">
            <w:pPr>
              <w:jc w:val="both"/>
              <w:rPr>
                <w:smallCaps/>
                <w:sz w:val="16"/>
                <w:szCs w:val="16"/>
              </w:rPr>
            </w:pPr>
            <w:r w:rsidRPr="004F3C57">
              <w:rPr>
                <w:smallCaps/>
                <w:sz w:val="16"/>
                <w:szCs w:val="16"/>
              </w:rPr>
              <w:t>Árajánlatos tét</w:t>
            </w:r>
            <w:r w:rsidRPr="004F3C57">
              <w:rPr>
                <w:smallCaps/>
                <w:sz w:val="16"/>
                <w:szCs w:val="16"/>
              </w:rPr>
              <w:t>e</w:t>
            </w:r>
            <w:r w:rsidRPr="004F3C57">
              <w:rPr>
                <w:smallCaps/>
                <w:sz w:val="16"/>
                <w:szCs w:val="16"/>
              </w:rPr>
              <w:t>lek</w:t>
            </w:r>
          </w:p>
        </w:tc>
        <w:tc>
          <w:tcPr>
            <w:tcW w:w="1309" w:type="dxa"/>
            <w:noWrap/>
            <w:vAlign w:val="center"/>
            <w:hideMark/>
          </w:tcPr>
          <w:p w:rsidR="00084397" w:rsidRPr="004F3C57" w:rsidRDefault="00084397" w:rsidP="00084397">
            <w:pPr>
              <w:jc w:val="center"/>
              <w:cnfStyle w:val="000000100000"/>
              <w:rPr>
                <w:sz w:val="16"/>
                <w:szCs w:val="16"/>
              </w:rPr>
            </w:pPr>
            <w:r w:rsidRPr="004F3C57">
              <w:rPr>
                <w:sz w:val="16"/>
                <w:szCs w:val="16"/>
              </w:rPr>
              <w:t>10 500 000 Ft</w:t>
            </w:r>
          </w:p>
        </w:tc>
        <w:tc>
          <w:tcPr>
            <w:tcW w:w="1310" w:type="dxa"/>
            <w:vAlign w:val="center"/>
          </w:tcPr>
          <w:p w:rsidR="00084397" w:rsidRPr="004F3C57" w:rsidRDefault="00084397" w:rsidP="00084397">
            <w:pPr>
              <w:jc w:val="center"/>
              <w:cnfStyle w:val="000000100000"/>
              <w:rPr>
                <w:sz w:val="16"/>
                <w:szCs w:val="16"/>
              </w:rPr>
            </w:pPr>
            <w:r w:rsidRPr="004F3C57">
              <w:rPr>
                <w:sz w:val="16"/>
                <w:szCs w:val="16"/>
              </w:rPr>
              <w:t>5 999 616 Ft</w:t>
            </w:r>
          </w:p>
        </w:tc>
        <w:tc>
          <w:tcPr>
            <w:tcW w:w="1310" w:type="dxa"/>
            <w:vAlign w:val="center"/>
          </w:tcPr>
          <w:p w:rsidR="00084397" w:rsidRPr="004F3C57" w:rsidRDefault="00084397" w:rsidP="00084397">
            <w:pPr>
              <w:jc w:val="center"/>
              <w:cnfStyle w:val="000000100000"/>
              <w:rPr>
                <w:sz w:val="16"/>
                <w:szCs w:val="16"/>
              </w:rPr>
            </w:pPr>
          </w:p>
        </w:tc>
        <w:tc>
          <w:tcPr>
            <w:tcW w:w="1310" w:type="dxa"/>
            <w:vAlign w:val="center"/>
          </w:tcPr>
          <w:p w:rsidR="00084397" w:rsidRPr="004F3C57" w:rsidRDefault="00084397" w:rsidP="00084397">
            <w:pPr>
              <w:jc w:val="center"/>
              <w:cnfStyle w:val="000000100000"/>
              <w:rPr>
                <w:sz w:val="16"/>
                <w:szCs w:val="16"/>
              </w:rPr>
            </w:pPr>
          </w:p>
        </w:tc>
        <w:tc>
          <w:tcPr>
            <w:tcW w:w="1310" w:type="dxa"/>
            <w:vAlign w:val="center"/>
          </w:tcPr>
          <w:p w:rsidR="00084397" w:rsidRPr="004F3C57" w:rsidRDefault="00084397" w:rsidP="00084397">
            <w:pPr>
              <w:jc w:val="center"/>
              <w:cnfStyle w:val="000000100000"/>
              <w:rPr>
                <w:sz w:val="16"/>
                <w:szCs w:val="16"/>
              </w:rPr>
            </w:pPr>
            <w:r w:rsidRPr="004F3C57">
              <w:rPr>
                <w:sz w:val="16"/>
                <w:szCs w:val="16"/>
              </w:rPr>
              <w:t>12 453 237 Ft</w:t>
            </w:r>
          </w:p>
        </w:tc>
        <w:tc>
          <w:tcPr>
            <w:tcW w:w="1310" w:type="dxa"/>
            <w:vAlign w:val="center"/>
          </w:tcPr>
          <w:p w:rsidR="00084397" w:rsidRPr="004F3C57" w:rsidRDefault="00084397" w:rsidP="00084397">
            <w:pPr>
              <w:jc w:val="center"/>
              <w:cnfStyle w:val="000000100000"/>
              <w:rPr>
                <w:sz w:val="16"/>
                <w:szCs w:val="16"/>
              </w:rPr>
            </w:pPr>
          </w:p>
        </w:tc>
      </w:tr>
      <w:tr w:rsidR="00084397" w:rsidRPr="006C6414" w:rsidTr="00084397">
        <w:trPr>
          <w:trHeight w:val="255"/>
          <w:jc w:val="center"/>
        </w:trPr>
        <w:tc>
          <w:tcPr>
            <w:cnfStyle w:val="001000000000"/>
            <w:tcW w:w="1520" w:type="dxa"/>
            <w:noWrap/>
            <w:hideMark/>
          </w:tcPr>
          <w:p w:rsidR="00084397" w:rsidRPr="004F3C57" w:rsidRDefault="00084397" w:rsidP="00084397">
            <w:pPr>
              <w:jc w:val="both"/>
              <w:rPr>
                <w:smallCaps/>
                <w:sz w:val="16"/>
                <w:szCs w:val="16"/>
              </w:rPr>
            </w:pPr>
            <w:r w:rsidRPr="004F3C57">
              <w:rPr>
                <w:smallCaps/>
                <w:sz w:val="16"/>
                <w:szCs w:val="16"/>
              </w:rPr>
              <w:t>Infrastruktúral</w:t>
            </w:r>
            <w:r w:rsidRPr="004F3C57">
              <w:rPr>
                <w:smallCaps/>
                <w:sz w:val="16"/>
                <w:szCs w:val="16"/>
              </w:rPr>
              <w:t>é</w:t>
            </w:r>
            <w:r w:rsidRPr="004F3C57">
              <w:rPr>
                <w:smallCaps/>
                <w:sz w:val="16"/>
                <w:szCs w:val="16"/>
              </w:rPr>
              <w:t>tesítés</w:t>
            </w:r>
          </w:p>
        </w:tc>
        <w:tc>
          <w:tcPr>
            <w:tcW w:w="1309" w:type="dxa"/>
            <w:noWrap/>
            <w:vAlign w:val="center"/>
            <w:hideMark/>
          </w:tcPr>
          <w:p w:rsidR="00084397" w:rsidRPr="004F3C57" w:rsidRDefault="00084397" w:rsidP="00084397">
            <w:pPr>
              <w:jc w:val="center"/>
              <w:cnfStyle w:val="000000000000"/>
              <w:rPr>
                <w:sz w:val="16"/>
                <w:szCs w:val="16"/>
              </w:rPr>
            </w:pPr>
          </w:p>
        </w:tc>
        <w:tc>
          <w:tcPr>
            <w:tcW w:w="1310" w:type="dxa"/>
            <w:vAlign w:val="center"/>
          </w:tcPr>
          <w:p w:rsidR="00084397" w:rsidRPr="004F3C57" w:rsidRDefault="00084397" w:rsidP="00084397">
            <w:pPr>
              <w:jc w:val="center"/>
              <w:cnfStyle w:val="000000000000"/>
              <w:rPr>
                <w:sz w:val="16"/>
                <w:szCs w:val="16"/>
              </w:rPr>
            </w:pPr>
          </w:p>
        </w:tc>
        <w:tc>
          <w:tcPr>
            <w:tcW w:w="1310" w:type="dxa"/>
            <w:vAlign w:val="center"/>
          </w:tcPr>
          <w:p w:rsidR="00084397" w:rsidRPr="004F3C57" w:rsidRDefault="00084397" w:rsidP="00084397">
            <w:pPr>
              <w:jc w:val="center"/>
              <w:cnfStyle w:val="000000000000"/>
              <w:rPr>
                <w:sz w:val="16"/>
                <w:szCs w:val="16"/>
              </w:rPr>
            </w:pPr>
          </w:p>
        </w:tc>
        <w:tc>
          <w:tcPr>
            <w:tcW w:w="1310" w:type="dxa"/>
            <w:vAlign w:val="center"/>
          </w:tcPr>
          <w:p w:rsidR="00084397" w:rsidRPr="004F3C57" w:rsidRDefault="00084397" w:rsidP="00084397">
            <w:pPr>
              <w:jc w:val="center"/>
              <w:cnfStyle w:val="000000000000"/>
              <w:rPr>
                <w:sz w:val="16"/>
                <w:szCs w:val="16"/>
              </w:rPr>
            </w:pPr>
            <w:r w:rsidRPr="004F3C57">
              <w:rPr>
                <w:sz w:val="16"/>
                <w:szCs w:val="16"/>
              </w:rPr>
              <w:t>1 183 530 759 Ft</w:t>
            </w:r>
          </w:p>
        </w:tc>
        <w:tc>
          <w:tcPr>
            <w:tcW w:w="1310" w:type="dxa"/>
            <w:vAlign w:val="center"/>
          </w:tcPr>
          <w:p w:rsidR="00084397" w:rsidRPr="004F3C57" w:rsidRDefault="00084397" w:rsidP="00084397">
            <w:pPr>
              <w:jc w:val="center"/>
              <w:cnfStyle w:val="000000000000"/>
              <w:rPr>
                <w:sz w:val="16"/>
                <w:szCs w:val="16"/>
              </w:rPr>
            </w:pPr>
          </w:p>
        </w:tc>
        <w:tc>
          <w:tcPr>
            <w:tcW w:w="1310" w:type="dxa"/>
            <w:vAlign w:val="center"/>
          </w:tcPr>
          <w:p w:rsidR="00084397" w:rsidRPr="004F3C57" w:rsidRDefault="00084397" w:rsidP="00084397">
            <w:pPr>
              <w:jc w:val="center"/>
              <w:cnfStyle w:val="000000000000"/>
              <w:rPr>
                <w:sz w:val="16"/>
                <w:szCs w:val="16"/>
              </w:rPr>
            </w:pPr>
          </w:p>
        </w:tc>
      </w:tr>
      <w:tr w:rsidR="00084397" w:rsidRPr="006C6414" w:rsidTr="00084397">
        <w:trPr>
          <w:cnfStyle w:val="000000100000"/>
          <w:trHeight w:val="255"/>
          <w:jc w:val="center"/>
        </w:trPr>
        <w:tc>
          <w:tcPr>
            <w:cnfStyle w:val="001000000000"/>
            <w:tcW w:w="1520" w:type="dxa"/>
            <w:noWrap/>
            <w:hideMark/>
          </w:tcPr>
          <w:p w:rsidR="00084397" w:rsidRPr="004F3C57" w:rsidRDefault="00084397" w:rsidP="00084397">
            <w:pPr>
              <w:jc w:val="both"/>
              <w:rPr>
                <w:smallCaps/>
                <w:sz w:val="16"/>
                <w:szCs w:val="16"/>
              </w:rPr>
            </w:pPr>
            <w:r w:rsidRPr="004F3C57">
              <w:rPr>
                <w:smallCaps/>
                <w:sz w:val="16"/>
                <w:szCs w:val="16"/>
              </w:rPr>
              <w:t>Létesítmény építése</w:t>
            </w:r>
          </w:p>
        </w:tc>
        <w:tc>
          <w:tcPr>
            <w:tcW w:w="1309" w:type="dxa"/>
            <w:noWrap/>
            <w:vAlign w:val="center"/>
            <w:hideMark/>
          </w:tcPr>
          <w:p w:rsidR="00084397" w:rsidRPr="004F3C57" w:rsidRDefault="00084397" w:rsidP="00084397">
            <w:pPr>
              <w:jc w:val="center"/>
              <w:cnfStyle w:val="000000100000"/>
              <w:rPr>
                <w:sz w:val="16"/>
                <w:szCs w:val="16"/>
              </w:rPr>
            </w:pPr>
          </w:p>
        </w:tc>
        <w:tc>
          <w:tcPr>
            <w:tcW w:w="1310" w:type="dxa"/>
            <w:vAlign w:val="center"/>
          </w:tcPr>
          <w:p w:rsidR="00084397" w:rsidRPr="004F3C57" w:rsidRDefault="00084397" w:rsidP="00084397">
            <w:pPr>
              <w:jc w:val="center"/>
              <w:cnfStyle w:val="000000100000"/>
              <w:rPr>
                <w:sz w:val="16"/>
                <w:szCs w:val="16"/>
              </w:rPr>
            </w:pPr>
          </w:p>
        </w:tc>
        <w:tc>
          <w:tcPr>
            <w:tcW w:w="1310" w:type="dxa"/>
            <w:vAlign w:val="center"/>
          </w:tcPr>
          <w:p w:rsidR="00084397" w:rsidRPr="004F3C57" w:rsidRDefault="00084397" w:rsidP="00084397">
            <w:pPr>
              <w:jc w:val="center"/>
              <w:cnfStyle w:val="000000100000"/>
              <w:rPr>
                <w:sz w:val="16"/>
                <w:szCs w:val="16"/>
              </w:rPr>
            </w:pPr>
          </w:p>
        </w:tc>
        <w:tc>
          <w:tcPr>
            <w:tcW w:w="1310" w:type="dxa"/>
            <w:vAlign w:val="center"/>
          </w:tcPr>
          <w:p w:rsidR="00084397" w:rsidRPr="004F3C57" w:rsidRDefault="00084397" w:rsidP="00084397">
            <w:pPr>
              <w:jc w:val="center"/>
              <w:cnfStyle w:val="000000100000"/>
              <w:rPr>
                <w:sz w:val="16"/>
                <w:szCs w:val="16"/>
              </w:rPr>
            </w:pPr>
            <w:r w:rsidRPr="004F3C57">
              <w:rPr>
                <w:sz w:val="16"/>
                <w:szCs w:val="16"/>
              </w:rPr>
              <w:t>8 675 000 Ft</w:t>
            </w:r>
          </w:p>
        </w:tc>
        <w:tc>
          <w:tcPr>
            <w:tcW w:w="1310" w:type="dxa"/>
            <w:vAlign w:val="center"/>
          </w:tcPr>
          <w:p w:rsidR="00084397" w:rsidRPr="004F3C57" w:rsidRDefault="00084397" w:rsidP="00084397">
            <w:pPr>
              <w:jc w:val="center"/>
              <w:cnfStyle w:val="000000100000"/>
              <w:rPr>
                <w:sz w:val="16"/>
                <w:szCs w:val="16"/>
              </w:rPr>
            </w:pPr>
          </w:p>
        </w:tc>
        <w:tc>
          <w:tcPr>
            <w:tcW w:w="1310" w:type="dxa"/>
            <w:vAlign w:val="center"/>
          </w:tcPr>
          <w:p w:rsidR="00084397" w:rsidRPr="004F3C57" w:rsidRDefault="00084397" w:rsidP="00084397">
            <w:pPr>
              <w:jc w:val="center"/>
              <w:cnfStyle w:val="000000100000"/>
              <w:rPr>
                <w:sz w:val="16"/>
                <w:szCs w:val="16"/>
              </w:rPr>
            </w:pPr>
          </w:p>
        </w:tc>
      </w:tr>
      <w:tr w:rsidR="00084397" w:rsidRPr="006C6414" w:rsidTr="00084397">
        <w:trPr>
          <w:trHeight w:val="255"/>
          <w:jc w:val="center"/>
        </w:trPr>
        <w:tc>
          <w:tcPr>
            <w:cnfStyle w:val="001000000000"/>
            <w:tcW w:w="1520" w:type="dxa"/>
            <w:noWrap/>
            <w:hideMark/>
          </w:tcPr>
          <w:p w:rsidR="00084397" w:rsidRPr="004F3C57" w:rsidRDefault="00084397" w:rsidP="00084397">
            <w:pPr>
              <w:jc w:val="both"/>
              <w:rPr>
                <w:smallCaps/>
                <w:sz w:val="16"/>
                <w:szCs w:val="16"/>
              </w:rPr>
            </w:pPr>
            <w:r w:rsidRPr="004F3C57">
              <w:rPr>
                <w:smallCaps/>
                <w:sz w:val="16"/>
                <w:szCs w:val="16"/>
              </w:rPr>
              <w:t>Speciális eszközök beszerzése</w:t>
            </w:r>
          </w:p>
        </w:tc>
        <w:tc>
          <w:tcPr>
            <w:tcW w:w="1309" w:type="dxa"/>
            <w:noWrap/>
            <w:vAlign w:val="center"/>
            <w:hideMark/>
          </w:tcPr>
          <w:p w:rsidR="00084397" w:rsidRPr="004F3C57" w:rsidRDefault="00084397" w:rsidP="00084397">
            <w:pPr>
              <w:jc w:val="center"/>
              <w:cnfStyle w:val="000000000000"/>
              <w:rPr>
                <w:sz w:val="16"/>
                <w:szCs w:val="16"/>
              </w:rPr>
            </w:pPr>
          </w:p>
        </w:tc>
        <w:tc>
          <w:tcPr>
            <w:tcW w:w="1310" w:type="dxa"/>
            <w:vAlign w:val="center"/>
          </w:tcPr>
          <w:p w:rsidR="00084397" w:rsidRPr="004F3C57" w:rsidRDefault="00084397" w:rsidP="00084397">
            <w:pPr>
              <w:jc w:val="center"/>
              <w:cnfStyle w:val="000000000000"/>
              <w:rPr>
                <w:sz w:val="16"/>
                <w:szCs w:val="16"/>
              </w:rPr>
            </w:pPr>
          </w:p>
        </w:tc>
        <w:tc>
          <w:tcPr>
            <w:tcW w:w="1310" w:type="dxa"/>
            <w:vAlign w:val="center"/>
          </w:tcPr>
          <w:p w:rsidR="00084397" w:rsidRPr="004F3C57" w:rsidRDefault="00084397" w:rsidP="00084397">
            <w:pPr>
              <w:jc w:val="center"/>
              <w:cnfStyle w:val="000000000000"/>
              <w:rPr>
                <w:sz w:val="16"/>
                <w:szCs w:val="16"/>
              </w:rPr>
            </w:pPr>
          </w:p>
        </w:tc>
        <w:tc>
          <w:tcPr>
            <w:tcW w:w="1310" w:type="dxa"/>
            <w:vAlign w:val="center"/>
          </w:tcPr>
          <w:p w:rsidR="00084397" w:rsidRPr="004F3C57" w:rsidRDefault="00084397" w:rsidP="00084397">
            <w:pPr>
              <w:jc w:val="center"/>
              <w:cnfStyle w:val="000000000000"/>
              <w:rPr>
                <w:sz w:val="16"/>
                <w:szCs w:val="16"/>
              </w:rPr>
            </w:pPr>
          </w:p>
        </w:tc>
        <w:tc>
          <w:tcPr>
            <w:tcW w:w="1310" w:type="dxa"/>
            <w:vAlign w:val="center"/>
          </w:tcPr>
          <w:p w:rsidR="00084397" w:rsidRPr="004F3C57" w:rsidRDefault="00084397" w:rsidP="00084397">
            <w:pPr>
              <w:jc w:val="center"/>
              <w:cnfStyle w:val="000000000000"/>
              <w:rPr>
                <w:sz w:val="16"/>
                <w:szCs w:val="16"/>
              </w:rPr>
            </w:pPr>
            <w:r w:rsidRPr="004F3C57">
              <w:rPr>
                <w:sz w:val="16"/>
                <w:szCs w:val="16"/>
              </w:rPr>
              <w:t>52 939 294 Ft</w:t>
            </w:r>
          </w:p>
        </w:tc>
        <w:tc>
          <w:tcPr>
            <w:tcW w:w="1310" w:type="dxa"/>
            <w:vAlign w:val="center"/>
          </w:tcPr>
          <w:p w:rsidR="00084397" w:rsidRPr="004F3C57" w:rsidRDefault="00084397" w:rsidP="00084397">
            <w:pPr>
              <w:jc w:val="center"/>
              <w:cnfStyle w:val="000000000000"/>
              <w:rPr>
                <w:sz w:val="16"/>
                <w:szCs w:val="16"/>
              </w:rPr>
            </w:pPr>
            <w:r w:rsidRPr="004F3C57">
              <w:rPr>
                <w:sz w:val="16"/>
                <w:szCs w:val="16"/>
              </w:rPr>
              <w:t>491 260 640 Ft</w:t>
            </w:r>
          </w:p>
        </w:tc>
      </w:tr>
      <w:tr w:rsidR="00084397" w:rsidRPr="006C6414" w:rsidTr="00084397">
        <w:trPr>
          <w:cnfStyle w:val="000000100000"/>
          <w:trHeight w:val="255"/>
          <w:jc w:val="center"/>
        </w:trPr>
        <w:tc>
          <w:tcPr>
            <w:cnfStyle w:val="001000000000"/>
            <w:tcW w:w="1520" w:type="dxa"/>
            <w:noWrap/>
            <w:hideMark/>
          </w:tcPr>
          <w:p w:rsidR="00084397" w:rsidRPr="004F3C57" w:rsidRDefault="00084397" w:rsidP="00084397">
            <w:pPr>
              <w:jc w:val="both"/>
              <w:rPr>
                <w:smallCaps/>
                <w:sz w:val="16"/>
                <w:szCs w:val="16"/>
              </w:rPr>
            </w:pPr>
            <w:r w:rsidRPr="004F3C57">
              <w:rPr>
                <w:smallCaps/>
                <w:sz w:val="16"/>
                <w:szCs w:val="16"/>
              </w:rPr>
              <w:t>Egyéb beszerzések</w:t>
            </w:r>
          </w:p>
        </w:tc>
        <w:tc>
          <w:tcPr>
            <w:tcW w:w="1309" w:type="dxa"/>
            <w:noWrap/>
            <w:vAlign w:val="center"/>
            <w:hideMark/>
          </w:tcPr>
          <w:p w:rsidR="00084397" w:rsidRPr="004F3C57" w:rsidRDefault="00084397" w:rsidP="00084397">
            <w:pPr>
              <w:jc w:val="center"/>
              <w:cnfStyle w:val="000000100000"/>
              <w:rPr>
                <w:rFonts w:ascii="Calibri" w:hAnsi="Calibri"/>
                <w:color w:val="000000"/>
                <w:sz w:val="16"/>
                <w:szCs w:val="16"/>
              </w:rPr>
            </w:pPr>
            <w:r w:rsidRPr="004F3C57">
              <w:rPr>
                <w:sz w:val="16"/>
                <w:szCs w:val="16"/>
              </w:rPr>
              <w:t>520 338 834 Ft</w:t>
            </w:r>
          </w:p>
        </w:tc>
        <w:tc>
          <w:tcPr>
            <w:tcW w:w="1310" w:type="dxa"/>
            <w:vAlign w:val="center"/>
          </w:tcPr>
          <w:p w:rsidR="00084397" w:rsidRPr="004F3C57" w:rsidRDefault="00084397" w:rsidP="00084397">
            <w:pPr>
              <w:jc w:val="center"/>
              <w:cnfStyle w:val="000000100000"/>
              <w:rPr>
                <w:sz w:val="16"/>
                <w:szCs w:val="16"/>
              </w:rPr>
            </w:pPr>
            <w:r w:rsidRPr="004F3C57">
              <w:rPr>
                <w:sz w:val="16"/>
                <w:szCs w:val="16"/>
              </w:rPr>
              <w:t>693 974 729 Ft</w:t>
            </w:r>
          </w:p>
        </w:tc>
        <w:tc>
          <w:tcPr>
            <w:tcW w:w="1310" w:type="dxa"/>
            <w:vAlign w:val="center"/>
          </w:tcPr>
          <w:p w:rsidR="00084397" w:rsidRPr="004F3C57" w:rsidRDefault="00084397" w:rsidP="00084397">
            <w:pPr>
              <w:jc w:val="center"/>
              <w:cnfStyle w:val="000000100000"/>
              <w:rPr>
                <w:sz w:val="16"/>
                <w:szCs w:val="16"/>
              </w:rPr>
            </w:pPr>
            <w:r w:rsidRPr="004F3C57">
              <w:rPr>
                <w:sz w:val="16"/>
                <w:szCs w:val="16"/>
              </w:rPr>
              <w:t>605 268 234 Ft</w:t>
            </w:r>
          </w:p>
        </w:tc>
        <w:tc>
          <w:tcPr>
            <w:tcW w:w="1310" w:type="dxa"/>
            <w:vAlign w:val="center"/>
          </w:tcPr>
          <w:p w:rsidR="00084397" w:rsidRPr="004F3C57" w:rsidRDefault="00084397" w:rsidP="00084397">
            <w:pPr>
              <w:jc w:val="center"/>
              <w:cnfStyle w:val="000000100000"/>
              <w:rPr>
                <w:sz w:val="16"/>
                <w:szCs w:val="16"/>
              </w:rPr>
            </w:pPr>
            <w:r w:rsidRPr="004F3C57">
              <w:rPr>
                <w:sz w:val="16"/>
                <w:szCs w:val="16"/>
              </w:rPr>
              <w:t>1 910 037 345 Ft</w:t>
            </w:r>
          </w:p>
        </w:tc>
        <w:tc>
          <w:tcPr>
            <w:tcW w:w="1310" w:type="dxa"/>
            <w:vAlign w:val="center"/>
          </w:tcPr>
          <w:p w:rsidR="00084397" w:rsidRPr="004F3C57" w:rsidRDefault="00084397" w:rsidP="00084397">
            <w:pPr>
              <w:jc w:val="center"/>
              <w:cnfStyle w:val="000000100000"/>
              <w:rPr>
                <w:sz w:val="16"/>
                <w:szCs w:val="16"/>
              </w:rPr>
            </w:pPr>
            <w:r w:rsidRPr="004F3C57">
              <w:rPr>
                <w:sz w:val="16"/>
                <w:szCs w:val="16"/>
              </w:rPr>
              <w:t>648 185 736 Ft</w:t>
            </w:r>
          </w:p>
        </w:tc>
        <w:tc>
          <w:tcPr>
            <w:tcW w:w="1310" w:type="dxa"/>
            <w:vAlign w:val="center"/>
          </w:tcPr>
          <w:p w:rsidR="00084397" w:rsidRPr="004F3C57" w:rsidRDefault="00084397" w:rsidP="00084397">
            <w:pPr>
              <w:jc w:val="center"/>
              <w:cnfStyle w:val="000000100000"/>
              <w:rPr>
                <w:sz w:val="16"/>
                <w:szCs w:val="16"/>
              </w:rPr>
            </w:pPr>
            <w:r w:rsidRPr="004F3C57">
              <w:rPr>
                <w:sz w:val="16"/>
                <w:szCs w:val="16"/>
              </w:rPr>
              <w:t>1 243 255 435 Ft</w:t>
            </w:r>
          </w:p>
        </w:tc>
      </w:tr>
      <w:tr w:rsidR="00084397" w:rsidRPr="006C6414" w:rsidTr="00084397">
        <w:trPr>
          <w:trHeight w:val="270"/>
          <w:jc w:val="center"/>
        </w:trPr>
        <w:tc>
          <w:tcPr>
            <w:cnfStyle w:val="001000000000"/>
            <w:tcW w:w="1520" w:type="dxa"/>
            <w:noWrap/>
            <w:hideMark/>
          </w:tcPr>
          <w:p w:rsidR="00084397" w:rsidRPr="004F3C57" w:rsidRDefault="00084397" w:rsidP="00084397">
            <w:pPr>
              <w:jc w:val="both"/>
              <w:rPr>
                <w:smallCaps/>
                <w:sz w:val="16"/>
                <w:szCs w:val="16"/>
              </w:rPr>
            </w:pPr>
            <w:r w:rsidRPr="004F3C57">
              <w:rPr>
                <w:smallCaps/>
                <w:sz w:val="16"/>
                <w:szCs w:val="16"/>
              </w:rPr>
              <w:t>N/</w:t>
            </w:r>
            <w:proofErr w:type="gramStart"/>
            <w:r w:rsidRPr="004F3C57">
              <w:rPr>
                <w:smallCaps/>
                <w:sz w:val="16"/>
                <w:szCs w:val="16"/>
              </w:rPr>
              <w:t>A</w:t>
            </w:r>
            <w:proofErr w:type="gramEnd"/>
          </w:p>
        </w:tc>
        <w:tc>
          <w:tcPr>
            <w:tcW w:w="1309" w:type="dxa"/>
            <w:noWrap/>
            <w:vAlign w:val="center"/>
            <w:hideMark/>
          </w:tcPr>
          <w:p w:rsidR="00084397" w:rsidRPr="004F3C57" w:rsidRDefault="00084397" w:rsidP="00084397">
            <w:pPr>
              <w:jc w:val="center"/>
              <w:cnfStyle w:val="000000000000"/>
              <w:rPr>
                <w:sz w:val="16"/>
                <w:szCs w:val="16"/>
              </w:rPr>
            </w:pPr>
            <w:r w:rsidRPr="004F3C57">
              <w:rPr>
                <w:sz w:val="16"/>
                <w:szCs w:val="16"/>
              </w:rPr>
              <w:t>667 500 Ft</w:t>
            </w:r>
          </w:p>
        </w:tc>
        <w:tc>
          <w:tcPr>
            <w:tcW w:w="1310" w:type="dxa"/>
            <w:vAlign w:val="center"/>
          </w:tcPr>
          <w:p w:rsidR="00084397" w:rsidRPr="004F3C57" w:rsidRDefault="00084397" w:rsidP="00084397">
            <w:pPr>
              <w:jc w:val="center"/>
              <w:cnfStyle w:val="000000000000"/>
              <w:rPr>
                <w:sz w:val="16"/>
                <w:szCs w:val="16"/>
              </w:rPr>
            </w:pPr>
          </w:p>
        </w:tc>
        <w:tc>
          <w:tcPr>
            <w:tcW w:w="1310" w:type="dxa"/>
            <w:vAlign w:val="center"/>
          </w:tcPr>
          <w:p w:rsidR="00084397" w:rsidRPr="004F3C57" w:rsidRDefault="00084397" w:rsidP="00084397">
            <w:pPr>
              <w:jc w:val="center"/>
              <w:cnfStyle w:val="000000000000"/>
              <w:rPr>
                <w:sz w:val="16"/>
                <w:szCs w:val="16"/>
              </w:rPr>
            </w:pPr>
          </w:p>
        </w:tc>
        <w:tc>
          <w:tcPr>
            <w:tcW w:w="1310" w:type="dxa"/>
            <w:vAlign w:val="center"/>
          </w:tcPr>
          <w:p w:rsidR="00084397" w:rsidRPr="004F3C57" w:rsidRDefault="00084397" w:rsidP="00084397">
            <w:pPr>
              <w:jc w:val="center"/>
              <w:cnfStyle w:val="000000000000"/>
              <w:rPr>
                <w:sz w:val="16"/>
                <w:szCs w:val="16"/>
              </w:rPr>
            </w:pPr>
            <w:r w:rsidRPr="004F3C57">
              <w:rPr>
                <w:sz w:val="16"/>
                <w:szCs w:val="16"/>
              </w:rPr>
              <w:t>1 035 138 Ft</w:t>
            </w:r>
          </w:p>
        </w:tc>
        <w:tc>
          <w:tcPr>
            <w:tcW w:w="1310" w:type="dxa"/>
            <w:vAlign w:val="center"/>
          </w:tcPr>
          <w:p w:rsidR="00084397" w:rsidRPr="004F3C57" w:rsidRDefault="00084397" w:rsidP="00084397">
            <w:pPr>
              <w:jc w:val="center"/>
              <w:cnfStyle w:val="000000000000"/>
              <w:rPr>
                <w:sz w:val="16"/>
                <w:szCs w:val="16"/>
              </w:rPr>
            </w:pPr>
            <w:r w:rsidRPr="004F3C57">
              <w:rPr>
                <w:sz w:val="16"/>
                <w:szCs w:val="16"/>
              </w:rPr>
              <w:t>20 479 560 Ft</w:t>
            </w:r>
          </w:p>
        </w:tc>
        <w:tc>
          <w:tcPr>
            <w:tcW w:w="1310" w:type="dxa"/>
            <w:vAlign w:val="center"/>
          </w:tcPr>
          <w:p w:rsidR="00084397" w:rsidRPr="004F3C57" w:rsidRDefault="00084397" w:rsidP="00084397">
            <w:pPr>
              <w:jc w:val="center"/>
              <w:cnfStyle w:val="000000000000"/>
              <w:rPr>
                <w:sz w:val="16"/>
                <w:szCs w:val="16"/>
              </w:rPr>
            </w:pPr>
            <w:r w:rsidRPr="004F3C57">
              <w:rPr>
                <w:sz w:val="16"/>
                <w:szCs w:val="16"/>
              </w:rPr>
              <w:t>47 735 211 Ft</w:t>
            </w:r>
          </w:p>
        </w:tc>
      </w:tr>
      <w:tr w:rsidR="00084397" w:rsidRPr="006C6414" w:rsidTr="00084397">
        <w:trPr>
          <w:cnfStyle w:val="000000100000"/>
          <w:trHeight w:val="270"/>
          <w:jc w:val="center"/>
        </w:trPr>
        <w:tc>
          <w:tcPr>
            <w:cnfStyle w:val="001000000000"/>
            <w:tcW w:w="1520" w:type="dxa"/>
            <w:noWrap/>
            <w:hideMark/>
          </w:tcPr>
          <w:p w:rsidR="00084397" w:rsidRPr="004F3C57" w:rsidRDefault="00084397" w:rsidP="00084397">
            <w:pPr>
              <w:jc w:val="both"/>
              <w:rPr>
                <w:smallCaps/>
                <w:sz w:val="16"/>
                <w:szCs w:val="16"/>
              </w:rPr>
            </w:pPr>
            <w:r w:rsidRPr="004F3C57">
              <w:rPr>
                <w:smallCaps/>
                <w:sz w:val="16"/>
                <w:szCs w:val="16"/>
              </w:rPr>
              <w:t>Összesen</w:t>
            </w:r>
          </w:p>
        </w:tc>
        <w:tc>
          <w:tcPr>
            <w:tcW w:w="1309" w:type="dxa"/>
            <w:noWrap/>
            <w:vAlign w:val="center"/>
            <w:hideMark/>
          </w:tcPr>
          <w:p w:rsidR="00084397" w:rsidRPr="004F3C57" w:rsidRDefault="00084397" w:rsidP="00084397">
            <w:pPr>
              <w:keepNext/>
              <w:jc w:val="center"/>
              <w:cnfStyle w:val="000000100000"/>
              <w:rPr>
                <w:b/>
                <w:bCs/>
                <w:sz w:val="16"/>
                <w:szCs w:val="16"/>
              </w:rPr>
            </w:pPr>
            <w:r w:rsidRPr="004F3C57">
              <w:rPr>
                <w:b/>
                <w:bCs/>
                <w:sz w:val="16"/>
                <w:szCs w:val="16"/>
              </w:rPr>
              <w:t>76 526 536 681 Ft</w:t>
            </w:r>
          </w:p>
        </w:tc>
        <w:tc>
          <w:tcPr>
            <w:tcW w:w="1310" w:type="dxa"/>
            <w:vAlign w:val="center"/>
          </w:tcPr>
          <w:p w:rsidR="00084397" w:rsidRPr="004F3C57" w:rsidRDefault="00084397" w:rsidP="00084397">
            <w:pPr>
              <w:keepNext/>
              <w:jc w:val="center"/>
              <w:cnfStyle w:val="000000100000"/>
              <w:rPr>
                <w:b/>
                <w:bCs/>
                <w:sz w:val="16"/>
                <w:szCs w:val="16"/>
              </w:rPr>
            </w:pPr>
            <w:r w:rsidRPr="004F3C57">
              <w:rPr>
                <w:b/>
                <w:bCs/>
                <w:sz w:val="16"/>
                <w:szCs w:val="16"/>
              </w:rPr>
              <w:t>12 576 771 111 Ft</w:t>
            </w:r>
          </w:p>
        </w:tc>
        <w:tc>
          <w:tcPr>
            <w:tcW w:w="1310" w:type="dxa"/>
            <w:vAlign w:val="center"/>
          </w:tcPr>
          <w:p w:rsidR="00084397" w:rsidRPr="004F3C57" w:rsidRDefault="00084397" w:rsidP="00084397">
            <w:pPr>
              <w:keepNext/>
              <w:jc w:val="center"/>
              <w:cnfStyle w:val="000000100000"/>
              <w:rPr>
                <w:b/>
                <w:bCs/>
                <w:sz w:val="16"/>
                <w:szCs w:val="16"/>
              </w:rPr>
            </w:pPr>
            <w:r w:rsidRPr="004F3C57">
              <w:rPr>
                <w:b/>
                <w:bCs/>
                <w:sz w:val="16"/>
                <w:szCs w:val="16"/>
              </w:rPr>
              <w:t>8 156 911 322 Ft</w:t>
            </w:r>
          </w:p>
        </w:tc>
        <w:tc>
          <w:tcPr>
            <w:tcW w:w="1310" w:type="dxa"/>
            <w:vAlign w:val="center"/>
          </w:tcPr>
          <w:p w:rsidR="00084397" w:rsidRPr="004F3C57" w:rsidRDefault="00084397" w:rsidP="00084397">
            <w:pPr>
              <w:keepNext/>
              <w:jc w:val="center"/>
              <w:cnfStyle w:val="000000100000"/>
              <w:rPr>
                <w:b/>
                <w:bCs/>
                <w:sz w:val="16"/>
                <w:szCs w:val="16"/>
              </w:rPr>
            </w:pPr>
            <w:r w:rsidRPr="004F3C57">
              <w:rPr>
                <w:b/>
                <w:bCs/>
                <w:sz w:val="16"/>
                <w:szCs w:val="16"/>
              </w:rPr>
              <w:t>30 235 113 606 Ft</w:t>
            </w:r>
          </w:p>
        </w:tc>
        <w:tc>
          <w:tcPr>
            <w:tcW w:w="1310" w:type="dxa"/>
            <w:vAlign w:val="center"/>
          </w:tcPr>
          <w:p w:rsidR="00084397" w:rsidRPr="004F3C57" w:rsidRDefault="00084397" w:rsidP="00084397">
            <w:pPr>
              <w:keepNext/>
              <w:jc w:val="center"/>
              <w:cnfStyle w:val="000000100000"/>
              <w:rPr>
                <w:b/>
                <w:bCs/>
                <w:sz w:val="16"/>
                <w:szCs w:val="16"/>
              </w:rPr>
            </w:pPr>
            <w:r w:rsidRPr="004F3C57">
              <w:rPr>
                <w:b/>
                <w:bCs/>
                <w:sz w:val="16"/>
                <w:szCs w:val="16"/>
              </w:rPr>
              <w:t>8 453 097 911 Ft</w:t>
            </w:r>
          </w:p>
        </w:tc>
        <w:tc>
          <w:tcPr>
            <w:tcW w:w="1310" w:type="dxa"/>
            <w:vAlign w:val="center"/>
          </w:tcPr>
          <w:p w:rsidR="00084397" w:rsidRPr="004F3C57" w:rsidRDefault="00084397" w:rsidP="00084397">
            <w:pPr>
              <w:keepNext/>
              <w:jc w:val="center"/>
              <w:cnfStyle w:val="000000100000"/>
              <w:rPr>
                <w:b/>
                <w:bCs/>
                <w:sz w:val="16"/>
                <w:szCs w:val="16"/>
              </w:rPr>
            </w:pPr>
            <w:r w:rsidRPr="004F3C57">
              <w:rPr>
                <w:b/>
                <w:bCs/>
                <w:sz w:val="16"/>
                <w:szCs w:val="16"/>
              </w:rPr>
              <w:t>12 806 133 843 Ft</w:t>
            </w:r>
          </w:p>
        </w:tc>
      </w:tr>
    </w:tbl>
    <w:bookmarkStart w:id="172" w:name="_Ref277517176"/>
    <w:bookmarkStart w:id="173" w:name="_Ref277517160"/>
    <w:p w:rsidR="00084397" w:rsidRDefault="003F44DC" w:rsidP="00084397">
      <w:pPr>
        <w:pStyle w:val="Caption"/>
        <w:spacing w:before="240"/>
        <w:jc w:val="center"/>
        <w:rPr>
          <w:color w:val="auto"/>
        </w:rPr>
      </w:pPr>
      <w:r>
        <w:rPr>
          <w:color w:val="auto"/>
        </w:rPr>
        <w:fldChar w:fldCharType="begin"/>
      </w:r>
      <w:r w:rsidR="00084397">
        <w:rPr>
          <w:color w:val="auto"/>
        </w:rPr>
        <w:instrText xml:space="preserve"> SEQ táblázat \* ARABIC </w:instrText>
      </w:r>
      <w:r>
        <w:rPr>
          <w:color w:val="auto"/>
        </w:rPr>
        <w:fldChar w:fldCharType="separate"/>
      </w:r>
      <w:r w:rsidR="002D1B7A">
        <w:rPr>
          <w:noProof/>
          <w:color w:val="auto"/>
        </w:rPr>
        <w:t>23</w:t>
      </w:r>
      <w:r>
        <w:rPr>
          <w:color w:val="auto"/>
        </w:rPr>
        <w:fldChar w:fldCharType="end"/>
      </w:r>
      <w:r w:rsidR="00084397" w:rsidRPr="004C478E">
        <w:rPr>
          <w:color w:val="auto"/>
        </w:rPr>
        <w:t>. táblázat</w:t>
      </w:r>
      <w:bookmarkEnd w:id="172"/>
      <w:r w:rsidR="00084397">
        <w:rPr>
          <w:color w:val="auto"/>
        </w:rPr>
        <w:t>: Kiadási tétel főcsoportok</w:t>
      </w:r>
      <w:bookmarkEnd w:id="173"/>
    </w:p>
    <w:p w:rsidR="00084397" w:rsidRDefault="00084397" w:rsidP="00084397">
      <w:pPr>
        <w:pStyle w:val="HUNNormal"/>
      </w:pPr>
      <w:r>
        <w:t>Megjegyzendő, hogy a fenti táblázatban szereplő összegek nem a támogatási kérelemben szereplő elsz</w:t>
      </w:r>
      <w:r>
        <w:t>á</w:t>
      </w:r>
      <w:r>
        <w:t xml:space="preserve">molható kiadásokat mutatják, hanem a megítélt támogatási összegek költségszerkezeti arányokkal súlyozott </w:t>
      </w:r>
      <w:proofErr w:type="gramStart"/>
      <w:r>
        <w:t>értékét</w:t>
      </w:r>
      <w:r>
        <w:rPr>
          <w:rStyle w:val="FootnoteReference"/>
        </w:rPr>
        <w:footnoteReference w:id="33"/>
      </w:r>
      <w:r>
        <w:t>.</w:t>
      </w:r>
      <w:proofErr w:type="gramEnd"/>
    </w:p>
    <w:p w:rsidR="00084397" w:rsidRDefault="00084397" w:rsidP="00084397">
      <w:pPr>
        <w:pStyle w:val="HUNNormal"/>
      </w:pPr>
    </w:p>
    <w:p w:rsidR="00084397" w:rsidRDefault="00084397" w:rsidP="00084397">
      <w:pPr>
        <w:jc w:val="both"/>
      </w:pPr>
      <w:r>
        <w:t xml:space="preserve">A </w:t>
      </w:r>
      <w:r w:rsidRPr="00D74201">
        <w:rPr>
          <w:b/>
          <w:u w:val="single"/>
        </w:rPr>
        <w:t>G</w:t>
      </w:r>
      <w:r w:rsidRPr="00454BDA">
        <w:rPr>
          <w:b/>
          <w:u w:val="single"/>
        </w:rPr>
        <w:t>épbeszerzés</w:t>
      </w:r>
      <w:r>
        <w:t xml:space="preserve"> jogcím esetében megvizsgáltuk, a megítélt támogatási összegekből hogyan részesültek az egyes gépcsoportok: a Gépkatalógus 2. szintje</w:t>
      </w:r>
      <w:r>
        <w:rPr>
          <w:rStyle w:val="FootnoteReference"/>
        </w:rPr>
        <w:footnoteReference w:id="34"/>
      </w:r>
      <w:r>
        <w:t xml:space="preserve"> alapján kiválasztottuk a 7 legnagyobb kiadási tételt, melyek az összkiadás 81%-t tették ki. A kapott eredményeket a következő táblázat tartalmazza, a gazdaságok </w:t>
      </w:r>
      <w:proofErr w:type="spellStart"/>
      <w:r>
        <w:t>SFH-összeg</w:t>
      </w:r>
      <w:proofErr w:type="spellEnd"/>
      <w:r>
        <w:t xml:space="preserve"> alapján számított méretbeli bontása szerint. Megjegyzendő, hogy ebben az esetben is – hasonlóan az </w:t>
      </w:r>
      <w:r>
        <w:lastRenderedPageBreak/>
        <w:t>ÁTK előbb bemutatott elemzéséhez – a költségszerkezeti arányokkal súlyozott megítélt támogatási összeg</w:t>
      </w:r>
      <w:r>
        <w:t>e</w:t>
      </w:r>
      <w:r>
        <w:t>ket vettük alapul.</w:t>
      </w:r>
    </w:p>
    <w:tbl>
      <w:tblPr>
        <w:tblStyle w:val="MediumGrid3-Accent2"/>
        <w:tblW w:w="0" w:type="auto"/>
        <w:jc w:val="center"/>
        <w:tblLook w:val="04A0"/>
      </w:tblPr>
      <w:tblGrid>
        <w:gridCol w:w="1384"/>
        <w:gridCol w:w="1599"/>
        <w:gridCol w:w="1599"/>
        <w:gridCol w:w="1599"/>
        <w:gridCol w:w="1599"/>
        <w:gridCol w:w="1599"/>
      </w:tblGrid>
      <w:tr w:rsidR="00084397" w:rsidRPr="000C51D5" w:rsidTr="00084397">
        <w:trPr>
          <w:cnfStyle w:val="100000000000"/>
          <w:tblHeader/>
          <w:jc w:val="center"/>
        </w:trPr>
        <w:tc>
          <w:tcPr>
            <w:cnfStyle w:val="001000000000"/>
            <w:tcW w:w="1384" w:type="dxa"/>
            <w:vAlign w:val="center"/>
          </w:tcPr>
          <w:p w:rsidR="00084397" w:rsidRPr="000C51D5" w:rsidRDefault="00084397" w:rsidP="00084397">
            <w:pPr>
              <w:widowControl w:val="0"/>
              <w:autoSpaceDE w:val="0"/>
              <w:autoSpaceDN w:val="0"/>
              <w:adjustRightInd w:val="0"/>
              <w:jc w:val="center"/>
              <w:rPr>
                <w:sz w:val="18"/>
                <w:szCs w:val="18"/>
              </w:rPr>
            </w:pPr>
            <w:r w:rsidRPr="000C51D5">
              <w:rPr>
                <w:sz w:val="18"/>
                <w:szCs w:val="18"/>
              </w:rPr>
              <w:t>Gépcsoport</w:t>
            </w:r>
          </w:p>
        </w:tc>
        <w:tc>
          <w:tcPr>
            <w:tcW w:w="1599" w:type="dxa"/>
            <w:vAlign w:val="center"/>
          </w:tcPr>
          <w:p w:rsidR="00084397" w:rsidRPr="000C51D5" w:rsidRDefault="00084397" w:rsidP="00084397">
            <w:pPr>
              <w:widowControl w:val="0"/>
              <w:autoSpaceDE w:val="0"/>
              <w:autoSpaceDN w:val="0"/>
              <w:adjustRightInd w:val="0"/>
              <w:jc w:val="center"/>
              <w:cnfStyle w:val="100000000000"/>
              <w:rPr>
                <w:sz w:val="18"/>
                <w:szCs w:val="18"/>
              </w:rPr>
            </w:pPr>
            <w:r>
              <w:rPr>
                <w:sz w:val="18"/>
                <w:szCs w:val="18"/>
              </w:rPr>
              <w:t>Mikro gazdálkodó</w:t>
            </w:r>
          </w:p>
        </w:tc>
        <w:tc>
          <w:tcPr>
            <w:tcW w:w="1599" w:type="dxa"/>
            <w:vAlign w:val="center"/>
          </w:tcPr>
          <w:p w:rsidR="00084397" w:rsidRPr="000C51D5" w:rsidRDefault="00084397" w:rsidP="00084397">
            <w:pPr>
              <w:widowControl w:val="0"/>
              <w:autoSpaceDE w:val="0"/>
              <w:autoSpaceDN w:val="0"/>
              <w:adjustRightInd w:val="0"/>
              <w:jc w:val="center"/>
              <w:cnfStyle w:val="100000000000"/>
              <w:rPr>
                <w:sz w:val="18"/>
                <w:szCs w:val="18"/>
              </w:rPr>
            </w:pPr>
            <w:r>
              <w:rPr>
                <w:sz w:val="18"/>
                <w:szCs w:val="18"/>
              </w:rPr>
              <w:t>Kis gazdálkodó</w:t>
            </w:r>
          </w:p>
        </w:tc>
        <w:tc>
          <w:tcPr>
            <w:tcW w:w="1599" w:type="dxa"/>
            <w:vAlign w:val="center"/>
          </w:tcPr>
          <w:p w:rsidR="00084397" w:rsidRPr="000C51D5" w:rsidRDefault="00084397" w:rsidP="00084397">
            <w:pPr>
              <w:widowControl w:val="0"/>
              <w:autoSpaceDE w:val="0"/>
              <w:autoSpaceDN w:val="0"/>
              <w:adjustRightInd w:val="0"/>
              <w:jc w:val="center"/>
              <w:cnfStyle w:val="100000000000"/>
              <w:rPr>
                <w:sz w:val="18"/>
                <w:szCs w:val="18"/>
              </w:rPr>
            </w:pPr>
            <w:r>
              <w:rPr>
                <w:sz w:val="18"/>
                <w:szCs w:val="18"/>
              </w:rPr>
              <w:t>Középgazdálkodó</w:t>
            </w:r>
          </w:p>
        </w:tc>
        <w:tc>
          <w:tcPr>
            <w:tcW w:w="1599" w:type="dxa"/>
            <w:vAlign w:val="center"/>
          </w:tcPr>
          <w:p w:rsidR="00084397" w:rsidRPr="000C51D5" w:rsidRDefault="00084397" w:rsidP="00084397">
            <w:pPr>
              <w:widowControl w:val="0"/>
              <w:autoSpaceDE w:val="0"/>
              <w:autoSpaceDN w:val="0"/>
              <w:adjustRightInd w:val="0"/>
              <w:jc w:val="center"/>
              <w:cnfStyle w:val="100000000000"/>
              <w:rPr>
                <w:sz w:val="18"/>
                <w:szCs w:val="18"/>
              </w:rPr>
            </w:pPr>
            <w:r>
              <w:rPr>
                <w:sz w:val="18"/>
                <w:szCs w:val="18"/>
              </w:rPr>
              <w:t>Nagy gazdálkodó</w:t>
            </w:r>
          </w:p>
        </w:tc>
        <w:tc>
          <w:tcPr>
            <w:tcW w:w="1599" w:type="dxa"/>
            <w:vAlign w:val="center"/>
          </w:tcPr>
          <w:p w:rsidR="00084397" w:rsidRPr="000C51D5" w:rsidRDefault="00084397" w:rsidP="00084397">
            <w:pPr>
              <w:widowControl w:val="0"/>
              <w:autoSpaceDE w:val="0"/>
              <w:autoSpaceDN w:val="0"/>
              <w:adjustRightInd w:val="0"/>
              <w:jc w:val="center"/>
              <w:cnfStyle w:val="100000000000"/>
              <w:rPr>
                <w:sz w:val="18"/>
                <w:szCs w:val="18"/>
              </w:rPr>
            </w:pPr>
            <w:r w:rsidRPr="000C51D5">
              <w:rPr>
                <w:sz w:val="18"/>
                <w:szCs w:val="18"/>
              </w:rPr>
              <w:t>Összesen</w:t>
            </w:r>
          </w:p>
        </w:tc>
      </w:tr>
      <w:tr w:rsidR="00084397" w:rsidRPr="000C51D5" w:rsidTr="00084397">
        <w:trPr>
          <w:cnfStyle w:val="000000100000"/>
          <w:jc w:val="center"/>
        </w:trPr>
        <w:tc>
          <w:tcPr>
            <w:cnfStyle w:val="001000000000"/>
            <w:tcW w:w="1384" w:type="dxa"/>
            <w:vAlign w:val="center"/>
          </w:tcPr>
          <w:p w:rsidR="00084397" w:rsidRPr="000C51D5" w:rsidRDefault="00084397" w:rsidP="00084397">
            <w:pPr>
              <w:widowControl w:val="0"/>
              <w:autoSpaceDE w:val="0"/>
              <w:autoSpaceDN w:val="0"/>
              <w:adjustRightInd w:val="0"/>
              <w:jc w:val="center"/>
              <w:rPr>
                <w:b w:val="0"/>
                <w:sz w:val="18"/>
                <w:szCs w:val="18"/>
              </w:rPr>
            </w:pPr>
            <w:r w:rsidRPr="000C51D5">
              <w:rPr>
                <w:b w:val="0"/>
                <w:sz w:val="18"/>
                <w:szCs w:val="18"/>
              </w:rPr>
              <w:t>Traktorok</w:t>
            </w:r>
          </w:p>
        </w:tc>
        <w:tc>
          <w:tcPr>
            <w:tcW w:w="1599" w:type="dxa"/>
            <w:vAlign w:val="center"/>
          </w:tcPr>
          <w:p w:rsidR="00084397" w:rsidRDefault="00084397" w:rsidP="00084397">
            <w:pPr>
              <w:jc w:val="center"/>
              <w:cnfStyle w:val="000000100000"/>
              <w:rPr>
                <w:rFonts w:cs="Arial"/>
                <w:color w:val="000000"/>
                <w:sz w:val="18"/>
                <w:szCs w:val="18"/>
              </w:rPr>
            </w:pPr>
            <w:r>
              <w:rPr>
                <w:rFonts w:cs="Arial"/>
                <w:color w:val="000000"/>
                <w:sz w:val="18"/>
                <w:szCs w:val="18"/>
              </w:rPr>
              <w:t xml:space="preserve">3 672 264 868 </w:t>
            </w:r>
          </w:p>
        </w:tc>
        <w:tc>
          <w:tcPr>
            <w:tcW w:w="1599" w:type="dxa"/>
            <w:vAlign w:val="center"/>
          </w:tcPr>
          <w:p w:rsidR="00084397" w:rsidRDefault="00084397" w:rsidP="00084397">
            <w:pPr>
              <w:jc w:val="center"/>
              <w:cnfStyle w:val="000000100000"/>
              <w:rPr>
                <w:rFonts w:cs="Arial"/>
                <w:color w:val="000000"/>
                <w:sz w:val="18"/>
                <w:szCs w:val="18"/>
              </w:rPr>
            </w:pPr>
            <w:r>
              <w:rPr>
                <w:rFonts w:cs="Arial"/>
                <w:color w:val="000000"/>
                <w:sz w:val="18"/>
                <w:szCs w:val="18"/>
              </w:rPr>
              <w:t xml:space="preserve">5 437 559 </w:t>
            </w:r>
            <w:proofErr w:type="spellStart"/>
            <w:r>
              <w:rPr>
                <w:rFonts w:cs="Arial"/>
                <w:color w:val="000000"/>
                <w:sz w:val="18"/>
                <w:szCs w:val="18"/>
              </w:rPr>
              <w:t>559</w:t>
            </w:r>
            <w:proofErr w:type="spellEnd"/>
            <w:r>
              <w:rPr>
                <w:rFonts w:cs="Arial"/>
                <w:color w:val="000000"/>
                <w:sz w:val="18"/>
                <w:szCs w:val="18"/>
              </w:rPr>
              <w:t xml:space="preserve"> </w:t>
            </w:r>
          </w:p>
        </w:tc>
        <w:tc>
          <w:tcPr>
            <w:tcW w:w="1599" w:type="dxa"/>
            <w:vAlign w:val="center"/>
          </w:tcPr>
          <w:p w:rsidR="00084397" w:rsidRDefault="00084397" w:rsidP="00084397">
            <w:pPr>
              <w:jc w:val="center"/>
              <w:cnfStyle w:val="000000100000"/>
              <w:rPr>
                <w:rFonts w:cs="Arial"/>
                <w:color w:val="000000"/>
                <w:sz w:val="18"/>
                <w:szCs w:val="18"/>
              </w:rPr>
            </w:pPr>
            <w:r>
              <w:rPr>
                <w:rFonts w:cs="Arial"/>
                <w:color w:val="000000"/>
                <w:sz w:val="18"/>
                <w:szCs w:val="18"/>
              </w:rPr>
              <w:t xml:space="preserve">3 021 325 761 </w:t>
            </w:r>
          </w:p>
        </w:tc>
        <w:tc>
          <w:tcPr>
            <w:tcW w:w="1599" w:type="dxa"/>
            <w:vAlign w:val="center"/>
          </w:tcPr>
          <w:p w:rsidR="00084397" w:rsidRDefault="00084397" w:rsidP="00084397">
            <w:pPr>
              <w:jc w:val="center"/>
              <w:cnfStyle w:val="000000100000"/>
              <w:rPr>
                <w:rFonts w:cs="Arial"/>
                <w:color w:val="000000"/>
                <w:sz w:val="18"/>
                <w:szCs w:val="18"/>
              </w:rPr>
            </w:pPr>
            <w:r>
              <w:rPr>
                <w:rFonts w:cs="Arial"/>
                <w:color w:val="000000"/>
                <w:sz w:val="18"/>
                <w:szCs w:val="18"/>
              </w:rPr>
              <w:t xml:space="preserve">11 290 033 302 </w:t>
            </w:r>
          </w:p>
        </w:tc>
        <w:tc>
          <w:tcPr>
            <w:tcW w:w="1599" w:type="dxa"/>
            <w:vAlign w:val="center"/>
          </w:tcPr>
          <w:p w:rsidR="00084397" w:rsidRDefault="00084397" w:rsidP="00084397">
            <w:pPr>
              <w:jc w:val="center"/>
              <w:cnfStyle w:val="000000100000"/>
              <w:rPr>
                <w:rFonts w:cs="Arial"/>
                <w:color w:val="000000"/>
                <w:sz w:val="18"/>
                <w:szCs w:val="18"/>
              </w:rPr>
            </w:pPr>
            <w:r>
              <w:rPr>
                <w:rFonts w:cs="Arial"/>
                <w:color w:val="000000"/>
                <w:sz w:val="18"/>
                <w:szCs w:val="18"/>
              </w:rPr>
              <w:t xml:space="preserve">23 421 183 490 </w:t>
            </w:r>
          </w:p>
        </w:tc>
      </w:tr>
      <w:tr w:rsidR="00084397" w:rsidRPr="000C51D5" w:rsidTr="00084397">
        <w:trPr>
          <w:jc w:val="center"/>
        </w:trPr>
        <w:tc>
          <w:tcPr>
            <w:cnfStyle w:val="001000000000"/>
            <w:tcW w:w="1384" w:type="dxa"/>
            <w:vAlign w:val="center"/>
          </w:tcPr>
          <w:p w:rsidR="00084397" w:rsidRPr="000C51D5" w:rsidRDefault="00084397" w:rsidP="00084397">
            <w:pPr>
              <w:widowControl w:val="0"/>
              <w:autoSpaceDE w:val="0"/>
              <w:autoSpaceDN w:val="0"/>
              <w:adjustRightInd w:val="0"/>
              <w:jc w:val="center"/>
              <w:rPr>
                <w:b w:val="0"/>
                <w:sz w:val="18"/>
                <w:szCs w:val="18"/>
              </w:rPr>
            </w:pPr>
            <w:r w:rsidRPr="000C51D5">
              <w:rPr>
                <w:b w:val="0"/>
                <w:sz w:val="18"/>
                <w:szCs w:val="18"/>
              </w:rPr>
              <w:t>Magajáró b</w:t>
            </w:r>
            <w:r w:rsidRPr="000C51D5">
              <w:rPr>
                <w:b w:val="0"/>
                <w:sz w:val="18"/>
                <w:szCs w:val="18"/>
              </w:rPr>
              <w:t>e</w:t>
            </w:r>
            <w:r w:rsidRPr="000C51D5">
              <w:rPr>
                <w:b w:val="0"/>
                <w:sz w:val="18"/>
                <w:szCs w:val="18"/>
              </w:rPr>
              <w:t>takarítók</w:t>
            </w:r>
          </w:p>
        </w:tc>
        <w:tc>
          <w:tcPr>
            <w:tcW w:w="1599" w:type="dxa"/>
            <w:vAlign w:val="center"/>
          </w:tcPr>
          <w:p w:rsidR="00084397" w:rsidRDefault="00084397" w:rsidP="00084397">
            <w:pPr>
              <w:jc w:val="center"/>
              <w:cnfStyle w:val="000000000000"/>
              <w:rPr>
                <w:rFonts w:cs="Arial"/>
                <w:color w:val="000000"/>
                <w:sz w:val="18"/>
                <w:szCs w:val="18"/>
              </w:rPr>
            </w:pPr>
            <w:r>
              <w:rPr>
                <w:rFonts w:cs="Arial"/>
                <w:color w:val="000000"/>
                <w:sz w:val="18"/>
                <w:szCs w:val="18"/>
              </w:rPr>
              <w:t xml:space="preserve">1 452 305 143 </w:t>
            </w:r>
          </w:p>
        </w:tc>
        <w:tc>
          <w:tcPr>
            <w:tcW w:w="1599" w:type="dxa"/>
            <w:vAlign w:val="center"/>
          </w:tcPr>
          <w:p w:rsidR="00084397" w:rsidRDefault="00084397" w:rsidP="00084397">
            <w:pPr>
              <w:jc w:val="center"/>
              <w:cnfStyle w:val="000000000000"/>
              <w:rPr>
                <w:rFonts w:cs="Arial"/>
                <w:color w:val="000000"/>
                <w:sz w:val="18"/>
                <w:szCs w:val="18"/>
              </w:rPr>
            </w:pPr>
            <w:r>
              <w:rPr>
                <w:rFonts w:cs="Arial"/>
                <w:color w:val="000000"/>
                <w:sz w:val="18"/>
                <w:szCs w:val="18"/>
              </w:rPr>
              <w:t xml:space="preserve">4 252 815 924 </w:t>
            </w:r>
          </w:p>
        </w:tc>
        <w:tc>
          <w:tcPr>
            <w:tcW w:w="1599" w:type="dxa"/>
            <w:vAlign w:val="center"/>
          </w:tcPr>
          <w:p w:rsidR="00084397" w:rsidRDefault="00084397" w:rsidP="00084397">
            <w:pPr>
              <w:jc w:val="center"/>
              <w:cnfStyle w:val="000000000000"/>
              <w:rPr>
                <w:rFonts w:cs="Arial"/>
                <w:color w:val="000000"/>
                <w:sz w:val="18"/>
                <w:szCs w:val="18"/>
              </w:rPr>
            </w:pPr>
            <w:r>
              <w:rPr>
                <w:rFonts w:cs="Arial"/>
                <w:color w:val="000000"/>
                <w:sz w:val="18"/>
                <w:szCs w:val="18"/>
              </w:rPr>
              <w:t xml:space="preserve">658 503 938 </w:t>
            </w:r>
          </w:p>
        </w:tc>
        <w:tc>
          <w:tcPr>
            <w:tcW w:w="1599" w:type="dxa"/>
            <w:vAlign w:val="center"/>
          </w:tcPr>
          <w:p w:rsidR="00084397" w:rsidRDefault="00084397" w:rsidP="00084397">
            <w:pPr>
              <w:jc w:val="center"/>
              <w:cnfStyle w:val="000000000000"/>
              <w:rPr>
                <w:rFonts w:cs="Arial"/>
                <w:color w:val="000000"/>
                <w:sz w:val="18"/>
                <w:szCs w:val="18"/>
              </w:rPr>
            </w:pPr>
            <w:r>
              <w:rPr>
                <w:rFonts w:cs="Arial"/>
                <w:color w:val="000000"/>
                <w:sz w:val="18"/>
                <w:szCs w:val="18"/>
              </w:rPr>
              <w:t xml:space="preserve">8 818 762 440 </w:t>
            </w:r>
          </w:p>
        </w:tc>
        <w:tc>
          <w:tcPr>
            <w:tcW w:w="1599" w:type="dxa"/>
            <w:vAlign w:val="center"/>
          </w:tcPr>
          <w:p w:rsidR="00084397" w:rsidRDefault="00084397" w:rsidP="00084397">
            <w:pPr>
              <w:jc w:val="center"/>
              <w:cnfStyle w:val="000000000000"/>
              <w:rPr>
                <w:rFonts w:cs="Arial"/>
                <w:color w:val="000000"/>
                <w:sz w:val="18"/>
                <w:szCs w:val="18"/>
              </w:rPr>
            </w:pPr>
            <w:r>
              <w:rPr>
                <w:rFonts w:cs="Arial"/>
                <w:color w:val="000000"/>
                <w:sz w:val="18"/>
                <w:szCs w:val="18"/>
              </w:rPr>
              <w:t xml:space="preserve">15 182 387 444 </w:t>
            </w:r>
          </w:p>
        </w:tc>
      </w:tr>
      <w:tr w:rsidR="00084397" w:rsidRPr="000C51D5" w:rsidTr="00084397">
        <w:trPr>
          <w:cnfStyle w:val="000000100000"/>
          <w:jc w:val="center"/>
        </w:trPr>
        <w:tc>
          <w:tcPr>
            <w:cnfStyle w:val="001000000000"/>
            <w:tcW w:w="1384" w:type="dxa"/>
            <w:vAlign w:val="center"/>
          </w:tcPr>
          <w:p w:rsidR="00084397" w:rsidRPr="000C51D5" w:rsidRDefault="00084397" w:rsidP="00084397">
            <w:pPr>
              <w:widowControl w:val="0"/>
              <w:autoSpaceDE w:val="0"/>
              <w:autoSpaceDN w:val="0"/>
              <w:adjustRightInd w:val="0"/>
              <w:jc w:val="center"/>
              <w:rPr>
                <w:b w:val="0"/>
                <w:sz w:val="18"/>
                <w:szCs w:val="18"/>
              </w:rPr>
            </w:pPr>
            <w:r w:rsidRPr="000C51D5">
              <w:rPr>
                <w:b w:val="0"/>
                <w:sz w:val="18"/>
                <w:szCs w:val="18"/>
              </w:rPr>
              <w:t>Talajművelők</w:t>
            </w:r>
          </w:p>
        </w:tc>
        <w:tc>
          <w:tcPr>
            <w:tcW w:w="1599" w:type="dxa"/>
            <w:vAlign w:val="center"/>
          </w:tcPr>
          <w:p w:rsidR="00084397" w:rsidRDefault="00084397" w:rsidP="00084397">
            <w:pPr>
              <w:jc w:val="center"/>
              <w:cnfStyle w:val="000000100000"/>
              <w:rPr>
                <w:rFonts w:cs="Arial"/>
                <w:color w:val="000000"/>
                <w:sz w:val="18"/>
                <w:szCs w:val="18"/>
              </w:rPr>
            </w:pPr>
            <w:r>
              <w:rPr>
                <w:rFonts w:cs="Arial"/>
                <w:color w:val="000000"/>
                <w:sz w:val="18"/>
                <w:szCs w:val="18"/>
              </w:rPr>
              <w:t xml:space="preserve">927 828 780 </w:t>
            </w:r>
          </w:p>
        </w:tc>
        <w:tc>
          <w:tcPr>
            <w:tcW w:w="1599" w:type="dxa"/>
            <w:vAlign w:val="center"/>
          </w:tcPr>
          <w:p w:rsidR="00084397" w:rsidRDefault="00084397" w:rsidP="00084397">
            <w:pPr>
              <w:jc w:val="center"/>
              <w:cnfStyle w:val="000000100000"/>
              <w:rPr>
                <w:rFonts w:cs="Arial"/>
                <w:color w:val="000000"/>
                <w:sz w:val="18"/>
                <w:szCs w:val="18"/>
              </w:rPr>
            </w:pPr>
            <w:r>
              <w:rPr>
                <w:rFonts w:cs="Arial"/>
                <w:color w:val="000000"/>
                <w:sz w:val="18"/>
                <w:szCs w:val="18"/>
              </w:rPr>
              <w:t xml:space="preserve">1 845 461 755 </w:t>
            </w:r>
          </w:p>
        </w:tc>
        <w:tc>
          <w:tcPr>
            <w:tcW w:w="1599" w:type="dxa"/>
            <w:vAlign w:val="center"/>
          </w:tcPr>
          <w:p w:rsidR="00084397" w:rsidRDefault="00084397" w:rsidP="00084397">
            <w:pPr>
              <w:jc w:val="center"/>
              <w:cnfStyle w:val="000000100000"/>
              <w:rPr>
                <w:rFonts w:cs="Arial"/>
                <w:color w:val="000000"/>
                <w:sz w:val="18"/>
                <w:szCs w:val="18"/>
              </w:rPr>
            </w:pPr>
            <w:r>
              <w:rPr>
                <w:rFonts w:cs="Arial"/>
                <w:color w:val="000000"/>
                <w:sz w:val="18"/>
                <w:szCs w:val="18"/>
              </w:rPr>
              <w:t xml:space="preserve">555 688 663 </w:t>
            </w:r>
          </w:p>
        </w:tc>
        <w:tc>
          <w:tcPr>
            <w:tcW w:w="1599" w:type="dxa"/>
            <w:vAlign w:val="center"/>
          </w:tcPr>
          <w:p w:rsidR="00084397" w:rsidRDefault="00084397" w:rsidP="00084397">
            <w:pPr>
              <w:jc w:val="center"/>
              <w:cnfStyle w:val="000000100000"/>
              <w:rPr>
                <w:rFonts w:cs="Arial"/>
                <w:color w:val="000000"/>
                <w:sz w:val="18"/>
                <w:szCs w:val="18"/>
              </w:rPr>
            </w:pPr>
            <w:r>
              <w:rPr>
                <w:rFonts w:cs="Arial"/>
                <w:color w:val="000000"/>
                <w:sz w:val="18"/>
                <w:szCs w:val="18"/>
              </w:rPr>
              <w:t xml:space="preserve">3 459 837 675 </w:t>
            </w:r>
          </w:p>
        </w:tc>
        <w:tc>
          <w:tcPr>
            <w:tcW w:w="1599" w:type="dxa"/>
            <w:vAlign w:val="center"/>
          </w:tcPr>
          <w:p w:rsidR="00084397" w:rsidRDefault="00084397" w:rsidP="00084397">
            <w:pPr>
              <w:jc w:val="center"/>
              <w:cnfStyle w:val="000000100000"/>
              <w:rPr>
                <w:rFonts w:cs="Arial"/>
                <w:color w:val="000000"/>
                <w:sz w:val="18"/>
                <w:szCs w:val="18"/>
              </w:rPr>
            </w:pPr>
            <w:r>
              <w:rPr>
                <w:rFonts w:cs="Arial"/>
                <w:color w:val="000000"/>
                <w:sz w:val="18"/>
                <w:szCs w:val="18"/>
              </w:rPr>
              <w:t xml:space="preserve">6 788 816 874 </w:t>
            </w:r>
          </w:p>
        </w:tc>
      </w:tr>
      <w:tr w:rsidR="00084397" w:rsidRPr="000C51D5" w:rsidTr="00084397">
        <w:trPr>
          <w:jc w:val="center"/>
        </w:trPr>
        <w:tc>
          <w:tcPr>
            <w:cnfStyle w:val="001000000000"/>
            <w:tcW w:w="1384" w:type="dxa"/>
            <w:vAlign w:val="center"/>
          </w:tcPr>
          <w:p w:rsidR="00084397" w:rsidRPr="000C51D5" w:rsidRDefault="00084397" w:rsidP="00084397">
            <w:pPr>
              <w:widowControl w:val="0"/>
              <w:autoSpaceDE w:val="0"/>
              <w:autoSpaceDN w:val="0"/>
              <w:adjustRightInd w:val="0"/>
              <w:jc w:val="center"/>
              <w:rPr>
                <w:b w:val="0"/>
                <w:sz w:val="18"/>
                <w:szCs w:val="18"/>
              </w:rPr>
            </w:pPr>
            <w:r w:rsidRPr="000C51D5">
              <w:rPr>
                <w:b w:val="0"/>
                <w:sz w:val="18"/>
                <w:szCs w:val="18"/>
              </w:rPr>
              <w:t>Vető-ültető</w:t>
            </w:r>
          </w:p>
        </w:tc>
        <w:tc>
          <w:tcPr>
            <w:tcW w:w="1599" w:type="dxa"/>
            <w:vAlign w:val="center"/>
          </w:tcPr>
          <w:p w:rsidR="00084397" w:rsidRDefault="00084397" w:rsidP="00084397">
            <w:pPr>
              <w:jc w:val="center"/>
              <w:cnfStyle w:val="000000000000"/>
              <w:rPr>
                <w:rFonts w:cs="Arial"/>
                <w:color w:val="000000"/>
                <w:sz w:val="18"/>
                <w:szCs w:val="18"/>
              </w:rPr>
            </w:pPr>
            <w:r>
              <w:rPr>
                <w:rFonts w:cs="Arial"/>
                <w:color w:val="000000"/>
                <w:sz w:val="18"/>
                <w:szCs w:val="18"/>
              </w:rPr>
              <w:t xml:space="preserve">564 801 322 </w:t>
            </w:r>
          </w:p>
        </w:tc>
        <w:tc>
          <w:tcPr>
            <w:tcW w:w="1599" w:type="dxa"/>
            <w:vAlign w:val="center"/>
          </w:tcPr>
          <w:p w:rsidR="00084397" w:rsidRDefault="00084397" w:rsidP="00084397">
            <w:pPr>
              <w:jc w:val="center"/>
              <w:cnfStyle w:val="000000000000"/>
              <w:rPr>
                <w:rFonts w:cs="Arial"/>
                <w:color w:val="000000"/>
                <w:sz w:val="18"/>
                <w:szCs w:val="18"/>
              </w:rPr>
            </w:pPr>
            <w:r>
              <w:rPr>
                <w:rFonts w:cs="Arial"/>
                <w:color w:val="000000"/>
                <w:sz w:val="18"/>
                <w:szCs w:val="18"/>
              </w:rPr>
              <w:t xml:space="preserve">1 155 270 894 </w:t>
            </w:r>
          </w:p>
        </w:tc>
        <w:tc>
          <w:tcPr>
            <w:tcW w:w="1599" w:type="dxa"/>
            <w:vAlign w:val="center"/>
          </w:tcPr>
          <w:p w:rsidR="00084397" w:rsidRDefault="00084397" w:rsidP="00084397">
            <w:pPr>
              <w:jc w:val="center"/>
              <w:cnfStyle w:val="000000000000"/>
              <w:rPr>
                <w:rFonts w:cs="Arial"/>
                <w:color w:val="000000"/>
                <w:sz w:val="18"/>
                <w:szCs w:val="18"/>
              </w:rPr>
            </w:pPr>
            <w:r>
              <w:rPr>
                <w:rFonts w:cs="Arial"/>
                <w:color w:val="000000"/>
                <w:sz w:val="18"/>
                <w:szCs w:val="18"/>
              </w:rPr>
              <w:t xml:space="preserve">300 821 962 </w:t>
            </w:r>
          </w:p>
        </w:tc>
        <w:tc>
          <w:tcPr>
            <w:tcW w:w="1599" w:type="dxa"/>
            <w:vAlign w:val="center"/>
          </w:tcPr>
          <w:p w:rsidR="00084397" w:rsidRDefault="00084397" w:rsidP="00084397">
            <w:pPr>
              <w:jc w:val="center"/>
              <w:cnfStyle w:val="000000000000"/>
              <w:rPr>
                <w:rFonts w:cs="Arial"/>
                <w:color w:val="000000"/>
                <w:sz w:val="18"/>
                <w:szCs w:val="18"/>
              </w:rPr>
            </w:pPr>
            <w:r>
              <w:rPr>
                <w:rFonts w:cs="Arial"/>
                <w:color w:val="000000"/>
                <w:sz w:val="18"/>
                <w:szCs w:val="18"/>
              </w:rPr>
              <w:t xml:space="preserve">2 203 398 629 </w:t>
            </w:r>
          </w:p>
        </w:tc>
        <w:tc>
          <w:tcPr>
            <w:tcW w:w="1599" w:type="dxa"/>
            <w:vAlign w:val="center"/>
          </w:tcPr>
          <w:p w:rsidR="00084397" w:rsidRDefault="00084397" w:rsidP="00084397">
            <w:pPr>
              <w:jc w:val="center"/>
              <w:cnfStyle w:val="000000000000"/>
              <w:rPr>
                <w:rFonts w:cs="Arial"/>
                <w:color w:val="000000"/>
                <w:sz w:val="18"/>
                <w:szCs w:val="18"/>
              </w:rPr>
            </w:pPr>
            <w:r>
              <w:rPr>
                <w:rFonts w:cs="Arial"/>
                <w:color w:val="000000"/>
                <w:sz w:val="18"/>
                <w:szCs w:val="18"/>
              </w:rPr>
              <w:t xml:space="preserve">4 224 292 806 </w:t>
            </w:r>
          </w:p>
        </w:tc>
      </w:tr>
      <w:tr w:rsidR="00084397" w:rsidRPr="000C51D5" w:rsidTr="00084397">
        <w:trPr>
          <w:cnfStyle w:val="000000100000"/>
          <w:jc w:val="center"/>
        </w:trPr>
        <w:tc>
          <w:tcPr>
            <w:cnfStyle w:val="001000000000"/>
            <w:tcW w:w="1384" w:type="dxa"/>
            <w:vAlign w:val="center"/>
          </w:tcPr>
          <w:p w:rsidR="00084397" w:rsidRPr="000C51D5" w:rsidRDefault="00084397" w:rsidP="00084397">
            <w:pPr>
              <w:widowControl w:val="0"/>
              <w:autoSpaceDE w:val="0"/>
              <w:autoSpaceDN w:val="0"/>
              <w:adjustRightInd w:val="0"/>
              <w:jc w:val="center"/>
              <w:rPr>
                <w:b w:val="0"/>
                <w:sz w:val="18"/>
                <w:szCs w:val="18"/>
              </w:rPr>
            </w:pPr>
            <w:r w:rsidRPr="000C51D5">
              <w:rPr>
                <w:b w:val="0"/>
                <w:sz w:val="18"/>
                <w:szCs w:val="18"/>
              </w:rPr>
              <w:t>Egyéb magaj</w:t>
            </w:r>
            <w:r w:rsidRPr="000C51D5">
              <w:rPr>
                <w:b w:val="0"/>
                <w:sz w:val="18"/>
                <w:szCs w:val="18"/>
              </w:rPr>
              <w:t>á</w:t>
            </w:r>
            <w:r w:rsidRPr="000C51D5">
              <w:rPr>
                <w:b w:val="0"/>
                <w:sz w:val="18"/>
                <w:szCs w:val="18"/>
              </w:rPr>
              <w:t>rók</w:t>
            </w:r>
          </w:p>
        </w:tc>
        <w:tc>
          <w:tcPr>
            <w:tcW w:w="1599" w:type="dxa"/>
            <w:vAlign w:val="center"/>
          </w:tcPr>
          <w:p w:rsidR="00084397" w:rsidRDefault="00084397" w:rsidP="00084397">
            <w:pPr>
              <w:jc w:val="center"/>
              <w:cnfStyle w:val="000000100000"/>
              <w:rPr>
                <w:rFonts w:cs="Arial"/>
                <w:color w:val="000000"/>
                <w:sz w:val="18"/>
                <w:szCs w:val="18"/>
              </w:rPr>
            </w:pPr>
            <w:r>
              <w:rPr>
                <w:rFonts w:cs="Arial"/>
                <w:color w:val="000000"/>
                <w:sz w:val="18"/>
                <w:szCs w:val="18"/>
              </w:rPr>
              <w:t xml:space="preserve">542 041 087 </w:t>
            </w:r>
          </w:p>
        </w:tc>
        <w:tc>
          <w:tcPr>
            <w:tcW w:w="1599" w:type="dxa"/>
            <w:vAlign w:val="center"/>
          </w:tcPr>
          <w:p w:rsidR="00084397" w:rsidRDefault="00084397" w:rsidP="00084397">
            <w:pPr>
              <w:jc w:val="center"/>
              <w:cnfStyle w:val="000000100000"/>
              <w:rPr>
                <w:rFonts w:cs="Arial"/>
                <w:color w:val="000000"/>
                <w:sz w:val="18"/>
                <w:szCs w:val="18"/>
              </w:rPr>
            </w:pPr>
            <w:r>
              <w:rPr>
                <w:rFonts w:cs="Arial"/>
                <w:color w:val="000000"/>
                <w:sz w:val="18"/>
                <w:szCs w:val="18"/>
              </w:rPr>
              <w:t xml:space="preserve">975 479 478 </w:t>
            </w:r>
          </w:p>
        </w:tc>
        <w:tc>
          <w:tcPr>
            <w:tcW w:w="1599" w:type="dxa"/>
            <w:vAlign w:val="center"/>
          </w:tcPr>
          <w:p w:rsidR="00084397" w:rsidRDefault="00084397" w:rsidP="00084397">
            <w:pPr>
              <w:jc w:val="center"/>
              <w:cnfStyle w:val="000000100000"/>
              <w:rPr>
                <w:rFonts w:cs="Arial"/>
                <w:color w:val="000000"/>
                <w:sz w:val="18"/>
                <w:szCs w:val="18"/>
              </w:rPr>
            </w:pPr>
            <w:r>
              <w:rPr>
                <w:rFonts w:cs="Arial"/>
                <w:color w:val="000000"/>
                <w:sz w:val="18"/>
                <w:szCs w:val="18"/>
              </w:rPr>
              <w:t xml:space="preserve">306 182 969 </w:t>
            </w:r>
          </w:p>
        </w:tc>
        <w:tc>
          <w:tcPr>
            <w:tcW w:w="1599" w:type="dxa"/>
            <w:vAlign w:val="center"/>
          </w:tcPr>
          <w:p w:rsidR="00084397" w:rsidRDefault="00084397" w:rsidP="00084397">
            <w:pPr>
              <w:jc w:val="center"/>
              <w:cnfStyle w:val="000000100000"/>
              <w:rPr>
                <w:rFonts w:cs="Arial"/>
                <w:color w:val="000000"/>
                <w:sz w:val="18"/>
                <w:szCs w:val="18"/>
              </w:rPr>
            </w:pPr>
            <w:r>
              <w:rPr>
                <w:rFonts w:cs="Arial"/>
                <w:color w:val="000000"/>
                <w:sz w:val="18"/>
                <w:szCs w:val="18"/>
              </w:rPr>
              <w:t xml:space="preserve">2 093 925 796 </w:t>
            </w:r>
          </w:p>
        </w:tc>
        <w:tc>
          <w:tcPr>
            <w:tcW w:w="1599" w:type="dxa"/>
            <w:vAlign w:val="center"/>
          </w:tcPr>
          <w:p w:rsidR="00084397" w:rsidRDefault="00084397" w:rsidP="00084397">
            <w:pPr>
              <w:jc w:val="center"/>
              <w:cnfStyle w:val="000000100000"/>
              <w:rPr>
                <w:rFonts w:cs="Arial"/>
                <w:color w:val="000000"/>
                <w:sz w:val="18"/>
                <w:szCs w:val="18"/>
              </w:rPr>
            </w:pPr>
            <w:r>
              <w:rPr>
                <w:rFonts w:cs="Arial"/>
                <w:color w:val="000000"/>
                <w:sz w:val="18"/>
                <w:szCs w:val="18"/>
              </w:rPr>
              <w:t xml:space="preserve">3 917 629 329 </w:t>
            </w:r>
          </w:p>
        </w:tc>
      </w:tr>
      <w:tr w:rsidR="00084397" w:rsidRPr="000C51D5" w:rsidTr="00084397">
        <w:trPr>
          <w:jc w:val="center"/>
        </w:trPr>
        <w:tc>
          <w:tcPr>
            <w:cnfStyle w:val="001000000000"/>
            <w:tcW w:w="1384" w:type="dxa"/>
            <w:vAlign w:val="center"/>
          </w:tcPr>
          <w:p w:rsidR="00084397" w:rsidRPr="000C51D5" w:rsidRDefault="00084397" w:rsidP="00084397">
            <w:pPr>
              <w:widowControl w:val="0"/>
              <w:autoSpaceDE w:val="0"/>
              <w:autoSpaceDN w:val="0"/>
              <w:adjustRightInd w:val="0"/>
              <w:jc w:val="center"/>
              <w:rPr>
                <w:b w:val="0"/>
                <w:sz w:val="18"/>
                <w:szCs w:val="18"/>
              </w:rPr>
            </w:pPr>
            <w:r w:rsidRPr="000C51D5">
              <w:rPr>
                <w:b w:val="0"/>
                <w:sz w:val="18"/>
                <w:szCs w:val="18"/>
              </w:rPr>
              <w:t>Betakarítók</w:t>
            </w:r>
          </w:p>
        </w:tc>
        <w:tc>
          <w:tcPr>
            <w:tcW w:w="1599" w:type="dxa"/>
            <w:vAlign w:val="center"/>
          </w:tcPr>
          <w:p w:rsidR="00084397" w:rsidRDefault="00084397" w:rsidP="00084397">
            <w:pPr>
              <w:jc w:val="center"/>
              <w:cnfStyle w:val="000000000000"/>
              <w:rPr>
                <w:rFonts w:cs="Arial"/>
                <w:color w:val="000000"/>
                <w:sz w:val="18"/>
                <w:szCs w:val="18"/>
              </w:rPr>
            </w:pPr>
            <w:r>
              <w:rPr>
                <w:rFonts w:cs="Arial"/>
                <w:color w:val="000000"/>
                <w:sz w:val="18"/>
                <w:szCs w:val="18"/>
              </w:rPr>
              <w:t xml:space="preserve">184 439 974 </w:t>
            </w:r>
          </w:p>
        </w:tc>
        <w:tc>
          <w:tcPr>
            <w:tcW w:w="1599" w:type="dxa"/>
            <w:vAlign w:val="center"/>
          </w:tcPr>
          <w:p w:rsidR="00084397" w:rsidRDefault="00084397" w:rsidP="00084397">
            <w:pPr>
              <w:jc w:val="center"/>
              <w:cnfStyle w:val="000000000000"/>
              <w:rPr>
                <w:rFonts w:cs="Arial"/>
                <w:color w:val="000000"/>
                <w:sz w:val="18"/>
                <w:szCs w:val="18"/>
              </w:rPr>
            </w:pPr>
            <w:r>
              <w:rPr>
                <w:rFonts w:cs="Arial"/>
                <w:color w:val="000000"/>
                <w:sz w:val="18"/>
                <w:szCs w:val="18"/>
              </w:rPr>
              <w:t xml:space="preserve">783 529 907 </w:t>
            </w:r>
          </w:p>
        </w:tc>
        <w:tc>
          <w:tcPr>
            <w:tcW w:w="1599" w:type="dxa"/>
            <w:vAlign w:val="center"/>
          </w:tcPr>
          <w:p w:rsidR="00084397" w:rsidRDefault="00084397" w:rsidP="00084397">
            <w:pPr>
              <w:jc w:val="center"/>
              <w:cnfStyle w:val="000000000000"/>
              <w:rPr>
                <w:rFonts w:cs="Arial"/>
                <w:color w:val="000000"/>
                <w:sz w:val="18"/>
                <w:szCs w:val="18"/>
              </w:rPr>
            </w:pPr>
            <w:r>
              <w:rPr>
                <w:rFonts w:cs="Arial"/>
                <w:color w:val="000000"/>
                <w:sz w:val="18"/>
                <w:szCs w:val="18"/>
              </w:rPr>
              <w:t xml:space="preserve">200 770 846 </w:t>
            </w:r>
          </w:p>
        </w:tc>
        <w:tc>
          <w:tcPr>
            <w:tcW w:w="1599" w:type="dxa"/>
            <w:vAlign w:val="center"/>
          </w:tcPr>
          <w:p w:rsidR="00084397" w:rsidRDefault="00084397" w:rsidP="00084397">
            <w:pPr>
              <w:jc w:val="center"/>
              <w:cnfStyle w:val="000000000000"/>
              <w:rPr>
                <w:rFonts w:cs="Arial"/>
                <w:color w:val="000000"/>
                <w:sz w:val="18"/>
                <w:szCs w:val="18"/>
              </w:rPr>
            </w:pPr>
            <w:r>
              <w:rPr>
                <w:rFonts w:cs="Arial"/>
                <w:color w:val="000000"/>
                <w:sz w:val="18"/>
                <w:szCs w:val="18"/>
              </w:rPr>
              <w:t xml:space="preserve">2 733 459 083 </w:t>
            </w:r>
          </w:p>
        </w:tc>
        <w:tc>
          <w:tcPr>
            <w:tcW w:w="1599" w:type="dxa"/>
            <w:vAlign w:val="center"/>
          </w:tcPr>
          <w:p w:rsidR="00084397" w:rsidRDefault="00084397" w:rsidP="00084397">
            <w:pPr>
              <w:jc w:val="center"/>
              <w:cnfStyle w:val="000000000000"/>
              <w:rPr>
                <w:rFonts w:cs="Arial"/>
                <w:color w:val="000000"/>
                <w:sz w:val="18"/>
                <w:szCs w:val="18"/>
              </w:rPr>
            </w:pPr>
            <w:r>
              <w:rPr>
                <w:rFonts w:cs="Arial"/>
                <w:color w:val="000000"/>
                <w:sz w:val="18"/>
                <w:szCs w:val="18"/>
              </w:rPr>
              <w:t xml:space="preserve">3 902 199 811 </w:t>
            </w:r>
          </w:p>
        </w:tc>
      </w:tr>
      <w:tr w:rsidR="00084397" w:rsidRPr="000C51D5" w:rsidTr="00084397">
        <w:trPr>
          <w:cnfStyle w:val="000000100000"/>
          <w:jc w:val="center"/>
        </w:trPr>
        <w:tc>
          <w:tcPr>
            <w:cnfStyle w:val="001000000000"/>
            <w:tcW w:w="1384" w:type="dxa"/>
            <w:vAlign w:val="center"/>
          </w:tcPr>
          <w:p w:rsidR="00084397" w:rsidRPr="000C51D5" w:rsidRDefault="00084397" w:rsidP="00084397">
            <w:pPr>
              <w:widowControl w:val="0"/>
              <w:autoSpaceDE w:val="0"/>
              <w:autoSpaceDN w:val="0"/>
              <w:adjustRightInd w:val="0"/>
              <w:jc w:val="center"/>
              <w:rPr>
                <w:b w:val="0"/>
                <w:sz w:val="18"/>
                <w:szCs w:val="18"/>
              </w:rPr>
            </w:pPr>
            <w:r w:rsidRPr="000C51D5">
              <w:rPr>
                <w:b w:val="0"/>
                <w:sz w:val="18"/>
                <w:szCs w:val="18"/>
              </w:rPr>
              <w:t>Növényvédő</w:t>
            </w:r>
          </w:p>
        </w:tc>
        <w:tc>
          <w:tcPr>
            <w:tcW w:w="1599" w:type="dxa"/>
            <w:vAlign w:val="center"/>
          </w:tcPr>
          <w:p w:rsidR="00084397" w:rsidRDefault="00084397" w:rsidP="00084397">
            <w:pPr>
              <w:jc w:val="center"/>
              <w:cnfStyle w:val="000000100000"/>
              <w:rPr>
                <w:rFonts w:cs="Arial"/>
                <w:color w:val="000000"/>
                <w:sz w:val="18"/>
                <w:szCs w:val="18"/>
              </w:rPr>
            </w:pPr>
            <w:r>
              <w:rPr>
                <w:rFonts w:cs="Arial"/>
                <w:color w:val="000000"/>
                <w:sz w:val="18"/>
                <w:szCs w:val="18"/>
              </w:rPr>
              <w:t xml:space="preserve">470 770 637 </w:t>
            </w:r>
          </w:p>
        </w:tc>
        <w:tc>
          <w:tcPr>
            <w:tcW w:w="1599" w:type="dxa"/>
            <w:vAlign w:val="center"/>
          </w:tcPr>
          <w:p w:rsidR="00084397" w:rsidRDefault="00084397" w:rsidP="00084397">
            <w:pPr>
              <w:jc w:val="center"/>
              <w:cnfStyle w:val="000000100000"/>
              <w:rPr>
                <w:rFonts w:cs="Arial"/>
                <w:color w:val="000000"/>
                <w:sz w:val="18"/>
                <w:szCs w:val="18"/>
              </w:rPr>
            </w:pPr>
            <w:r>
              <w:rPr>
                <w:rFonts w:cs="Arial"/>
                <w:color w:val="000000"/>
                <w:sz w:val="18"/>
                <w:szCs w:val="18"/>
              </w:rPr>
              <w:t xml:space="preserve">701 903 883 </w:t>
            </w:r>
          </w:p>
        </w:tc>
        <w:tc>
          <w:tcPr>
            <w:tcW w:w="1599" w:type="dxa"/>
            <w:vAlign w:val="center"/>
          </w:tcPr>
          <w:p w:rsidR="00084397" w:rsidRDefault="00084397" w:rsidP="00084397">
            <w:pPr>
              <w:jc w:val="center"/>
              <w:cnfStyle w:val="000000100000"/>
              <w:rPr>
                <w:rFonts w:cs="Arial"/>
                <w:color w:val="000000"/>
                <w:sz w:val="18"/>
                <w:szCs w:val="18"/>
              </w:rPr>
            </w:pPr>
            <w:r>
              <w:rPr>
                <w:rFonts w:cs="Arial"/>
                <w:color w:val="000000"/>
                <w:sz w:val="18"/>
                <w:szCs w:val="18"/>
              </w:rPr>
              <w:t xml:space="preserve">269 168 475 </w:t>
            </w:r>
          </w:p>
        </w:tc>
        <w:tc>
          <w:tcPr>
            <w:tcW w:w="1599" w:type="dxa"/>
            <w:vAlign w:val="center"/>
          </w:tcPr>
          <w:p w:rsidR="00084397" w:rsidRDefault="00084397" w:rsidP="00084397">
            <w:pPr>
              <w:jc w:val="center"/>
              <w:cnfStyle w:val="000000100000"/>
              <w:rPr>
                <w:rFonts w:cs="Arial"/>
                <w:color w:val="000000"/>
                <w:sz w:val="18"/>
                <w:szCs w:val="18"/>
              </w:rPr>
            </w:pPr>
            <w:r>
              <w:rPr>
                <w:rFonts w:cs="Arial"/>
                <w:color w:val="000000"/>
                <w:sz w:val="18"/>
                <w:szCs w:val="18"/>
              </w:rPr>
              <w:t xml:space="preserve">1 267 920 611 </w:t>
            </w:r>
          </w:p>
        </w:tc>
        <w:tc>
          <w:tcPr>
            <w:tcW w:w="1599" w:type="dxa"/>
            <w:vAlign w:val="center"/>
          </w:tcPr>
          <w:p w:rsidR="00084397" w:rsidRDefault="00084397" w:rsidP="00084397">
            <w:pPr>
              <w:jc w:val="center"/>
              <w:cnfStyle w:val="000000100000"/>
              <w:rPr>
                <w:rFonts w:cs="Arial"/>
                <w:color w:val="000000"/>
                <w:sz w:val="18"/>
                <w:szCs w:val="18"/>
              </w:rPr>
            </w:pPr>
            <w:r>
              <w:rPr>
                <w:rFonts w:cs="Arial"/>
                <w:color w:val="000000"/>
                <w:sz w:val="18"/>
                <w:szCs w:val="18"/>
              </w:rPr>
              <w:t xml:space="preserve">2 709 763 606 </w:t>
            </w:r>
          </w:p>
        </w:tc>
      </w:tr>
      <w:tr w:rsidR="00084397" w:rsidRPr="00F15657" w:rsidTr="00084397">
        <w:trPr>
          <w:jc w:val="center"/>
        </w:trPr>
        <w:tc>
          <w:tcPr>
            <w:cnfStyle w:val="001000000000"/>
            <w:tcW w:w="1384" w:type="dxa"/>
            <w:vAlign w:val="center"/>
          </w:tcPr>
          <w:p w:rsidR="00084397" w:rsidRPr="00F15657" w:rsidRDefault="00084397" w:rsidP="00084397">
            <w:pPr>
              <w:widowControl w:val="0"/>
              <w:autoSpaceDE w:val="0"/>
              <w:autoSpaceDN w:val="0"/>
              <w:adjustRightInd w:val="0"/>
              <w:jc w:val="center"/>
              <w:rPr>
                <w:sz w:val="18"/>
                <w:szCs w:val="18"/>
              </w:rPr>
            </w:pPr>
            <w:r w:rsidRPr="00F15657">
              <w:rPr>
                <w:sz w:val="18"/>
                <w:szCs w:val="18"/>
              </w:rPr>
              <w:t>Összesen</w:t>
            </w:r>
          </w:p>
        </w:tc>
        <w:tc>
          <w:tcPr>
            <w:tcW w:w="1599" w:type="dxa"/>
            <w:vAlign w:val="center"/>
          </w:tcPr>
          <w:p w:rsidR="00084397" w:rsidRPr="00F15657" w:rsidRDefault="00084397" w:rsidP="00084397">
            <w:pPr>
              <w:widowControl w:val="0"/>
              <w:autoSpaceDE w:val="0"/>
              <w:autoSpaceDN w:val="0"/>
              <w:adjustRightInd w:val="0"/>
              <w:jc w:val="center"/>
              <w:cnfStyle w:val="000000000000"/>
              <w:rPr>
                <w:b/>
                <w:sz w:val="18"/>
                <w:szCs w:val="18"/>
              </w:rPr>
            </w:pPr>
            <w:r w:rsidRPr="00F15657">
              <w:rPr>
                <w:b/>
                <w:sz w:val="18"/>
                <w:szCs w:val="18"/>
              </w:rPr>
              <w:t xml:space="preserve">7 814 451 812 </w:t>
            </w:r>
          </w:p>
        </w:tc>
        <w:tc>
          <w:tcPr>
            <w:tcW w:w="1599" w:type="dxa"/>
            <w:vAlign w:val="center"/>
          </w:tcPr>
          <w:p w:rsidR="00084397" w:rsidRPr="00F15657" w:rsidRDefault="00084397" w:rsidP="00084397">
            <w:pPr>
              <w:widowControl w:val="0"/>
              <w:autoSpaceDE w:val="0"/>
              <w:autoSpaceDN w:val="0"/>
              <w:adjustRightInd w:val="0"/>
              <w:jc w:val="center"/>
              <w:cnfStyle w:val="000000000000"/>
              <w:rPr>
                <w:b/>
                <w:sz w:val="18"/>
                <w:szCs w:val="18"/>
              </w:rPr>
            </w:pPr>
            <w:r w:rsidRPr="00F15657">
              <w:rPr>
                <w:b/>
                <w:sz w:val="18"/>
                <w:szCs w:val="18"/>
              </w:rPr>
              <w:t xml:space="preserve">15 152 021 400 </w:t>
            </w:r>
          </w:p>
        </w:tc>
        <w:tc>
          <w:tcPr>
            <w:tcW w:w="1599" w:type="dxa"/>
            <w:vAlign w:val="center"/>
          </w:tcPr>
          <w:p w:rsidR="00084397" w:rsidRPr="00F15657" w:rsidRDefault="00084397" w:rsidP="00084397">
            <w:pPr>
              <w:widowControl w:val="0"/>
              <w:autoSpaceDE w:val="0"/>
              <w:autoSpaceDN w:val="0"/>
              <w:adjustRightInd w:val="0"/>
              <w:jc w:val="center"/>
              <w:cnfStyle w:val="000000000000"/>
              <w:rPr>
                <w:b/>
                <w:sz w:val="18"/>
                <w:szCs w:val="18"/>
              </w:rPr>
            </w:pPr>
            <w:r w:rsidRPr="00F15657">
              <w:rPr>
                <w:b/>
                <w:sz w:val="18"/>
                <w:szCs w:val="18"/>
              </w:rPr>
              <w:t xml:space="preserve">5 312 462 613 </w:t>
            </w:r>
          </w:p>
        </w:tc>
        <w:tc>
          <w:tcPr>
            <w:tcW w:w="1599" w:type="dxa"/>
            <w:vAlign w:val="center"/>
          </w:tcPr>
          <w:p w:rsidR="00084397" w:rsidRPr="00F15657" w:rsidRDefault="00084397" w:rsidP="00084397">
            <w:pPr>
              <w:widowControl w:val="0"/>
              <w:autoSpaceDE w:val="0"/>
              <w:autoSpaceDN w:val="0"/>
              <w:adjustRightInd w:val="0"/>
              <w:jc w:val="center"/>
              <w:cnfStyle w:val="000000000000"/>
              <w:rPr>
                <w:b/>
                <w:sz w:val="18"/>
                <w:szCs w:val="18"/>
              </w:rPr>
            </w:pPr>
            <w:r w:rsidRPr="00F15657">
              <w:rPr>
                <w:b/>
                <w:sz w:val="18"/>
                <w:szCs w:val="18"/>
              </w:rPr>
              <w:t xml:space="preserve">31 867 337 535 </w:t>
            </w:r>
          </w:p>
        </w:tc>
        <w:tc>
          <w:tcPr>
            <w:tcW w:w="1599" w:type="dxa"/>
            <w:vAlign w:val="center"/>
          </w:tcPr>
          <w:p w:rsidR="00084397" w:rsidRPr="00F15657" w:rsidRDefault="00084397" w:rsidP="00084397">
            <w:pPr>
              <w:widowControl w:val="0"/>
              <w:autoSpaceDE w:val="0"/>
              <w:autoSpaceDN w:val="0"/>
              <w:adjustRightInd w:val="0"/>
              <w:jc w:val="center"/>
              <w:cnfStyle w:val="000000000000"/>
              <w:rPr>
                <w:b/>
                <w:sz w:val="18"/>
                <w:szCs w:val="18"/>
              </w:rPr>
            </w:pPr>
            <w:r w:rsidRPr="00F15657">
              <w:rPr>
                <w:b/>
                <w:sz w:val="18"/>
                <w:szCs w:val="18"/>
              </w:rPr>
              <w:t xml:space="preserve">60 146 273 360 </w:t>
            </w:r>
          </w:p>
        </w:tc>
      </w:tr>
    </w:tbl>
    <w:p w:rsidR="00084397" w:rsidRPr="00027C93" w:rsidRDefault="003F44DC" w:rsidP="00084397">
      <w:pPr>
        <w:pStyle w:val="Caption"/>
        <w:spacing w:before="240"/>
        <w:jc w:val="center"/>
        <w:rPr>
          <w:color w:val="auto"/>
        </w:rPr>
      </w:pPr>
      <w:r>
        <w:rPr>
          <w:color w:val="auto"/>
        </w:rPr>
        <w:fldChar w:fldCharType="begin"/>
      </w:r>
      <w:r w:rsidR="00084397">
        <w:rPr>
          <w:color w:val="auto"/>
        </w:rPr>
        <w:instrText xml:space="preserve"> SEQ táblázat \* ARABIC </w:instrText>
      </w:r>
      <w:r>
        <w:rPr>
          <w:color w:val="auto"/>
        </w:rPr>
        <w:fldChar w:fldCharType="separate"/>
      </w:r>
      <w:r w:rsidR="002D1B7A">
        <w:rPr>
          <w:noProof/>
          <w:color w:val="auto"/>
        </w:rPr>
        <w:t>24</w:t>
      </w:r>
      <w:r>
        <w:rPr>
          <w:color w:val="auto"/>
        </w:rPr>
        <w:fldChar w:fldCharType="end"/>
      </w:r>
      <w:r w:rsidR="00084397" w:rsidRPr="00027C93">
        <w:rPr>
          <w:color w:val="auto"/>
        </w:rPr>
        <w:t>. táblázat</w:t>
      </w:r>
      <w:r w:rsidR="00084397">
        <w:rPr>
          <w:color w:val="auto"/>
        </w:rPr>
        <w:t xml:space="preserve">: Támogatások gépcsoportok és SFH méret szerinti megoszlása (Ft) </w:t>
      </w:r>
    </w:p>
    <w:p w:rsidR="00084397" w:rsidRDefault="00084397" w:rsidP="00084397">
      <w:pPr>
        <w:pStyle w:val="HUNNormal"/>
        <w:tabs>
          <w:tab w:val="left" w:pos="709"/>
        </w:tabs>
        <w:spacing w:before="240"/>
      </w:pPr>
      <w:r>
        <w:t xml:space="preserve">Megállapítható, hogy kimagaslóan a legtöbb támogatás </w:t>
      </w:r>
      <w:r w:rsidRPr="00932E44">
        <w:rPr>
          <w:b/>
        </w:rPr>
        <w:t>traktorbeszerzésre</w:t>
      </w:r>
      <w:r>
        <w:t xml:space="preserve"> és </w:t>
      </w:r>
      <w:r w:rsidRPr="00932E44">
        <w:rPr>
          <w:b/>
        </w:rPr>
        <w:t>betakarítógépekre</w:t>
      </w:r>
      <w:r>
        <w:t xml:space="preserve"> irányult, amely elsősorban a szántóföldi növénytermesztési ágazat dominanciájáról árulkodik.</w:t>
      </w:r>
    </w:p>
    <w:p w:rsidR="00084397" w:rsidRDefault="00084397" w:rsidP="00084397">
      <w:pPr>
        <w:pStyle w:val="HUNNormal"/>
      </w:pPr>
    </w:p>
    <w:p w:rsidR="00084397" w:rsidRDefault="00084397" w:rsidP="00084397">
      <w:pPr>
        <w:pStyle w:val="HUNNormal"/>
      </w:pPr>
      <w:r>
        <w:t xml:space="preserve">A </w:t>
      </w:r>
      <w:r w:rsidRPr="00D74201">
        <w:rPr>
          <w:b/>
          <w:u w:val="single"/>
        </w:rPr>
        <w:t>Kertészeti gépbeszerzés</w:t>
      </w:r>
      <w:r>
        <w:t xml:space="preserve"> jogcímben megítélt támogatások a következő géptípusok beszerzésére </w:t>
      </w:r>
      <w:proofErr w:type="gramStart"/>
      <w:r>
        <w:t>irányu</w:t>
      </w:r>
      <w:r>
        <w:t>l</w:t>
      </w:r>
      <w:r>
        <w:t>tak</w:t>
      </w:r>
      <w:r>
        <w:rPr>
          <w:rStyle w:val="FootnoteReference"/>
        </w:rPr>
        <w:footnoteReference w:id="35"/>
      </w:r>
      <w:r>
        <w:t>:</w:t>
      </w:r>
      <w:proofErr w:type="gramEnd"/>
    </w:p>
    <w:tbl>
      <w:tblPr>
        <w:tblStyle w:val="MediumGrid3-Accent2"/>
        <w:tblW w:w="5000" w:type="pct"/>
        <w:jc w:val="center"/>
        <w:tblLook w:val="04A0"/>
      </w:tblPr>
      <w:tblGrid>
        <w:gridCol w:w="6537"/>
        <w:gridCol w:w="2842"/>
      </w:tblGrid>
      <w:tr w:rsidR="00084397" w:rsidRPr="002B7A50" w:rsidTr="00084397">
        <w:trPr>
          <w:cnfStyle w:val="100000000000"/>
          <w:trHeight w:val="255"/>
          <w:tblHeader/>
          <w:jc w:val="center"/>
        </w:trPr>
        <w:tc>
          <w:tcPr>
            <w:cnfStyle w:val="001000000000"/>
            <w:tcW w:w="3485" w:type="pct"/>
            <w:noWrap/>
            <w:vAlign w:val="center"/>
            <w:hideMark/>
          </w:tcPr>
          <w:p w:rsidR="00084397" w:rsidRPr="002B7A50" w:rsidRDefault="00084397" w:rsidP="00084397">
            <w:pPr>
              <w:pStyle w:val="HUNNormal"/>
              <w:jc w:val="center"/>
              <w:rPr>
                <w:sz w:val="18"/>
              </w:rPr>
            </w:pPr>
            <w:r w:rsidRPr="002B7A50">
              <w:rPr>
                <w:sz w:val="18"/>
              </w:rPr>
              <w:t>Gépcsoportok</w:t>
            </w:r>
          </w:p>
        </w:tc>
        <w:tc>
          <w:tcPr>
            <w:tcW w:w="1515" w:type="pct"/>
            <w:noWrap/>
            <w:vAlign w:val="center"/>
            <w:hideMark/>
          </w:tcPr>
          <w:p w:rsidR="00084397" w:rsidRPr="002B7A50" w:rsidRDefault="00084397" w:rsidP="00084397">
            <w:pPr>
              <w:pStyle w:val="HUNNormal"/>
              <w:jc w:val="center"/>
              <w:cnfStyle w:val="100000000000"/>
              <w:rPr>
                <w:sz w:val="18"/>
              </w:rPr>
            </w:pPr>
            <w:r>
              <w:rPr>
                <w:sz w:val="18"/>
              </w:rPr>
              <w:t>Megítélt támogatási összegek</w:t>
            </w:r>
          </w:p>
        </w:tc>
      </w:tr>
      <w:tr w:rsidR="00084397" w:rsidRPr="002B7A50" w:rsidTr="00084397">
        <w:trPr>
          <w:cnfStyle w:val="000000100000"/>
          <w:trHeight w:val="255"/>
          <w:jc w:val="center"/>
        </w:trPr>
        <w:tc>
          <w:tcPr>
            <w:cnfStyle w:val="001000000000"/>
            <w:tcW w:w="3485" w:type="pct"/>
            <w:noWrap/>
            <w:vAlign w:val="center"/>
            <w:hideMark/>
          </w:tcPr>
          <w:p w:rsidR="00084397" w:rsidRPr="00D74201" w:rsidRDefault="00084397" w:rsidP="00084397">
            <w:pPr>
              <w:pStyle w:val="HUNNormal"/>
              <w:jc w:val="center"/>
              <w:rPr>
                <w:b w:val="0"/>
                <w:sz w:val="18"/>
              </w:rPr>
            </w:pPr>
            <w:r w:rsidRPr="00D74201">
              <w:rPr>
                <w:b w:val="0"/>
                <w:sz w:val="18"/>
              </w:rPr>
              <w:t>Traktorok</w:t>
            </w:r>
          </w:p>
        </w:tc>
        <w:tc>
          <w:tcPr>
            <w:tcW w:w="1515" w:type="pct"/>
            <w:noWrap/>
            <w:vAlign w:val="center"/>
            <w:hideMark/>
          </w:tcPr>
          <w:p w:rsidR="00084397" w:rsidRPr="002B7A50" w:rsidRDefault="00084397" w:rsidP="00084397">
            <w:pPr>
              <w:pStyle w:val="HUNNormal"/>
              <w:jc w:val="center"/>
              <w:cnfStyle w:val="000000100000"/>
              <w:rPr>
                <w:sz w:val="18"/>
              </w:rPr>
            </w:pPr>
            <w:r w:rsidRPr="002B7A50">
              <w:rPr>
                <w:sz w:val="18"/>
              </w:rPr>
              <w:t>6 589 043 022 Ft</w:t>
            </w:r>
          </w:p>
        </w:tc>
      </w:tr>
      <w:tr w:rsidR="00084397" w:rsidRPr="002B7A50" w:rsidTr="00084397">
        <w:trPr>
          <w:trHeight w:val="255"/>
          <w:jc w:val="center"/>
        </w:trPr>
        <w:tc>
          <w:tcPr>
            <w:cnfStyle w:val="001000000000"/>
            <w:tcW w:w="3485" w:type="pct"/>
            <w:noWrap/>
            <w:vAlign w:val="center"/>
            <w:hideMark/>
          </w:tcPr>
          <w:p w:rsidR="00084397" w:rsidRPr="00D74201" w:rsidRDefault="00084397" w:rsidP="00084397">
            <w:pPr>
              <w:pStyle w:val="HUNNormal"/>
              <w:jc w:val="center"/>
              <w:rPr>
                <w:b w:val="0"/>
                <w:sz w:val="18"/>
              </w:rPr>
            </w:pPr>
            <w:r w:rsidRPr="00D74201">
              <w:rPr>
                <w:b w:val="0"/>
                <w:sz w:val="18"/>
              </w:rPr>
              <w:t>Magajáró betakarítók</w:t>
            </w:r>
          </w:p>
        </w:tc>
        <w:tc>
          <w:tcPr>
            <w:tcW w:w="1515" w:type="pct"/>
            <w:noWrap/>
            <w:vAlign w:val="center"/>
            <w:hideMark/>
          </w:tcPr>
          <w:p w:rsidR="00084397" w:rsidRPr="002B7A50" w:rsidRDefault="00084397" w:rsidP="00084397">
            <w:pPr>
              <w:pStyle w:val="HUNNormal"/>
              <w:jc w:val="center"/>
              <w:cnfStyle w:val="000000000000"/>
              <w:rPr>
                <w:sz w:val="18"/>
              </w:rPr>
            </w:pPr>
            <w:r w:rsidRPr="002B7A50">
              <w:rPr>
                <w:sz w:val="18"/>
              </w:rPr>
              <w:t>979 920 130 Ft</w:t>
            </w:r>
          </w:p>
        </w:tc>
      </w:tr>
      <w:tr w:rsidR="00084397" w:rsidRPr="002B7A50" w:rsidTr="00084397">
        <w:trPr>
          <w:cnfStyle w:val="000000100000"/>
          <w:trHeight w:val="255"/>
          <w:jc w:val="center"/>
        </w:trPr>
        <w:tc>
          <w:tcPr>
            <w:cnfStyle w:val="001000000000"/>
            <w:tcW w:w="3485" w:type="pct"/>
            <w:noWrap/>
            <w:vAlign w:val="center"/>
            <w:hideMark/>
          </w:tcPr>
          <w:p w:rsidR="00084397" w:rsidRPr="00D74201" w:rsidRDefault="00084397" w:rsidP="00084397">
            <w:pPr>
              <w:pStyle w:val="HUNNormal"/>
              <w:jc w:val="center"/>
              <w:rPr>
                <w:b w:val="0"/>
                <w:sz w:val="18"/>
              </w:rPr>
            </w:pPr>
            <w:r w:rsidRPr="00D74201">
              <w:rPr>
                <w:b w:val="0"/>
                <w:sz w:val="18"/>
              </w:rPr>
              <w:t>Betakarítógépek, adapterek</w:t>
            </w:r>
          </w:p>
        </w:tc>
        <w:tc>
          <w:tcPr>
            <w:tcW w:w="1515" w:type="pct"/>
            <w:noWrap/>
            <w:vAlign w:val="center"/>
            <w:hideMark/>
          </w:tcPr>
          <w:p w:rsidR="00084397" w:rsidRPr="002B7A50" w:rsidRDefault="00084397" w:rsidP="00084397">
            <w:pPr>
              <w:pStyle w:val="HUNNormal"/>
              <w:jc w:val="center"/>
              <w:cnfStyle w:val="000000100000"/>
              <w:rPr>
                <w:sz w:val="18"/>
              </w:rPr>
            </w:pPr>
            <w:r w:rsidRPr="002B7A50">
              <w:rPr>
                <w:sz w:val="18"/>
              </w:rPr>
              <w:t>473 884 599 Ft</w:t>
            </w:r>
          </w:p>
        </w:tc>
      </w:tr>
      <w:tr w:rsidR="00084397" w:rsidRPr="002B7A50" w:rsidTr="00084397">
        <w:trPr>
          <w:trHeight w:val="255"/>
          <w:jc w:val="center"/>
        </w:trPr>
        <w:tc>
          <w:tcPr>
            <w:cnfStyle w:val="001000000000"/>
            <w:tcW w:w="3485" w:type="pct"/>
            <w:noWrap/>
            <w:vAlign w:val="center"/>
            <w:hideMark/>
          </w:tcPr>
          <w:p w:rsidR="00084397" w:rsidRPr="00D74201" w:rsidRDefault="00084397" w:rsidP="00084397">
            <w:pPr>
              <w:pStyle w:val="HUNNormal"/>
              <w:jc w:val="center"/>
              <w:rPr>
                <w:b w:val="0"/>
                <w:sz w:val="18"/>
              </w:rPr>
            </w:pPr>
            <w:r w:rsidRPr="00D74201">
              <w:rPr>
                <w:b w:val="0"/>
                <w:sz w:val="18"/>
              </w:rPr>
              <w:t>Álló- és vegyes munkák gépei</w:t>
            </w:r>
          </w:p>
        </w:tc>
        <w:tc>
          <w:tcPr>
            <w:tcW w:w="1515" w:type="pct"/>
            <w:noWrap/>
            <w:vAlign w:val="center"/>
            <w:hideMark/>
          </w:tcPr>
          <w:p w:rsidR="00084397" w:rsidRPr="002B7A50" w:rsidRDefault="00084397" w:rsidP="00084397">
            <w:pPr>
              <w:pStyle w:val="HUNNormal"/>
              <w:jc w:val="center"/>
              <w:cnfStyle w:val="000000000000"/>
              <w:rPr>
                <w:sz w:val="18"/>
              </w:rPr>
            </w:pPr>
            <w:r w:rsidRPr="002B7A50">
              <w:rPr>
                <w:sz w:val="18"/>
              </w:rPr>
              <w:t>385 849 485 Ft</w:t>
            </w:r>
          </w:p>
        </w:tc>
      </w:tr>
      <w:tr w:rsidR="00084397" w:rsidRPr="002B7A50" w:rsidTr="00084397">
        <w:trPr>
          <w:cnfStyle w:val="000000100000"/>
          <w:trHeight w:val="255"/>
          <w:jc w:val="center"/>
        </w:trPr>
        <w:tc>
          <w:tcPr>
            <w:cnfStyle w:val="001000000000"/>
            <w:tcW w:w="3485" w:type="pct"/>
            <w:noWrap/>
            <w:vAlign w:val="center"/>
            <w:hideMark/>
          </w:tcPr>
          <w:p w:rsidR="00084397" w:rsidRPr="00D74201" w:rsidRDefault="00084397" w:rsidP="00084397">
            <w:pPr>
              <w:pStyle w:val="HUNNormal"/>
              <w:jc w:val="center"/>
              <w:rPr>
                <w:b w:val="0"/>
                <w:sz w:val="18"/>
              </w:rPr>
            </w:pPr>
            <w:proofErr w:type="spellStart"/>
            <w:r w:rsidRPr="00D74201">
              <w:rPr>
                <w:b w:val="0"/>
                <w:sz w:val="18"/>
              </w:rPr>
              <w:t>Növényvédőgépek</w:t>
            </w:r>
            <w:proofErr w:type="spellEnd"/>
            <w:r w:rsidRPr="00D74201">
              <w:rPr>
                <w:b w:val="0"/>
                <w:sz w:val="18"/>
              </w:rPr>
              <w:t xml:space="preserve">, műtrágya és </w:t>
            </w:r>
            <w:proofErr w:type="spellStart"/>
            <w:r w:rsidRPr="00D74201">
              <w:rPr>
                <w:b w:val="0"/>
                <w:sz w:val="18"/>
              </w:rPr>
              <w:t>szervestrágya</w:t>
            </w:r>
            <w:proofErr w:type="spellEnd"/>
            <w:r w:rsidRPr="00D74201">
              <w:rPr>
                <w:b w:val="0"/>
                <w:sz w:val="18"/>
              </w:rPr>
              <w:t>…</w:t>
            </w:r>
          </w:p>
        </w:tc>
        <w:tc>
          <w:tcPr>
            <w:tcW w:w="1515" w:type="pct"/>
            <w:noWrap/>
            <w:vAlign w:val="center"/>
            <w:hideMark/>
          </w:tcPr>
          <w:p w:rsidR="00084397" w:rsidRPr="002B7A50" w:rsidRDefault="00084397" w:rsidP="00084397">
            <w:pPr>
              <w:pStyle w:val="HUNNormal"/>
              <w:jc w:val="center"/>
              <w:cnfStyle w:val="000000100000"/>
              <w:rPr>
                <w:sz w:val="18"/>
              </w:rPr>
            </w:pPr>
            <w:r w:rsidRPr="002B7A50">
              <w:rPr>
                <w:sz w:val="18"/>
              </w:rPr>
              <w:t>340 840 136 Ft</w:t>
            </w:r>
          </w:p>
        </w:tc>
      </w:tr>
      <w:tr w:rsidR="00084397" w:rsidRPr="002B7A50" w:rsidTr="00084397">
        <w:trPr>
          <w:trHeight w:val="255"/>
          <w:jc w:val="center"/>
        </w:trPr>
        <w:tc>
          <w:tcPr>
            <w:cnfStyle w:val="001000000000"/>
            <w:tcW w:w="3485" w:type="pct"/>
            <w:noWrap/>
            <w:vAlign w:val="center"/>
            <w:hideMark/>
          </w:tcPr>
          <w:p w:rsidR="00084397" w:rsidRPr="00D74201" w:rsidRDefault="00084397" w:rsidP="00084397">
            <w:pPr>
              <w:pStyle w:val="HUNNormal"/>
              <w:jc w:val="center"/>
              <w:rPr>
                <w:b w:val="0"/>
                <w:sz w:val="18"/>
              </w:rPr>
            </w:pPr>
            <w:r w:rsidRPr="00D74201">
              <w:rPr>
                <w:b w:val="0"/>
                <w:sz w:val="18"/>
              </w:rPr>
              <w:t>Talajművelő- és földművelőgépek</w:t>
            </w:r>
          </w:p>
        </w:tc>
        <w:tc>
          <w:tcPr>
            <w:tcW w:w="1515" w:type="pct"/>
            <w:noWrap/>
            <w:vAlign w:val="center"/>
            <w:hideMark/>
          </w:tcPr>
          <w:p w:rsidR="00084397" w:rsidRPr="002B7A50" w:rsidRDefault="00084397" w:rsidP="00084397">
            <w:pPr>
              <w:pStyle w:val="HUNNormal"/>
              <w:jc w:val="center"/>
              <w:cnfStyle w:val="000000000000"/>
              <w:rPr>
                <w:sz w:val="18"/>
              </w:rPr>
            </w:pPr>
            <w:r w:rsidRPr="002B7A50">
              <w:rPr>
                <w:sz w:val="18"/>
              </w:rPr>
              <w:t>210 090 798 Ft</w:t>
            </w:r>
          </w:p>
        </w:tc>
      </w:tr>
      <w:tr w:rsidR="00084397" w:rsidRPr="002B7A50" w:rsidTr="00084397">
        <w:trPr>
          <w:cnfStyle w:val="000000100000"/>
          <w:trHeight w:val="255"/>
          <w:jc w:val="center"/>
        </w:trPr>
        <w:tc>
          <w:tcPr>
            <w:cnfStyle w:val="001000000000"/>
            <w:tcW w:w="3485" w:type="pct"/>
            <w:noWrap/>
            <w:vAlign w:val="center"/>
            <w:hideMark/>
          </w:tcPr>
          <w:p w:rsidR="00084397" w:rsidRPr="00D74201" w:rsidRDefault="00084397" w:rsidP="00084397">
            <w:pPr>
              <w:pStyle w:val="HUNNormal"/>
              <w:jc w:val="center"/>
              <w:rPr>
                <w:b w:val="0"/>
                <w:sz w:val="18"/>
              </w:rPr>
            </w:pPr>
            <w:r w:rsidRPr="00D74201">
              <w:rPr>
                <w:b w:val="0"/>
                <w:sz w:val="18"/>
              </w:rPr>
              <w:t>Tisztító- manipuláló- és feldolgozógépek</w:t>
            </w:r>
          </w:p>
        </w:tc>
        <w:tc>
          <w:tcPr>
            <w:tcW w:w="1515" w:type="pct"/>
            <w:noWrap/>
            <w:vAlign w:val="center"/>
            <w:hideMark/>
          </w:tcPr>
          <w:p w:rsidR="00084397" w:rsidRPr="002B7A50" w:rsidRDefault="00084397" w:rsidP="00084397">
            <w:pPr>
              <w:pStyle w:val="HUNNormal"/>
              <w:jc w:val="center"/>
              <w:cnfStyle w:val="000000100000"/>
              <w:rPr>
                <w:sz w:val="18"/>
              </w:rPr>
            </w:pPr>
            <w:r w:rsidRPr="002B7A50">
              <w:rPr>
                <w:sz w:val="18"/>
              </w:rPr>
              <w:t>209 346 728 Ft</w:t>
            </w:r>
          </w:p>
        </w:tc>
      </w:tr>
      <w:tr w:rsidR="00084397" w:rsidRPr="002B7A50" w:rsidTr="00084397">
        <w:trPr>
          <w:trHeight w:val="255"/>
          <w:jc w:val="center"/>
        </w:trPr>
        <w:tc>
          <w:tcPr>
            <w:cnfStyle w:val="001000000000"/>
            <w:tcW w:w="3485" w:type="pct"/>
            <w:noWrap/>
            <w:vAlign w:val="center"/>
            <w:hideMark/>
          </w:tcPr>
          <w:p w:rsidR="00084397" w:rsidRPr="00D74201" w:rsidRDefault="00084397" w:rsidP="00084397">
            <w:pPr>
              <w:pStyle w:val="HUNNormal"/>
              <w:jc w:val="center"/>
              <w:rPr>
                <w:b w:val="0"/>
                <w:sz w:val="18"/>
              </w:rPr>
            </w:pPr>
            <w:r w:rsidRPr="00D74201">
              <w:rPr>
                <w:b w:val="0"/>
                <w:sz w:val="18"/>
              </w:rPr>
              <w:t>Öntözés gépei, berendezései</w:t>
            </w:r>
          </w:p>
        </w:tc>
        <w:tc>
          <w:tcPr>
            <w:tcW w:w="1515" w:type="pct"/>
            <w:noWrap/>
            <w:vAlign w:val="center"/>
            <w:hideMark/>
          </w:tcPr>
          <w:p w:rsidR="00084397" w:rsidRPr="002B7A50" w:rsidRDefault="00084397" w:rsidP="00084397">
            <w:pPr>
              <w:pStyle w:val="HUNNormal"/>
              <w:jc w:val="center"/>
              <w:cnfStyle w:val="000000000000"/>
              <w:rPr>
                <w:sz w:val="18"/>
              </w:rPr>
            </w:pPr>
            <w:r w:rsidRPr="002B7A50">
              <w:rPr>
                <w:sz w:val="18"/>
              </w:rPr>
              <w:t>163 974 142 Ft</w:t>
            </w:r>
          </w:p>
        </w:tc>
      </w:tr>
      <w:tr w:rsidR="00084397" w:rsidRPr="002B7A50" w:rsidTr="00084397">
        <w:trPr>
          <w:cnfStyle w:val="000000100000"/>
          <w:trHeight w:val="255"/>
          <w:jc w:val="center"/>
        </w:trPr>
        <w:tc>
          <w:tcPr>
            <w:cnfStyle w:val="001000000000"/>
            <w:tcW w:w="3485" w:type="pct"/>
            <w:noWrap/>
            <w:vAlign w:val="center"/>
            <w:hideMark/>
          </w:tcPr>
          <w:p w:rsidR="00084397" w:rsidRPr="00D74201" w:rsidRDefault="00084397" w:rsidP="00084397">
            <w:pPr>
              <w:pStyle w:val="HUNNormal"/>
              <w:jc w:val="center"/>
              <w:rPr>
                <w:b w:val="0"/>
                <w:sz w:val="18"/>
              </w:rPr>
            </w:pPr>
            <w:r w:rsidRPr="00D74201">
              <w:rPr>
                <w:b w:val="0"/>
                <w:sz w:val="18"/>
              </w:rPr>
              <w:lastRenderedPageBreak/>
              <w:t>Egyéb magajáró gépek</w:t>
            </w:r>
          </w:p>
        </w:tc>
        <w:tc>
          <w:tcPr>
            <w:tcW w:w="1515" w:type="pct"/>
            <w:noWrap/>
            <w:vAlign w:val="center"/>
            <w:hideMark/>
          </w:tcPr>
          <w:p w:rsidR="00084397" w:rsidRPr="002B7A50" w:rsidRDefault="00084397" w:rsidP="00084397">
            <w:pPr>
              <w:pStyle w:val="HUNNormal"/>
              <w:jc w:val="center"/>
              <w:cnfStyle w:val="000000100000"/>
              <w:rPr>
                <w:sz w:val="18"/>
              </w:rPr>
            </w:pPr>
            <w:r w:rsidRPr="002B7A50">
              <w:rPr>
                <w:sz w:val="18"/>
              </w:rPr>
              <w:t>160 680 714 Ft</w:t>
            </w:r>
          </w:p>
        </w:tc>
      </w:tr>
      <w:tr w:rsidR="00084397" w:rsidRPr="002B7A50" w:rsidTr="00084397">
        <w:trPr>
          <w:trHeight w:val="255"/>
          <w:jc w:val="center"/>
        </w:trPr>
        <w:tc>
          <w:tcPr>
            <w:cnfStyle w:val="001000000000"/>
            <w:tcW w:w="3485" w:type="pct"/>
            <w:noWrap/>
            <w:vAlign w:val="center"/>
            <w:hideMark/>
          </w:tcPr>
          <w:p w:rsidR="00084397" w:rsidRPr="00D74201" w:rsidRDefault="00084397" w:rsidP="00084397">
            <w:pPr>
              <w:pStyle w:val="HUNNormal"/>
              <w:jc w:val="center"/>
              <w:rPr>
                <w:b w:val="0"/>
                <w:sz w:val="18"/>
              </w:rPr>
            </w:pPr>
            <w:r w:rsidRPr="00D74201">
              <w:rPr>
                <w:b w:val="0"/>
                <w:sz w:val="18"/>
              </w:rPr>
              <w:t xml:space="preserve">Növénytermelés és </w:t>
            </w:r>
            <w:proofErr w:type="spellStart"/>
            <w:r w:rsidRPr="00D74201">
              <w:rPr>
                <w:b w:val="0"/>
                <w:sz w:val="18"/>
              </w:rPr>
              <w:t>-feldolgozás</w:t>
            </w:r>
            <w:proofErr w:type="spellEnd"/>
            <w:r w:rsidRPr="00D74201">
              <w:rPr>
                <w:b w:val="0"/>
                <w:sz w:val="18"/>
              </w:rPr>
              <w:t xml:space="preserve"> egyéb gépei</w:t>
            </w:r>
          </w:p>
        </w:tc>
        <w:tc>
          <w:tcPr>
            <w:tcW w:w="1515" w:type="pct"/>
            <w:noWrap/>
            <w:vAlign w:val="center"/>
            <w:hideMark/>
          </w:tcPr>
          <w:p w:rsidR="00084397" w:rsidRPr="002B7A50" w:rsidRDefault="00084397" w:rsidP="00084397">
            <w:pPr>
              <w:pStyle w:val="HUNNormal"/>
              <w:jc w:val="center"/>
              <w:cnfStyle w:val="000000000000"/>
              <w:rPr>
                <w:sz w:val="18"/>
              </w:rPr>
            </w:pPr>
            <w:r w:rsidRPr="002B7A50">
              <w:rPr>
                <w:sz w:val="18"/>
              </w:rPr>
              <w:t>137 603 938 Ft</w:t>
            </w:r>
          </w:p>
        </w:tc>
      </w:tr>
      <w:tr w:rsidR="00084397" w:rsidRPr="002B7A50" w:rsidTr="00084397">
        <w:trPr>
          <w:cnfStyle w:val="000000100000"/>
          <w:trHeight w:val="255"/>
          <w:jc w:val="center"/>
        </w:trPr>
        <w:tc>
          <w:tcPr>
            <w:cnfStyle w:val="001000000000"/>
            <w:tcW w:w="3485" w:type="pct"/>
            <w:noWrap/>
            <w:vAlign w:val="center"/>
            <w:hideMark/>
          </w:tcPr>
          <w:p w:rsidR="00084397" w:rsidRPr="00D74201" w:rsidRDefault="00084397" w:rsidP="00084397">
            <w:pPr>
              <w:pStyle w:val="HUNNormal"/>
              <w:jc w:val="center"/>
              <w:rPr>
                <w:b w:val="0"/>
                <w:sz w:val="18"/>
              </w:rPr>
            </w:pPr>
            <w:r w:rsidRPr="00D74201">
              <w:rPr>
                <w:b w:val="0"/>
                <w:sz w:val="18"/>
              </w:rPr>
              <w:t>Anyagmozgató gépek</w:t>
            </w:r>
          </w:p>
        </w:tc>
        <w:tc>
          <w:tcPr>
            <w:tcW w:w="1515" w:type="pct"/>
            <w:noWrap/>
            <w:vAlign w:val="center"/>
            <w:hideMark/>
          </w:tcPr>
          <w:p w:rsidR="00084397" w:rsidRPr="002B7A50" w:rsidRDefault="00084397" w:rsidP="00084397">
            <w:pPr>
              <w:pStyle w:val="HUNNormal"/>
              <w:jc w:val="center"/>
              <w:cnfStyle w:val="000000100000"/>
              <w:rPr>
                <w:sz w:val="18"/>
              </w:rPr>
            </w:pPr>
            <w:r w:rsidRPr="002B7A50">
              <w:rPr>
                <w:sz w:val="18"/>
              </w:rPr>
              <w:t>120 399 650 Ft</w:t>
            </w:r>
          </w:p>
        </w:tc>
      </w:tr>
      <w:tr w:rsidR="00084397" w:rsidRPr="002B7A50" w:rsidTr="00084397">
        <w:trPr>
          <w:trHeight w:val="255"/>
          <w:jc w:val="center"/>
        </w:trPr>
        <w:tc>
          <w:tcPr>
            <w:cnfStyle w:val="001000000000"/>
            <w:tcW w:w="3485" w:type="pct"/>
            <w:noWrap/>
            <w:vAlign w:val="center"/>
            <w:hideMark/>
          </w:tcPr>
          <w:p w:rsidR="00084397" w:rsidRPr="00D74201" w:rsidRDefault="00084397" w:rsidP="00084397">
            <w:pPr>
              <w:pStyle w:val="HUNNormal"/>
              <w:jc w:val="center"/>
              <w:rPr>
                <w:b w:val="0"/>
                <w:sz w:val="18"/>
              </w:rPr>
            </w:pPr>
            <w:r w:rsidRPr="00D74201">
              <w:rPr>
                <w:b w:val="0"/>
                <w:sz w:val="18"/>
              </w:rPr>
              <w:t>Vető- és ültetőgépek</w:t>
            </w:r>
          </w:p>
        </w:tc>
        <w:tc>
          <w:tcPr>
            <w:tcW w:w="1515" w:type="pct"/>
            <w:noWrap/>
            <w:vAlign w:val="center"/>
            <w:hideMark/>
          </w:tcPr>
          <w:p w:rsidR="00084397" w:rsidRPr="002B7A50" w:rsidRDefault="00084397" w:rsidP="00084397">
            <w:pPr>
              <w:pStyle w:val="HUNNormal"/>
              <w:jc w:val="center"/>
              <w:cnfStyle w:val="000000000000"/>
              <w:rPr>
                <w:sz w:val="18"/>
              </w:rPr>
            </w:pPr>
            <w:r w:rsidRPr="002B7A50">
              <w:rPr>
                <w:sz w:val="18"/>
              </w:rPr>
              <w:t>108 900 789 Ft</w:t>
            </w:r>
          </w:p>
        </w:tc>
      </w:tr>
      <w:tr w:rsidR="00084397" w:rsidRPr="002B7A50" w:rsidTr="00084397">
        <w:trPr>
          <w:cnfStyle w:val="000000100000"/>
          <w:trHeight w:val="255"/>
          <w:jc w:val="center"/>
        </w:trPr>
        <w:tc>
          <w:tcPr>
            <w:cnfStyle w:val="001000000000"/>
            <w:tcW w:w="3485" w:type="pct"/>
            <w:noWrap/>
            <w:vAlign w:val="center"/>
            <w:hideMark/>
          </w:tcPr>
          <w:p w:rsidR="00084397" w:rsidRPr="00D74201" w:rsidRDefault="00084397" w:rsidP="00084397">
            <w:pPr>
              <w:pStyle w:val="HUNNormal"/>
              <w:jc w:val="center"/>
              <w:rPr>
                <w:b w:val="0"/>
                <w:sz w:val="18"/>
              </w:rPr>
            </w:pPr>
            <w:r w:rsidRPr="00D74201">
              <w:rPr>
                <w:b w:val="0"/>
                <w:sz w:val="18"/>
              </w:rPr>
              <w:t>Egyéb majori gépek, műszerek</w:t>
            </w:r>
          </w:p>
        </w:tc>
        <w:tc>
          <w:tcPr>
            <w:tcW w:w="1515" w:type="pct"/>
            <w:noWrap/>
            <w:vAlign w:val="center"/>
            <w:hideMark/>
          </w:tcPr>
          <w:p w:rsidR="00084397" w:rsidRPr="002B7A50" w:rsidRDefault="00084397" w:rsidP="00084397">
            <w:pPr>
              <w:pStyle w:val="HUNNormal"/>
              <w:jc w:val="center"/>
              <w:cnfStyle w:val="000000100000"/>
              <w:rPr>
                <w:sz w:val="18"/>
              </w:rPr>
            </w:pPr>
            <w:r w:rsidRPr="002B7A50">
              <w:rPr>
                <w:sz w:val="18"/>
              </w:rPr>
              <w:t>83 570 585 Ft</w:t>
            </w:r>
          </w:p>
        </w:tc>
      </w:tr>
      <w:tr w:rsidR="00084397" w:rsidRPr="00792792" w:rsidTr="00084397">
        <w:trPr>
          <w:trHeight w:val="255"/>
          <w:jc w:val="center"/>
        </w:trPr>
        <w:tc>
          <w:tcPr>
            <w:cnfStyle w:val="001000000000"/>
            <w:tcW w:w="3485" w:type="pct"/>
            <w:noWrap/>
            <w:vAlign w:val="center"/>
            <w:hideMark/>
          </w:tcPr>
          <w:p w:rsidR="00084397" w:rsidRPr="002B7A50" w:rsidRDefault="00084397" w:rsidP="00084397">
            <w:pPr>
              <w:pStyle w:val="HUNNormal"/>
              <w:jc w:val="center"/>
              <w:rPr>
                <w:sz w:val="18"/>
              </w:rPr>
            </w:pPr>
            <w:r w:rsidRPr="002B7A50">
              <w:rPr>
                <w:sz w:val="18"/>
              </w:rPr>
              <w:t>Összesen</w:t>
            </w:r>
          </w:p>
        </w:tc>
        <w:tc>
          <w:tcPr>
            <w:tcW w:w="1515" w:type="pct"/>
            <w:noWrap/>
            <w:vAlign w:val="center"/>
            <w:hideMark/>
          </w:tcPr>
          <w:p w:rsidR="00084397" w:rsidRPr="00792792" w:rsidRDefault="00084397" w:rsidP="00084397">
            <w:pPr>
              <w:pStyle w:val="HUNNormal"/>
              <w:keepNext/>
              <w:jc w:val="center"/>
              <w:cnfStyle w:val="000000000000"/>
              <w:rPr>
                <w:b/>
                <w:sz w:val="18"/>
              </w:rPr>
            </w:pPr>
            <w:r w:rsidRPr="00792792">
              <w:rPr>
                <w:b/>
                <w:sz w:val="18"/>
              </w:rPr>
              <w:t>9 964 104 716 Ft</w:t>
            </w:r>
          </w:p>
        </w:tc>
      </w:tr>
    </w:tbl>
    <w:p w:rsidR="00084397" w:rsidRDefault="003F44DC" w:rsidP="00084397">
      <w:pPr>
        <w:pStyle w:val="Caption"/>
        <w:spacing w:before="240"/>
        <w:jc w:val="center"/>
        <w:rPr>
          <w:color w:val="auto"/>
        </w:rPr>
      </w:pPr>
      <w:r>
        <w:rPr>
          <w:color w:val="auto"/>
        </w:rPr>
        <w:fldChar w:fldCharType="begin"/>
      </w:r>
      <w:r w:rsidR="00084397">
        <w:rPr>
          <w:color w:val="auto"/>
        </w:rPr>
        <w:instrText xml:space="preserve"> SEQ táblázat \* ARABIC </w:instrText>
      </w:r>
      <w:r>
        <w:rPr>
          <w:color w:val="auto"/>
        </w:rPr>
        <w:fldChar w:fldCharType="separate"/>
      </w:r>
      <w:r w:rsidR="002D1B7A">
        <w:rPr>
          <w:noProof/>
          <w:color w:val="auto"/>
        </w:rPr>
        <w:t>25</w:t>
      </w:r>
      <w:r>
        <w:rPr>
          <w:color w:val="auto"/>
        </w:rPr>
        <w:fldChar w:fldCharType="end"/>
      </w:r>
      <w:r w:rsidR="00084397" w:rsidRPr="002B7A50">
        <w:rPr>
          <w:color w:val="auto"/>
        </w:rPr>
        <w:t>. táblázat</w:t>
      </w:r>
      <w:r w:rsidR="00084397">
        <w:rPr>
          <w:color w:val="auto"/>
        </w:rPr>
        <w:t>: Kertészeti gépcsoportok támogatási megoszlása</w:t>
      </w:r>
    </w:p>
    <w:p w:rsidR="00084397" w:rsidRDefault="00084397" w:rsidP="00084397">
      <w:pPr>
        <w:jc w:val="both"/>
      </w:pPr>
      <w:r>
        <w:t>Látható, hogy a legtöbb támogatást traktorokra vették fel a kertészeti gép jogcímben is, ahogyan a gépb</w:t>
      </w:r>
      <w:r>
        <w:t>e</w:t>
      </w:r>
      <w:r>
        <w:t>szerzés jogcímben is. A traktorok származási ország szerinti megoszlásának vizsgálata alapján megállapíth</w:t>
      </w:r>
      <w:r>
        <w:t>a</w:t>
      </w:r>
      <w:r>
        <w:t xml:space="preserve">tó, hogy azok többsége Európából érkezett – lásd: </w:t>
      </w:r>
      <w:r w:rsidR="003F44DC">
        <w:fldChar w:fldCharType="begin"/>
      </w:r>
      <w:r>
        <w:instrText xml:space="preserve"> REF _Ref278091346 \h </w:instrText>
      </w:r>
      <w:r w:rsidR="003F44DC">
        <w:fldChar w:fldCharType="separate"/>
      </w:r>
      <w:r w:rsidR="002D1B7A">
        <w:rPr>
          <w:noProof/>
        </w:rPr>
        <w:t>26</w:t>
      </w:r>
      <w:r w:rsidR="003F44DC">
        <w:fldChar w:fldCharType="end"/>
      </w:r>
      <w:r>
        <w:t>. táblázat.</w:t>
      </w:r>
    </w:p>
    <w:p w:rsidR="00084397" w:rsidRDefault="00084397" w:rsidP="00084397">
      <w:pPr>
        <w:jc w:val="both"/>
      </w:pPr>
    </w:p>
    <w:tbl>
      <w:tblPr>
        <w:tblStyle w:val="MediumGrid3-Accent2"/>
        <w:tblW w:w="0" w:type="auto"/>
        <w:jc w:val="center"/>
        <w:tblLook w:val="04A0"/>
      </w:tblPr>
      <w:tblGrid>
        <w:gridCol w:w="2476"/>
        <w:gridCol w:w="2476"/>
      </w:tblGrid>
      <w:tr w:rsidR="00084397" w:rsidRPr="00CB3993" w:rsidTr="00084397">
        <w:trPr>
          <w:cnfStyle w:val="100000000000"/>
          <w:trHeight w:val="255"/>
          <w:jc w:val="center"/>
        </w:trPr>
        <w:tc>
          <w:tcPr>
            <w:cnfStyle w:val="001000000000"/>
            <w:tcW w:w="0" w:type="auto"/>
            <w:noWrap/>
            <w:vAlign w:val="center"/>
            <w:hideMark/>
          </w:tcPr>
          <w:p w:rsidR="00084397" w:rsidRPr="00CB3993" w:rsidRDefault="00084397" w:rsidP="00084397">
            <w:pPr>
              <w:jc w:val="center"/>
              <w:rPr>
                <w:sz w:val="18"/>
              </w:rPr>
            </w:pPr>
            <w:r w:rsidRPr="00CB3993">
              <w:rPr>
                <w:sz w:val="18"/>
              </w:rPr>
              <w:t>Traktorok származási országa</w:t>
            </w:r>
          </w:p>
        </w:tc>
        <w:tc>
          <w:tcPr>
            <w:tcW w:w="0" w:type="auto"/>
            <w:noWrap/>
            <w:vAlign w:val="center"/>
            <w:hideMark/>
          </w:tcPr>
          <w:p w:rsidR="00084397" w:rsidRPr="00CB3993" w:rsidRDefault="00084397" w:rsidP="00084397">
            <w:pPr>
              <w:jc w:val="center"/>
              <w:cnfStyle w:val="100000000000"/>
              <w:rPr>
                <w:sz w:val="18"/>
              </w:rPr>
            </w:pPr>
            <w:r>
              <w:rPr>
                <w:sz w:val="18"/>
              </w:rPr>
              <w:t>Megítélt támogatási összegek</w:t>
            </w:r>
          </w:p>
        </w:tc>
      </w:tr>
      <w:tr w:rsidR="00084397" w:rsidRPr="00CB3993" w:rsidTr="00084397">
        <w:trPr>
          <w:cnfStyle w:val="000000100000"/>
          <w:trHeight w:val="255"/>
          <w:jc w:val="center"/>
        </w:trPr>
        <w:tc>
          <w:tcPr>
            <w:cnfStyle w:val="001000000000"/>
            <w:tcW w:w="0" w:type="auto"/>
            <w:noWrap/>
            <w:vAlign w:val="center"/>
            <w:hideMark/>
          </w:tcPr>
          <w:p w:rsidR="00084397" w:rsidRPr="00CB3993" w:rsidRDefault="00084397" w:rsidP="00084397">
            <w:pPr>
              <w:jc w:val="center"/>
              <w:rPr>
                <w:sz w:val="18"/>
              </w:rPr>
            </w:pPr>
            <w:r w:rsidRPr="00CB3993">
              <w:rPr>
                <w:sz w:val="18"/>
              </w:rPr>
              <w:t>O</w:t>
            </w:r>
            <w:r>
              <w:rPr>
                <w:sz w:val="18"/>
              </w:rPr>
              <w:t>lasz</w:t>
            </w:r>
          </w:p>
        </w:tc>
        <w:tc>
          <w:tcPr>
            <w:tcW w:w="0" w:type="auto"/>
            <w:noWrap/>
            <w:vAlign w:val="center"/>
            <w:hideMark/>
          </w:tcPr>
          <w:p w:rsidR="00084397" w:rsidRPr="00CB3993" w:rsidRDefault="00084397" w:rsidP="00084397">
            <w:pPr>
              <w:jc w:val="center"/>
              <w:cnfStyle w:val="000000100000"/>
              <w:rPr>
                <w:sz w:val="18"/>
              </w:rPr>
            </w:pPr>
            <w:r w:rsidRPr="00CB3993">
              <w:rPr>
                <w:sz w:val="18"/>
              </w:rPr>
              <w:t>2 001 667 325 Ft</w:t>
            </w:r>
          </w:p>
        </w:tc>
      </w:tr>
      <w:tr w:rsidR="00084397" w:rsidRPr="00CB3993" w:rsidTr="00084397">
        <w:trPr>
          <w:trHeight w:val="255"/>
          <w:jc w:val="center"/>
        </w:trPr>
        <w:tc>
          <w:tcPr>
            <w:cnfStyle w:val="001000000000"/>
            <w:tcW w:w="0" w:type="auto"/>
            <w:noWrap/>
            <w:vAlign w:val="center"/>
            <w:hideMark/>
          </w:tcPr>
          <w:p w:rsidR="00084397" w:rsidRPr="00CB3993" w:rsidRDefault="00084397" w:rsidP="00084397">
            <w:pPr>
              <w:jc w:val="center"/>
              <w:rPr>
                <w:sz w:val="18"/>
              </w:rPr>
            </w:pPr>
            <w:r>
              <w:rPr>
                <w:sz w:val="18"/>
              </w:rPr>
              <w:t>Német</w:t>
            </w:r>
          </w:p>
        </w:tc>
        <w:tc>
          <w:tcPr>
            <w:tcW w:w="0" w:type="auto"/>
            <w:noWrap/>
            <w:vAlign w:val="center"/>
            <w:hideMark/>
          </w:tcPr>
          <w:p w:rsidR="00084397" w:rsidRPr="00CB3993" w:rsidRDefault="00084397" w:rsidP="00084397">
            <w:pPr>
              <w:jc w:val="center"/>
              <w:cnfStyle w:val="000000000000"/>
              <w:rPr>
                <w:sz w:val="18"/>
              </w:rPr>
            </w:pPr>
            <w:r w:rsidRPr="00CB3993">
              <w:rPr>
                <w:sz w:val="18"/>
              </w:rPr>
              <w:t>1 784 581 328 Ft</w:t>
            </w:r>
          </w:p>
        </w:tc>
      </w:tr>
      <w:tr w:rsidR="00084397" w:rsidRPr="00CB3993" w:rsidTr="00084397">
        <w:trPr>
          <w:cnfStyle w:val="000000100000"/>
          <w:trHeight w:val="255"/>
          <w:jc w:val="center"/>
        </w:trPr>
        <w:tc>
          <w:tcPr>
            <w:cnfStyle w:val="001000000000"/>
            <w:tcW w:w="0" w:type="auto"/>
            <w:noWrap/>
            <w:vAlign w:val="center"/>
            <w:hideMark/>
          </w:tcPr>
          <w:p w:rsidR="00084397" w:rsidRPr="00CB3993" w:rsidRDefault="00084397" w:rsidP="00084397">
            <w:pPr>
              <w:jc w:val="center"/>
              <w:rPr>
                <w:sz w:val="18"/>
              </w:rPr>
            </w:pPr>
            <w:r>
              <w:rPr>
                <w:sz w:val="18"/>
              </w:rPr>
              <w:t>Fehérorosz</w:t>
            </w:r>
          </w:p>
        </w:tc>
        <w:tc>
          <w:tcPr>
            <w:tcW w:w="0" w:type="auto"/>
            <w:noWrap/>
            <w:vAlign w:val="center"/>
            <w:hideMark/>
          </w:tcPr>
          <w:p w:rsidR="00084397" w:rsidRPr="00CB3993" w:rsidRDefault="00084397" w:rsidP="00084397">
            <w:pPr>
              <w:jc w:val="center"/>
              <w:cnfStyle w:val="000000100000"/>
              <w:rPr>
                <w:sz w:val="18"/>
              </w:rPr>
            </w:pPr>
            <w:r w:rsidRPr="00CB3993">
              <w:rPr>
                <w:sz w:val="18"/>
              </w:rPr>
              <w:t>1 077 202 193 Ft</w:t>
            </w:r>
          </w:p>
        </w:tc>
      </w:tr>
      <w:tr w:rsidR="00084397" w:rsidRPr="00CB3993" w:rsidTr="00084397">
        <w:trPr>
          <w:trHeight w:val="255"/>
          <w:jc w:val="center"/>
        </w:trPr>
        <w:tc>
          <w:tcPr>
            <w:cnfStyle w:val="001000000000"/>
            <w:tcW w:w="0" w:type="auto"/>
            <w:noWrap/>
            <w:vAlign w:val="center"/>
            <w:hideMark/>
          </w:tcPr>
          <w:p w:rsidR="00084397" w:rsidRPr="00CB3993" w:rsidRDefault="00084397" w:rsidP="00084397">
            <w:pPr>
              <w:jc w:val="center"/>
              <w:rPr>
                <w:sz w:val="18"/>
              </w:rPr>
            </w:pPr>
            <w:r>
              <w:rPr>
                <w:sz w:val="18"/>
              </w:rPr>
              <w:t>Francia</w:t>
            </w:r>
          </w:p>
        </w:tc>
        <w:tc>
          <w:tcPr>
            <w:tcW w:w="0" w:type="auto"/>
            <w:noWrap/>
            <w:vAlign w:val="center"/>
            <w:hideMark/>
          </w:tcPr>
          <w:p w:rsidR="00084397" w:rsidRPr="00CB3993" w:rsidRDefault="00084397" w:rsidP="00084397">
            <w:pPr>
              <w:jc w:val="center"/>
              <w:cnfStyle w:val="000000000000"/>
              <w:rPr>
                <w:sz w:val="18"/>
              </w:rPr>
            </w:pPr>
            <w:r w:rsidRPr="00CB3993">
              <w:rPr>
                <w:sz w:val="18"/>
              </w:rPr>
              <w:t>785 603 074 Ft</w:t>
            </w:r>
          </w:p>
        </w:tc>
      </w:tr>
      <w:tr w:rsidR="00084397" w:rsidRPr="00CB3993" w:rsidTr="00084397">
        <w:trPr>
          <w:cnfStyle w:val="000000100000"/>
          <w:trHeight w:val="255"/>
          <w:jc w:val="center"/>
        </w:trPr>
        <w:tc>
          <w:tcPr>
            <w:cnfStyle w:val="001000000000"/>
            <w:tcW w:w="0" w:type="auto"/>
            <w:noWrap/>
            <w:vAlign w:val="center"/>
            <w:hideMark/>
          </w:tcPr>
          <w:p w:rsidR="00084397" w:rsidRPr="00CB3993" w:rsidRDefault="00084397" w:rsidP="00084397">
            <w:pPr>
              <w:jc w:val="center"/>
              <w:rPr>
                <w:sz w:val="18"/>
              </w:rPr>
            </w:pPr>
            <w:r>
              <w:rPr>
                <w:sz w:val="18"/>
              </w:rPr>
              <w:t>Cseh</w:t>
            </w:r>
          </w:p>
        </w:tc>
        <w:tc>
          <w:tcPr>
            <w:tcW w:w="0" w:type="auto"/>
            <w:noWrap/>
            <w:vAlign w:val="center"/>
            <w:hideMark/>
          </w:tcPr>
          <w:p w:rsidR="00084397" w:rsidRPr="00CB3993" w:rsidRDefault="00084397" w:rsidP="00084397">
            <w:pPr>
              <w:keepNext/>
              <w:jc w:val="center"/>
              <w:cnfStyle w:val="000000100000"/>
              <w:rPr>
                <w:sz w:val="18"/>
              </w:rPr>
            </w:pPr>
            <w:r w:rsidRPr="00CB3993">
              <w:rPr>
                <w:sz w:val="18"/>
              </w:rPr>
              <w:t>243 834 121 Ft</w:t>
            </w:r>
          </w:p>
        </w:tc>
      </w:tr>
    </w:tbl>
    <w:bookmarkStart w:id="174" w:name="_Ref277856496"/>
    <w:p w:rsidR="00084397" w:rsidRDefault="003F44DC" w:rsidP="00084397">
      <w:pPr>
        <w:pStyle w:val="Caption"/>
        <w:spacing w:before="240"/>
        <w:jc w:val="center"/>
        <w:rPr>
          <w:color w:val="auto"/>
        </w:rPr>
      </w:pPr>
      <w:r>
        <w:rPr>
          <w:color w:val="auto"/>
        </w:rPr>
        <w:fldChar w:fldCharType="begin"/>
      </w:r>
      <w:r w:rsidR="00084397">
        <w:rPr>
          <w:color w:val="auto"/>
        </w:rPr>
        <w:instrText xml:space="preserve"> SEQ táblázat \* ARABIC </w:instrText>
      </w:r>
      <w:r>
        <w:rPr>
          <w:color w:val="auto"/>
        </w:rPr>
        <w:fldChar w:fldCharType="separate"/>
      </w:r>
      <w:bookmarkStart w:id="175" w:name="_Ref278091346"/>
      <w:r w:rsidR="002D1B7A">
        <w:rPr>
          <w:noProof/>
          <w:color w:val="auto"/>
        </w:rPr>
        <w:t>26</w:t>
      </w:r>
      <w:bookmarkEnd w:id="175"/>
      <w:r>
        <w:rPr>
          <w:color w:val="auto"/>
        </w:rPr>
        <w:fldChar w:fldCharType="end"/>
      </w:r>
      <w:r w:rsidR="00084397" w:rsidRPr="00CB3993">
        <w:rPr>
          <w:color w:val="auto"/>
        </w:rPr>
        <w:t>. táblázat</w:t>
      </w:r>
      <w:bookmarkEnd w:id="174"/>
      <w:r w:rsidR="00084397">
        <w:rPr>
          <w:color w:val="auto"/>
        </w:rPr>
        <w:t>: Kertészeti gép – traktorok származási helye szerinti bontás</w:t>
      </w:r>
    </w:p>
    <w:p w:rsidR="00084397" w:rsidRDefault="00084397" w:rsidP="00084397">
      <w:pPr>
        <w:jc w:val="both"/>
      </w:pPr>
    </w:p>
    <w:p w:rsidR="00084397" w:rsidRDefault="00084397" w:rsidP="00084397">
      <w:pPr>
        <w:jc w:val="both"/>
      </w:pPr>
      <w:r>
        <w:t xml:space="preserve">A </w:t>
      </w:r>
      <w:r w:rsidRPr="0012503E">
        <w:rPr>
          <w:b/>
          <w:u w:val="single"/>
        </w:rPr>
        <w:t>Szárítók</w:t>
      </w:r>
      <w:r>
        <w:t xml:space="preserve"> jogcím</w:t>
      </w:r>
      <w:r>
        <w:rPr>
          <w:rStyle w:val="FootnoteReference"/>
        </w:rPr>
        <w:footnoteReference w:id="36"/>
      </w:r>
      <w:r>
        <w:t xml:space="preserve"> esetében megállapítható volt, hogy 7 géptípus beszerzése „vitte el” a megítélt támogat</w:t>
      </w:r>
      <w:r>
        <w:t>á</w:t>
      </w:r>
      <w:r>
        <w:t>si összegek 80%-át – ezt szemlélteti a következő táblázat.</w:t>
      </w:r>
    </w:p>
    <w:tbl>
      <w:tblPr>
        <w:tblStyle w:val="MediumGrid3-Accent2"/>
        <w:tblW w:w="5000" w:type="pct"/>
        <w:jc w:val="center"/>
        <w:tblLayout w:type="fixed"/>
        <w:tblLook w:val="04A0"/>
      </w:tblPr>
      <w:tblGrid>
        <w:gridCol w:w="2377"/>
        <w:gridCol w:w="3543"/>
        <w:gridCol w:w="3459"/>
      </w:tblGrid>
      <w:tr w:rsidR="00084397" w:rsidRPr="00D347C5" w:rsidTr="00084397">
        <w:trPr>
          <w:cnfStyle w:val="100000000000"/>
          <w:trHeight w:val="255"/>
          <w:jc w:val="center"/>
        </w:trPr>
        <w:tc>
          <w:tcPr>
            <w:cnfStyle w:val="001000000000"/>
            <w:tcW w:w="1267" w:type="pct"/>
            <w:vAlign w:val="center"/>
            <w:hideMark/>
          </w:tcPr>
          <w:p w:rsidR="00084397" w:rsidRPr="00D82205" w:rsidRDefault="00084397" w:rsidP="00084397">
            <w:pPr>
              <w:jc w:val="center"/>
              <w:rPr>
                <w:sz w:val="18"/>
              </w:rPr>
            </w:pPr>
            <w:r>
              <w:rPr>
                <w:sz w:val="18"/>
              </w:rPr>
              <w:t>Kiadási tétel megnevezése</w:t>
            </w:r>
          </w:p>
        </w:tc>
        <w:tc>
          <w:tcPr>
            <w:tcW w:w="1889" w:type="pct"/>
            <w:noWrap/>
            <w:vAlign w:val="center"/>
            <w:hideMark/>
          </w:tcPr>
          <w:p w:rsidR="00084397" w:rsidRPr="00D82205" w:rsidRDefault="00084397" w:rsidP="00084397">
            <w:pPr>
              <w:jc w:val="center"/>
              <w:cnfStyle w:val="100000000000"/>
              <w:rPr>
                <w:sz w:val="18"/>
              </w:rPr>
            </w:pPr>
            <w:r>
              <w:rPr>
                <w:sz w:val="18"/>
              </w:rPr>
              <w:t>Megítélt támogatási összegek</w:t>
            </w:r>
          </w:p>
        </w:tc>
        <w:tc>
          <w:tcPr>
            <w:tcW w:w="1844" w:type="pct"/>
            <w:noWrap/>
            <w:vAlign w:val="center"/>
            <w:hideMark/>
          </w:tcPr>
          <w:p w:rsidR="00084397" w:rsidRPr="00D82205" w:rsidRDefault="00084397" w:rsidP="00084397">
            <w:pPr>
              <w:jc w:val="center"/>
              <w:cnfStyle w:val="100000000000"/>
              <w:rPr>
                <w:sz w:val="18"/>
              </w:rPr>
            </w:pPr>
            <w:r>
              <w:rPr>
                <w:sz w:val="18"/>
              </w:rPr>
              <w:t>Megítélt támogatási összeg a jogcímben megítélt összes támogatáshoz viszonyítva</w:t>
            </w:r>
          </w:p>
        </w:tc>
      </w:tr>
      <w:tr w:rsidR="00084397" w:rsidRPr="00D347C5" w:rsidTr="00084397">
        <w:trPr>
          <w:cnfStyle w:val="000000100000"/>
          <w:trHeight w:val="255"/>
          <w:jc w:val="center"/>
        </w:trPr>
        <w:tc>
          <w:tcPr>
            <w:cnfStyle w:val="001000000000"/>
            <w:tcW w:w="1267" w:type="pct"/>
            <w:noWrap/>
            <w:vAlign w:val="center"/>
            <w:hideMark/>
          </w:tcPr>
          <w:p w:rsidR="00084397" w:rsidRPr="00D347C5" w:rsidRDefault="00084397" w:rsidP="00084397">
            <w:pPr>
              <w:jc w:val="center"/>
              <w:rPr>
                <w:sz w:val="18"/>
              </w:rPr>
            </w:pPr>
            <w:r w:rsidRPr="00D347C5">
              <w:rPr>
                <w:sz w:val="18"/>
              </w:rPr>
              <w:t>Terményszárító</w:t>
            </w:r>
          </w:p>
        </w:tc>
        <w:tc>
          <w:tcPr>
            <w:tcW w:w="1889" w:type="pct"/>
            <w:noWrap/>
            <w:vAlign w:val="center"/>
            <w:hideMark/>
          </w:tcPr>
          <w:p w:rsidR="00084397" w:rsidRPr="00D347C5" w:rsidRDefault="00084397" w:rsidP="00084397">
            <w:pPr>
              <w:jc w:val="center"/>
              <w:cnfStyle w:val="000000100000"/>
              <w:rPr>
                <w:sz w:val="18"/>
              </w:rPr>
            </w:pPr>
            <w:r w:rsidRPr="00D347C5">
              <w:rPr>
                <w:sz w:val="18"/>
              </w:rPr>
              <w:t>13 875 616 285 Ft</w:t>
            </w:r>
          </w:p>
        </w:tc>
        <w:tc>
          <w:tcPr>
            <w:tcW w:w="1844" w:type="pct"/>
            <w:noWrap/>
            <w:vAlign w:val="center"/>
            <w:hideMark/>
          </w:tcPr>
          <w:p w:rsidR="00084397" w:rsidRPr="00D347C5" w:rsidRDefault="00084397" w:rsidP="00084397">
            <w:pPr>
              <w:jc w:val="center"/>
              <w:cnfStyle w:val="000000100000"/>
              <w:rPr>
                <w:sz w:val="18"/>
              </w:rPr>
            </w:pPr>
            <w:r w:rsidRPr="00D347C5">
              <w:rPr>
                <w:sz w:val="18"/>
              </w:rPr>
              <w:t>45,89%</w:t>
            </w:r>
          </w:p>
        </w:tc>
      </w:tr>
      <w:tr w:rsidR="00084397" w:rsidRPr="00D347C5" w:rsidTr="00084397">
        <w:trPr>
          <w:trHeight w:val="255"/>
          <w:jc w:val="center"/>
        </w:trPr>
        <w:tc>
          <w:tcPr>
            <w:cnfStyle w:val="001000000000"/>
            <w:tcW w:w="1267" w:type="pct"/>
            <w:noWrap/>
            <w:vAlign w:val="center"/>
            <w:hideMark/>
          </w:tcPr>
          <w:p w:rsidR="00084397" w:rsidRPr="00D347C5" w:rsidRDefault="00084397" w:rsidP="00084397">
            <w:pPr>
              <w:jc w:val="center"/>
              <w:rPr>
                <w:sz w:val="18"/>
              </w:rPr>
            </w:pPr>
            <w:r w:rsidRPr="00D347C5">
              <w:rPr>
                <w:sz w:val="18"/>
              </w:rPr>
              <w:t>Terménytisztító</w:t>
            </w:r>
          </w:p>
        </w:tc>
        <w:tc>
          <w:tcPr>
            <w:tcW w:w="1889" w:type="pct"/>
            <w:noWrap/>
            <w:vAlign w:val="center"/>
            <w:hideMark/>
          </w:tcPr>
          <w:p w:rsidR="00084397" w:rsidRPr="00D347C5" w:rsidRDefault="00084397" w:rsidP="00084397">
            <w:pPr>
              <w:jc w:val="center"/>
              <w:cnfStyle w:val="000000000000"/>
              <w:rPr>
                <w:sz w:val="18"/>
              </w:rPr>
            </w:pPr>
            <w:r w:rsidRPr="00D347C5">
              <w:rPr>
                <w:sz w:val="18"/>
              </w:rPr>
              <w:t>4 797 698 521 Ft</w:t>
            </w:r>
          </w:p>
        </w:tc>
        <w:tc>
          <w:tcPr>
            <w:tcW w:w="1844" w:type="pct"/>
            <w:noWrap/>
            <w:vAlign w:val="center"/>
            <w:hideMark/>
          </w:tcPr>
          <w:p w:rsidR="00084397" w:rsidRPr="00D347C5" w:rsidRDefault="00084397" w:rsidP="00084397">
            <w:pPr>
              <w:jc w:val="center"/>
              <w:cnfStyle w:val="000000000000"/>
              <w:rPr>
                <w:sz w:val="18"/>
              </w:rPr>
            </w:pPr>
            <w:r w:rsidRPr="00D347C5">
              <w:rPr>
                <w:sz w:val="18"/>
              </w:rPr>
              <w:t>15,87%</w:t>
            </w:r>
          </w:p>
        </w:tc>
      </w:tr>
      <w:tr w:rsidR="00084397" w:rsidRPr="00D347C5" w:rsidTr="00084397">
        <w:trPr>
          <w:cnfStyle w:val="000000100000"/>
          <w:trHeight w:val="255"/>
          <w:jc w:val="center"/>
        </w:trPr>
        <w:tc>
          <w:tcPr>
            <w:cnfStyle w:val="001000000000"/>
            <w:tcW w:w="1267" w:type="pct"/>
            <w:noWrap/>
            <w:vAlign w:val="center"/>
            <w:hideMark/>
          </w:tcPr>
          <w:p w:rsidR="00084397" w:rsidRPr="00D347C5" w:rsidRDefault="00084397" w:rsidP="00084397">
            <w:pPr>
              <w:jc w:val="center"/>
              <w:rPr>
                <w:sz w:val="18"/>
              </w:rPr>
            </w:pPr>
            <w:r w:rsidRPr="00D347C5">
              <w:rPr>
                <w:sz w:val="18"/>
              </w:rPr>
              <w:t>Egyéb költség</w:t>
            </w:r>
          </w:p>
        </w:tc>
        <w:tc>
          <w:tcPr>
            <w:tcW w:w="1889" w:type="pct"/>
            <w:noWrap/>
            <w:vAlign w:val="center"/>
            <w:hideMark/>
          </w:tcPr>
          <w:p w:rsidR="00084397" w:rsidRPr="00D347C5" w:rsidRDefault="00084397" w:rsidP="00084397">
            <w:pPr>
              <w:jc w:val="center"/>
              <w:cnfStyle w:val="000000100000"/>
              <w:rPr>
                <w:sz w:val="18"/>
              </w:rPr>
            </w:pPr>
            <w:r w:rsidRPr="00D347C5">
              <w:rPr>
                <w:sz w:val="18"/>
              </w:rPr>
              <w:t>1 657 171 247 Ft</w:t>
            </w:r>
          </w:p>
        </w:tc>
        <w:tc>
          <w:tcPr>
            <w:tcW w:w="1844" w:type="pct"/>
            <w:noWrap/>
            <w:vAlign w:val="center"/>
            <w:hideMark/>
          </w:tcPr>
          <w:p w:rsidR="00084397" w:rsidRPr="00D347C5" w:rsidRDefault="00084397" w:rsidP="00084397">
            <w:pPr>
              <w:jc w:val="center"/>
              <w:cnfStyle w:val="000000100000"/>
              <w:rPr>
                <w:sz w:val="18"/>
              </w:rPr>
            </w:pPr>
            <w:r w:rsidRPr="00D347C5">
              <w:rPr>
                <w:sz w:val="18"/>
              </w:rPr>
              <w:t>5,48%</w:t>
            </w:r>
          </w:p>
        </w:tc>
      </w:tr>
      <w:tr w:rsidR="00084397" w:rsidRPr="00D347C5" w:rsidTr="00084397">
        <w:trPr>
          <w:trHeight w:val="255"/>
          <w:jc w:val="center"/>
        </w:trPr>
        <w:tc>
          <w:tcPr>
            <w:cnfStyle w:val="001000000000"/>
            <w:tcW w:w="1267" w:type="pct"/>
            <w:noWrap/>
            <w:vAlign w:val="center"/>
            <w:hideMark/>
          </w:tcPr>
          <w:p w:rsidR="00084397" w:rsidRPr="00D347C5" w:rsidRDefault="00084397" w:rsidP="00084397">
            <w:pPr>
              <w:jc w:val="center"/>
              <w:rPr>
                <w:sz w:val="18"/>
              </w:rPr>
            </w:pPr>
            <w:r w:rsidRPr="00D347C5">
              <w:rPr>
                <w:sz w:val="18"/>
              </w:rPr>
              <w:lastRenderedPageBreak/>
              <w:t>Fogadógarat</w:t>
            </w:r>
          </w:p>
        </w:tc>
        <w:tc>
          <w:tcPr>
            <w:tcW w:w="1889" w:type="pct"/>
            <w:noWrap/>
            <w:vAlign w:val="center"/>
            <w:hideMark/>
          </w:tcPr>
          <w:p w:rsidR="00084397" w:rsidRPr="00D347C5" w:rsidRDefault="00084397" w:rsidP="00084397">
            <w:pPr>
              <w:jc w:val="center"/>
              <w:cnfStyle w:val="000000000000"/>
              <w:rPr>
                <w:sz w:val="18"/>
              </w:rPr>
            </w:pPr>
            <w:r w:rsidRPr="00D347C5">
              <w:rPr>
                <w:sz w:val="18"/>
              </w:rPr>
              <w:t>1 536 953 907 Ft</w:t>
            </w:r>
          </w:p>
        </w:tc>
        <w:tc>
          <w:tcPr>
            <w:tcW w:w="1844" w:type="pct"/>
            <w:noWrap/>
            <w:vAlign w:val="center"/>
            <w:hideMark/>
          </w:tcPr>
          <w:p w:rsidR="00084397" w:rsidRPr="00D347C5" w:rsidRDefault="00084397" w:rsidP="00084397">
            <w:pPr>
              <w:jc w:val="center"/>
              <w:cnfStyle w:val="000000000000"/>
              <w:rPr>
                <w:sz w:val="18"/>
              </w:rPr>
            </w:pPr>
            <w:r w:rsidRPr="00D347C5">
              <w:rPr>
                <w:sz w:val="18"/>
              </w:rPr>
              <w:t>5,08%</w:t>
            </w:r>
          </w:p>
        </w:tc>
      </w:tr>
      <w:tr w:rsidR="00084397" w:rsidRPr="00D347C5" w:rsidTr="00084397">
        <w:trPr>
          <w:cnfStyle w:val="000000100000"/>
          <w:trHeight w:val="255"/>
          <w:jc w:val="center"/>
        </w:trPr>
        <w:tc>
          <w:tcPr>
            <w:cnfStyle w:val="001000000000"/>
            <w:tcW w:w="1267" w:type="pct"/>
            <w:noWrap/>
            <w:vAlign w:val="center"/>
            <w:hideMark/>
          </w:tcPr>
          <w:p w:rsidR="00084397" w:rsidRPr="00D347C5" w:rsidRDefault="00084397" w:rsidP="00084397">
            <w:pPr>
              <w:jc w:val="center"/>
              <w:rPr>
                <w:sz w:val="18"/>
              </w:rPr>
            </w:pPr>
            <w:r>
              <w:rPr>
                <w:sz w:val="18"/>
              </w:rPr>
              <w:t>S</w:t>
            </w:r>
            <w:r w:rsidRPr="00D347C5">
              <w:rPr>
                <w:sz w:val="18"/>
              </w:rPr>
              <w:t>zárító</w:t>
            </w:r>
          </w:p>
        </w:tc>
        <w:tc>
          <w:tcPr>
            <w:tcW w:w="1889" w:type="pct"/>
            <w:noWrap/>
            <w:vAlign w:val="center"/>
            <w:hideMark/>
          </w:tcPr>
          <w:p w:rsidR="00084397" w:rsidRPr="00D347C5" w:rsidRDefault="00084397" w:rsidP="00084397">
            <w:pPr>
              <w:jc w:val="center"/>
              <w:cnfStyle w:val="000000100000"/>
              <w:rPr>
                <w:sz w:val="18"/>
              </w:rPr>
            </w:pPr>
            <w:r w:rsidRPr="00D347C5">
              <w:rPr>
                <w:sz w:val="18"/>
              </w:rPr>
              <w:t>871 988 743 Ft</w:t>
            </w:r>
          </w:p>
        </w:tc>
        <w:tc>
          <w:tcPr>
            <w:tcW w:w="1844" w:type="pct"/>
            <w:noWrap/>
            <w:vAlign w:val="center"/>
            <w:hideMark/>
          </w:tcPr>
          <w:p w:rsidR="00084397" w:rsidRPr="00D347C5" w:rsidRDefault="00084397" w:rsidP="00084397">
            <w:pPr>
              <w:jc w:val="center"/>
              <w:cnfStyle w:val="000000100000"/>
              <w:rPr>
                <w:sz w:val="18"/>
              </w:rPr>
            </w:pPr>
            <w:r w:rsidRPr="00D347C5">
              <w:rPr>
                <w:sz w:val="18"/>
              </w:rPr>
              <w:t>2,88%</w:t>
            </w:r>
          </w:p>
        </w:tc>
      </w:tr>
      <w:tr w:rsidR="00084397" w:rsidRPr="00D347C5" w:rsidTr="00084397">
        <w:trPr>
          <w:trHeight w:val="255"/>
          <w:jc w:val="center"/>
        </w:trPr>
        <w:tc>
          <w:tcPr>
            <w:cnfStyle w:val="001000000000"/>
            <w:tcW w:w="1267" w:type="pct"/>
            <w:noWrap/>
            <w:vAlign w:val="center"/>
            <w:hideMark/>
          </w:tcPr>
          <w:p w:rsidR="00084397" w:rsidRPr="00D347C5" w:rsidRDefault="00084397" w:rsidP="00084397">
            <w:pPr>
              <w:jc w:val="center"/>
              <w:rPr>
                <w:sz w:val="18"/>
              </w:rPr>
            </w:pPr>
            <w:r w:rsidRPr="00D347C5">
              <w:rPr>
                <w:sz w:val="18"/>
              </w:rPr>
              <w:t>Hídmérleg</w:t>
            </w:r>
          </w:p>
        </w:tc>
        <w:tc>
          <w:tcPr>
            <w:tcW w:w="1889" w:type="pct"/>
            <w:noWrap/>
            <w:vAlign w:val="center"/>
            <w:hideMark/>
          </w:tcPr>
          <w:p w:rsidR="00084397" w:rsidRPr="00D347C5" w:rsidRDefault="00084397" w:rsidP="00084397">
            <w:pPr>
              <w:jc w:val="center"/>
              <w:cnfStyle w:val="000000000000"/>
              <w:rPr>
                <w:sz w:val="18"/>
              </w:rPr>
            </w:pPr>
            <w:r w:rsidRPr="00D347C5">
              <w:rPr>
                <w:sz w:val="18"/>
              </w:rPr>
              <w:t>808 111 767 Ft</w:t>
            </w:r>
          </w:p>
        </w:tc>
        <w:tc>
          <w:tcPr>
            <w:tcW w:w="1844" w:type="pct"/>
            <w:noWrap/>
            <w:vAlign w:val="center"/>
            <w:hideMark/>
          </w:tcPr>
          <w:p w:rsidR="00084397" w:rsidRPr="00D347C5" w:rsidRDefault="00084397" w:rsidP="00084397">
            <w:pPr>
              <w:jc w:val="center"/>
              <w:cnfStyle w:val="000000000000"/>
              <w:rPr>
                <w:sz w:val="18"/>
              </w:rPr>
            </w:pPr>
            <w:r w:rsidRPr="00D347C5">
              <w:rPr>
                <w:sz w:val="18"/>
              </w:rPr>
              <w:t>2,67%</w:t>
            </w:r>
          </w:p>
        </w:tc>
      </w:tr>
      <w:tr w:rsidR="00084397" w:rsidRPr="00D347C5" w:rsidTr="00084397">
        <w:trPr>
          <w:cnfStyle w:val="000000100000"/>
          <w:trHeight w:val="255"/>
          <w:jc w:val="center"/>
        </w:trPr>
        <w:tc>
          <w:tcPr>
            <w:cnfStyle w:val="001000000000"/>
            <w:tcW w:w="1267" w:type="pct"/>
            <w:noWrap/>
            <w:vAlign w:val="center"/>
            <w:hideMark/>
          </w:tcPr>
          <w:p w:rsidR="00084397" w:rsidRPr="00D347C5" w:rsidRDefault="00084397" w:rsidP="00084397">
            <w:pPr>
              <w:jc w:val="center"/>
              <w:rPr>
                <w:sz w:val="18"/>
              </w:rPr>
            </w:pPr>
            <w:r w:rsidRPr="00D347C5">
              <w:rPr>
                <w:sz w:val="18"/>
              </w:rPr>
              <w:t>Tranzit-tároló</w:t>
            </w:r>
          </w:p>
        </w:tc>
        <w:tc>
          <w:tcPr>
            <w:tcW w:w="1889" w:type="pct"/>
            <w:noWrap/>
            <w:vAlign w:val="center"/>
            <w:hideMark/>
          </w:tcPr>
          <w:p w:rsidR="00084397" w:rsidRPr="00D347C5" w:rsidRDefault="00084397" w:rsidP="00084397">
            <w:pPr>
              <w:jc w:val="center"/>
              <w:cnfStyle w:val="000000100000"/>
              <w:rPr>
                <w:sz w:val="18"/>
              </w:rPr>
            </w:pPr>
            <w:r w:rsidRPr="00D347C5">
              <w:rPr>
                <w:sz w:val="18"/>
              </w:rPr>
              <w:t>726 615 291 Ft</w:t>
            </w:r>
          </w:p>
        </w:tc>
        <w:tc>
          <w:tcPr>
            <w:tcW w:w="1844" w:type="pct"/>
            <w:noWrap/>
            <w:vAlign w:val="center"/>
            <w:hideMark/>
          </w:tcPr>
          <w:p w:rsidR="00084397" w:rsidRPr="00D347C5" w:rsidRDefault="00084397" w:rsidP="00084397">
            <w:pPr>
              <w:keepNext/>
              <w:jc w:val="center"/>
              <w:cnfStyle w:val="000000100000"/>
              <w:rPr>
                <w:sz w:val="18"/>
              </w:rPr>
            </w:pPr>
            <w:r w:rsidRPr="00D347C5">
              <w:rPr>
                <w:sz w:val="18"/>
              </w:rPr>
              <w:t>2,40%</w:t>
            </w:r>
          </w:p>
        </w:tc>
      </w:tr>
    </w:tbl>
    <w:p w:rsidR="00084397" w:rsidRDefault="003F44DC" w:rsidP="00084397">
      <w:pPr>
        <w:pStyle w:val="Caption"/>
        <w:spacing w:before="240"/>
        <w:jc w:val="center"/>
        <w:rPr>
          <w:color w:val="auto"/>
        </w:rPr>
      </w:pPr>
      <w:r w:rsidRPr="00D347C5">
        <w:rPr>
          <w:color w:val="auto"/>
        </w:rPr>
        <w:fldChar w:fldCharType="begin"/>
      </w:r>
      <w:r w:rsidR="00084397" w:rsidRPr="00D347C5">
        <w:rPr>
          <w:color w:val="auto"/>
        </w:rPr>
        <w:instrText xml:space="preserve"> SEQ táblázat \* ARABIC </w:instrText>
      </w:r>
      <w:r w:rsidRPr="00D347C5">
        <w:rPr>
          <w:color w:val="auto"/>
        </w:rPr>
        <w:fldChar w:fldCharType="separate"/>
      </w:r>
      <w:r w:rsidR="002D1B7A">
        <w:rPr>
          <w:noProof/>
          <w:color w:val="auto"/>
        </w:rPr>
        <w:t>27</w:t>
      </w:r>
      <w:r w:rsidRPr="00D347C5">
        <w:rPr>
          <w:color w:val="auto"/>
        </w:rPr>
        <w:fldChar w:fldCharType="end"/>
      </w:r>
      <w:r w:rsidR="00084397" w:rsidRPr="00D347C5">
        <w:rPr>
          <w:color w:val="auto"/>
        </w:rPr>
        <w:t>. táblázat</w:t>
      </w:r>
      <w:r w:rsidR="00084397">
        <w:rPr>
          <w:color w:val="auto"/>
        </w:rPr>
        <w:t>: Szárítók – főbb kiadási tételek</w:t>
      </w:r>
    </w:p>
    <w:p w:rsidR="00084397" w:rsidRDefault="00084397" w:rsidP="00084397">
      <w:pPr>
        <w:jc w:val="both"/>
      </w:pPr>
    </w:p>
    <w:p w:rsidR="00084397" w:rsidRDefault="00084397" w:rsidP="00084397">
      <w:pPr>
        <w:jc w:val="both"/>
      </w:pPr>
      <w:r>
        <w:t xml:space="preserve">Az </w:t>
      </w:r>
      <w:r w:rsidRPr="00870687">
        <w:rPr>
          <w:b/>
          <w:u w:val="single"/>
        </w:rPr>
        <w:t>Erdészeti gépbeszerzés</w:t>
      </w:r>
      <w:r>
        <w:t xml:space="preserve"> jogcím kiadási tételeinek vizsgálata során megállapítható, hogy a beszerzett g</w:t>
      </w:r>
      <w:r>
        <w:t>é</w:t>
      </w:r>
      <w:r>
        <w:t>pek közül több nem kizárólag erdészeti célra használható.</w:t>
      </w:r>
    </w:p>
    <w:tbl>
      <w:tblPr>
        <w:tblStyle w:val="MediumGrid3-Accent2"/>
        <w:tblW w:w="5000" w:type="pct"/>
        <w:jc w:val="center"/>
        <w:tblLook w:val="04A0"/>
      </w:tblPr>
      <w:tblGrid>
        <w:gridCol w:w="3653"/>
        <w:gridCol w:w="2834"/>
        <w:gridCol w:w="2892"/>
      </w:tblGrid>
      <w:tr w:rsidR="00084397" w:rsidRPr="00B64F83" w:rsidTr="00084397">
        <w:trPr>
          <w:cnfStyle w:val="100000000000"/>
          <w:trHeight w:val="255"/>
          <w:tblHeader/>
          <w:jc w:val="center"/>
        </w:trPr>
        <w:tc>
          <w:tcPr>
            <w:cnfStyle w:val="001000000000"/>
            <w:tcW w:w="1947" w:type="pct"/>
            <w:noWrap/>
            <w:vAlign w:val="center"/>
            <w:hideMark/>
          </w:tcPr>
          <w:p w:rsidR="00084397" w:rsidRPr="00B64F83" w:rsidRDefault="00084397" w:rsidP="00084397">
            <w:pPr>
              <w:pStyle w:val="HUNNormal"/>
              <w:jc w:val="center"/>
              <w:rPr>
                <w:sz w:val="16"/>
              </w:rPr>
            </w:pPr>
            <w:r>
              <w:rPr>
                <w:sz w:val="16"/>
              </w:rPr>
              <w:t>Kiadási tétel megnevezése</w:t>
            </w:r>
          </w:p>
        </w:tc>
        <w:tc>
          <w:tcPr>
            <w:tcW w:w="1511" w:type="pct"/>
            <w:noWrap/>
            <w:vAlign w:val="center"/>
            <w:hideMark/>
          </w:tcPr>
          <w:p w:rsidR="00084397" w:rsidRPr="00B64F83" w:rsidRDefault="00084397" w:rsidP="00084397">
            <w:pPr>
              <w:pStyle w:val="HUNNormal"/>
              <w:jc w:val="center"/>
              <w:cnfStyle w:val="100000000000"/>
              <w:rPr>
                <w:sz w:val="16"/>
              </w:rPr>
            </w:pPr>
            <w:r>
              <w:rPr>
                <w:sz w:val="16"/>
              </w:rPr>
              <w:t>Megítélt támogatási összeg</w:t>
            </w:r>
          </w:p>
        </w:tc>
        <w:tc>
          <w:tcPr>
            <w:tcW w:w="1542" w:type="pct"/>
          </w:tcPr>
          <w:p w:rsidR="00084397" w:rsidRDefault="00084397" w:rsidP="00084397">
            <w:pPr>
              <w:pStyle w:val="HUNNormal"/>
              <w:jc w:val="center"/>
              <w:cnfStyle w:val="100000000000"/>
              <w:rPr>
                <w:sz w:val="16"/>
              </w:rPr>
            </w:pPr>
            <w:r>
              <w:rPr>
                <w:sz w:val="16"/>
              </w:rPr>
              <w:t>Felhasználási terület</w:t>
            </w:r>
          </w:p>
        </w:tc>
      </w:tr>
      <w:tr w:rsidR="00084397" w:rsidRPr="00B64F83" w:rsidTr="00084397">
        <w:trPr>
          <w:cnfStyle w:val="000000100000"/>
          <w:trHeight w:val="255"/>
          <w:jc w:val="center"/>
        </w:trPr>
        <w:tc>
          <w:tcPr>
            <w:cnfStyle w:val="001000000000"/>
            <w:tcW w:w="1947" w:type="pct"/>
            <w:noWrap/>
            <w:vAlign w:val="center"/>
            <w:hideMark/>
          </w:tcPr>
          <w:p w:rsidR="00084397" w:rsidRPr="00B64F83" w:rsidRDefault="00084397" w:rsidP="00084397">
            <w:pPr>
              <w:pStyle w:val="HUNNormal"/>
              <w:jc w:val="center"/>
              <w:rPr>
                <w:sz w:val="16"/>
              </w:rPr>
            </w:pPr>
            <w:r w:rsidRPr="00B64F83">
              <w:rPr>
                <w:sz w:val="16"/>
              </w:rPr>
              <w:t>JOHN DEERE 1410D ERD</w:t>
            </w:r>
            <w:proofErr w:type="gramStart"/>
            <w:r w:rsidRPr="00B64F83">
              <w:rPr>
                <w:sz w:val="16"/>
              </w:rPr>
              <w:t>.KÖZELÍTŐ</w:t>
            </w:r>
            <w:proofErr w:type="gramEnd"/>
          </w:p>
        </w:tc>
        <w:tc>
          <w:tcPr>
            <w:tcW w:w="1511" w:type="pct"/>
            <w:noWrap/>
            <w:vAlign w:val="center"/>
            <w:hideMark/>
          </w:tcPr>
          <w:p w:rsidR="00084397" w:rsidRPr="00B64F83" w:rsidRDefault="00084397" w:rsidP="00084397">
            <w:pPr>
              <w:pStyle w:val="HUNNormal"/>
              <w:jc w:val="center"/>
              <w:cnfStyle w:val="000000100000"/>
              <w:rPr>
                <w:sz w:val="16"/>
              </w:rPr>
            </w:pPr>
            <w:r w:rsidRPr="00B64F83">
              <w:rPr>
                <w:sz w:val="16"/>
              </w:rPr>
              <w:t>112 500 000 Ft</w:t>
            </w:r>
          </w:p>
        </w:tc>
        <w:tc>
          <w:tcPr>
            <w:tcW w:w="1542" w:type="pct"/>
          </w:tcPr>
          <w:p w:rsidR="00084397" w:rsidRPr="00B64F83" w:rsidRDefault="00084397" w:rsidP="00084397">
            <w:pPr>
              <w:pStyle w:val="HUNNormal"/>
              <w:jc w:val="center"/>
              <w:cnfStyle w:val="000000100000"/>
              <w:rPr>
                <w:sz w:val="16"/>
              </w:rPr>
            </w:pPr>
            <w:r>
              <w:rPr>
                <w:sz w:val="16"/>
              </w:rPr>
              <w:t>Kizárólag erdészet</w:t>
            </w:r>
          </w:p>
        </w:tc>
      </w:tr>
      <w:tr w:rsidR="00084397" w:rsidRPr="00B64F83" w:rsidTr="00084397">
        <w:trPr>
          <w:trHeight w:val="255"/>
          <w:jc w:val="center"/>
        </w:trPr>
        <w:tc>
          <w:tcPr>
            <w:cnfStyle w:val="001000000000"/>
            <w:tcW w:w="1947" w:type="pct"/>
            <w:noWrap/>
            <w:vAlign w:val="center"/>
            <w:hideMark/>
          </w:tcPr>
          <w:p w:rsidR="00084397" w:rsidRPr="00B64F83" w:rsidRDefault="00084397" w:rsidP="00084397">
            <w:pPr>
              <w:pStyle w:val="HUNNormal"/>
              <w:jc w:val="center"/>
              <w:rPr>
                <w:sz w:val="16"/>
              </w:rPr>
            </w:pPr>
            <w:r w:rsidRPr="00B64F83">
              <w:rPr>
                <w:sz w:val="16"/>
              </w:rPr>
              <w:t>FENDT 936 VARIO FORST</w:t>
            </w:r>
          </w:p>
        </w:tc>
        <w:tc>
          <w:tcPr>
            <w:tcW w:w="1511" w:type="pct"/>
            <w:noWrap/>
            <w:vAlign w:val="center"/>
            <w:hideMark/>
          </w:tcPr>
          <w:p w:rsidR="00084397" w:rsidRPr="00B64F83" w:rsidRDefault="00084397" w:rsidP="00084397">
            <w:pPr>
              <w:pStyle w:val="HUNNormal"/>
              <w:jc w:val="center"/>
              <w:cnfStyle w:val="000000000000"/>
              <w:rPr>
                <w:sz w:val="16"/>
              </w:rPr>
            </w:pPr>
            <w:r w:rsidRPr="00B64F83">
              <w:rPr>
                <w:sz w:val="16"/>
              </w:rPr>
              <w:t>105 769 500 Ft</w:t>
            </w:r>
          </w:p>
        </w:tc>
        <w:tc>
          <w:tcPr>
            <w:tcW w:w="1542" w:type="pct"/>
          </w:tcPr>
          <w:p w:rsidR="00084397" w:rsidRPr="00B64F83" w:rsidRDefault="00084397" w:rsidP="00084397">
            <w:pPr>
              <w:pStyle w:val="HUNNormal"/>
              <w:jc w:val="center"/>
              <w:cnfStyle w:val="000000000000"/>
              <w:rPr>
                <w:sz w:val="16"/>
              </w:rPr>
            </w:pPr>
            <w:r>
              <w:rPr>
                <w:sz w:val="16"/>
              </w:rPr>
              <w:t>Erdészet és mezőgazdaság</w:t>
            </w:r>
          </w:p>
        </w:tc>
      </w:tr>
      <w:tr w:rsidR="00084397" w:rsidRPr="00B64F83" w:rsidTr="00084397">
        <w:trPr>
          <w:cnfStyle w:val="000000100000"/>
          <w:trHeight w:val="255"/>
          <w:jc w:val="center"/>
        </w:trPr>
        <w:tc>
          <w:tcPr>
            <w:cnfStyle w:val="001000000000"/>
            <w:tcW w:w="1947" w:type="pct"/>
            <w:noWrap/>
            <w:vAlign w:val="center"/>
            <w:hideMark/>
          </w:tcPr>
          <w:p w:rsidR="00084397" w:rsidRPr="00B64F83" w:rsidRDefault="00084397" w:rsidP="00084397">
            <w:pPr>
              <w:pStyle w:val="HUNNormal"/>
              <w:jc w:val="center"/>
              <w:rPr>
                <w:sz w:val="16"/>
              </w:rPr>
            </w:pPr>
            <w:r w:rsidRPr="00B64F83">
              <w:rPr>
                <w:sz w:val="16"/>
              </w:rPr>
              <w:t>VALTRA N101 ERDÉSZETI KIVITEL</w:t>
            </w:r>
          </w:p>
        </w:tc>
        <w:tc>
          <w:tcPr>
            <w:tcW w:w="1511" w:type="pct"/>
            <w:noWrap/>
            <w:vAlign w:val="center"/>
            <w:hideMark/>
          </w:tcPr>
          <w:p w:rsidR="00084397" w:rsidRPr="00B64F83" w:rsidRDefault="00084397" w:rsidP="00084397">
            <w:pPr>
              <w:pStyle w:val="HUNNormal"/>
              <w:jc w:val="center"/>
              <w:cnfStyle w:val="000000100000"/>
              <w:rPr>
                <w:sz w:val="16"/>
              </w:rPr>
            </w:pPr>
            <w:r w:rsidRPr="00B64F83">
              <w:rPr>
                <w:sz w:val="16"/>
              </w:rPr>
              <w:t xml:space="preserve">96 000 </w:t>
            </w:r>
            <w:proofErr w:type="spellStart"/>
            <w:r w:rsidRPr="00B64F83">
              <w:rPr>
                <w:sz w:val="16"/>
              </w:rPr>
              <w:t>000</w:t>
            </w:r>
            <w:proofErr w:type="spellEnd"/>
            <w:r w:rsidRPr="00B64F83">
              <w:rPr>
                <w:sz w:val="16"/>
              </w:rPr>
              <w:t xml:space="preserve"> Ft</w:t>
            </w:r>
          </w:p>
        </w:tc>
        <w:tc>
          <w:tcPr>
            <w:tcW w:w="1542" w:type="pct"/>
          </w:tcPr>
          <w:p w:rsidR="00084397" w:rsidRPr="00B64F83" w:rsidRDefault="00084397" w:rsidP="00084397">
            <w:pPr>
              <w:pStyle w:val="HUNNormal"/>
              <w:jc w:val="center"/>
              <w:cnfStyle w:val="000000100000"/>
              <w:rPr>
                <w:sz w:val="16"/>
              </w:rPr>
            </w:pPr>
            <w:r>
              <w:rPr>
                <w:sz w:val="16"/>
              </w:rPr>
              <w:t>Jellemzően erdészet</w:t>
            </w:r>
          </w:p>
        </w:tc>
      </w:tr>
      <w:tr w:rsidR="00084397" w:rsidRPr="00B64F83" w:rsidTr="00084397">
        <w:trPr>
          <w:trHeight w:val="255"/>
          <w:jc w:val="center"/>
        </w:trPr>
        <w:tc>
          <w:tcPr>
            <w:cnfStyle w:val="001000000000"/>
            <w:tcW w:w="1947" w:type="pct"/>
            <w:noWrap/>
            <w:vAlign w:val="center"/>
            <w:hideMark/>
          </w:tcPr>
          <w:p w:rsidR="00084397" w:rsidRPr="00B64F83" w:rsidRDefault="00084397" w:rsidP="00084397">
            <w:pPr>
              <w:pStyle w:val="HUNNormal"/>
              <w:jc w:val="center"/>
              <w:rPr>
                <w:sz w:val="16"/>
              </w:rPr>
            </w:pPr>
            <w:r w:rsidRPr="00B64F83">
              <w:rPr>
                <w:sz w:val="16"/>
              </w:rPr>
              <w:t>VALTRA T171</w:t>
            </w:r>
          </w:p>
        </w:tc>
        <w:tc>
          <w:tcPr>
            <w:tcW w:w="1511" w:type="pct"/>
            <w:noWrap/>
            <w:vAlign w:val="center"/>
            <w:hideMark/>
          </w:tcPr>
          <w:p w:rsidR="00084397" w:rsidRPr="00B64F83" w:rsidRDefault="00084397" w:rsidP="00084397">
            <w:pPr>
              <w:pStyle w:val="HUNNormal"/>
              <w:jc w:val="center"/>
              <w:cnfStyle w:val="000000000000"/>
              <w:rPr>
                <w:sz w:val="16"/>
              </w:rPr>
            </w:pPr>
            <w:r w:rsidRPr="00B64F83">
              <w:rPr>
                <w:sz w:val="16"/>
              </w:rPr>
              <w:t>80 560 000 Ft</w:t>
            </w:r>
          </w:p>
        </w:tc>
        <w:tc>
          <w:tcPr>
            <w:tcW w:w="1542" w:type="pct"/>
          </w:tcPr>
          <w:p w:rsidR="00084397" w:rsidRPr="00B64F83" w:rsidRDefault="00084397" w:rsidP="00084397">
            <w:pPr>
              <w:pStyle w:val="HUNNormal"/>
              <w:jc w:val="center"/>
              <w:cnfStyle w:val="000000000000"/>
              <w:rPr>
                <w:sz w:val="16"/>
              </w:rPr>
            </w:pPr>
            <w:r>
              <w:rPr>
                <w:sz w:val="16"/>
              </w:rPr>
              <w:t>Erdészet és mezőgazdaság</w:t>
            </w:r>
          </w:p>
        </w:tc>
      </w:tr>
      <w:tr w:rsidR="00084397" w:rsidRPr="00B64F83" w:rsidTr="00084397">
        <w:trPr>
          <w:cnfStyle w:val="000000100000"/>
          <w:trHeight w:val="255"/>
          <w:jc w:val="center"/>
        </w:trPr>
        <w:tc>
          <w:tcPr>
            <w:cnfStyle w:val="001000000000"/>
            <w:tcW w:w="1947" w:type="pct"/>
            <w:noWrap/>
            <w:vAlign w:val="center"/>
            <w:hideMark/>
          </w:tcPr>
          <w:p w:rsidR="00084397" w:rsidRPr="00B64F83" w:rsidRDefault="00084397" w:rsidP="00084397">
            <w:pPr>
              <w:pStyle w:val="HUNNormal"/>
              <w:jc w:val="center"/>
              <w:rPr>
                <w:sz w:val="16"/>
              </w:rPr>
            </w:pPr>
            <w:r w:rsidRPr="00B64F83">
              <w:rPr>
                <w:sz w:val="16"/>
              </w:rPr>
              <w:t>VALMET840.4 ERDÉSZETI KIHORDÓ 8X8</w:t>
            </w:r>
          </w:p>
        </w:tc>
        <w:tc>
          <w:tcPr>
            <w:tcW w:w="1511" w:type="pct"/>
            <w:noWrap/>
            <w:vAlign w:val="center"/>
            <w:hideMark/>
          </w:tcPr>
          <w:p w:rsidR="00084397" w:rsidRPr="00B64F83" w:rsidRDefault="00084397" w:rsidP="00084397">
            <w:pPr>
              <w:pStyle w:val="HUNNormal"/>
              <w:jc w:val="center"/>
              <w:cnfStyle w:val="000000100000"/>
              <w:rPr>
                <w:sz w:val="16"/>
              </w:rPr>
            </w:pPr>
            <w:r w:rsidRPr="00B64F83">
              <w:rPr>
                <w:sz w:val="16"/>
              </w:rPr>
              <w:t>72 808 256 Ft</w:t>
            </w:r>
          </w:p>
        </w:tc>
        <w:tc>
          <w:tcPr>
            <w:tcW w:w="1542" w:type="pct"/>
          </w:tcPr>
          <w:p w:rsidR="00084397" w:rsidRPr="00B64F83" w:rsidRDefault="00084397" w:rsidP="00084397">
            <w:pPr>
              <w:pStyle w:val="HUNNormal"/>
              <w:jc w:val="center"/>
              <w:cnfStyle w:val="000000100000"/>
              <w:rPr>
                <w:sz w:val="16"/>
              </w:rPr>
            </w:pPr>
            <w:r>
              <w:rPr>
                <w:sz w:val="16"/>
              </w:rPr>
              <w:t>Kizárólag erdészet</w:t>
            </w:r>
          </w:p>
        </w:tc>
      </w:tr>
      <w:tr w:rsidR="00084397" w:rsidRPr="00B64F83" w:rsidTr="00084397">
        <w:trPr>
          <w:trHeight w:val="255"/>
          <w:jc w:val="center"/>
        </w:trPr>
        <w:tc>
          <w:tcPr>
            <w:cnfStyle w:val="001000000000"/>
            <w:tcW w:w="1947" w:type="pct"/>
            <w:noWrap/>
            <w:vAlign w:val="center"/>
            <w:hideMark/>
          </w:tcPr>
          <w:p w:rsidR="00084397" w:rsidRPr="00B64F83" w:rsidRDefault="00084397" w:rsidP="00084397">
            <w:pPr>
              <w:pStyle w:val="HUNNormal"/>
              <w:jc w:val="center"/>
              <w:rPr>
                <w:sz w:val="16"/>
              </w:rPr>
            </w:pPr>
            <w:r w:rsidRPr="00B64F83">
              <w:rPr>
                <w:sz w:val="16"/>
              </w:rPr>
              <w:t>JENZ 581R MAN CHIPPERTRUCK</w:t>
            </w:r>
          </w:p>
        </w:tc>
        <w:tc>
          <w:tcPr>
            <w:tcW w:w="1511" w:type="pct"/>
            <w:noWrap/>
            <w:vAlign w:val="center"/>
            <w:hideMark/>
          </w:tcPr>
          <w:p w:rsidR="00084397" w:rsidRPr="00B64F83" w:rsidRDefault="00084397" w:rsidP="00084397">
            <w:pPr>
              <w:pStyle w:val="HUNNormal"/>
              <w:jc w:val="center"/>
              <w:cnfStyle w:val="000000000000"/>
              <w:rPr>
                <w:sz w:val="16"/>
              </w:rPr>
            </w:pPr>
            <w:r w:rsidRPr="00B64F83">
              <w:rPr>
                <w:sz w:val="16"/>
              </w:rPr>
              <w:t>67 500 000 Ft</w:t>
            </w:r>
          </w:p>
        </w:tc>
        <w:tc>
          <w:tcPr>
            <w:tcW w:w="1542" w:type="pct"/>
          </w:tcPr>
          <w:p w:rsidR="00084397" w:rsidRPr="00B64F83" w:rsidRDefault="00084397" w:rsidP="00084397">
            <w:pPr>
              <w:pStyle w:val="HUNNormal"/>
              <w:jc w:val="center"/>
              <w:cnfStyle w:val="000000000000"/>
              <w:rPr>
                <w:sz w:val="16"/>
              </w:rPr>
            </w:pPr>
            <w:r>
              <w:rPr>
                <w:sz w:val="16"/>
              </w:rPr>
              <w:t>Kizárólag erdészet</w:t>
            </w:r>
          </w:p>
        </w:tc>
      </w:tr>
      <w:tr w:rsidR="00084397" w:rsidRPr="00B64F83" w:rsidTr="00084397">
        <w:trPr>
          <w:cnfStyle w:val="000000100000"/>
          <w:trHeight w:val="255"/>
          <w:jc w:val="center"/>
        </w:trPr>
        <w:tc>
          <w:tcPr>
            <w:cnfStyle w:val="001000000000"/>
            <w:tcW w:w="1947" w:type="pct"/>
            <w:noWrap/>
            <w:vAlign w:val="center"/>
            <w:hideMark/>
          </w:tcPr>
          <w:p w:rsidR="00084397" w:rsidRPr="00B64F83" w:rsidRDefault="00084397" w:rsidP="00084397">
            <w:pPr>
              <w:pStyle w:val="HUNNormal"/>
              <w:jc w:val="center"/>
              <w:rPr>
                <w:sz w:val="16"/>
              </w:rPr>
            </w:pPr>
            <w:r w:rsidRPr="00B64F83">
              <w:rPr>
                <w:sz w:val="16"/>
              </w:rPr>
              <w:t>JOHN DEERE 8430</w:t>
            </w:r>
          </w:p>
        </w:tc>
        <w:tc>
          <w:tcPr>
            <w:tcW w:w="1511" w:type="pct"/>
            <w:noWrap/>
            <w:vAlign w:val="center"/>
            <w:hideMark/>
          </w:tcPr>
          <w:p w:rsidR="00084397" w:rsidRPr="00B64F83" w:rsidRDefault="00084397" w:rsidP="00084397">
            <w:pPr>
              <w:pStyle w:val="HUNNormal"/>
              <w:jc w:val="center"/>
              <w:cnfStyle w:val="000000100000"/>
              <w:rPr>
                <w:sz w:val="16"/>
              </w:rPr>
            </w:pPr>
            <w:r w:rsidRPr="00B64F83">
              <w:rPr>
                <w:sz w:val="16"/>
              </w:rPr>
              <w:t>61 459 633 Ft</w:t>
            </w:r>
          </w:p>
        </w:tc>
        <w:tc>
          <w:tcPr>
            <w:tcW w:w="1542" w:type="pct"/>
          </w:tcPr>
          <w:p w:rsidR="00084397" w:rsidRPr="00B64F83" w:rsidRDefault="00084397" w:rsidP="00084397">
            <w:pPr>
              <w:pStyle w:val="HUNNormal"/>
              <w:jc w:val="center"/>
              <w:cnfStyle w:val="000000100000"/>
              <w:rPr>
                <w:sz w:val="16"/>
              </w:rPr>
            </w:pPr>
            <w:r>
              <w:rPr>
                <w:sz w:val="16"/>
              </w:rPr>
              <w:t>Jellemzően mezőgazdaság</w:t>
            </w:r>
          </w:p>
        </w:tc>
      </w:tr>
      <w:tr w:rsidR="00084397" w:rsidRPr="00B64F83" w:rsidTr="00084397">
        <w:trPr>
          <w:trHeight w:val="255"/>
          <w:jc w:val="center"/>
        </w:trPr>
        <w:tc>
          <w:tcPr>
            <w:cnfStyle w:val="001000000000"/>
            <w:tcW w:w="1947" w:type="pct"/>
            <w:noWrap/>
            <w:vAlign w:val="center"/>
            <w:hideMark/>
          </w:tcPr>
          <w:p w:rsidR="00084397" w:rsidRPr="00B64F83" w:rsidRDefault="00084397" w:rsidP="00084397">
            <w:pPr>
              <w:pStyle w:val="HUNNormal"/>
              <w:jc w:val="center"/>
              <w:rPr>
                <w:sz w:val="16"/>
              </w:rPr>
            </w:pPr>
            <w:r w:rsidRPr="00B64F83">
              <w:rPr>
                <w:sz w:val="16"/>
              </w:rPr>
              <w:t>FENDT 936 VARIO</w:t>
            </w:r>
          </w:p>
        </w:tc>
        <w:tc>
          <w:tcPr>
            <w:tcW w:w="1511" w:type="pct"/>
            <w:noWrap/>
            <w:vAlign w:val="center"/>
            <w:hideMark/>
          </w:tcPr>
          <w:p w:rsidR="00084397" w:rsidRPr="00B64F83" w:rsidRDefault="00084397" w:rsidP="00084397">
            <w:pPr>
              <w:pStyle w:val="HUNNormal"/>
              <w:jc w:val="center"/>
              <w:cnfStyle w:val="000000000000"/>
              <w:rPr>
                <w:sz w:val="16"/>
              </w:rPr>
            </w:pPr>
            <w:r w:rsidRPr="00B64F83">
              <w:rPr>
                <w:sz w:val="16"/>
              </w:rPr>
              <w:t>61 316 000 Ft</w:t>
            </w:r>
          </w:p>
        </w:tc>
        <w:tc>
          <w:tcPr>
            <w:tcW w:w="1542" w:type="pct"/>
          </w:tcPr>
          <w:p w:rsidR="00084397" w:rsidRPr="00B64F83" w:rsidRDefault="00084397" w:rsidP="00084397">
            <w:pPr>
              <w:pStyle w:val="HUNNormal"/>
              <w:jc w:val="center"/>
              <w:cnfStyle w:val="000000000000"/>
              <w:rPr>
                <w:sz w:val="16"/>
              </w:rPr>
            </w:pPr>
            <w:r>
              <w:rPr>
                <w:sz w:val="16"/>
              </w:rPr>
              <w:t>Kizárólag mezőgazdaság</w:t>
            </w:r>
          </w:p>
        </w:tc>
      </w:tr>
      <w:tr w:rsidR="00084397" w:rsidRPr="00B64F83" w:rsidTr="00084397">
        <w:trPr>
          <w:cnfStyle w:val="000000100000"/>
          <w:trHeight w:val="255"/>
          <w:jc w:val="center"/>
        </w:trPr>
        <w:tc>
          <w:tcPr>
            <w:cnfStyle w:val="001000000000"/>
            <w:tcW w:w="1947" w:type="pct"/>
            <w:noWrap/>
            <w:vAlign w:val="center"/>
            <w:hideMark/>
          </w:tcPr>
          <w:p w:rsidR="00084397" w:rsidRPr="00B64F83" w:rsidRDefault="00084397" w:rsidP="00084397">
            <w:pPr>
              <w:pStyle w:val="HUNNormal"/>
              <w:jc w:val="center"/>
              <w:rPr>
                <w:sz w:val="16"/>
              </w:rPr>
            </w:pPr>
            <w:r w:rsidRPr="00B64F83">
              <w:rPr>
                <w:sz w:val="16"/>
              </w:rPr>
              <w:t>VALTRA N101</w:t>
            </w:r>
          </w:p>
        </w:tc>
        <w:tc>
          <w:tcPr>
            <w:tcW w:w="1511" w:type="pct"/>
            <w:noWrap/>
            <w:vAlign w:val="center"/>
            <w:hideMark/>
          </w:tcPr>
          <w:p w:rsidR="00084397" w:rsidRPr="00B64F83" w:rsidRDefault="00084397" w:rsidP="00084397">
            <w:pPr>
              <w:pStyle w:val="HUNNormal"/>
              <w:jc w:val="center"/>
              <w:cnfStyle w:val="000000100000"/>
              <w:rPr>
                <w:sz w:val="16"/>
              </w:rPr>
            </w:pPr>
            <w:r w:rsidRPr="00B64F83">
              <w:rPr>
                <w:sz w:val="16"/>
              </w:rPr>
              <w:t>61 084 980 Ft</w:t>
            </w:r>
          </w:p>
        </w:tc>
        <w:tc>
          <w:tcPr>
            <w:tcW w:w="1542" w:type="pct"/>
          </w:tcPr>
          <w:p w:rsidR="00084397" w:rsidRPr="00B64F83" w:rsidRDefault="00084397" w:rsidP="00084397">
            <w:pPr>
              <w:pStyle w:val="HUNNormal"/>
              <w:jc w:val="center"/>
              <w:cnfStyle w:val="000000100000"/>
              <w:rPr>
                <w:sz w:val="16"/>
              </w:rPr>
            </w:pPr>
            <w:r>
              <w:rPr>
                <w:sz w:val="16"/>
              </w:rPr>
              <w:t>Jellemzően mezőgazdaság</w:t>
            </w:r>
          </w:p>
        </w:tc>
      </w:tr>
      <w:tr w:rsidR="00084397" w:rsidRPr="00B64F83" w:rsidTr="00084397">
        <w:trPr>
          <w:trHeight w:val="255"/>
          <w:jc w:val="center"/>
        </w:trPr>
        <w:tc>
          <w:tcPr>
            <w:cnfStyle w:val="001000000000"/>
            <w:tcW w:w="1947" w:type="pct"/>
            <w:noWrap/>
            <w:vAlign w:val="center"/>
            <w:hideMark/>
          </w:tcPr>
          <w:p w:rsidR="00084397" w:rsidRPr="00B64F83" w:rsidRDefault="00084397" w:rsidP="00084397">
            <w:pPr>
              <w:pStyle w:val="HUNNormal"/>
              <w:jc w:val="center"/>
              <w:rPr>
                <w:sz w:val="16"/>
              </w:rPr>
            </w:pPr>
            <w:r w:rsidRPr="00B64F83">
              <w:rPr>
                <w:sz w:val="16"/>
              </w:rPr>
              <w:t>FENDT 936 VARIO IKERKERÉK</w:t>
            </w:r>
          </w:p>
        </w:tc>
        <w:tc>
          <w:tcPr>
            <w:tcW w:w="1511" w:type="pct"/>
            <w:noWrap/>
            <w:vAlign w:val="center"/>
            <w:hideMark/>
          </w:tcPr>
          <w:p w:rsidR="00084397" w:rsidRPr="00B64F83" w:rsidRDefault="00084397" w:rsidP="00084397">
            <w:pPr>
              <w:pStyle w:val="HUNNormal"/>
              <w:jc w:val="center"/>
              <w:cnfStyle w:val="000000000000"/>
              <w:rPr>
                <w:sz w:val="16"/>
              </w:rPr>
            </w:pPr>
            <w:r w:rsidRPr="00B64F83">
              <w:rPr>
                <w:sz w:val="16"/>
              </w:rPr>
              <w:t>59 875 000 Ft</w:t>
            </w:r>
          </w:p>
        </w:tc>
        <w:tc>
          <w:tcPr>
            <w:tcW w:w="1542" w:type="pct"/>
          </w:tcPr>
          <w:p w:rsidR="00084397" w:rsidRPr="00B64F83" w:rsidRDefault="00084397" w:rsidP="00084397">
            <w:pPr>
              <w:pStyle w:val="HUNNormal"/>
              <w:jc w:val="center"/>
              <w:cnfStyle w:val="000000000000"/>
              <w:rPr>
                <w:sz w:val="16"/>
              </w:rPr>
            </w:pPr>
            <w:r>
              <w:rPr>
                <w:sz w:val="16"/>
              </w:rPr>
              <w:t>Kizárólag mezőgazdaság</w:t>
            </w:r>
          </w:p>
        </w:tc>
      </w:tr>
      <w:tr w:rsidR="00084397" w:rsidRPr="00B64F83" w:rsidTr="00084397">
        <w:trPr>
          <w:cnfStyle w:val="000000100000"/>
          <w:trHeight w:val="255"/>
          <w:jc w:val="center"/>
        </w:trPr>
        <w:tc>
          <w:tcPr>
            <w:cnfStyle w:val="001000000000"/>
            <w:tcW w:w="1947" w:type="pct"/>
            <w:noWrap/>
            <w:vAlign w:val="center"/>
            <w:hideMark/>
          </w:tcPr>
          <w:p w:rsidR="00084397" w:rsidRPr="00B64F83" w:rsidRDefault="00084397" w:rsidP="00084397">
            <w:pPr>
              <w:pStyle w:val="HUNNormal"/>
              <w:jc w:val="center"/>
              <w:rPr>
                <w:sz w:val="16"/>
              </w:rPr>
            </w:pPr>
            <w:r w:rsidRPr="00B64F83">
              <w:rPr>
                <w:sz w:val="16"/>
              </w:rPr>
              <w:t>VALTRA T191</w:t>
            </w:r>
          </w:p>
        </w:tc>
        <w:tc>
          <w:tcPr>
            <w:tcW w:w="1511" w:type="pct"/>
            <w:noWrap/>
            <w:vAlign w:val="center"/>
            <w:hideMark/>
          </w:tcPr>
          <w:p w:rsidR="00084397" w:rsidRPr="00B64F83" w:rsidRDefault="00084397" w:rsidP="00084397">
            <w:pPr>
              <w:pStyle w:val="HUNNormal"/>
              <w:jc w:val="center"/>
              <w:cnfStyle w:val="000000100000"/>
              <w:rPr>
                <w:sz w:val="16"/>
              </w:rPr>
            </w:pPr>
            <w:r w:rsidRPr="00B64F83">
              <w:rPr>
                <w:sz w:val="16"/>
              </w:rPr>
              <w:t>56 501 748 Ft</w:t>
            </w:r>
          </w:p>
        </w:tc>
        <w:tc>
          <w:tcPr>
            <w:tcW w:w="1542" w:type="pct"/>
          </w:tcPr>
          <w:p w:rsidR="00084397" w:rsidRPr="00B64F83" w:rsidRDefault="00084397" w:rsidP="00084397">
            <w:pPr>
              <w:pStyle w:val="HUNNormal"/>
              <w:jc w:val="center"/>
              <w:cnfStyle w:val="000000100000"/>
              <w:rPr>
                <w:sz w:val="16"/>
              </w:rPr>
            </w:pPr>
            <w:r>
              <w:rPr>
                <w:sz w:val="16"/>
              </w:rPr>
              <w:t>Erdészet és mezőgazdaság</w:t>
            </w:r>
          </w:p>
        </w:tc>
      </w:tr>
      <w:tr w:rsidR="00084397" w:rsidRPr="00B64F83" w:rsidTr="00084397">
        <w:trPr>
          <w:trHeight w:val="255"/>
          <w:jc w:val="center"/>
        </w:trPr>
        <w:tc>
          <w:tcPr>
            <w:cnfStyle w:val="001000000000"/>
            <w:tcW w:w="1947" w:type="pct"/>
            <w:noWrap/>
            <w:vAlign w:val="center"/>
            <w:hideMark/>
          </w:tcPr>
          <w:p w:rsidR="00084397" w:rsidRPr="00B64F83" w:rsidRDefault="00084397" w:rsidP="00084397">
            <w:pPr>
              <w:pStyle w:val="HUNNormal"/>
              <w:jc w:val="center"/>
              <w:rPr>
                <w:sz w:val="16"/>
              </w:rPr>
            </w:pPr>
            <w:r w:rsidRPr="00B64F83">
              <w:rPr>
                <w:sz w:val="16"/>
              </w:rPr>
              <w:t>HYUNDAI HL757-7 ALAPKANÁLLAL</w:t>
            </w:r>
          </w:p>
        </w:tc>
        <w:tc>
          <w:tcPr>
            <w:tcW w:w="1511" w:type="pct"/>
            <w:noWrap/>
            <w:vAlign w:val="center"/>
            <w:hideMark/>
          </w:tcPr>
          <w:p w:rsidR="00084397" w:rsidRPr="00B64F83" w:rsidRDefault="00084397" w:rsidP="00084397">
            <w:pPr>
              <w:pStyle w:val="HUNNormal"/>
              <w:keepNext/>
              <w:jc w:val="center"/>
              <w:cnfStyle w:val="000000000000"/>
              <w:rPr>
                <w:sz w:val="16"/>
              </w:rPr>
            </w:pPr>
            <w:r w:rsidRPr="00B64F83">
              <w:rPr>
                <w:sz w:val="16"/>
              </w:rPr>
              <w:t>53 040 000 Ft</w:t>
            </w:r>
          </w:p>
        </w:tc>
        <w:tc>
          <w:tcPr>
            <w:tcW w:w="1542" w:type="pct"/>
          </w:tcPr>
          <w:p w:rsidR="00084397" w:rsidRPr="00B64F83" w:rsidRDefault="00084397" w:rsidP="00084397">
            <w:pPr>
              <w:pStyle w:val="HUNNormal"/>
              <w:keepNext/>
              <w:jc w:val="center"/>
              <w:cnfStyle w:val="000000000000"/>
              <w:rPr>
                <w:sz w:val="16"/>
              </w:rPr>
            </w:pPr>
            <w:r>
              <w:rPr>
                <w:sz w:val="16"/>
              </w:rPr>
              <w:t>Útépítés</w:t>
            </w:r>
          </w:p>
        </w:tc>
      </w:tr>
    </w:tbl>
    <w:p w:rsidR="00084397" w:rsidRDefault="003F44DC" w:rsidP="00084397">
      <w:pPr>
        <w:pStyle w:val="Caption"/>
        <w:spacing w:before="240"/>
        <w:jc w:val="center"/>
        <w:rPr>
          <w:color w:val="auto"/>
        </w:rPr>
      </w:pPr>
      <w:r w:rsidRPr="00D347C5">
        <w:rPr>
          <w:color w:val="auto"/>
        </w:rPr>
        <w:fldChar w:fldCharType="begin"/>
      </w:r>
      <w:r w:rsidR="00084397" w:rsidRPr="00D347C5">
        <w:rPr>
          <w:color w:val="auto"/>
        </w:rPr>
        <w:instrText xml:space="preserve"> SEQ táblázat \* ARABIC </w:instrText>
      </w:r>
      <w:r w:rsidRPr="00D347C5">
        <w:rPr>
          <w:color w:val="auto"/>
        </w:rPr>
        <w:fldChar w:fldCharType="separate"/>
      </w:r>
      <w:r w:rsidR="002D1B7A">
        <w:rPr>
          <w:noProof/>
          <w:color w:val="auto"/>
        </w:rPr>
        <w:t>28</w:t>
      </w:r>
      <w:r w:rsidRPr="00D347C5">
        <w:rPr>
          <w:color w:val="auto"/>
        </w:rPr>
        <w:fldChar w:fldCharType="end"/>
      </w:r>
      <w:r w:rsidR="00084397" w:rsidRPr="00D347C5">
        <w:rPr>
          <w:color w:val="auto"/>
        </w:rPr>
        <w:t>. táblázat</w:t>
      </w:r>
      <w:r w:rsidR="00084397">
        <w:rPr>
          <w:color w:val="auto"/>
        </w:rPr>
        <w:t>: Erdészeti gépbeszerzés – főbb tételek megnevezése</w:t>
      </w:r>
    </w:p>
    <w:p w:rsidR="00084397" w:rsidRDefault="00084397" w:rsidP="00084397">
      <w:pPr>
        <w:pStyle w:val="HUNNormal"/>
      </w:pPr>
    </w:p>
    <w:p w:rsidR="00084397" w:rsidRDefault="00084397" w:rsidP="00084397">
      <w:pPr>
        <w:pStyle w:val="HUNHeading4"/>
        <w:ind w:left="646" w:hanging="646"/>
      </w:pPr>
      <w:r>
        <w:lastRenderedPageBreak/>
        <w:t>ÁTK további elemzése</w:t>
      </w:r>
    </w:p>
    <w:p w:rsidR="00084397" w:rsidRPr="002B55CD" w:rsidRDefault="00084397" w:rsidP="00084397">
      <w:pPr>
        <w:pStyle w:val="HUNNormal"/>
      </w:pPr>
      <w:r>
        <w:t>Az Állattartó telepek korszerűsítése jogcím vizsgálata során megnéztük, hogyan alakult a támogatottak sz</w:t>
      </w:r>
      <w:r>
        <w:t>á</w:t>
      </w:r>
      <w:r>
        <w:t xml:space="preserve">ma, a megítélt támogatási összeg, valamint a kifizetések. A </w:t>
      </w:r>
      <w:r w:rsidR="003F44DC">
        <w:fldChar w:fldCharType="begin"/>
      </w:r>
      <w:r>
        <w:instrText xml:space="preserve"> REF _Ref277521356 \h </w:instrText>
      </w:r>
      <w:r w:rsidR="003F44DC">
        <w:fldChar w:fldCharType="separate"/>
      </w:r>
      <w:r w:rsidR="002D1B7A">
        <w:rPr>
          <w:noProof/>
        </w:rPr>
        <w:t>29</w:t>
      </w:r>
      <w:r w:rsidR="002D1B7A" w:rsidRPr="005E4860">
        <w:t>. táblázat</w:t>
      </w:r>
      <w:r w:rsidR="003F44DC">
        <w:fldChar w:fldCharType="end"/>
      </w:r>
      <w:r>
        <w:t xml:space="preserve"> tartalmazza ezen adatokat az ÁTK I és ÁTK II jogcím </w:t>
      </w:r>
      <w:proofErr w:type="gramStart"/>
      <w:r>
        <w:t>esetében</w:t>
      </w:r>
      <w:r>
        <w:rPr>
          <w:rStyle w:val="FootnoteReference"/>
        </w:rPr>
        <w:footnoteReference w:id="37"/>
      </w:r>
      <w:r>
        <w:t>:</w:t>
      </w:r>
      <w:proofErr w:type="gramEnd"/>
      <w:r>
        <w:t xml:space="preserve"> a regionális bontás a fejlesztés megvalósítási helye alapján készült.</w:t>
      </w:r>
    </w:p>
    <w:p w:rsidR="00084397" w:rsidRDefault="00084397" w:rsidP="00084397">
      <w:pPr>
        <w:pStyle w:val="HUNNormal"/>
        <w:keepNext/>
        <w:jc w:val="center"/>
      </w:pPr>
      <w:r w:rsidRPr="002B55CD">
        <w:rPr>
          <w:noProof/>
        </w:rPr>
        <w:drawing>
          <wp:inline distT="0" distB="0" distL="0" distR="0">
            <wp:extent cx="5818505" cy="2906281"/>
            <wp:effectExtent l="19050" t="0" r="0" b="0"/>
            <wp:docPr id="6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cstate="print"/>
                    <a:srcRect/>
                    <a:stretch>
                      <a:fillRect/>
                    </a:stretch>
                  </pic:blipFill>
                  <pic:spPr bwMode="auto">
                    <a:xfrm>
                      <a:off x="0" y="0"/>
                      <a:ext cx="5818505" cy="2906281"/>
                    </a:xfrm>
                    <a:prstGeom prst="rect">
                      <a:avLst/>
                    </a:prstGeom>
                    <a:noFill/>
                    <a:ln w="9525">
                      <a:noFill/>
                      <a:miter lim="800000"/>
                      <a:headEnd/>
                      <a:tailEnd/>
                    </a:ln>
                  </pic:spPr>
                </pic:pic>
              </a:graphicData>
            </a:graphic>
          </wp:inline>
        </w:drawing>
      </w:r>
    </w:p>
    <w:bookmarkStart w:id="176" w:name="_Ref277521356"/>
    <w:p w:rsidR="00084397" w:rsidRDefault="003F44DC" w:rsidP="00084397">
      <w:pPr>
        <w:pStyle w:val="Caption"/>
        <w:spacing w:before="240"/>
        <w:jc w:val="center"/>
        <w:rPr>
          <w:color w:val="auto"/>
        </w:rPr>
      </w:pPr>
      <w:r>
        <w:rPr>
          <w:color w:val="auto"/>
        </w:rPr>
        <w:fldChar w:fldCharType="begin"/>
      </w:r>
      <w:r w:rsidR="00084397">
        <w:rPr>
          <w:color w:val="auto"/>
        </w:rPr>
        <w:instrText xml:space="preserve"> SEQ táblázat \* ARABIC </w:instrText>
      </w:r>
      <w:r>
        <w:rPr>
          <w:color w:val="auto"/>
        </w:rPr>
        <w:fldChar w:fldCharType="separate"/>
      </w:r>
      <w:r w:rsidR="002D1B7A">
        <w:rPr>
          <w:noProof/>
          <w:color w:val="auto"/>
        </w:rPr>
        <w:t>29</w:t>
      </w:r>
      <w:r>
        <w:rPr>
          <w:color w:val="auto"/>
        </w:rPr>
        <w:fldChar w:fldCharType="end"/>
      </w:r>
      <w:r w:rsidR="00084397" w:rsidRPr="005E4860">
        <w:rPr>
          <w:color w:val="auto"/>
        </w:rPr>
        <w:t>. táblázat</w:t>
      </w:r>
      <w:bookmarkEnd w:id="176"/>
      <w:r w:rsidR="00084397">
        <w:rPr>
          <w:color w:val="auto"/>
        </w:rPr>
        <w:t>: ÁTK jogcím alapvető jellemzői</w:t>
      </w:r>
    </w:p>
    <w:p w:rsidR="00084397" w:rsidRPr="005E4860" w:rsidRDefault="00084397" w:rsidP="00084397">
      <w:pPr>
        <w:jc w:val="both"/>
      </w:pPr>
      <w:r>
        <w:t>Amint azt a fenti táblázat jól szemlélteti, a legmagasabb jóváhagyott támogatási összeggel az Észak-Alföldi régió rendelkezik. Ami a támogatások megítélésnek időbeli alakulását illeti, jól látható, hogy a jogcím indul</w:t>
      </w:r>
      <w:r>
        <w:t>á</w:t>
      </w:r>
      <w:r>
        <w:t xml:space="preserve">sának évében kiemelkedően sok támogatást hagyott jóvá az Irányító Hatóság (lásd: </w:t>
      </w:r>
      <w:r w:rsidR="003F44DC">
        <w:fldChar w:fldCharType="begin"/>
      </w:r>
      <w:r>
        <w:instrText xml:space="preserve"> REF _Ref277862615 \h </w:instrText>
      </w:r>
      <w:r w:rsidR="003F44DC">
        <w:fldChar w:fldCharType="separate"/>
      </w:r>
      <w:r w:rsidR="002D1B7A">
        <w:rPr>
          <w:noProof/>
        </w:rPr>
        <w:t>30</w:t>
      </w:r>
      <w:r w:rsidR="002D1B7A" w:rsidRPr="005E4860">
        <w:t>. táblázat</w:t>
      </w:r>
      <w:r w:rsidR="003F44DC">
        <w:fldChar w:fldCharType="end"/>
      </w:r>
      <w:r>
        <w:t xml:space="preserve">). Ez azért is fontos számunkra, mert a </w:t>
      </w:r>
      <w:proofErr w:type="spellStart"/>
      <w:r>
        <w:t>FADN-re</w:t>
      </w:r>
      <w:proofErr w:type="spellEnd"/>
      <w:r>
        <w:t xml:space="preserve"> épülő </w:t>
      </w:r>
      <w:proofErr w:type="spellStart"/>
      <w:r>
        <w:t>ökonometriai</w:t>
      </w:r>
      <w:proofErr w:type="spellEnd"/>
      <w:r>
        <w:t xml:space="preserve"> elemzésben az ÚMVP beruházási jogcímeit kódoló FEJTAM változónk legkésőbbi elemzett értékei 2008-ból származnak.</w:t>
      </w:r>
    </w:p>
    <w:p w:rsidR="00084397" w:rsidRDefault="00084397" w:rsidP="00084397">
      <w:pPr>
        <w:keepNext/>
        <w:jc w:val="center"/>
      </w:pPr>
      <w:r w:rsidRPr="005E4860">
        <w:rPr>
          <w:noProof/>
        </w:rPr>
        <w:drawing>
          <wp:inline distT="0" distB="0" distL="0" distR="0">
            <wp:extent cx="4611370" cy="1914525"/>
            <wp:effectExtent l="19050" t="0" r="0" b="0"/>
            <wp:docPr id="7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cstate="print"/>
                    <a:srcRect/>
                    <a:stretch>
                      <a:fillRect/>
                    </a:stretch>
                  </pic:blipFill>
                  <pic:spPr bwMode="auto">
                    <a:xfrm>
                      <a:off x="0" y="0"/>
                      <a:ext cx="4611370" cy="1914525"/>
                    </a:xfrm>
                    <a:prstGeom prst="rect">
                      <a:avLst/>
                    </a:prstGeom>
                    <a:noFill/>
                    <a:ln w="9525">
                      <a:noFill/>
                      <a:miter lim="800000"/>
                      <a:headEnd/>
                      <a:tailEnd/>
                    </a:ln>
                  </pic:spPr>
                </pic:pic>
              </a:graphicData>
            </a:graphic>
          </wp:inline>
        </w:drawing>
      </w:r>
    </w:p>
    <w:bookmarkStart w:id="177" w:name="_Ref277862615"/>
    <w:p w:rsidR="00084397" w:rsidRDefault="003F44DC" w:rsidP="00084397">
      <w:pPr>
        <w:pStyle w:val="Caption"/>
        <w:jc w:val="center"/>
        <w:rPr>
          <w:color w:val="auto"/>
        </w:rPr>
      </w:pPr>
      <w:r>
        <w:rPr>
          <w:color w:val="auto"/>
        </w:rPr>
        <w:fldChar w:fldCharType="begin"/>
      </w:r>
      <w:r w:rsidR="00084397">
        <w:rPr>
          <w:color w:val="auto"/>
        </w:rPr>
        <w:instrText xml:space="preserve"> SEQ táblázat \* ARABIC </w:instrText>
      </w:r>
      <w:r>
        <w:rPr>
          <w:color w:val="auto"/>
        </w:rPr>
        <w:fldChar w:fldCharType="separate"/>
      </w:r>
      <w:r w:rsidR="002D1B7A">
        <w:rPr>
          <w:noProof/>
          <w:color w:val="auto"/>
        </w:rPr>
        <w:t>30</w:t>
      </w:r>
      <w:r>
        <w:rPr>
          <w:color w:val="auto"/>
        </w:rPr>
        <w:fldChar w:fldCharType="end"/>
      </w:r>
      <w:r w:rsidR="00084397" w:rsidRPr="005E4860">
        <w:rPr>
          <w:color w:val="auto"/>
        </w:rPr>
        <w:t>. táblázat</w:t>
      </w:r>
      <w:bookmarkEnd w:id="177"/>
      <w:r w:rsidR="00084397" w:rsidRPr="005E4860">
        <w:rPr>
          <w:color w:val="auto"/>
        </w:rPr>
        <w:t xml:space="preserve">: </w:t>
      </w:r>
      <w:r w:rsidR="00084397">
        <w:rPr>
          <w:color w:val="auto"/>
        </w:rPr>
        <w:t>Határozat éve szerinti megoszlás</w:t>
      </w:r>
    </w:p>
    <w:p w:rsidR="00084397" w:rsidRDefault="00084397" w:rsidP="00084397">
      <w:pPr>
        <w:jc w:val="both"/>
      </w:pPr>
      <w:r>
        <w:t xml:space="preserve">A rendelkezésre álló IIER adatok alapján megvizsgáltuk a támogatott </w:t>
      </w:r>
      <w:r w:rsidRPr="00603477">
        <w:rPr>
          <w:b/>
        </w:rPr>
        <w:t>beruházások költségszerkezetét</w:t>
      </w:r>
      <w:r>
        <w:t xml:space="preserve"> is: a támogatási kérelemben szereplő kiadási </w:t>
      </w:r>
      <w:proofErr w:type="gramStart"/>
      <w:r>
        <w:t>tétel azonosító</w:t>
      </w:r>
      <w:proofErr w:type="gramEnd"/>
      <w:r>
        <w:t xml:space="preserve"> alapján a következő költségcsoportokat alkalma</w:t>
      </w:r>
      <w:r>
        <w:t>z</w:t>
      </w:r>
      <w:r>
        <w:lastRenderedPageBreak/>
        <w:t xml:space="preserve">tuk: </w:t>
      </w:r>
      <w:r w:rsidRPr="00860221">
        <w:rPr>
          <w:i/>
        </w:rPr>
        <w:t>technológiai</w:t>
      </w:r>
      <w:r>
        <w:t xml:space="preserve"> beruházás (a következő alkategóriákkal: új férőhelyek kialakítása, takarmány előállítás, környezetkímélő gépek, trágya-biogáz, minőségfejlesztés, szélkerék beruházás, IT beruházás), </w:t>
      </w:r>
      <w:r w:rsidRPr="00F6078B">
        <w:rPr>
          <w:i/>
        </w:rPr>
        <w:t>gépbeszerzés</w:t>
      </w:r>
      <w:r>
        <w:t xml:space="preserve">, </w:t>
      </w:r>
      <w:r w:rsidRPr="00F6078B">
        <w:rPr>
          <w:i/>
        </w:rPr>
        <w:t>építési</w:t>
      </w:r>
      <w:r>
        <w:t xml:space="preserve"> beruházás, </w:t>
      </w:r>
      <w:r w:rsidRPr="00F6078B">
        <w:rPr>
          <w:i/>
        </w:rPr>
        <w:t>egyéb</w:t>
      </w:r>
      <w:r>
        <w:t xml:space="preserve"> beruházás. A projektek költséganalitikájában minden egyes költségsorhoz hozz</w:t>
      </w:r>
      <w:r>
        <w:t>á</w:t>
      </w:r>
      <w:r>
        <w:t xml:space="preserve">rendeltük a megfelelő költségcsoportot, valamint – szakmai tapasztatok alapján – megjelöltük, hogy az adott költségsor jövedelemtermelő vagy nem jövedelemtermelő kiadás. Mindezek alapján meghatároztuk, hogy az egyes támogatott projektek megítélt támogatási összegéből milyen részesedéssel bírnak az egyes költségcsoportok. Ezek jogcímszintű összegzését szemlélteti a </w:t>
      </w:r>
      <w:r w:rsidR="003F44DC">
        <w:fldChar w:fldCharType="begin"/>
      </w:r>
      <w:r>
        <w:instrText xml:space="preserve"> REF _Ref277591769 \h </w:instrText>
      </w:r>
      <w:r w:rsidR="003F44DC">
        <w:fldChar w:fldCharType="separate"/>
      </w:r>
      <w:r w:rsidR="002D1B7A">
        <w:rPr>
          <w:noProof/>
        </w:rPr>
        <w:t>32</w:t>
      </w:r>
      <w:r w:rsidR="003F44DC">
        <w:fldChar w:fldCharType="end"/>
      </w:r>
      <w:r>
        <w:t xml:space="preserve">. ábra és a </w:t>
      </w:r>
      <w:r w:rsidR="003F44DC">
        <w:fldChar w:fldCharType="begin"/>
      </w:r>
      <w:r>
        <w:instrText xml:space="preserve"> REF _Ref277522748 \h </w:instrText>
      </w:r>
      <w:r w:rsidR="003F44DC">
        <w:fldChar w:fldCharType="separate"/>
      </w:r>
      <w:r w:rsidR="002D1B7A">
        <w:rPr>
          <w:noProof/>
        </w:rPr>
        <w:t>31</w:t>
      </w:r>
      <w:r w:rsidR="002D1B7A" w:rsidRPr="005E4860">
        <w:t>. táblázat</w:t>
      </w:r>
      <w:r w:rsidR="003F44DC">
        <w:fldChar w:fldCharType="end"/>
      </w:r>
      <w:r>
        <w:t xml:space="preserve">. Megállapítható, hogy a </w:t>
      </w:r>
      <w:r w:rsidRPr="00BA27DF">
        <w:rPr>
          <w:b/>
        </w:rPr>
        <w:t>technológiai kiadások</w:t>
      </w:r>
      <w:r>
        <w:t xml:space="preserve"> adták a jogcím </w:t>
      </w:r>
      <w:r w:rsidRPr="00BA27DF">
        <w:rPr>
          <w:b/>
        </w:rPr>
        <w:t>kiadási összege</w:t>
      </w:r>
      <w:r>
        <w:rPr>
          <w:b/>
        </w:rPr>
        <w:t>ine</w:t>
      </w:r>
      <w:r w:rsidRPr="00BA27DF">
        <w:rPr>
          <w:b/>
        </w:rPr>
        <w:t>k 80%-át</w:t>
      </w:r>
      <w:r>
        <w:t>.</w:t>
      </w:r>
    </w:p>
    <w:p w:rsidR="00084397" w:rsidRDefault="00084397" w:rsidP="00084397">
      <w:pPr>
        <w:keepNext/>
        <w:jc w:val="both"/>
      </w:pPr>
      <w:r w:rsidRPr="002C45E6">
        <w:rPr>
          <w:noProof/>
        </w:rPr>
        <w:drawing>
          <wp:inline distT="0" distB="0" distL="0" distR="0">
            <wp:extent cx="5818505" cy="3054004"/>
            <wp:effectExtent l="19050" t="0" r="144145" b="108296"/>
            <wp:docPr id="7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bookmarkStart w:id="178" w:name="_Ref277522758"/>
    <w:p w:rsidR="00084397" w:rsidRDefault="003F44DC" w:rsidP="00084397">
      <w:pPr>
        <w:pStyle w:val="Caption"/>
        <w:jc w:val="center"/>
        <w:rPr>
          <w:color w:val="auto"/>
        </w:rPr>
      </w:pPr>
      <w:r w:rsidRPr="002C45E6">
        <w:rPr>
          <w:color w:val="auto"/>
        </w:rPr>
        <w:fldChar w:fldCharType="begin"/>
      </w:r>
      <w:r w:rsidR="00084397" w:rsidRPr="002C45E6">
        <w:rPr>
          <w:color w:val="auto"/>
        </w:rPr>
        <w:instrText xml:space="preserve"> SEQ ábra \* ARABIC </w:instrText>
      </w:r>
      <w:r w:rsidRPr="002C45E6">
        <w:rPr>
          <w:color w:val="auto"/>
        </w:rPr>
        <w:fldChar w:fldCharType="separate"/>
      </w:r>
      <w:bookmarkStart w:id="179" w:name="_Ref277591769"/>
      <w:r w:rsidR="002D1B7A">
        <w:rPr>
          <w:noProof/>
          <w:color w:val="auto"/>
        </w:rPr>
        <w:t>32</w:t>
      </w:r>
      <w:bookmarkEnd w:id="179"/>
      <w:r w:rsidRPr="002C45E6">
        <w:rPr>
          <w:color w:val="auto"/>
        </w:rPr>
        <w:fldChar w:fldCharType="end"/>
      </w:r>
      <w:r w:rsidR="00084397" w:rsidRPr="002C45E6">
        <w:rPr>
          <w:color w:val="auto"/>
        </w:rPr>
        <w:t>. ábra</w:t>
      </w:r>
      <w:bookmarkEnd w:id="178"/>
      <w:r w:rsidR="00084397">
        <w:rPr>
          <w:color w:val="auto"/>
        </w:rPr>
        <w:t>: Költségkategóriák arányaival súlyozott megítélt támogatási összegek</w:t>
      </w:r>
    </w:p>
    <w:p w:rsidR="00084397" w:rsidRPr="00D22F14" w:rsidRDefault="00084397" w:rsidP="00084397">
      <w:pPr>
        <w:jc w:val="both"/>
      </w:pPr>
    </w:p>
    <w:p w:rsidR="00084397" w:rsidRDefault="00084397" w:rsidP="00084397">
      <w:pPr>
        <w:keepNext/>
        <w:jc w:val="both"/>
      </w:pPr>
      <w:r w:rsidRPr="005E4860">
        <w:rPr>
          <w:noProof/>
        </w:rPr>
        <w:drawing>
          <wp:inline distT="0" distB="0" distL="0" distR="0">
            <wp:extent cx="5818505" cy="1313149"/>
            <wp:effectExtent l="19050" t="0" r="0" b="0"/>
            <wp:docPr id="7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cstate="print"/>
                    <a:srcRect/>
                    <a:stretch>
                      <a:fillRect/>
                    </a:stretch>
                  </pic:blipFill>
                  <pic:spPr bwMode="auto">
                    <a:xfrm>
                      <a:off x="0" y="0"/>
                      <a:ext cx="5818505" cy="1313149"/>
                    </a:xfrm>
                    <a:prstGeom prst="rect">
                      <a:avLst/>
                    </a:prstGeom>
                    <a:noFill/>
                    <a:ln w="9525">
                      <a:noFill/>
                      <a:miter lim="800000"/>
                      <a:headEnd/>
                      <a:tailEnd/>
                    </a:ln>
                  </pic:spPr>
                </pic:pic>
              </a:graphicData>
            </a:graphic>
          </wp:inline>
        </w:drawing>
      </w:r>
    </w:p>
    <w:bookmarkStart w:id="180" w:name="_Ref277522748"/>
    <w:bookmarkStart w:id="181" w:name="_Ref277592111"/>
    <w:p w:rsidR="00084397" w:rsidRDefault="003F44DC" w:rsidP="00084397">
      <w:pPr>
        <w:pStyle w:val="Caption"/>
        <w:jc w:val="center"/>
        <w:rPr>
          <w:color w:val="auto"/>
        </w:rPr>
      </w:pPr>
      <w:r>
        <w:rPr>
          <w:color w:val="auto"/>
        </w:rPr>
        <w:fldChar w:fldCharType="begin"/>
      </w:r>
      <w:r w:rsidR="00084397">
        <w:rPr>
          <w:color w:val="auto"/>
        </w:rPr>
        <w:instrText xml:space="preserve"> SEQ táblázat \* ARABIC </w:instrText>
      </w:r>
      <w:r>
        <w:rPr>
          <w:color w:val="auto"/>
        </w:rPr>
        <w:fldChar w:fldCharType="separate"/>
      </w:r>
      <w:r w:rsidR="002D1B7A">
        <w:rPr>
          <w:noProof/>
          <w:color w:val="auto"/>
        </w:rPr>
        <w:t>31</w:t>
      </w:r>
      <w:r>
        <w:rPr>
          <w:color w:val="auto"/>
        </w:rPr>
        <w:fldChar w:fldCharType="end"/>
      </w:r>
      <w:r w:rsidR="00084397" w:rsidRPr="005E4860">
        <w:rPr>
          <w:color w:val="auto"/>
        </w:rPr>
        <w:t>. táblázat</w:t>
      </w:r>
      <w:bookmarkEnd w:id="180"/>
      <w:r w:rsidR="00084397" w:rsidRPr="005E4860">
        <w:rPr>
          <w:color w:val="auto"/>
        </w:rPr>
        <w:t>:</w:t>
      </w:r>
      <w:r w:rsidR="00084397">
        <w:rPr>
          <w:color w:val="auto"/>
        </w:rPr>
        <w:t xml:space="preserve"> Támogatások kiadási kategóriák szerinti megoszlása</w:t>
      </w:r>
      <w:bookmarkEnd w:id="181"/>
    </w:p>
    <w:p w:rsidR="00084397" w:rsidRDefault="00084397" w:rsidP="00084397">
      <w:pPr>
        <w:jc w:val="both"/>
      </w:pPr>
      <w:r>
        <w:t xml:space="preserve">A </w:t>
      </w:r>
      <w:r w:rsidR="003F44DC">
        <w:fldChar w:fldCharType="begin"/>
      </w:r>
      <w:r>
        <w:instrText xml:space="preserve"> REF _Ref278088886 \r \h </w:instrText>
      </w:r>
      <w:r w:rsidR="003F44DC">
        <w:fldChar w:fldCharType="separate"/>
      </w:r>
      <w:r w:rsidR="002D1B7A">
        <w:t>4.1.2</w:t>
      </w:r>
      <w:r w:rsidR="003F44DC">
        <w:fldChar w:fldCharType="end"/>
      </w:r>
      <w:r>
        <w:t xml:space="preserve"> fejezetben szereplő elemzés kimagasló jövedelemnövekményt állapított meg a lezárt ÁTK projektek esetében. A kimagasló eredmény okainak megértéséhez megvizsgáltuk, hogy jellemzően milyen jellegű fe</w:t>
      </w:r>
      <w:r>
        <w:t>j</w:t>
      </w:r>
      <w:r>
        <w:t xml:space="preserve">lesztés valósult meg (a költségszerkezet alapján). Amint azt a </w:t>
      </w:r>
      <w:fldSimple w:instr=" REF _Ref277523180 \h  \* MERGEFORMAT ">
        <w:r w:rsidR="002D1B7A">
          <w:rPr>
            <w:noProof/>
          </w:rPr>
          <w:t>32</w:t>
        </w:r>
        <w:r w:rsidR="002D1B7A" w:rsidRPr="00A27AAC">
          <w:t>. táblázat</w:t>
        </w:r>
      </w:fldSimple>
      <w:r>
        <w:t xml:space="preserve"> szemlélteti, a lezárt és az összes támogatott projekt esetében nem igazolható azon feltevésünk, hogy a kimagasló árbevétel-növekményt az új férőhely bővítések nagy aránya okozhatta.</w:t>
      </w:r>
    </w:p>
    <w:p w:rsidR="00FD66BC" w:rsidRDefault="00FD66BC" w:rsidP="00084397">
      <w:pPr>
        <w:jc w:val="both"/>
      </w:pPr>
    </w:p>
    <w:tbl>
      <w:tblPr>
        <w:tblStyle w:val="MediumGrid3-Accent2"/>
        <w:tblW w:w="0" w:type="auto"/>
        <w:tblLook w:val="04A0"/>
      </w:tblPr>
      <w:tblGrid>
        <w:gridCol w:w="1644"/>
        <w:gridCol w:w="1211"/>
        <w:gridCol w:w="936"/>
        <w:gridCol w:w="1066"/>
        <w:gridCol w:w="936"/>
        <w:gridCol w:w="1125"/>
        <w:gridCol w:w="890"/>
        <w:gridCol w:w="1571"/>
      </w:tblGrid>
      <w:tr w:rsidR="00084397" w:rsidRPr="00A27AAC" w:rsidTr="00084397">
        <w:trPr>
          <w:cnfStyle w:val="100000000000"/>
          <w:trHeight w:val="300"/>
        </w:trPr>
        <w:tc>
          <w:tcPr>
            <w:cnfStyle w:val="001000000000"/>
            <w:tcW w:w="1644" w:type="dxa"/>
            <w:noWrap/>
            <w:vAlign w:val="center"/>
            <w:hideMark/>
          </w:tcPr>
          <w:p w:rsidR="00084397" w:rsidRPr="003459CE" w:rsidRDefault="00084397" w:rsidP="00084397">
            <w:pPr>
              <w:jc w:val="center"/>
              <w:rPr>
                <w:i/>
                <w:sz w:val="18"/>
              </w:rPr>
            </w:pPr>
          </w:p>
        </w:tc>
        <w:tc>
          <w:tcPr>
            <w:tcW w:w="1211" w:type="dxa"/>
            <w:noWrap/>
            <w:vAlign w:val="center"/>
            <w:hideMark/>
          </w:tcPr>
          <w:p w:rsidR="00084397" w:rsidRPr="003459CE" w:rsidRDefault="00084397" w:rsidP="00084397">
            <w:pPr>
              <w:jc w:val="center"/>
              <w:cnfStyle w:val="100000000000"/>
              <w:rPr>
                <w:i/>
                <w:sz w:val="18"/>
              </w:rPr>
            </w:pPr>
            <w:r w:rsidRPr="003459CE">
              <w:rPr>
                <w:i/>
                <w:sz w:val="18"/>
              </w:rPr>
              <w:t>Nem techn</w:t>
            </w:r>
            <w:r w:rsidRPr="003459CE">
              <w:rPr>
                <w:i/>
                <w:sz w:val="18"/>
              </w:rPr>
              <w:t>o</w:t>
            </w:r>
            <w:r w:rsidRPr="003459CE">
              <w:rPr>
                <w:i/>
                <w:sz w:val="18"/>
              </w:rPr>
              <w:t>lógiai kiadás</w:t>
            </w:r>
          </w:p>
        </w:tc>
        <w:tc>
          <w:tcPr>
            <w:tcW w:w="936" w:type="dxa"/>
            <w:noWrap/>
            <w:vAlign w:val="center"/>
            <w:hideMark/>
          </w:tcPr>
          <w:p w:rsidR="00084397" w:rsidRPr="003459CE" w:rsidRDefault="00084397" w:rsidP="00084397">
            <w:pPr>
              <w:jc w:val="center"/>
              <w:cnfStyle w:val="100000000000"/>
              <w:rPr>
                <w:i/>
                <w:sz w:val="18"/>
              </w:rPr>
            </w:pPr>
            <w:r w:rsidRPr="003459CE">
              <w:rPr>
                <w:i/>
                <w:sz w:val="18"/>
              </w:rPr>
              <w:t>Trágya-biogáz</w:t>
            </w:r>
          </w:p>
        </w:tc>
        <w:tc>
          <w:tcPr>
            <w:tcW w:w="1066" w:type="dxa"/>
            <w:noWrap/>
            <w:vAlign w:val="center"/>
            <w:hideMark/>
          </w:tcPr>
          <w:p w:rsidR="00084397" w:rsidRPr="003459CE" w:rsidRDefault="00084397" w:rsidP="00084397">
            <w:pPr>
              <w:jc w:val="center"/>
              <w:cnfStyle w:val="100000000000"/>
              <w:rPr>
                <w:i/>
                <w:sz w:val="18"/>
              </w:rPr>
            </w:pPr>
            <w:r w:rsidRPr="003459CE">
              <w:rPr>
                <w:i/>
                <w:sz w:val="18"/>
              </w:rPr>
              <w:t>Új férőh</w:t>
            </w:r>
            <w:r w:rsidRPr="003459CE">
              <w:rPr>
                <w:i/>
                <w:sz w:val="18"/>
              </w:rPr>
              <w:t>e</w:t>
            </w:r>
            <w:r w:rsidRPr="003459CE">
              <w:rPr>
                <w:i/>
                <w:sz w:val="18"/>
              </w:rPr>
              <w:t>lyek</w:t>
            </w:r>
          </w:p>
        </w:tc>
        <w:tc>
          <w:tcPr>
            <w:tcW w:w="936" w:type="dxa"/>
            <w:noWrap/>
            <w:vAlign w:val="center"/>
            <w:hideMark/>
          </w:tcPr>
          <w:p w:rsidR="00084397" w:rsidRPr="003459CE" w:rsidRDefault="00084397" w:rsidP="00084397">
            <w:pPr>
              <w:jc w:val="center"/>
              <w:cnfStyle w:val="100000000000"/>
              <w:rPr>
                <w:i/>
                <w:sz w:val="18"/>
              </w:rPr>
            </w:pPr>
            <w:r w:rsidRPr="003459CE">
              <w:rPr>
                <w:i/>
                <w:sz w:val="18"/>
              </w:rPr>
              <w:t>Minőség</w:t>
            </w:r>
          </w:p>
        </w:tc>
        <w:tc>
          <w:tcPr>
            <w:tcW w:w="1125" w:type="dxa"/>
            <w:noWrap/>
            <w:vAlign w:val="center"/>
            <w:hideMark/>
          </w:tcPr>
          <w:p w:rsidR="00084397" w:rsidRPr="003459CE" w:rsidRDefault="00084397" w:rsidP="00084397">
            <w:pPr>
              <w:jc w:val="center"/>
              <w:cnfStyle w:val="100000000000"/>
              <w:rPr>
                <w:i/>
                <w:sz w:val="18"/>
              </w:rPr>
            </w:pPr>
            <w:r w:rsidRPr="003459CE">
              <w:rPr>
                <w:i/>
                <w:sz w:val="18"/>
              </w:rPr>
              <w:t>Takarmány előállítás</w:t>
            </w:r>
          </w:p>
        </w:tc>
        <w:tc>
          <w:tcPr>
            <w:tcW w:w="890" w:type="dxa"/>
            <w:noWrap/>
            <w:vAlign w:val="center"/>
            <w:hideMark/>
          </w:tcPr>
          <w:p w:rsidR="00084397" w:rsidRPr="003459CE" w:rsidRDefault="00084397" w:rsidP="00084397">
            <w:pPr>
              <w:jc w:val="center"/>
              <w:cnfStyle w:val="100000000000"/>
              <w:rPr>
                <w:i/>
                <w:sz w:val="18"/>
              </w:rPr>
            </w:pPr>
            <w:r w:rsidRPr="003459CE">
              <w:rPr>
                <w:i/>
                <w:sz w:val="18"/>
              </w:rPr>
              <w:t>IT</w:t>
            </w:r>
          </w:p>
        </w:tc>
        <w:tc>
          <w:tcPr>
            <w:tcW w:w="1571" w:type="dxa"/>
            <w:noWrap/>
            <w:vAlign w:val="center"/>
            <w:hideMark/>
          </w:tcPr>
          <w:p w:rsidR="00084397" w:rsidRPr="003459CE" w:rsidRDefault="00084397" w:rsidP="00084397">
            <w:pPr>
              <w:jc w:val="center"/>
              <w:cnfStyle w:val="100000000000"/>
              <w:rPr>
                <w:i/>
                <w:sz w:val="18"/>
              </w:rPr>
            </w:pPr>
            <w:r w:rsidRPr="003459CE">
              <w:rPr>
                <w:i/>
                <w:sz w:val="18"/>
              </w:rPr>
              <w:t>Környezetkímélő gépek</w:t>
            </w:r>
          </w:p>
        </w:tc>
      </w:tr>
      <w:tr w:rsidR="00084397" w:rsidRPr="00A27AAC" w:rsidTr="00084397">
        <w:trPr>
          <w:cnfStyle w:val="000000100000"/>
          <w:trHeight w:val="300"/>
        </w:trPr>
        <w:tc>
          <w:tcPr>
            <w:cnfStyle w:val="001000000000"/>
            <w:tcW w:w="1644" w:type="dxa"/>
            <w:noWrap/>
            <w:vAlign w:val="center"/>
            <w:hideMark/>
          </w:tcPr>
          <w:p w:rsidR="00084397" w:rsidRPr="003459CE" w:rsidRDefault="00084397" w:rsidP="00084397">
            <w:pPr>
              <w:jc w:val="center"/>
              <w:rPr>
                <w:b w:val="0"/>
                <w:i/>
              </w:rPr>
            </w:pPr>
            <w:r w:rsidRPr="003459CE">
              <w:rPr>
                <w:b w:val="0"/>
                <w:i/>
              </w:rPr>
              <w:t>Lezárt projektek</w:t>
            </w:r>
          </w:p>
        </w:tc>
        <w:tc>
          <w:tcPr>
            <w:tcW w:w="1211" w:type="dxa"/>
            <w:noWrap/>
            <w:vAlign w:val="center"/>
            <w:hideMark/>
          </w:tcPr>
          <w:p w:rsidR="00084397" w:rsidRPr="00A27AAC" w:rsidRDefault="00084397" w:rsidP="00084397">
            <w:pPr>
              <w:jc w:val="center"/>
              <w:cnfStyle w:val="000000100000"/>
            </w:pPr>
            <w:r w:rsidRPr="00A27AAC">
              <w:t>26,2%</w:t>
            </w:r>
          </w:p>
        </w:tc>
        <w:tc>
          <w:tcPr>
            <w:tcW w:w="936" w:type="dxa"/>
            <w:noWrap/>
            <w:vAlign w:val="center"/>
            <w:hideMark/>
          </w:tcPr>
          <w:p w:rsidR="00084397" w:rsidRPr="00A27AAC" w:rsidRDefault="00084397" w:rsidP="00084397">
            <w:pPr>
              <w:jc w:val="center"/>
              <w:cnfStyle w:val="000000100000"/>
            </w:pPr>
            <w:r w:rsidRPr="00A27AAC">
              <w:t>44,2%</w:t>
            </w:r>
          </w:p>
        </w:tc>
        <w:tc>
          <w:tcPr>
            <w:tcW w:w="1066" w:type="dxa"/>
            <w:noWrap/>
            <w:vAlign w:val="center"/>
            <w:hideMark/>
          </w:tcPr>
          <w:p w:rsidR="00084397" w:rsidRPr="00A27AAC" w:rsidRDefault="00084397" w:rsidP="00084397">
            <w:pPr>
              <w:jc w:val="center"/>
              <w:cnfStyle w:val="000000100000"/>
            </w:pPr>
            <w:r w:rsidRPr="00A27AAC">
              <w:t>15,9%</w:t>
            </w:r>
          </w:p>
        </w:tc>
        <w:tc>
          <w:tcPr>
            <w:tcW w:w="936" w:type="dxa"/>
            <w:noWrap/>
            <w:vAlign w:val="center"/>
            <w:hideMark/>
          </w:tcPr>
          <w:p w:rsidR="00084397" w:rsidRPr="00A27AAC" w:rsidRDefault="00084397" w:rsidP="00084397">
            <w:pPr>
              <w:jc w:val="center"/>
              <w:cnfStyle w:val="000000100000"/>
            </w:pPr>
            <w:r w:rsidRPr="00A27AAC">
              <w:t>8,2%</w:t>
            </w:r>
          </w:p>
        </w:tc>
        <w:tc>
          <w:tcPr>
            <w:tcW w:w="1125" w:type="dxa"/>
            <w:noWrap/>
            <w:vAlign w:val="center"/>
            <w:hideMark/>
          </w:tcPr>
          <w:p w:rsidR="00084397" w:rsidRPr="00A27AAC" w:rsidRDefault="00084397" w:rsidP="00084397">
            <w:pPr>
              <w:jc w:val="center"/>
              <w:cnfStyle w:val="000000100000"/>
            </w:pPr>
            <w:r w:rsidRPr="00A27AAC">
              <w:t>5,0%</w:t>
            </w:r>
          </w:p>
        </w:tc>
        <w:tc>
          <w:tcPr>
            <w:tcW w:w="890" w:type="dxa"/>
            <w:noWrap/>
            <w:vAlign w:val="center"/>
            <w:hideMark/>
          </w:tcPr>
          <w:p w:rsidR="00084397" w:rsidRPr="00A27AAC" w:rsidRDefault="00084397" w:rsidP="00084397">
            <w:pPr>
              <w:jc w:val="center"/>
              <w:cnfStyle w:val="000000100000"/>
            </w:pPr>
            <w:r w:rsidRPr="00A27AAC">
              <w:t>0,3%</w:t>
            </w:r>
          </w:p>
        </w:tc>
        <w:tc>
          <w:tcPr>
            <w:tcW w:w="1571" w:type="dxa"/>
            <w:noWrap/>
            <w:vAlign w:val="center"/>
            <w:hideMark/>
          </w:tcPr>
          <w:p w:rsidR="00084397" w:rsidRPr="00A27AAC" w:rsidRDefault="00084397" w:rsidP="00084397">
            <w:pPr>
              <w:jc w:val="center"/>
              <w:cnfStyle w:val="000000100000"/>
            </w:pPr>
            <w:r w:rsidRPr="00A27AAC">
              <w:t>0,2%</w:t>
            </w:r>
          </w:p>
        </w:tc>
      </w:tr>
      <w:tr w:rsidR="00084397" w:rsidRPr="00A27AAC" w:rsidTr="00084397">
        <w:trPr>
          <w:trHeight w:val="300"/>
        </w:trPr>
        <w:tc>
          <w:tcPr>
            <w:cnfStyle w:val="001000000000"/>
            <w:tcW w:w="1644" w:type="dxa"/>
            <w:noWrap/>
            <w:vAlign w:val="center"/>
            <w:hideMark/>
          </w:tcPr>
          <w:p w:rsidR="00084397" w:rsidRPr="003459CE" w:rsidRDefault="00084397" w:rsidP="00084397">
            <w:pPr>
              <w:jc w:val="center"/>
              <w:rPr>
                <w:b w:val="0"/>
                <w:i/>
              </w:rPr>
            </w:pPr>
            <w:r>
              <w:rPr>
                <w:b w:val="0"/>
                <w:i/>
              </w:rPr>
              <w:t>Támogatott pr</w:t>
            </w:r>
            <w:r>
              <w:rPr>
                <w:b w:val="0"/>
                <w:i/>
              </w:rPr>
              <w:t>o</w:t>
            </w:r>
            <w:r>
              <w:rPr>
                <w:b w:val="0"/>
                <w:i/>
              </w:rPr>
              <w:t>jektek</w:t>
            </w:r>
          </w:p>
        </w:tc>
        <w:tc>
          <w:tcPr>
            <w:tcW w:w="1211" w:type="dxa"/>
            <w:noWrap/>
            <w:vAlign w:val="center"/>
            <w:hideMark/>
          </w:tcPr>
          <w:p w:rsidR="00084397" w:rsidRPr="00A27AAC" w:rsidRDefault="00084397" w:rsidP="00084397">
            <w:pPr>
              <w:jc w:val="center"/>
              <w:cnfStyle w:val="000000000000"/>
            </w:pPr>
            <w:r w:rsidRPr="00A27AAC">
              <w:t>19,8%</w:t>
            </w:r>
          </w:p>
        </w:tc>
        <w:tc>
          <w:tcPr>
            <w:tcW w:w="936" w:type="dxa"/>
            <w:noWrap/>
            <w:vAlign w:val="center"/>
            <w:hideMark/>
          </w:tcPr>
          <w:p w:rsidR="00084397" w:rsidRPr="00A27AAC" w:rsidRDefault="00084397" w:rsidP="00084397">
            <w:pPr>
              <w:jc w:val="center"/>
              <w:cnfStyle w:val="000000000000"/>
            </w:pPr>
            <w:r w:rsidRPr="00A27AAC">
              <w:t>34,3%</w:t>
            </w:r>
          </w:p>
        </w:tc>
        <w:tc>
          <w:tcPr>
            <w:tcW w:w="1066" w:type="dxa"/>
            <w:noWrap/>
            <w:vAlign w:val="center"/>
            <w:hideMark/>
          </w:tcPr>
          <w:p w:rsidR="00084397" w:rsidRPr="00A27AAC" w:rsidRDefault="00084397" w:rsidP="00084397">
            <w:pPr>
              <w:jc w:val="center"/>
              <w:cnfStyle w:val="000000000000"/>
            </w:pPr>
            <w:r w:rsidRPr="00A27AAC">
              <w:t>24,0%</w:t>
            </w:r>
          </w:p>
        </w:tc>
        <w:tc>
          <w:tcPr>
            <w:tcW w:w="936" w:type="dxa"/>
            <w:noWrap/>
            <w:vAlign w:val="center"/>
            <w:hideMark/>
          </w:tcPr>
          <w:p w:rsidR="00084397" w:rsidRPr="00A27AAC" w:rsidRDefault="00084397" w:rsidP="00084397">
            <w:pPr>
              <w:jc w:val="center"/>
              <w:cnfStyle w:val="000000000000"/>
            </w:pPr>
            <w:r w:rsidRPr="00A27AAC">
              <w:t>13,0%</w:t>
            </w:r>
          </w:p>
        </w:tc>
        <w:tc>
          <w:tcPr>
            <w:tcW w:w="1125" w:type="dxa"/>
            <w:noWrap/>
            <w:vAlign w:val="center"/>
            <w:hideMark/>
          </w:tcPr>
          <w:p w:rsidR="00084397" w:rsidRPr="00A27AAC" w:rsidRDefault="00084397" w:rsidP="00084397">
            <w:pPr>
              <w:jc w:val="center"/>
              <w:cnfStyle w:val="000000000000"/>
            </w:pPr>
            <w:r w:rsidRPr="00A27AAC">
              <w:t>8,3%</w:t>
            </w:r>
          </w:p>
        </w:tc>
        <w:tc>
          <w:tcPr>
            <w:tcW w:w="890" w:type="dxa"/>
            <w:noWrap/>
            <w:vAlign w:val="center"/>
            <w:hideMark/>
          </w:tcPr>
          <w:p w:rsidR="00084397" w:rsidRPr="00A27AAC" w:rsidRDefault="00084397" w:rsidP="00084397">
            <w:pPr>
              <w:jc w:val="center"/>
              <w:cnfStyle w:val="000000000000"/>
            </w:pPr>
            <w:r w:rsidRPr="00A27AAC">
              <w:t>0,6%</w:t>
            </w:r>
          </w:p>
        </w:tc>
        <w:tc>
          <w:tcPr>
            <w:tcW w:w="1571" w:type="dxa"/>
            <w:noWrap/>
            <w:vAlign w:val="center"/>
            <w:hideMark/>
          </w:tcPr>
          <w:p w:rsidR="00084397" w:rsidRPr="00A27AAC" w:rsidRDefault="00084397" w:rsidP="00084397">
            <w:pPr>
              <w:keepNext/>
              <w:jc w:val="center"/>
              <w:cnfStyle w:val="000000000000"/>
            </w:pPr>
            <w:r w:rsidRPr="00A27AAC">
              <w:t>0,1%</w:t>
            </w:r>
          </w:p>
        </w:tc>
      </w:tr>
    </w:tbl>
    <w:bookmarkStart w:id="182" w:name="_Ref277523180"/>
    <w:p w:rsidR="00084397" w:rsidRDefault="003F44DC" w:rsidP="00084397">
      <w:pPr>
        <w:pStyle w:val="Caption"/>
        <w:spacing w:before="240"/>
        <w:jc w:val="center"/>
        <w:rPr>
          <w:color w:val="auto"/>
        </w:rPr>
      </w:pPr>
      <w:r>
        <w:rPr>
          <w:color w:val="auto"/>
        </w:rPr>
        <w:fldChar w:fldCharType="begin"/>
      </w:r>
      <w:r w:rsidR="00084397">
        <w:rPr>
          <w:color w:val="auto"/>
        </w:rPr>
        <w:instrText xml:space="preserve"> SEQ táblázat \* ARABIC </w:instrText>
      </w:r>
      <w:r>
        <w:rPr>
          <w:color w:val="auto"/>
        </w:rPr>
        <w:fldChar w:fldCharType="separate"/>
      </w:r>
      <w:r w:rsidR="002D1B7A">
        <w:rPr>
          <w:noProof/>
          <w:color w:val="auto"/>
        </w:rPr>
        <w:t>32</w:t>
      </w:r>
      <w:r>
        <w:rPr>
          <w:color w:val="auto"/>
        </w:rPr>
        <w:fldChar w:fldCharType="end"/>
      </w:r>
      <w:r w:rsidR="00084397" w:rsidRPr="00A27AAC">
        <w:rPr>
          <w:color w:val="auto"/>
        </w:rPr>
        <w:t>. táblázat</w:t>
      </w:r>
      <w:bookmarkEnd w:id="182"/>
      <w:r w:rsidR="00084397">
        <w:rPr>
          <w:color w:val="auto"/>
        </w:rPr>
        <w:t>: Technológiai arányok összehasonlítása a lezárt projektek és az összes jóváhagyott támogatott esetében</w:t>
      </w:r>
    </w:p>
    <w:p w:rsidR="00084397" w:rsidRPr="00454BDA" w:rsidRDefault="00084397" w:rsidP="00084397">
      <w:pPr>
        <w:pStyle w:val="HUNNormal"/>
      </w:pPr>
    </w:p>
    <w:p w:rsidR="00084397" w:rsidRDefault="00FD66BC" w:rsidP="00084397">
      <w:pPr>
        <w:pStyle w:val="HUNHeading1"/>
        <w:ind w:left="357" w:hanging="357"/>
      </w:pPr>
      <w:bookmarkStart w:id="183" w:name="_Toc279359379"/>
      <w:r>
        <w:lastRenderedPageBreak/>
        <w:t>Szakirodalmi hivatkozások</w:t>
      </w:r>
      <w:bookmarkEnd w:id="183"/>
    </w:p>
    <w:p w:rsidR="00084397" w:rsidRPr="00A5136B" w:rsidRDefault="00084397" w:rsidP="00071630">
      <w:pPr>
        <w:pStyle w:val="HUNNormal"/>
        <w:numPr>
          <w:ilvl w:val="0"/>
          <w:numId w:val="38"/>
        </w:numPr>
        <w:rPr>
          <w:smallCaps/>
        </w:rPr>
      </w:pPr>
      <w:proofErr w:type="spellStart"/>
      <w:r w:rsidRPr="00A5136B">
        <w:rPr>
          <w:smallCaps/>
        </w:rPr>
        <w:t>Jeffrey</w:t>
      </w:r>
      <w:proofErr w:type="spellEnd"/>
      <w:r w:rsidRPr="00A5136B">
        <w:rPr>
          <w:smallCaps/>
        </w:rPr>
        <w:t xml:space="preserve"> M. </w:t>
      </w:r>
      <w:proofErr w:type="spellStart"/>
      <w:r w:rsidRPr="00A5136B">
        <w:rPr>
          <w:smallCaps/>
        </w:rPr>
        <w:t>Wooldridge</w:t>
      </w:r>
      <w:proofErr w:type="spellEnd"/>
      <w:r w:rsidRPr="00A5136B">
        <w:rPr>
          <w:smallCaps/>
        </w:rPr>
        <w:t xml:space="preserve">: </w:t>
      </w:r>
      <w:proofErr w:type="spellStart"/>
      <w:r w:rsidRPr="00A5136B">
        <w:rPr>
          <w:smallCaps/>
        </w:rPr>
        <w:t>Introductory</w:t>
      </w:r>
      <w:proofErr w:type="spellEnd"/>
      <w:r w:rsidRPr="00A5136B">
        <w:rPr>
          <w:smallCaps/>
        </w:rPr>
        <w:t xml:space="preserve"> </w:t>
      </w:r>
      <w:proofErr w:type="spellStart"/>
      <w:r w:rsidRPr="00A5136B">
        <w:rPr>
          <w:smallCaps/>
        </w:rPr>
        <w:t>Econometrics</w:t>
      </w:r>
      <w:proofErr w:type="spellEnd"/>
      <w:r w:rsidRPr="00A5136B">
        <w:rPr>
          <w:smallCaps/>
        </w:rPr>
        <w:t xml:space="preserve">: A modern </w:t>
      </w:r>
      <w:proofErr w:type="spellStart"/>
      <w:r w:rsidRPr="00A5136B">
        <w:rPr>
          <w:smallCaps/>
        </w:rPr>
        <w:t>approach</w:t>
      </w:r>
      <w:proofErr w:type="spellEnd"/>
      <w:r w:rsidRPr="00A5136B">
        <w:rPr>
          <w:smallCaps/>
        </w:rPr>
        <w:t xml:space="preserve">, International </w:t>
      </w:r>
      <w:proofErr w:type="spellStart"/>
      <w:r w:rsidRPr="00A5136B">
        <w:rPr>
          <w:smallCaps/>
        </w:rPr>
        <w:t>edition</w:t>
      </w:r>
      <w:proofErr w:type="spellEnd"/>
      <w:r w:rsidRPr="00A5136B">
        <w:rPr>
          <w:smallCaps/>
        </w:rPr>
        <w:t>, Tho</w:t>
      </w:r>
      <w:r w:rsidRPr="00A5136B">
        <w:rPr>
          <w:smallCaps/>
        </w:rPr>
        <w:t>m</w:t>
      </w:r>
      <w:r w:rsidRPr="00A5136B">
        <w:rPr>
          <w:smallCaps/>
        </w:rPr>
        <w:t>son 2006, 13. fejezet</w:t>
      </w:r>
    </w:p>
    <w:p w:rsidR="00084397" w:rsidRPr="00A5136B" w:rsidRDefault="00084397" w:rsidP="00071630">
      <w:pPr>
        <w:pStyle w:val="HUNNormal"/>
        <w:numPr>
          <w:ilvl w:val="0"/>
          <w:numId w:val="38"/>
        </w:numPr>
        <w:rPr>
          <w:smallCaps/>
        </w:rPr>
      </w:pPr>
      <w:proofErr w:type="spellStart"/>
      <w:r w:rsidRPr="00A5136B">
        <w:rPr>
          <w:smallCaps/>
        </w:rPr>
        <w:t>Jeffrey</w:t>
      </w:r>
      <w:proofErr w:type="spellEnd"/>
      <w:r w:rsidRPr="00A5136B">
        <w:rPr>
          <w:smallCaps/>
        </w:rPr>
        <w:t xml:space="preserve"> M. </w:t>
      </w:r>
      <w:proofErr w:type="spellStart"/>
      <w:r w:rsidRPr="00A5136B">
        <w:rPr>
          <w:smallCaps/>
        </w:rPr>
        <w:t>Wooldridge</w:t>
      </w:r>
      <w:proofErr w:type="spellEnd"/>
      <w:r w:rsidRPr="00A5136B">
        <w:rPr>
          <w:smallCaps/>
        </w:rPr>
        <w:t xml:space="preserve">: </w:t>
      </w:r>
      <w:proofErr w:type="spellStart"/>
      <w:r w:rsidRPr="00A5136B">
        <w:rPr>
          <w:smallCaps/>
        </w:rPr>
        <w:t>Econometric</w:t>
      </w:r>
      <w:proofErr w:type="spellEnd"/>
      <w:r w:rsidRPr="00A5136B">
        <w:rPr>
          <w:smallCaps/>
        </w:rPr>
        <w:t xml:space="preserve"> </w:t>
      </w:r>
      <w:proofErr w:type="spellStart"/>
      <w:r w:rsidRPr="00A5136B">
        <w:rPr>
          <w:smallCaps/>
        </w:rPr>
        <w:t>Analysis</w:t>
      </w:r>
      <w:proofErr w:type="spellEnd"/>
      <w:r w:rsidRPr="00A5136B">
        <w:rPr>
          <w:smallCaps/>
        </w:rPr>
        <w:t xml:space="preserve"> of </w:t>
      </w:r>
      <w:proofErr w:type="spellStart"/>
      <w:r w:rsidRPr="00A5136B">
        <w:rPr>
          <w:smallCaps/>
        </w:rPr>
        <w:t>Cross-Section</w:t>
      </w:r>
      <w:proofErr w:type="spellEnd"/>
      <w:r w:rsidRPr="00A5136B">
        <w:rPr>
          <w:smallCaps/>
        </w:rPr>
        <w:t xml:space="preserve"> and Panel Data, Cambridge MA, MIT Press, 2002, 10. fejezet</w:t>
      </w:r>
    </w:p>
    <w:p w:rsidR="00084397" w:rsidRPr="00A5136B" w:rsidRDefault="00084397" w:rsidP="00071630">
      <w:pPr>
        <w:pStyle w:val="HUNNormal"/>
        <w:numPr>
          <w:ilvl w:val="0"/>
          <w:numId w:val="38"/>
        </w:numPr>
        <w:rPr>
          <w:smallCaps/>
        </w:rPr>
      </w:pPr>
      <w:proofErr w:type="spellStart"/>
      <w:r w:rsidRPr="00A5136B">
        <w:rPr>
          <w:smallCaps/>
        </w:rPr>
        <w:t>Quantitative</w:t>
      </w:r>
      <w:proofErr w:type="spellEnd"/>
      <w:r w:rsidRPr="00A5136B">
        <w:rPr>
          <w:smallCaps/>
        </w:rPr>
        <w:t xml:space="preserve"> Micro Software: </w:t>
      </w:r>
      <w:proofErr w:type="spellStart"/>
      <w:r w:rsidRPr="00A5136B">
        <w:rPr>
          <w:smallCaps/>
        </w:rPr>
        <w:t>EViews</w:t>
      </w:r>
      <w:proofErr w:type="spellEnd"/>
      <w:r w:rsidRPr="00A5136B">
        <w:rPr>
          <w:smallCaps/>
        </w:rPr>
        <w:t xml:space="preserve"> 5 </w:t>
      </w:r>
      <w:proofErr w:type="spellStart"/>
      <w:r w:rsidRPr="00A5136B">
        <w:rPr>
          <w:smallCaps/>
        </w:rPr>
        <w:t>User’s</w:t>
      </w:r>
      <w:proofErr w:type="spellEnd"/>
      <w:r w:rsidRPr="00A5136B">
        <w:rPr>
          <w:smallCaps/>
        </w:rPr>
        <w:t xml:space="preserve"> </w:t>
      </w:r>
      <w:proofErr w:type="spellStart"/>
      <w:r w:rsidRPr="00A5136B">
        <w:rPr>
          <w:smallCaps/>
        </w:rPr>
        <w:t>Guide</w:t>
      </w:r>
      <w:proofErr w:type="spellEnd"/>
      <w:r w:rsidRPr="00A5136B">
        <w:rPr>
          <w:smallCaps/>
        </w:rPr>
        <w:t>, 2004, 28. és 29. fejezet</w:t>
      </w:r>
    </w:p>
    <w:p w:rsidR="00084397" w:rsidRPr="00A5136B" w:rsidRDefault="00084397" w:rsidP="00071630">
      <w:pPr>
        <w:pStyle w:val="HUNNormal"/>
        <w:numPr>
          <w:ilvl w:val="0"/>
          <w:numId w:val="38"/>
        </w:numPr>
        <w:rPr>
          <w:smallCaps/>
        </w:rPr>
      </w:pPr>
      <w:r w:rsidRPr="00A5136B">
        <w:rPr>
          <w:smallCaps/>
        </w:rPr>
        <w:t xml:space="preserve">Agrárgazdasági Kutató Intézet: Tesztüzemi információs rendszer 2009. évi eredményei, </w:t>
      </w:r>
      <w:hyperlink r:id="rId53" w:history="1">
        <w:r w:rsidRPr="00A5136B">
          <w:rPr>
            <w:rStyle w:val="Hyperlink"/>
            <w:smallCaps/>
          </w:rPr>
          <w:t>www.aki.gov.hu</w:t>
        </w:r>
      </w:hyperlink>
      <w:r w:rsidRPr="00A5136B">
        <w:rPr>
          <w:smallCaps/>
        </w:rPr>
        <w:t>, p.49</w:t>
      </w:r>
    </w:p>
    <w:p w:rsidR="00084397" w:rsidRPr="00867912" w:rsidRDefault="00084397" w:rsidP="00071630">
      <w:pPr>
        <w:pStyle w:val="HUNNormal"/>
        <w:numPr>
          <w:ilvl w:val="0"/>
          <w:numId w:val="38"/>
        </w:numPr>
        <w:rPr>
          <w:smallCaps/>
        </w:rPr>
      </w:pPr>
      <w:proofErr w:type="spellStart"/>
      <w:r w:rsidRPr="00A5136B">
        <w:rPr>
          <w:smallCaps/>
        </w:rPr>
        <w:t>Approaches</w:t>
      </w:r>
      <w:proofErr w:type="spellEnd"/>
      <w:r w:rsidRPr="00A5136B">
        <w:rPr>
          <w:smallCaps/>
        </w:rPr>
        <w:t xml:space="preserve"> </w:t>
      </w:r>
      <w:proofErr w:type="spellStart"/>
      <w:r w:rsidRPr="00A5136B">
        <w:rPr>
          <w:smallCaps/>
        </w:rPr>
        <w:t>for</w:t>
      </w:r>
      <w:proofErr w:type="spellEnd"/>
      <w:r w:rsidRPr="00A5136B">
        <w:rPr>
          <w:smallCaps/>
        </w:rPr>
        <w:t xml:space="preserve"> </w:t>
      </w:r>
      <w:proofErr w:type="spellStart"/>
      <w:r w:rsidRPr="00A5136B">
        <w:rPr>
          <w:smallCaps/>
        </w:rPr>
        <w:t>assessing</w:t>
      </w:r>
      <w:proofErr w:type="spellEnd"/>
      <w:r w:rsidRPr="00A5136B">
        <w:rPr>
          <w:smallCaps/>
        </w:rPr>
        <w:t xml:space="preserve"> </w:t>
      </w:r>
      <w:proofErr w:type="spellStart"/>
      <w:r w:rsidRPr="00A5136B">
        <w:rPr>
          <w:smallCaps/>
        </w:rPr>
        <w:t>the</w:t>
      </w:r>
      <w:proofErr w:type="spellEnd"/>
      <w:r w:rsidRPr="00A5136B">
        <w:rPr>
          <w:smallCaps/>
        </w:rPr>
        <w:t xml:space="preserve"> </w:t>
      </w:r>
      <w:proofErr w:type="spellStart"/>
      <w:r w:rsidRPr="00A5136B">
        <w:rPr>
          <w:smallCaps/>
        </w:rPr>
        <w:t>impacts</w:t>
      </w:r>
      <w:proofErr w:type="spellEnd"/>
      <w:r w:rsidRPr="00A5136B">
        <w:rPr>
          <w:smallCaps/>
        </w:rPr>
        <w:t xml:space="preserve"> of </w:t>
      </w:r>
      <w:proofErr w:type="spellStart"/>
      <w:r w:rsidRPr="00A5136B">
        <w:rPr>
          <w:smallCaps/>
        </w:rPr>
        <w:t>the</w:t>
      </w:r>
      <w:proofErr w:type="spellEnd"/>
      <w:r w:rsidRPr="00A5136B">
        <w:rPr>
          <w:smallCaps/>
        </w:rPr>
        <w:t xml:space="preserve"> </w:t>
      </w:r>
      <w:proofErr w:type="spellStart"/>
      <w:r w:rsidRPr="00A5136B">
        <w:rPr>
          <w:smallCaps/>
        </w:rPr>
        <w:t>Rural</w:t>
      </w:r>
      <w:proofErr w:type="spellEnd"/>
      <w:r w:rsidRPr="00A5136B">
        <w:rPr>
          <w:smallCaps/>
        </w:rPr>
        <w:t xml:space="preserve"> </w:t>
      </w:r>
      <w:proofErr w:type="spellStart"/>
      <w:r w:rsidRPr="00A5136B">
        <w:rPr>
          <w:smallCaps/>
        </w:rPr>
        <w:t>Development</w:t>
      </w:r>
      <w:proofErr w:type="spellEnd"/>
      <w:r w:rsidRPr="00A5136B">
        <w:rPr>
          <w:smallCaps/>
        </w:rPr>
        <w:t xml:space="preserve"> </w:t>
      </w:r>
      <w:proofErr w:type="spellStart"/>
      <w:r w:rsidRPr="00A5136B">
        <w:rPr>
          <w:smallCaps/>
        </w:rPr>
        <w:t>Programmes</w:t>
      </w:r>
      <w:proofErr w:type="spellEnd"/>
      <w:r w:rsidRPr="00A5136B">
        <w:rPr>
          <w:smallCaps/>
        </w:rPr>
        <w:t xml:space="preserve"> </w:t>
      </w:r>
      <w:proofErr w:type="spellStart"/>
      <w:r w:rsidRPr="00A5136B">
        <w:rPr>
          <w:smallCaps/>
        </w:rPr>
        <w:t>in</w:t>
      </w:r>
      <w:proofErr w:type="spellEnd"/>
      <w:r w:rsidRPr="00A5136B">
        <w:rPr>
          <w:smallCaps/>
        </w:rPr>
        <w:t xml:space="preserve"> </w:t>
      </w:r>
      <w:proofErr w:type="spellStart"/>
      <w:r w:rsidRPr="00A5136B">
        <w:rPr>
          <w:smallCaps/>
        </w:rPr>
        <w:t>the</w:t>
      </w:r>
      <w:proofErr w:type="spellEnd"/>
      <w:r w:rsidRPr="00A5136B">
        <w:rPr>
          <w:smallCaps/>
        </w:rPr>
        <w:t xml:space="preserve"> </w:t>
      </w:r>
      <w:proofErr w:type="spellStart"/>
      <w:r w:rsidRPr="00A5136B">
        <w:rPr>
          <w:smallCaps/>
        </w:rPr>
        <w:t>context</w:t>
      </w:r>
      <w:proofErr w:type="spellEnd"/>
      <w:r w:rsidRPr="00A5136B">
        <w:rPr>
          <w:smallCaps/>
        </w:rPr>
        <w:t xml:space="preserve"> of </w:t>
      </w:r>
      <w:proofErr w:type="spellStart"/>
      <w:r w:rsidRPr="00A5136B">
        <w:rPr>
          <w:smallCaps/>
        </w:rPr>
        <w:t>multiple</w:t>
      </w:r>
      <w:proofErr w:type="spellEnd"/>
      <w:r w:rsidRPr="00A5136B">
        <w:rPr>
          <w:smallCaps/>
        </w:rPr>
        <w:t xml:space="preserve"> </w:t>
      </w:r>
      <w:proofErr w:type="spellStart"/>
      <w:r w:rsidRPr="00A5136B">
        <w:rPr>
          <w:smallCaps/>
        </w:rPr>
        <w:t>intervening</w:t>
      </w:r>
      <w:proofErr w:type="spellEnd"/>
      <w:r w:rsidRPr="00A5136B">
        <w:rPr>
          <w:smallCaps/>
        </w:rPr>
        <w:t xml:space="preserve"> </w:t>
      </w:r>
      <w:proofErr w:type="spellStart"/>
      <w:r w:rsidRPr="00A5136B">
        <w:rPr>
          <w:smallCaps/>
        </w:rPr>
        <w:t>factors</w:t>
      </w:r>
      <w:proofErr w:type="spellEnd"/>
      <w:r w:rsidRPr="00A5136B">
        <w:rPr>
          <w:smallCaps/>
        </w:rPr>
        <w:t xml:space="preserve">, CMEF </w:t>
      </w:r>
      <w:proofErr w:type="spellStart"/>
      <w:r w:rsidRPr="00A5136B">
        <w:rPr>
          <w:smallCaps/>
        </w:rPr>
        <w:t>Guidance</w:t>
      </w:r>
      <w:proofErr w:type="spellEnd"/>
      <w:r w:rsidRPr="00A5136B">
        <w:rPr>
          <w:smallCaps/>
        </w:rPr>
        <w:t xml:space="preserve">, </w:t>
      </w:r>
      <w:proofErr w:type="spellStart"/>
      <w:r w:rsidRPr="00A5136B">
        <w:rPr>
          <w:smallCaps/>
        </w:rPr>
        <w:t>March</w:t>
      </w:r>
      <w:proofErr w:type="spellEnd"/>
      <w:r w:rsidRPr="00A5136B">
        <w:rPr>
          <w:smallCaps/>
        </w:rPr>
        <w:t xml:space="preserve"> 2010</w:t>
      </w:r>
    </w:p>
    <w:p w:rsidR="00084397" w:rsidRPr="00BA3419" w:rsidRDefault="00084397" w:rsidP="00084397">
      <w:pPr>
        <w:pStyle w:val="HUNNormal"/>
        <w:tabs>
          <w:tab w:val="left" w:pos="709"/>
        </w:tabs>
      </w:pPr>
    </w:p>
    <w:sectPr w:rsidR="00084397" w:rsidRPr="00BA3419" w:rsidSect="00FC134F">
      <w:headerReference w:type="default" r:id="rId54"/>
      <w:footerReference w:type="default" r:id="rId55"/>
      <w:headerReference w:type="first" r:id="rId56"/>
      <w:pgSz w:w="11907" w:h="16840" w:code="9"/>
      <w:pgMar w:top="1985" w:right="1372" w:bottom="1701" w:left="1372" w:header="953" w:footer="578"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3D3" w:rsidRDefault="000F63D3">
      <w:r>
        <w:separator/>
      </w:r>
    </w:p>
  </w:endnote>
  <w:endnote w:type="continuationSeparator" w:id="0">
    <w:p w:rsidR="000F63D3" w:rsidRDefault="000F63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Franklin Gothic Demi">
    <w:altName w:val="Franklin Gothic Medium"/>
    <w:panose1 w:val="020B07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Univers CE 45 Light">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7D9" w:rsidRPr="00963878" w:rsidRDefault="00B057D9" w:rsidP="0056470D">
    <w:pPr>
      <w:pBdr>
        <w:top w:val="single" w:sz="4" w:space="1" w:color="auto"/>
      </w:pBdr>
      <w:spacing w:before="120" w:line="120" w:lineRule="atLeast"/>
      <w:jc w:val="right"/>
      <w:rPr>
        <w:color w:val="53564F"/>
        <w:sz w:val="14"/>
        <w:szCs w:val="18"/>
      </w:rPr>
    </w:pPr>
    <w:r w:rsidRPr="00963878">
      <w:rPr>
        <w:rFonts w:ascii="Franklin Gothic Demi" w:hAnsi="Franklin Gothic Demi"/>
        <w:color w:val="53564F"/>
        <w:sz w:val="14"/>
        <w:szCs w:val="18"/>
      </w:rPr>
      <w:t>Dátum:</w:t>
    </w:r>
    <w:r>
      <w:rPr>
        <w:rFonts w:ascii="Franklin Gothic Demi" w:hAnsi="Franklin Gothic Demi"/>
        <w:color w:val="53564F"/>
        <w:sz w:val="14"/>
        <w:szCs w:val="18"/>
      </w:rPr>
      <w:t xml:space="preserve"> </w:t>
    </w:r>
    <w:fldSimple w:instr=" DATE   \* MERGEFORMAT ">
      <w:r w:rsidR="003B4254" w:rsidRPr="003B4254">
        <w:rPr>
          <w:noProof/>
          <w:color w:val="53564F"/>
          <w:sz w:val="14"/>
          <w:szCs w:val="18"/>
        </w:rPr>
        <w:t>2010.12.21.</w:t>
      </w:r>
    </w:fldSimple>
    <w:r w:rsidRPr="00963878">
      <w:rPr>
        <w:color w:val="53564F"/>
        <w:sz w:val="14"/>
        <w:szCs w:val="18"/>
      </w:rPr>
      <w:t xml:space="preserve">– </w:t>
    </w:r>
    <w:r w:rsidRPr="00963878">
      <w:rPr>
        <w:rFonts w:ascii="Franklin Gothic Demi" w:hAnsi="Franklin Gothic Demi"/>
        <w:color w:val="53564F"/>
        <w:sz w:val="14"/>
        <w:szCs w:val="18"/>
      </w:rPr>
      <w:t>Készítette:</w:t>
    </w:r>
    <w:r w:rsidRPr="00963878">
      <w:rPr>
        <w:color w:val="53564F"/>
        <w:sz w:val="14"/>
        <w:szCs w:val="18"/>
      </w:rPr>
      <w:t xml:space="preserve"> </w:t>
    </w:r>
    <w:r>
      <w:rPr>
        <w:color w:val="53564F"/>
        <w:sz w:val="14"/>
        <w:szCs w:val="14"/>
      </w:rPr>
      <w:t>HUNGARIKUM Konzorcium</w:t>
    </w:r>
  </w:p>
  <w:p w:rsidR="00B057D9" w:rsidRPr="0056470D" w:rsidRDefault="00B057D9" w:rsidP="0056470D">
    <w:pPr>
      <w:spacing w:before="120" w:line="120" w:lineRule="atLeast"/>
      <w:jc w:val="right"/>
      <w:rPr>
        <w:szCs w:val="14"/>
      </w:rPr>
    </w:pPr>
    <w:r w:rsidRPr="00963878">
      <w:rPr>
        <w:rFonts w:ascii="Franklin Gothic Demi" w:hAnsi="Franklin Gothic Demi"/>
        <w:color w:val="53564F"/>
        <w:sz w:val="14"/>
        <w:szCs w:val="18"/>
      </w:rPr>
      <w:t>Fájlnév</w:t>
    </w:r>
    <w:r w:rsidRPr="00963878">
      <w:rPr>
        <w:rFonts w:ascii="Franklin Gothic Demi" w:hAnsi="Franklin Gothic Demi"/>
        <w:color w:val="53564F"/>
        <w:sz w:val="14"/>
        <w:szCs w:val="14"/>
      </w:rPr>
      <w:t>:</w:t>
    </w:r>
    <w:r w:rsidRPr="00963878">
      <w:rPr>
        <w:color w:val="53564F"/>
        <w:sz w:val="14"/>
        <w:szCs w:val="14"/>
      </w:rPr>
      <w:t xml:space="preserve"> </w:t>
    </w:r>
    <w:r w:rsidR="003F44DC" w:rsidRPr="00963878">
      <w:rPr>
        <w:color w:val="53564F"/>
        <w:sz w:val="14"/>
        <w:szCs w:val="14"/>
      </w:rPr>
      <w:fldChar w:fldCharType="begin"/>
    </w:r>
    <w:r w:rsidRPr="00963878">
      <w:rPr>
        <w:color w:val="53564F"/>
        <w:sz w:val="14"/>
        <w:szCs w:val="14"/>
      </w:rPr>
      <w:instrText xml:space="preserve"> FILENAME </w:instrText>
    </w:r>
    <w:r w:rsidR="003F44DC" w:rsidRPr="00963878">
      <w:rPr>
        <w:color w:val="53564F"/>
        <w:sz w:val="14"/>
        <w:szCs w:val="14"/>
      </w:rPr>
      <w:fldChar w:fldCharType="separate"/>
    </w:r>
    <w:r w:rsidR="003B4254">
      <w:rPr>
        <w:noProof/>
        <w:color w:val="53564F"/>
        <w:sz w:val="14"/>
        <w:szCs w:val="14"/>
      </w:rPr>
      <w:t>UMVPMTE_4.8_Melleklet_Reszletes_modszertanok_v05</w:t>
    </w:r>
    <w:r w:rsidR="003F44DC" w:rsidRPr="00963878">
      <w:rPr>
        <w:color w:val="53564F"/>
        <w:sz w:val="14"/>
        <w:szCs w:val="14"/>
      </w:rPr>
      <w:fldChar w:fldCharType="end"/>
    </w:r>
    <w:r>
      <w:rPr>
        <w:color w:val="53564F"/>
        <w:sz w:val="14"/>
        <w:szCs w:val="1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3D3" w:rsidRDefault="000F63D3">
      <w:r>
        <w:separator/>
      </w:r>
    </w:p>
  </w:footnote>
  <w:footnote w:type="continuationSeparator" w:id="0">
    <w:p w:rsidR="000F63D3" w:rsidRDefault="000F63D3">
      <w:r>
        <w:continuationSeparator/>
      </w:r>
    </w:p>
  </w:footnote>
  <w:footnote w:id="1">
    <w:p w:rsidR="00B057D9" w:rsidRPr="004938BD" w:rsidRDefault="00B057D9" w:rsidP="00084397">
      <w:pPr>
        <w:pStyle w:val="FootnoteText"/>
        <w:spacing w:line="276" w:lineRule="auto"/>
        <w:jc w:val="both"/>
        <w:rPr>
          <w:sz w:val="16"/>
          <w:szCs w:val="16"/>
        </w:rPr>
      </w:pPr>
      <w:r w:rsidRPr="004938BD">
        <w:rPr>
          <w:rStyle w:val="FootnoteReference"/>
          <w:sz w:val="16"/>
          <w:szCs w:val="16"/>
        </w:rPr>
        <w:footnoteRef/>
      </w:r>
      <w:r w:rsidRPr="004938BD">
        <w:rPr>
          <w:sz w:val="16"/>
          <w:szCs w:val="16"/>
        </w:rPr>
        <w:t xml:space="preserve"> Forrás: UMVPMTE_I_</w:t>
      </w:r>
      <w:proofErr w:type="spellStart"/>
      <w:r w:rsidRPr="004938BD">
        <w:rPr>
          <w:sz w:val="16"/>
          <w:szCs w:val="16"/>
        </w:rPr>
        <w:t>melleklet</w:t>
      </w:r>
      <w:proofErr w:type="spellEnd"/>
      <w:r w:rsidRPr="004938BD">
        <w:rPr>
          <w:sz w:val="16"/>
          <w:szCs w:val="16"/>
        </w:rPr>
        <w:t>_</w:t>
      </w:r>
      <w:proofErr w:type="spellStart"/>
      <w:r w:rsidRPr="004938BD">
        <w:rPr>
          <w:sz w:val="16"/>
          <w:szCs w:val="16"/>
        </w:rPr>
        <w:t>beavatkozas</w:t>
      </w:r>
      <w:proofErr w:type="spellEnd"/>
      <w:r w:rsidRPr="004938BD">
        <w:rPr>
          <w:sz w:val="16"/>
          <w:szCs w:val="16"/>
        </w:rPr>
        <w:t>_</w:t>
      </w:r>
      <w:proofErr w:type="spellStart"/>
      <w:r w:rsidRPr="004938BD">
        <w:rPr>
          <w:sz w:val="16"/>
          <w:szCs w:val="16"/>
        </w:rPr>
        <w:t>vizsgalat</w:t>
      </w:r>
      <w:proofErr w:type="spellEnd"/>
      <w:r w:rsidRPr="004938BD">
        <w:rPr>
          <w:sz w:val="16"/>
          <w:szCs w:val="16"/>
        </w:rPr>
        <w:t>_</w:t>
      </w:r>
      <w:proofErr w:type="spellStart"/>
      <w:r w:rsidRPr="004938BD">
        <w:rPr>
          <w:sz w:val="16"/>
          <w:szCs w:val="16"/>
        </w:rPr>
        <w:t>tabla</w:t>
      </w:r>
      <w:proofErr w:type="spellEnd"/>
      <w:r w:rsidRPr="004938BD">
        <w:rPr>
          <w:sz w:val="16"/>
          <w:szCs w:val="16"/>
        </w:rPr>
        <w:t>_v07.xls (EÉJ melléklet)</w:t>
      </w:r>
    </w:p>
  </w:footnote>
  <w:footnote w:id="2">
    <w:p w:rsidR="00B057D9" w:rsidRPr="00256D95" w:rsidRDefault="00B057D9" w:rsidP="00084397">
      <w:pPr>
        <w:pStyle w:val="FootnoteText"/>
        <w:spacing w:line="276" w:lineRule="auto"/>
        <w:jc w:val="both"/>
        <w:rPr>
          <w:sz w:val="18"/>
          <w:szCs w:val="18"/>
        </w:rPr>
      </w:pPr>
      <w:r w:rsidRPr="00256D95">
        <w:rPr>
          <w:rStyle w:val="FootnoteReference"/>
          <w:sz w:val="18"/>
          <w:szCs w:val="18"/>
        </w:rPr>
        <w:footnoteRef/>
      </w:r>
      <w:r w:rsidRPr="00256D95">
        <w:rPr>
          <w:sz w:val="18"/>
          <w:szCs w:val="18"/>
        </w:rPr>
        <w:t xml:space="preserve"> A Mezőgazdasági Számviteli Információs Hálózat (FADN) a mezőgazdasági üzemek pénzügyi-, vagyoni helyzetét felmérő Európai Uniós reprezentatív információs rendszer. Magyarországi alrendszere a Tesztüzemi Információs Hálózat, isme</w:t>
      </w:r>
      <w:r w:rsidRPr="00256D95">
        <w:rPr>
          <w:sz w:val="18"/>
          <w:szCs w:val="18"/>
        </w:rPr>
        <w:t>r</w:t>
      </w:r>
      <w:r w:rsidRPr="00256D95">
        <w:rPr>
          <w:sz w:val="18"/>
          <w:szCs w:val="18"/>
        </w:rPr>
        <w:t>tebb nevén tesztüzemi rendszer, ami a közösségi előírások teljesítésén túl kiszolgálja a hazai információs igényeket is. A felmérés 1900 üzem eredményszemléletű könyvvitele alapján történik, a rendszer az egyéni gazdaságok adatait is a gazdasági társaságokéhoz hasonló struktúrában tartalmazza, tehát az egyéni gazdaságoknak is van mérlegük és ere</w:t>
      </w:r>
      <w:r w:rsidRPr="00256D95">
        <w:rPr>
          <w:sz w:val="18"/>
          <w:szCs w:val="18"/>
        </w:rPr>
        <w:t>d</w:t>
      </w:r>
      <w:r w:rsidRPr="00256D95">
        <w:rPr>
          <w:sz w:val="18"/>
          <w:szCs w:val="18"/>
        </w:rPr>
        <w:t>mény-kimutatásuk. A minta a 90 ezer magyarországi árutermelő gazdaságot reprezentálja. A magyar tesztüzemi ren</w:t>
      </w:r>
      <w:r w:rsidRPr="00256D95">
        <w:rPr>
          <w:sz w:val="18"/>
          <w:szCs w:val="18"/>
        </w:rPr>
        <w:t>d</w:t>
      </w:r>
      <w:r w:rsidRPr="00256D95">
        <w:rPr>
          <w:sz w:val="18"/>
          <w:szCs w:val="18"/>
        </w:rPr>
        <w:t>szer az üzemszintű adatokon kívül a fontosabb növénytermesztő, állattenyésztő és kertészeti ágazatok adatait is tarta</w:t>
      </w:r>
      <w:r w:rsidRPr="00256D95">
        <w:rPr>
          <w:sz w:val="18"/>
          <w:szCs w:val="18"/>
        </w:rPr>
        <w:t>l</w:t>
      </w:r>
      <w:r w:rsidRPr="00256D95">
        <w:rPr>
          <w:sz w:val="18"/>
          <w:szCs w:val="18"/>
        </w:rPr>
        <w:t>mazza.</w:t>
      </w:r>
    </w:p>
  </w:footnote>
  <w:footnote w:id="3">
    <w:p w:rsidR="00B057D9" w:rsidRPr="00256D95" w:rsidRDefault="00B057D9" w:rsidP="00084397">
      <w:pPr>
        <w:pStyle w:val="FootnoteText"/>
        <w:spacing w:line="276" w:lineRule="auto"/>
        <w:jc w:val="both"/>
        <w:rPr>
          <w:sz w:val="18"/>
          <w:szCs w:val="18"/>
        </w:rPr>
      </w:pPr>
      <w:r w:rsidRPr="00256D95">
        <w:rPr>
          <w:rStyle w:val="FootnoteReference"/>
          <w:sz w:val="18"/>
          <w:szCs w:val="18"/>
        </w:rPr>
        <w:footnoteRef/>
      </w:r>
      <w:r w:rsidRPr="00256D95">
        <w:rPr>
          <w:sz w:val="18"/>
          <w:szCs w:val="18"/>
        </w:rPr>
        <w:t xml:space="preserve"> Minden vizsgált évre ugyanazon keresztmetszeti üzemazonosítóhoz meglévő adatforrás. </w:t>
      </w:r>
    </w:p>
  </w:footnote>
  <w:footnote w:id="4">
    <w:p w:rsidR="00B057D9" w:rsidRPr="00256D95" w:rsidRDefault="00B057D9" w:rsidP="00084397">
      <w:pPr>
        <w:pStyle w:val="FootnoteText"/>
        <w:spacing w:line="276" w:lineRule="auto"/>
        <w:jc w:val="both"/>
        <w:rPr>
          <w:sz w:val="18"/>
          <w:szCs w:val="18"/>
        </w:rPr>
      </w:pPr>
      <w:r w:rsidRPr="00256D95">
        <w:rPr>
          <w:rStyle w:val="FootnoteReference"/>
          <w:sz w:val="18"/>
          <w:szCs w:val="18"/>
        </w:rPr>
        <w:footnoteRef/>
      </w:r>
      <w:r w:rsidRPr="00256D95">
        <w:rPr>
          <w:sz w:val="18"/>
          <w:szCs w:val="18"/>
        </w:rPr>
        <w:t xml:space="preserve"> Itt elsősorban az 1. tengelyben az árutermelő üzemekhez kapcsolható jogcímekről van szó (121. intézkedés). Fontos kiemelni, hogy az élelmiszeripari vállalkozások és támogatá</w:t>
      </w:r>
      <w:r>
        <w:rPr>
          <w:sz w:val="18"/>
          <w:szCs w:val="18"/>
        </w:rPr>
        <w:t>sok nem szerepelnek a modellben (ezért a kötet Statisztikai elemzés részében foglalkozunk az értékelésével).</w:t>
      </w:r>
    </w:p>
  </w:footnote>
  <w:footnote w:id="5">
    <w:p w:rsidR="00B057D9" w:rsidRPr="00256D95" w:rsidRDefault="00B057D9" w:rsidP="00084397">
      <w:pPr>
        <w:pStyle w:val="FootnoteText"/>
        <w:jc w:val="both"/>
        <w:rPr>
          <w:sz w:val="18"/>
          <w:szCs w:val="18"/>
        </w:rPr>
      </w:pPr>
      <w:r w:rsidRPr="00256D95">
        <w:rPr>
          <w:rStyle w:val="FootnoteReference"/>
          <w:sz w:val="18"/>
          <w:szCs w:val="18"/>
        </w:rPr>
        <w:footnoteRef/>
      </w:r>
      <w:r w:rsidRPr="00256D95">
        <w:rPr>
          <w:sz w:val="18"/>
          <w:szCs w:val="18"/>
        </w:rPr>
        <w:t xml:space="preserve"> A pénzforgalmi szemlélet jelentené azt, hogy az összegek kifizetéskor jelennek meg az üzemeknél, ez azonban torzít</w:t>
      </w:r>
      <w:r w:rsidRPr="00256D95">
        <w:rPr>
          <w:sz w:val="18"/>
          <w:szCs w:val="18"/>
        </w:rPr>
        <w:t>a</w:t>
      </w:r>
      <w:r w:rsidRPr="00256D95">
        <w:rPr>
          <w:sz w:val="18"/>
          <w:szCs w:val="18"/>
        </w:rPr>
        <w:t>ná a becslésünket, mivel a projektek már a támogatás megítélésének pillanatában elkezdődhetnek, így azok hatásait már vizsgálnunk kell.</w:t>
      </w:r>
    </w:p>
  </w:footnote>
  <w:footnote w:id="6">
    <w:p w:rsidR="00B057D9" w:rsidRPr="00256D95" w:rsidRDefault="00B057D9" w:rsidP="00084397">
      <w:pPr>
        <w:pStyle w:val="FootnoteText"/>
        <w:spacing w:line="276" w:lineRule="auto"/>
        <w:jc w:val="both"/>
        <w:rPr>
          <w:sz w:val="18"/>
          <w:szCs w:val="18"/>
        </w:rPr>
      </w:pPr>
      <w:r w:rsidRPr="00256D95">
        <w:rPr>
          <w:rStyle w:val="FootnoteReference"/>
          <w:sz w:val="18"/>
          <w:szCs w:val="18"/>
        </w:rPr>
        <w:footnoteRef/>
      </w:r>
      <w:r w:rsidRPr="00256D95">
        <w:rPr>
          <w:sz w:val="18"/>
          <w:szCs w:val="18"/>
        </w:rPr>
        <w:t xml:space="preserve"> Agrárgazdasági Kutató Intézet: A tesztüzemi információs rendszer 2009. évi eredményei, Budapest, 2010 </w:t>
      </w:r>
    </w:p>
  </w:footnote>
  <w:footnote w:id="7">
    <w:p w:rsidR="00B057D9" w:rsidRPr="00256D95" w:rsidRDefault="00B057D9" w:rsidP="00084397">
      <w:pPr>
        <w:pStyle w:val="FootnoteText"/>
        <w:spacing w:line="276" w:lineRule="auto"/>
        <w:jc w:val="both"/>
        <w:rPr>
          <w:sz w:val="18"/>
          <w:szCs w:val="18"/>
        </w:rPr>
      </w:pPr>
      <w:r w:rsidRPr="00256D95">
        <w:rPr>
          <w:rStyle w:val="FootnoteReference"/>
          <w:sz w:val="18"/>
          <w:szCs w:val="18"/>
        </w:rPr>
        <w:footnoteRef/>
      </w:r>
      <w:r w:rsidRPr="00256D95">
        <w:rPr>
          <w:sz w:val="18"/>
          <w:szCs w:val="18"/>
        </w:rPr>
        <w:t xml:space="preserve"> Az itt taglalt módszertani háttér részben </w:t>
      </w:r>
      <w:proofErr w:type="spellStart"/>
      <w:r w:rsidRPr="00256D95">
        <w:rPr>
          <w:sz w:val="18"/>
          <w:szCs w:val="18"/>
        </w:rPr>
        <w:t>Wooldridge</w:t>
      </w:r>
      <w:proofErr w:type="spellEnd"/>
      <w:r w:rsidRPr="00256D95">
        <w:rPr>
          <w:sz w:val="18"/>
          <w:szCs w:val="18"/>
        </w:rPr>
        <w:t xml:space="preserve"> [2002], részben az </w:t>
      </w:r>
      <w:proofErr w:type="spellStart"/>
      <w:r w:rsidRPr="00256D95">
        <w:rPr>
          <w:sz w:val="18"/>
          <w:szCs w:val="18"/>
        </w:rPr>
        <w:t>EViews</w:t>
      </w:r>
      <w:proofErr w:type="spellEnd"/>
      <w:r w:rsidRPr="00256D95">
        <w:rPr>
          <w:sz w:val="18"/>
          <w:szCs w:val="18"/>
        </w:rPr>
        <w:t xml:space="preserve"> </w:t>
      </w:r>
      <w:proofErr w:type="spellStart"/>
      <w:r w:rsidRPr="00256D95">
        <w:rPr>
          <w:sz w:val="18"/>
          <w:szCs w:val="18"/>
        </w:rPr>
        <w:t>ökonometriai</w:t>
      </w:r>
      <w:proofErr w:type="spellEnd"/>
      <w:r w:rsidRPr="00256D95">
        <w:rPr>
          <w:sz w:val="18"/>
          <w:szCs w:val="18"/>
        </w:rPr>
        <w:t xml:space="preserve"> szoftvercsomag </w:t>
      </w:r>
      <w:proofErr w:type="spellStart"/>
      <w:r w:rsidRPr="00256D95">
        <w:rPr>
          <w:sz w:val="18"/>
          <w:szCs w:val="18"/>
        </w:rPr>
        <w:t>User’</w:t>
      </w:r>
      <w:proofErr w:type="gramStart"/>
      <w:r w:rsidRPr="00256D95">
        <w:rPr>
          <w:sz w:val="18"/>
          <w:szCs w:val="18"/>
        </w:rPr>
        <w:t>s</w:t>
      </w:r>
      <w:proofErr w:type="spellEnd"/>
      <w:r w:rsidRPr="00256D95">
        <w:rPr>
          <w:sz w:val="18"/>
          <w:szCs w:val="18"/>
        </w:rPr>
        <w:t xml:space="preserve">  </w:t>
      </w:r>
      <w:proofErr w:type="spellStart"/>
      <w:r w:rsidRPr="00256D95">
        <w:rPr>
          <w:sz w:val="18"/>
          <w:szCs w:val="18"/>
        </w:rPr>
        <w:t>Guide-ból</w:t>
      </w:r>
      <w:proofErr w:type="spellEnd"/>
      <w:proofErr w:type="gramEnd"/>
      <w:r w:rsidRPr="00256D95">
        <w:rPr>
          <w:sz w:val="18"/>
          <w:szCs w:val="18"/>
        </w:rPr>
        <w:t xml:space="preserve"> származik.</w:t>
      </w:r>
    </w:p>
  </w:footnote>
  <w:footnote w:id="8">
    <w:p w:rsidR="00B057D9" w:rsidRPr="00256D95" w:rsidRDefault="00B057D9" w:rsidP="00084397">
      <w:pPr>
        <w:pStyle w:val="FootnoteText"/>
        <w:spacing w:line="276" w:lineRule="auto"/>
        <w:jc w:val="both"/>
        <w:rPr>
          <w:sz w:val="18"/>
          <w:szCs w:val="18"/>
        </w:rPr>
      </w:pPr>
      <w:r w:rsidRPr="00256D95">
        <w:rPr>
          <w:rStyle w:val="FootnoteReference"/>
          <w:sz w:val="18"/>
          <w:szCs w:val="18"/>
        </w:rPr>
        <w:footnoteRef/>
      </w:r>
      <w:r w:rsidRPr="00256D95">
        <w:rPr>
          <w:sz w:val="18"/>
          <w:szCs w:val="18"/>
        </w:rPr>
        <w:t xml:space="preserve"> </w:t>
      </w:r>
      <w:proofErr w:type="spellStart"/>
      <w:r w:rsidRPr="00256D95">
        <w:rPr>
          <w:sz w:val="18"/>
          <w:szCs w:val="18"/>
        </w:rPr>
        <w:t>Autokorreláció</w:t>
      </w:r>
      <w:proofErr w:type="spellEnd"/>
      <w:r w:rsidRPr="00256D95">
        <w:rPr>
          <w:sz w:val="18"/>
          <w:szCs w:val="18"/>
        </w:rPr>
        <w:t xml:space="preserve"> jelentése, hogy az idősorban komoly összefüggés van az előző időszaki érték és </w:t>
      </w:r>
      <w:proofErr w:type="gramStart"/>
      <w:r w:rsidRPr="00256D95">
        <w:rPr>
          <w:sz w:val="18"/>
          <w:szCs w:val="18"/>
        </w:rPr>
        <w:t>a</w:t>
      </w:r>
      <w:proofErr w:type="gramEnd"/>
      <w:r w:rsidRPr="00256D95">
        <w:rPr>
          <w:sz w:val="18"/>
          <w:szCs w:val="18"/>
        </w:rPr>
        <w:t xml:space="preserve"> prompt (jelenlegi, aktuális) érték között (pl.: árfolyam). A </w:t>
      </w:r>
      <w:proofErr w:type="spellStart"/>
      <w:r w:rsidRPr="00256D95">
        <w:rPr>
          <w:sz w:val="18"/>
          <w:szCs w:val="18"/>
        </w:rPr>
        <w:t>heteroszkedaszticitás</w:t>
      </w:r>
      <w:proofErr w:type="spellEnd"/>
      <w:r w:rsidRPr="00256D95">
        <w:rPr>
          <w:sz w:val="18"/>
          <w:szCs w:val="18"/>
        </w:rPr>
        <w:t xml:space="preserve"> azt jelenti, hogy a minta nem egyenlő mértékben, egyes részei erősebben, más részei gyengébben ingadoznak a minta átlaga körül. </w:t>
      </w:r>
    </w:p>
  </w:footnote>
  <w:footnote w:id="9">
    <w:p w:rsidR="00B057D9" w:rsidRPr="00256D95" w:rsidRDefault="00B057D9" w:rsidP="00084397">
      <w:pPr>
        <w:pStyle w:val="FootnoteText"/>
        <w:spacing w:line="276" w:lineRule="auto"/>
        <w:jc w:val="both"/>
        <w:rPr>
          <w:sz w:val="18"/>
          <w:szCs w:val="18"/>
        </w:rPr>
      </w:pPr>
      <w:r w:rsidRPr="00256D95">
        <w:rPr>
          <w:rStyle w:val="FootnoteReference"/>
          <w:sz w:val="18"/>
          <w:szCs w:val="18"/>
        </w:rPr>
        <w:footnoteRef/>
      </w:r>
      <w:r w:rsidRPr="00256D95">
        <w:rPr>
          <w:sz w:val="18"/>
          <w:szCs w:val="18"/>
        </w:rPr>
        <w:t xml:space="preserve"> </w:t>
      </w:r>
      <w:proofErr w:type="spellStart"/>
      <w:r w:rsidRPr="00256D95">
        <w:rPr>
          <w:sz w:val="18"/>
          <w:szCs w:val="18"/>
        </w:rPr>
        <w:t>Ramsey</w:t>
      </w:r>
      <w:proofErr w:type="spellEnd"/>
      <w:r w:rsidRPr="00256D95">
        <w:rPr>
          <w:sz w:val="18"/>
          <w:szCs w:val="18"/>
        </w:rPr>
        <w:t xml:space="preserve"> 1969-ben bizonyította, hogy a </w:t>
      </w:r>
      <w:proofErr w:type="spellStart"/>
      <w:r w:rsidRPr="00256D95">
        <w:rPr>
          <w:sz w:val="18"/>
          <w:szCs w:val="18"/>
        </w:rPr>
        <w:t>reziduálisok</w:t>
      </w:r>
      <w:proofErr w:type="spellEnd"/>
      <w:r w:rsidRPr="00256D95">
        <w:rPr>
          <w:sz w:val="18"/>
          <w:szCs w:val="18"/>
        </w:rPr>
        <w:t xml:space="preserve"> várható értéke 0-tól eltérő, ha a modell rosszul specifikált. Egy általános stabilitás tesztet alkalmazott arra nézve, hogy az egyenletben minden változó a helyén, megfelelő kitevővel szerepel-e (</w:t>
      </w:r>
      <w:proofErr w:type="spellStart"/>
      <w:r w:rsidRPr="00256D95">
        <w:rPr>
          <w:sz w:val="18"/>
          <w:szCs w:val="18"/>
        </w:rPr>
        <w:t>RESET-teszt</w:t>
      </w:r>
      <w:proofErr w:type="spellEnd"/>
      <w:r w:rsidRPr="00256D95">
        <w:rPr>
          <w:sz w:val="18"/>
          <w:szCs w:val="18"/>
        </w:rPr>
        <w:t>). Számunkra itt az a lényeges, hogy statisztikailag nullának tekinthető-e a hibatag várható ért</w:t>
      </w:r>
      <w:r w:rsidRPr="00256D95">
        <w:rPr>
          <w:sz w:val="18"/>
          <w:szCs w:val="18"/>
        </w:rPr>
        <w:t>é</w:t>
      </w:r>
      <w:r w:rsidRPr="00256D95">
        <w:rPr>
          <w:sz w:val="18"/>
          <w:szCs w:val="18"/>
        </w:rPr>
        <w:t xml:space="preserve">ke, mivel a normális eloszlás visszaellenőrzésére alkotott </w:t>
      </w:r>
      <w:proofErr w:type="spellStart"/>
      <w:r w:rsidRPr="00256D95">
        <w:rPr>
          <w:sz w:val="18"/>
          <w:szCs w:val="18"/>
        </w:rPr>
        <w:t>Jarque-Bera</w:t>
      </w:r>
      <w:proofErr w:type="spellEnd"/>
      <w:r w:rsidRPr="00256D95">
        <w:rPr>
          <w:sz w:val="18"/>
          <w:szCs w:val="18"/>
        </w:rPr>
        <w:t xml:space="preserve"> statisztika a keresztmetszetünk nagyságával már nem kompatibilis, és azt kell feltételeznünk, hogy a </w:t>
      </w:r>
      <w:proofErr w:type="spellStart"/>
      <w:r w:rsidRPr="00256D95">
        <w:rPr>
          <w:sz w:val="18"/>
          <w:szCs w:val="18"/>
        </w:rPr>
        <w:t>reziduumok</w:t>
      </w:r>
      <w:proofErr w:type="spellEnd"/>
      <w:r w:rsidRPr="00256D95">
        <w:rPr>
          <w:sz w:val="18"/>
          <w:szCs w:val="18"/>
        </w:rPr>
        <w:t xml:space="preserve"> aszimptotikusan normális eloszlásúak.</w:t>
      </w:r>
    </w:p>
  </w:footnote>
  <w:footnote w:id="10">
    <w:p w:rsidR="00B057D9" w:rsidRDefault="00B057D9" w:rsidP="00084397">
      <w:pPr>
        <w:pStyle w:val="FootnoteText"/>
        <w:jc w:val="both"/>
      </w:pPr>
      <w:r>
        <w:rPr>
          <w:rStyle w:val="FootnoteReference"/>
        </w:rPr>
        <w:footnoteRef/>
      </w:r>
      <w:r>
        <w:t xml:space="preserve"> </w:t>
      </w:r>
      <w:r w:rsidRPr="005608A1">
        <w:rPr>
          <w:sz w:val="18"/>
        </w:rPr>
        <w:t>Instrumentális változó.</w:t>
      </w:r>
    </w:p>
  </w:footnote>
  <w:footnote w:id="11">
    <w:p w:rsidR="00B057D9" w:rsidRPr="00256D95" w:rsidRDefault="00B057D9" w:rsidP="00084397">
      <w:pPr>
        <w:pStyle w:val="FootnoteText"/>
        <w:spacing w:line="276" w:lineRule="auto"/>
        <w:jc w:val="both"/>
        <w:rPr>
          <w:sz w:val="18"/>
          <w:szCs w:val="18"/>
        </w:rPr>
      </w:pPr>
      <w:r w:rsidRPr="00256D95">
        <w:rPr>
          <w:rStyle w:val="FootnoteReference"/>
          <w:sz w:val="18"/>
          <w:szCs w:val="18"/>
        </w:rPr>
        <w:footnoteRef/>
      </w:r>
      <w:r w:rsidRPr="00256D95">
        <w:rPr>
          <w:sz w:val="18"/>
          <w:szCs w:val="18"/>
        </w:rPr>
        <w:t xml:space="preserve"> </w:t>
      </w:r>
      <w:proofErr w:type="gramStart"/>
      <w:r w:rsidRPr="00256D95">
        <w:rPr>
          <w:sz w:val="18"/>
          <w:szCs w:val="18"/>
        </w:rPr>
        <w:t xml:space="preserve">Számítása az AKI kódjait használva a következőképpen történik: </w:t>
      </w:r>
      <w:r w:rsidRPr="00256D95">
        <w:rPr>
          <w:i/>
          <w:sz w:val="18"/>
          <w:szCs w:val="18"/>
        </w:rPr>
        <w:t>(m4280_03 -m4279_03 +m5619_06 -m5619_04 +m5849_06 -m5849_04 +m6060_06 -m6060_04 +m5349_06 -m5349_04 -m4115_03 -m4281_03 -m4285_03 -m4287_03 -m4288_03 -m4291_03 -m4295_03 -m4301_03 -m4305_03 -m4311_03 -m4315_03 -m4321_03 -m4325_03 -m4331_03 -m4335_03 -m4345_03)</w:t>
      </w:r>
      <w:r w:rsidRPr="00256D95">
        <w:rPr>
          <w:sz w:val="18"/>
          <w:szCs w:val="18"/>
        </w:rPr>
        <w:t xml:space="preserve">, aminek jelentése: </w:t>
      </w:r>
      <w:r w:rsidRPr="00256D95">
        <w:rPr>
          <w:i/>
          <w:sz w:val="18"/>
          <w:szCs w:val="18"/>
        </w:rPr>
        <w:t>Bevételek mindösszesen + Gyepgazdálkodás + Állati termékek + Zöldségek + Állatok - Eladott áruk beszerzési értéke - Vetőmag - Műtrágya - Növény védőszerek - Egyéb anyagköltség - Állatvásárlás - Abrak költségek - Egyéb állattenyésztési anyag költségek</w:t>
      </w:r>
      <w:r w:rsidRPr="00256D95">
        <w:rPr>
          <w:sz w:val="18"/>
          <w:szCs w:val="18"/>
        </w:rPr>
        <w:t>.</w:t>
      </w:r>
      <w:proofErr w:type="gramEnd"/>
    </w:p>
  </w:footnote>
  <w:footnote w:id="12">
    <w:p w:rsidR="00B057D9" w:rsidRPr="00256D95" w:rsidRDefault="00B057D9" w:rsidP="00084397">
      <w:pPr>
        <w:pStyle w:val="FootnoteText"/>
        <w:spacing w:line="276" w:lineRule="auto"/>
        <w:jc w:val="both"/>
        <w:rPr>
          <w:sz w:val="18"/>
          <w:szCs w:val="18"/>
        </w:rPr>
      </w:pPr>
      <w:r w:rsidRPr="00256D95">
        <w:rPr>
          <w:rStyle w:val="FootnoteReference"/>
          <w:sz w:val="18"/>
          <w:szCs w:val="18"/>
        </w:rPr>
        <w:footnoteRef/>
      </w:r>
      <w:r w:rsidRPr="00256D95">
        <w:rPr>
          <w:sz w:val="18"/>
          <w:szCs w:val="18"/>
        </w:rPr>
        <w:t xml:space="preserve"> Minden közvetlen támogatás, a beruházási támogatások ezért nincsenek beszámítva, viszont a kamattámogatások, kártérítések is ide tartoznak.</w:t>
      </w:r>
    </w:p>
  </w:footnote>
  <w:footnote w:id="13">
    <w:p w:rsidR="00B057D9" w:rsidRPr="00256D95" w:rsidRDefault="00B057D9" w:rsidP="00084397">
      <w:pPr>
        <w:pStyle w:val="FootnoteText"/>
        <w:spacing w:line="276" w:lineRule="auto"/>
        <w:jc w:val="both"/>
        <w:rPr>
          <w:sz w:val="18"/>
          <w:szCs w:val="18"/>
        </w:rPr>
      </w:pPr>
      <w:r w:rsidRPr="00256D95">
        <w:rPr>
          <w:rStyle w:val="FootnoteReference"/>
          <w:sz w:val="18"/>
          <w:szCs w:val="18"/>
        </w:rPr>
        <w:footnoteRef/>
      </w:r>
      <w:r w:rsidRPr="00256D95">
        <w:rPr>
          <w:sz w:val="18"/>
          <w:szCs w:val="18"/>
        </w:rPr>
        <w:t xml:space="preserve"> A kontrollálni kifejezés az </w:t>
      </w:r>
      <w:proofErr w:type="spellStart"/>
      <w:r w:rsidRPr="00256D95">
        <w:rPr>
          <w:sz w:val="18"/>
          <w:szCs w:val="18"/>
        </w:rPr>
        <w:t>ökonometriában</w:t>
      </w:r>
      <w:proofErr w:type="spellEnd"/>
      <w:r w:rsidRPr="00256D95">
        <w:rPr>
          <w:sz w:val="18"/>
          <w:szCs w:val="18"/>
        </w:rPr>
        <w:t xml:space="preserve"> azt jelenti, hogy a modellben azért szerepeltetjük az adott változót, mert nem szeretnénk, hogy a neki tulajdonítható hatásokat más magyarázó változónak tulajdonítsuk tévesen. Például, ha az EUME és a FEJTAM korrelálnak, akkor, ha az </w:t>
      </w:r>
      <w:proofErr w:type="spellStart"/>
      <w:r w:rsidRPr="00256D95">
        <w:rPr>
          <w:sz w:val="18"/>
          <w:szCs w:val="18"/>
        </w:rPr>
        <w:t>EUME-t</w:t>
      </w:r>
      <w:proofErr w:type="spellEnd"/>
      <w:r w:rsidRPr="00256D95">
        <w:rPr>
          <w:sz w:val="18"/>
          <w:szCs w:val="18"/>
        </w:rPr>
        <w:t xml:space="preserve"> kihagyjuk a modellből, tévesen megnőhet a FEJTAM együtthatója vagy magyarázóereje.</w:t>
      </w:r>
    </w:p>
  </w:footnote>
  <w:footnote w:id="14">
    <w:p w:rsidR="00B057D9" w:rsidRPr="00256D95" w:rsidRDefault="00B057D9" w:rsidP="00084397">
      <w:pPr>
        <w:pStyle w:val="FootnoteText"/>
        <w:spacing w:line="276" w:lineRule="auto"/>
        <w:jc w:val="both"/>
        <w:rPr>
          <w:sz w:val="18"/>
          <w:szCs w:val="18"/>
        </w:rPr>
      </w:pPr>
      <w:r w:rsidRPr="00256D95">
        <w:rPr>
          <w:rStyle w:val="FootnoteReference"/>
          <w:sz w:val="18"/>
          <w:szCs w:val="18"/>
        </w:rPr>
        <w:footnoteRef/>
      </w:r>
      <w:r w:rsidRPr="00256D95">
        <w:rPr>
          <w:sz w:val="18"/>
          <w:szCs w:val="18"/>
        </w:rPr>
        <w:t xml:space="preserve"> Ez egyébként az elsőfajú hiba valószínűsége, ami azt jelenti, hogy ekkora valószínűséggel követünk el hibát, ha elve</w:t>
      </w:r>
      <w:r w:rsidRPr="00256D95">
        <w:rPr>
          <w:sz w:val="18"/>
          <w:szCs w:val="18"/>
        </w:rPr>
        <w:t>t</w:t>
      </w:r>
      <w:r w:rsidRPr="00256D95">
        <w:rPr>
          <w:sz w:val="18"/>
          <w:szCs w:val="18"/>
        </w:rPr>
        <w:t xml:space="preserve">jük a </w:t>
      </w:r>
      <w:proofErr w:type="spellStart"/>
      <w:r w:rsidRPr="00256D95">
        <w:rPr>
          <w:sz w:val="18"/>
          <w:szCs w:val="18"/>
        </w:rPr>
        <w:t>nullhipotézist</w:t>
      </w:r>
      <w:proofErr w:type="spellEnd"/>
      <w:r w:rsidRPr="00256D95">
        <w:rPr>
          <w:sz w:val="18"/>
          <w:szCs w:val="18"/>
        </w:rPr>
        <w:t xml:space="preserve">, holott az igaz; jelen esetben a fejlesztési támogatások együtthatójának </w:t>
      </w:r>
      <w:proofErr w:type="spellStart"/>
      <w:r w:rsidRPr="00256D95">
        <w:rPr>
          <w:sz w:val="18"/>
          <w:szCs w:val="18"/>
        </w:rPr>
        <w:t>inszignifikanciáját</w:t>
      </w:r>
      <w:proofErr w:type="spellEnd"/>
      <w:r w:rsidRPr="00256D95">
        <w:rPr>
          <w:sz w:val="18"/>
          <w:szCs w:val="18"/>
        </w:rPr>
        <w:t>.</w:t>
      </w:r>
    </w:p>
  </w:footnote>
  <w:footnote w:id="15">
    <w:p w:rsidR="00B057D9" w:rsidRPr="00256D95" w:rsidRDefault="00B057D9" w:rsidP="00084397">
      <w:pPr>
        <w:pStyle w:val="FootnoteText"/>
        <w:spacing w:line="276" w:lineRule="auto"/>
        <w:jc w:val="both"/>
        <w:rPr>
          <w:sz w:val="18"/>
          <w:szCs w:val="18"/>
        </w:rPr>
      </w:pPr>
      <w:r w:rsidRPr="00256D95">
        <w:rPr>
          <w:rStyle w:val="FootnoteReference"/>
          <w:sz w:val="18"/>
          <w:szCs w:val="18"/>
        </w:rPr>
        <w:footnoteRef/>
      </w:r>
      <w:r w:rsidRPr="00256D95">
        <w:rPr>
          <w:sz w:val="18"/>
          <w:szCs w:val="18"/>
        </w:rPr>
        <w:t xml:space="preserve"> </w:t>
      </w:r>
      <w:proofErr w:type="spellStart"/>
      <w:r w:rsidRPr="00256D95">
        <w:rPr>
          <w:sz w:val="18"/>
          <w:szCs w:val="18"/>
        </w:rPr>
        <w:t>Adjusted</w:t>
      </w:r>
      <w:proofErr w:type="spellEnd"/>
      <w:r w:rsidRPr="00256D95">
        <w:rPr>
          <w:sz w:val="18"/>
          <w:szCs w:val="18"/>
        </w:rPr>
        <w:t xml:space="preserve"> </w:t>
      </w:r>
      <w:proofErr w:type="spellStart"/>
      <w:r w:rsidRPr="00256D95">
        <w:rPr>
          <w:sz w:val="18"/>
          <w:szCs w:val="18"/>
        </w:rPr>
        <w:t>R-squared</w:t>
      </w:r>
      <w:proofErr w:type="spellEnd"/>
      <w:r w:rsidRPr="00256D95">
        <w:rPr>
          <w:sz w:val="18"/>
          <w:szCs w:val="18"/>
        </w:rPr>
        <w:t>: 74,9%, az ábrán kiemelve vastagon.</w:t>
      </w:r>
    </w:p>
  </w:footnote>
  <w:footnote w:id="16">
    <w:p w:rsidR="00B057D9" w:rsidRPr="00256D95" w:rsidRDefault="00B057D9" w:rsidP="00084397">
      <w:pPr>
        <w:pStyle w:val="FootnoteText"/>
        <w:spacing w:line="276" w:lineRule="auto"/>
        <w:jc w:val="both"/>
        <w:rPr>
          <w:sz w:val="18"/>
          <w:szCs w:val="18"/>
        </w:rPr>
      </w:pPr>
      <w:r w:rsidRPr="00256D95">
        <w:rPr>
          <w:rStyle w:val="FootnoteReference"/>
          <w:sz w:val="18"/>
          <w:szCs w:val="18"/>
        </w:rPr>
        <w:footnoteRef/>
      </w:r>
      <w:r w:rsidRPr="00256D95">
        <w:rPr>
          <w:sz w:val="18"/>
          <w:szCs w:val="18"/>
        </w:rPr>
        <w:t xml:space="preserve"> A F-próba a modellek változóinak </w:t>
      </w:r>
      <w:proofErr w:type="spellStart"/>
      <w:r w:rsidRPr="00256D95">
        <w:rPr>
          <w:sz w:val="18"/>
          <w:szCs w:val="18"/>
        </w:rPr>
        <w:t>inszignifikanciáját</w:t>
      </w:r>
      <w:proofErr w:type="spellEnd"/>
      <w:r w:rsidRPr="00256D95">
        <w:rPr>
          <w:sz w:val="18"/>
          <w:szCs w:val="18"/>
        </w:rPr>
        <w:t xml:space="preserve"> egyben teszteli, a </w:t>
      </w:r>
      <w:proofErr w:type="spellStart"/>
      <w:r w:rsidRPr="00256D95">
        <w:rPr>
          <w:sz w:val="18"/>
          <w:szCs w:val="18"/>
        </w:rPr>
        <w:t>nullhipotézise</w:t>
      </w:r>
      <w:proofErr w:type="spellEnd"/>
      <w:r w:rsidRPr="00256D95">
        <w:rPr>
          <w:sz w:val="18"/>
          <w:szCs w:val="18"/>
        </w:rPr>
        <w:t xml:space="preserve"> szerint minden változó együtth</w:t>
      </w:r>
      <w:r w:rsidRPr="00256D95">
        <w:rPr>
          <w:sz w:val="18"/>
          <w:szCs w:val="18"/>
        </w:rPr>
        <w:t>a</w:t>
      </w:r>
      <w:r w:rsidRPr="00256D95">
        <w:rPr>
          <w:sz w:val="18"/>
          <w:szCs w:val="18"/>
        </w:rPr>
        <w:t xml:space="preserve">tója 0. A </w:t>
      </w:r>
      <w:proofErr w:type="spellStart"/>
      <w:proofErr w:type="gramStart"/>
      <w:r w:rsidRPr="00256D95">
        <w:rPr>
          <w:sz w:val="18"/>
          <w:szCs w:val="18"/>
        </w:rPr>
        <w:t>Prob</w:t>
      </w:r>
      <w:proofErr w:type="spellEnd"/>
      <w:r w:rsidRPr="00256D95">
        <w:rPr>
          <w:sz w:val="18"/>
          <w:szCs w:val="18"/>
        </w:rPr>
        <w:t>(</w:t>
      </w:r>
      <w:proofErr w:type="spellStart"/>
      <w:proofErr w:type="gramEnd"/>
      <w:r w:rsidRPr="00256D95">
        <w:rPr>
          <w:sz w:val="18"/>
          <w:szCs w:val="18"/>
        </w:rPr>
        <w:t>F-statistic</w:t>
      </w:r>
      <w:proofErr w:type="spellEnd"/>
      <w:r w:rsidRPr="00256D95">
        <w:rPr>
          <w:sz w:val="18"/>
          <w:szCs w:val="18"/>
        </w:rPr>
        <w:t xml:space="preserve">) mutatja az elsőfajú hiba valószínűségét, ha elvetjük a </w:t>
      </w:r>
      <w:proofErr w:type="spellStart"/>
      <w:r w:rsidRPr="00256D95">
        <w:rPr>
          <w:sz w:val="18"/>
          <w:szCs w:val="18"/>
        </w:rPr>
        <w:t>nullhipotézist</w:t>
      </w:r>
      <w:proofErr w:type="spellEnd"/>
      <w:r w:rsidRPr="00256D95">
        <w:rPr>
          <w:sz w:val="18"/>
          <w:szCs w:val="18"/>
        </w:rPr>
        <w:t>, holott az igaz. Jelen ese</w:t>
      </w:r>
      <w:r w:rsidRPr="00256D95">
        <w:rPr>
          <w:sz w:val="18"/>
          <w:szCs w:val="18"/>
        </w:rPr>
        <w:t>t</w:t>
      </w:r>
      <w:r w:rsidRPr="00256D95">
        <w:rPr>
          <w:sz w:val="18"/>
          <w:szCs w:val="18"/>
        </w:rPr>
        <w:t>ben ez 0%.</w:t>
      </w:r>
    </w:p>
  </w:footnote>
  <w:footnote w:id="17">
    <w:p w:rsidR="00B057D9" w:rsidRPr="00256D95" w:rsidRDefault="00B057D9" w:rsidP="00084397">
      <w:pPr>
        <w:pStyle w:val="FootnoteText"/>
        <w:spacing w:line="276" w:lineRule="auto"/>
        <w:jc w:val="both"/>
        <w:rPr>
          <w:sz w:val="18"/>
          <w:szCs w:val="18"/>
        </w:rPr>
      </w:pPr>
      <w:r w:rsidRPr="00256D95">
        <w:rPr>
          <w:rStyle w:val="FootnoteReference"/>
          <w:sz w:val="18"/>
          <w:szCs w:val="18"/>
        </w:rPr>
        <w:footnoteRef/>
      </w:r>
      <w:r w:rsidRPr="00256D95">
        <w:rPr>
          <w:sz w:val="18"/>
          <w:szCs w:val="18"/>
        </w:rPr>
        <w:t xml:space="preserve"> Korábban már megállapítottuk, hogy a </w:t>
      </w:r>
      <w:proofErr w:type="spellStart"/>
      <w:r w:rsidRPr="00256D95">
        <w:rPr>
          <w:sz w:val="18"/>
          <w:szCs w:val="18"/>
        </w:rPr>
        <w:t>DW-statisztika</w:t>
      </w:r>
      <w:proofErr w:type="spellEnd"/>
      <w:r w:rsidRPr="00256D95">
        <w:rPr>
          <w:sz w:val="18"/>
          <w:szCs w:val="18"/>
        </w:rPr>
        <w:t xml:space="preserve"> 0 és 4 közötti lehetséges értékeiből a [1,5</w:t>
      </w:r>
      <w:proofErr w:type="gramStart"/>
      <w:r w:rsidRPr="00256D95">
        <w:rPr>
          <w:sz w:val="18"/>
          <w:szCs w:val="18"/>
        </w:rPr>
        <w:t>;2</w:t>
      </w:r>
      <w:proofErr w:type="gramEnd"/>
      <w:r w:rsidRPr="00256D95">
        <w:rPr>
          <w:sz w:val="18"/>
          <w:szCs w:val="18"/>
        </w:rPr>
        <w:t>,5] sáv az, amiben maradva elfogadhatónak tartjuk a modellt.</w:t>
      </w:r>
    </w:p>
  </w:footnote>
  <w:footnote w:id="18">
    <w:p w:rsidR="00B057D9" w:rsidRPr="00256D95" w:rsidRDefault="00B057D9" w:rsidP="00084397">
      <w:pPr>
        <w:pStyle w:val="FootnoteText"/>
        <w:spacing w:line="276" w:lineRule="auto"/>
        <w:jc w:val="both"/>
        <w:rPr>
          <w:sz w:val="18"/>
          <w:szCs w:val="18"/>
        </w:rPr>
      </w:pPr>
      <w:r w:rsidRPr="00256D95">
        <w:rPr>
          <w:rStyle w:val="FootnoteReference"/>
          <w:sz w:val="18"/>
          <w:szCs w:val="18"/>
        </w:rPr>
        <w:footnoteRef/>
      </w:r>
      <w:r w:rsidRPr="00256D95">
        <w:rPr>
          <w:sz w:val="18"/>
          <w:szCs w:val="18"/>
        </w:rPr>
        <w:t xml:space="preserve"> Akkor szokás gyanakodni szorosan összefüggő változókra (</w:t>
      </w:r>
      <w:proofErr w:type="spellStart"/>
      <w:r w:rsidRPr="00256D95">
        <w:rPr>
          <w:sz w:val="18"/>
          <w:szCs w:val="18"/>
        </w:rPr>
        <w:t>multikollinearitás</w:t>
      </w:r>
      <w:proofErr w:type="spellEnd"/>
      <w:r w:rsidRPr="00256D95">
        <w:rPr>
          <w:sz w:val="18"/>
          <w:szCs w:val="18"/>
        </w:rPr>
        <w:t xml:space="preserve">) egy modellben, ha a becslések során az együtthatók értéke indokolatlanul nagyot változik. </w:t>
      </w:r>
    </w:p>
  </w:footnote>
  <w:footnote w:id="19">
    <w:p w:rsidR="00B057D9" w:rsidRPr="00256D95" w:rsidRDefault="00B057D9" w:rsidP="00084397">
      <w:pPr>
        <w:pStyle w:val="FootnoteText"/>
        <w:spacing w:line="276" w:lineRule="auto"/>
        <w:jc w:val="both"/>
        <w:rPr>
          <w:sz w:val="18"/>
          <w:szCs w:val="18"/>
        </w:rPr>
      </w:pPr>
      <w:r w:rsidRPr="00256D95">
        <w:rPr>
          <w:rStyle w:val="FootnoteReference"/>
          <w:sz w:val="18"/>
          <w:szCs w:val="18"/>
        </w:rPr>
        <w:footnoteRef/>
      </w:r>
      <w:r w:rsidRPr="00256D95">
        <w:rPr>
          <w:sz w:val="18"/>
          <w:szCs w:val="18"/>
        </w:rPr>
        <w:t xml:space="preserve"> A 0 közeli </w:t>
      </w:r>
      <w:proofErr w:type="spellStart"/>
      <w:r w:rsidRPr="00256D95">
        <w:rPr>
          <w:sz w:val="18"/>
          <w:szCs w:val="18"/>
        </w:rPr>
        <w:t>DW-statisztika</w:t>
      </w:r>
      <w:proofErr w:type="spellEnd"/>
      <w:r w:rsidRPr="00256D95">
        <w:rPr>
          <w:sz w:val="18"/>
          <w:szCs w:val="18"/>
        </w:rPr>
        <w:t xml:space="preserve"> elsőrendű pozitív </w:t>
      </w:r>
      <w:proofErr w:type="spellStart"/>
      <w:r w:rsidRPr="00256D95">
        <w:rPr>
          <w:sz w:val="18"/>
          <w:szCs w:val="18"/>
        </w:rPr>
        <w:t>autokorrelációra</w:t>
      </w:r>
      <w:proofErr w:type="spellEnd"/>
      <w:r w:rsidRPr="00256D95">
        <w:rPr>
          <w:sz w:val="18"/>
          <w:szCs w:val="18"/>
        </w:rPr>
        <w:t xml:space="preserve"> utal, ami a hibatagok előző időszaki értékei és aktuális időszaki értékei közötti korrelációban tesztelhető. Ilyenkor érdemes a függő változó egy időszakkal késleltetett értékeit szerepeltetni a modellben magyarázó változóként.</w:t>
      </w:r>
    </w:p>
  </w:footnote>
  <w:footnote w:id="20">
    <w:p w:rsidR="00B057D9" w:rsidRPr="00256D95" w:rsidRDefault="00B057D9" w:rsidP="00084397">
      <w:pPr>
        <w:pStyle w:val="FootnoteText"/>
        <w:spacing w:line="276" w:lineRule="auto"/>
        <w:jc w:val="both"/>
        <w:rPr>
          <w:sz w:val="18"/>
          <w:szCs w:val="18"/>
        </w:rPr>
      </w:pPr>
      <w:r w:rsidRPr="00256D95">
        <w:rPr>
          <w:rStyle w:val="FootnoteReference"/>
          <w:sz w:val="18"/>
          <w:szCs w:val="18"/>
        </w:rPr>
        <w:footnoteRef/>
      </w:r>
      <w:r w:rsidRPr="00256D95">
        <w:rPr>
          <w:sz w:val="18"/>
          <w:szCs w:val="18"/>
        </w:rPr>
        <w:t xml:space="preserve"> Emlékeztetőül az </w:t>
      </w:r>
      <w:proofErr w:type="spellStart"/>
      <w:r w:rsidRPr="00256D95">
        <w:rPr>
          <w:sz w:val="18"/>
          <w:szCs w:val="18"/>
        </w:rPr>
        <w:t>endogenitásról</w:t>
      </w:r>
      <w:proofErr w:type="spellEnd"/>
      <w:r w:rsidRPr="00256D95">
        <w:rPr>
          <w:sz w:val="18"/>
          <w:szCs w:val="18"/>
        </w:rPr>
        <w:t>: a független változók és a hibatag függetlenségére tett feltétel megsérülésekor b</w:t>
      </w:r>
      <w:r w:rsidRPr="00256D95">
        <w:rPr>
          <w:sz w:val="18"/>
          <w:szCs w:val="18"/>
        </w:rPr>
        <w:t>e</w:t>
      </w:r>
      <w:r w:rsidRPr="00256D95">
        <w:rPr>
          <w:sz w:val="18"/>
          <w:szCs w:val="18"/>
        </w:rPr>
        <w:t>szélünk róla, és legegyszerűbb kiküszöbölési módja az instrumentális változók használata.</w:t>
      </w:r>
    </w:p>
  </w:footnote>
  <w:footnote w:id="21">
    <w:p w:rsidR="00B057D9" w:rsidRPr="00256D95" w:rsidRDefault="00B057D9" w:rsidP="00084397">
      <w:pPr>
        <w:pStyle w:val="FootnoteText"/>
        <w:spacing w:line="276" w:lineRule="auto"/>
        <w:jc w:val="both"/>
        <w:rPr>
          <w:sz w:val="18"/>
          <w:szCs w:val="18"/>
        </w:rPr>
      </w:pPr>
      <w:r w:rsidRPr="00256D95">
        <w:rPr>
          <w:rStyle w:val="FootnoteReference"/>
          <w:sz w:val="18"/>
          <w:szCs w:val="18"/>
        </w:rPr>
        <w:footnoteRef/>
      </w:r>
      <w:r w:rsidRPr="00256D95">
        <w:rPr>
          <w:sz w:val="18"/>
          <w:szCs w:val="18"/>
        </w:rPr>
        <w:t xml:space="preserve"> </w:t>
      </w:r>
      <w:r>
        <w:rPr>
          <w:sz w:val="18"/>
          <w:szCs w:val="18"/>
        </w:rPr>
        <w:t>Lásd</w:t>
      </w:r>
      <w:r w:rsidRPr="00256D95">
        <w:rPr>
          <w:sz w:val="18"/>
          <w:szCs w:val="18"/>
        </w:rPr>
        <w:t xml:space="preserve">: </w:t>
      </w:r>
      <w:fldSimple w:instr=" REF _Ref276478013 \h  \* MERGEFORMAT ">
        <w:r w:rsidRPr="00B67CFC">
          <w:rPr>
            <w:noProof/>
            <w:sz w:val="18"/>
            <w:szCs w:val="18"/>
          </w:rPr>
          <w:t>12</w:t>
        </w:r>
        <w:r w:rsidRPr="00B67CFC">
          <w:rPr>
            <w:sz w:val="18"/>
            <w:szCs w:val="18"/>
          </w:rPr>
          <w:t>. ábra: GLS – NH</w:t>
        </w:r>
      </w:fldSimple>
      <w:r w:rsidRPr="00256D95">
        <w:rPr>
          <w:sz w:val="18"/>
          <w:szCs w:val="18"/>
        </w:rPr>
        <w:t xml:space="preserve">; </w:t>
      </w:r>
      <w:r w:rsidR="003F44DC">
        <w:fldChar w:fldCharType="begin"/>
      </w:r>
      <w:r w:rsidR="003F44DC">
        <w:instrText xml:space="preserve"> REF _Ref276457021 \h  \* MERGEFORMAT </w:instrText>
      </w:r>
      <w:r w:rsidR="003F44DC">
        <w:fldChar w:fldCharType="separate"/>
      </w:r>
      <w:r w:rsidRPr="00B67CFC">
        <w:rPr>
          <w:noProof/>
          <w:sz w:val="18"/>
          <w:szCs w:val="18"/>
        </w:rPr>
        <w:t>21</w:t>
      </w:r>
      <w:r w:rsidRPr="00B67CFC">
        <w:rPr>
          <w:sz w:val="18"/>
          <w:szCs w:val="18"/>
        </w:rPr>
        <w:t xml:space="preserve">. ábra: </w:t>
      </w:r>
      <w:proofErr w:type="gramStart"/>
      <w:r w:rsidRPr="00B67CFC">
        <w:rPr>
          <w:sz w:val="18"/>
          <w:szCs w:val="18"/>
        </w:rPr>
        <w:t>AR(</w:t>
      </w:r>
      <w:proofErr w:type="gramEnd"/>
      <w:r w:rsidRPr="00B67CFC">
        <w:rPr>
          <w:sz w:val="18"/>
          <w:szCs w:val="18"/>
        </w:rPr>
        <w:t>1) GLS – NH</w:t>
      </w:r>
      <w:r w:rsidR="003F44DC">
        <w:fldChar w:fldCharType="end"/>
      </w:r>
      <w:r w:rsidRPr="00256D95">
        <w:rPr>
          <w:sz w:val="18"/>
          <w:szCs w:val="18"/>
        </w:rPr>
        <w:t xml:space="preserve">; </w:t>
      </w:r>
      <w:fldSimple w:instr=" REF _Ref276458403 \h  \* MERGEFORMAT ">
        <w:r w:rsidRPr="00B67CFC">
          <w:rPr>
            <w:noProof/>
            <w:sz w:val="18"/>
            <w:szCs w:val="18"/>
          </w:rPr>
          <w:t>22</w:t>
        </w:r>
        <w:r w:rsidRPr="00B67CFC">
          <w:rPr>
            <w:sz w:val="18"/>
            <w:szCs w:val="18"/>
          </w:rPr>
          <w:t>. ábra: AR(1) 2SLS – NH</w:t>
        </w:r>
      </w:fldSimple>
      <w:r w:rsidRPr="00256D95">
        <w:rPr>
          <w:sz w:val="18"/>
          <w:szCs w:val="18"/>
        </w:rPr>
        <w:t>.</w:t>
      </w:r>
    </w:p>
  </w:footnote>
  <w:footnote w:id="22">
    <w:p w:rsidR="00B057D9" w:rsidRPr="00256D95" w:rsidRDefault="00B057D9" w:rsidP="00084397">
      <w:pPr>
        <w:pStyle w:val="FootnoteText"/>
        <w:spacing w:line="276" w:lineRule="auto"/>
        <w:jc w:val="both"/>
        <w:rPr>
          <w:sz w:val="18"/>
          <w:szCs w:val="18"/>
        </w:rPr>
      </w:pPr>
      <w:r w:rsidRPr="00256D95">
        <w:rPr>
          <w:rStyle w:val="FootnoteReference"/>
          <w:sz w:val="18"/>
          <w:szCs w:val="18"/>
        </w:rPr>
        <w:footnoteRef/>
      </w:r>
      <w:r>
        <w:rPr>
          <w:sz w:val="18"/>
          <w:szCs w:val="18"/>
        </w:rPr>
        <w:t xml:space="preserve"> Lásd</w:t>
      </w:r>
      <w:r w:rsidRPr="00256D95">
        <w:rPr>
          <w:sz w:val="18"/>
          <w:szCs w:val="18"/>
        </w:rPr>
        <w:t xml:space="preserve">: </w:t>
      </w:r>
      <w:r w:rsidR="003F44DC">
        <w:fldChar w:fldCharType="begin"/>
      </w:r>
      <w:r w:rsidR="003F44DC">
        <w:instrText xml:space="preserve"> REF _Ref276466292 \h  \* MERGEFORMAT </w:instrText>
      </w:r>
      <w:r w:rsidR="003F44DC">
        <w:fldChar w:fldCharType="separate"/>
      </w:r>
      <w:r w:rsidRPr="00B67CFC">
        <w:rPr>
          <w:noProof/>
          <w:sz w:val="18"/>
          <w:szCs w:val="18"/>
        </w:rPr>
        <w:t>23</w:t>
      </w:r>
      <w:r w:rsidRPr="00B67CFC">
        <w:rPr>
          <w:sz w:val="18"/>
          <w:szCs w:val="18"/>
        </w:rPr>
        <w:t xml:space="preserve">. ábra: </w:t>
      </w:r>
      <w:proofErr w:type="gramStart"/>
      <w:r w:rsidRPr="00B67CFC">
        <w:rPr>
          <w:sz w:val="18"/>
          <w:szCs w:val="18"/>
        </w:rPr>
        <w:t>AR(</w:t>
      </w:r>
      <w:proofErr w:type="gramEnd"/>
      <w:r w:rsidRPr="00B67CFC">
        <w:rPr>
          <w:sz w:val="18"/>
          <w:szCs w:val="18"/>
        </w:rPr>
        <w:t>1) GLS – MUNKA</w:t>
      </w:r>
      <w:r w:rsidR="003F44DC">
        <w:fldChar w:fldCharType="end"/>
      </w:r>
      <w:r w:rsidRPr="00256D95">
        <w:rPr>
          <w:sz w:val="18"/>
          <w:szCs w:val="18"/>
        </w:rPr>
        <w:t xml:space="preserve">; </w:t>
      </w:r>
      <w:fldSimple w:instr=" REF _Ref276466310 \h  \* MERGEFORMAT ">
        <w:r w:rsidRPr="00B67CFC">
          <w:rPr>
            <w:noProof/>
            <w:sz w:val="18"/>
            <w:szCs w:val="18"/>
          </w:rPr>
          <w:t>24</w:t>
        </w:r>
        <w:r w:rsidRPr="00B67CFC">
          <w:rPr>
            <w:sz w:val="18"/>
            <w:szCs w:val="18"/>
          </w:rPr>
          <w:t>. ábra: AR(1) 2SLS – MUNKA</w:t>
        </w:r>
      </w:fldSimple>
      <w:r w:rsidRPr="00256D95">
        <w:rPr>
          <w:sz w:val="18"/>
          <w:szCs w:val="18"/>
        </w:rPr>
        <w:t xml:space="preserve"> és </w:t>
      </w:r>
      <w:fldSimple w:instr=" REF _Ref276466852 \h  \* MERGEFORMAT ">
        <w:r w:rsidRPr="00B67CFC">
          <w:rPr>
            <w:noProof/>
            <w:sz w:val="18"/>
            <w:szCs w:val="18"/>
          </w:rPr>
          <w:t>26</w:t>
        </w:r>
        <w:r w:rsidRPr="00B67CFC">
          <w:rPr>
            <w:sz w:val="18"/>
            <w:szCs w:val="18"/>
          </w:rPr>
          <w:t>. ábra: AR(1) 2SLS – TERM</w:t>
        </w:r>
      </w:fldSimple>
      <w:r w:rsidRPr="00256D95">
        <w:rPr>
          <w:sz w:val="18"/>
          <w:szCs w:val="18"/>
        </w:rPr>
        <w:t>.</w:t>
      </w:r>
    </w:p>
  </w:footnote>
  <w:footnote w:id="23">
    <w:p w:rsidR="00B057D9" w:rsidRPr="00D7478C" w:rsidRDefault="00B057D9" w:rsidP="00084397">
      <w:pPr>
        <w:pStyle w:val="FootnoteText"/>
        <w:jc w:val="both"/>
        <w:rPr>
          <w:sz w:val="18"/>
        </w:rPr>
      </w:pPr>
      <w:r>
        <w:rPr>
          <w:rStyle w:val="FootnoteReference"/>
        </w:rPr>
        <w:footnoteRef/>
      </w:r>
      <w:r>
        <w:t xml:space="preserve"> </w:t>
      </w:r>
      <w:r w:rsidRPr="00D7478C">
        <w:rPr>
          <w:sz w:val="18"/>
        </w:rPr>
        <w:t xml:space="preserve">Az </w:t>
      </w:r>
      <w:proofErr w:type="gramStart"/>
      <w:r w:rsidRPr="00D7478C">
        <w:rPr>
          <w:sz w:val="18"/>
        </w:rPr>
        <w:t>AR(</w:t>
      </w:r>
      <w:proofErr w:type="gramEnd"/>
      <w:r w:rsidRPr="00D7478C">
        <w:rPr>
          <w:sz w:val="18"/>
        </w:rPr>
        <w:t>1) – 2SLS modell FEJTAM(-1) koefficiens értéke – optimista forgatókönyv esetén.</w:t>
      </w:r>
    </w:p>
  </w:footnote>
  <w:footnote w:id="24">
    <w:p w:rsidR="00B057D9" w:rsidRPr="00256D95" w:rsidRDefault="00B057D9" w:rsidP="00084397">
      <w:pPr>
        <w:pStyle w:val="FootnoteText"/>
        <w:spacing w:line="276" w:lineRule="auto"/>
        <w:jc w:val="both"/>
        <w:rPr>
          <w:sz w:val="18"/>
          <w:szCs w:val="18"/>
        </w:rPr>
      </w:pPr>
      <w:r w:rsidRPr="00256D95">
        <w:rPr>
          <w:rStyle w:val="FootnoteReference"/>
          <w:sz w:val="18"/>
          <w:szCs w:val="18"/>
        </w:rPr>
        <w:footnoteRef/>
      </w:r>
      <w:r w:rsidRPr="00256D95">
        <w:rPr>
          <w:sz w:val="18"/>
          <w:szCs w:val="18"/>
        </w:rPr>
        <w:t xml:space="preserve"> Forrás: UMVPMTE_</w:t>
      </w:r>
      <w:proofErr w:type="spellStart"/>
      <w:r w:rsidRPr="00256D95">
        <w:rPr>
          <w:sz w:val="18"/>
          <w:szCs w:val="18"/>
        </w:rPr>
        <w:t>penzugyi</w:t>
      </w:r>
      <w:proofErr w:type="spellEnd"/>
      <w:r w:rsidRPr="00256D95">
        <w:rPr>
          <w:sz w:val="18"/>
          <w:szCs w:val="18"/>
        </w:rPr>
        <w:t>_</w:t>
      </w:r>
      <w:proofErr w:type="spellStart"/>
      <w:r w:rsidRPr="00256D95">
        <w:rPr>
          <w:sz w:val="18"/>
          <w:szCs w:val="18"/>
        </w:rPr>
        <w:t>statusz</w:t>
      </w:r>
      <w:proofErr w:type="spellEnd"/>
      <w:r w:rsidRPr="00256D95">
        <w:rPr>
          <w:sz w:val="18"/>
          <w:szCs w:val="18"/>
        </w:rPr>
        <w:t>_I_</w:t>
      </w:r>
      <w:proofErr w:type="spellStart"/>
      <w:r w:rsidRPr="00256D95">
        <w:rPr>
          <w:sz w:val="18"/>
          <w:szCs w:val="18"/>
        </w:rPr>
        <w:t>sz</w:t>
      </w:r>
      <w:proofErr w:type="spellEnd"/>
      <w:r w:rsidRPr="00256D95">
        <w:rPr>
          <w:sz w:val="18"/>
          <w:szCs w:val="18"/>
        </w:rPr>
        <w:t>_</w:t>
      </w:r>
      <w:proofErr w:type="spellStart"/>
      <w:r w:rsidRPr="00256D95">
        <w:rPr>
          <w:sz w:val="18"/>
          <w:szCs w:val="18"/>
        </w:rPr>
        <w:t>Melleklet</w:t>
      </w:r>
      <w:proofErr w:type="spellEnd"/>
      <w:r w:rsidRPr="00256D95">
        <w:rPr>
          <w:sz w:val="18"/>
          <w:szCs w:val="18"/>
        </w:rPr>
        <w:t>_v08.xlsx H oszlopának 121. intézkedésre vonatkozó összege.</w:t>
      </w:r>
    </w:p>
  </w:footnote>
  <w:footnote w:id="25">
    <w:p w:rsidR="00B057D9" w:rsidRDefault="00B057D9" w:rsidP="00084397">
      <w:pPr>
        <w:pStyle w:val="FootnoteText"/>
        <w:jc w:val="both"/>
      </w:pPr>
      <w:r>
        <w:rPr>
          <w:rStyle w:val="FootnoteReference"/>
        </w:rPr>
        <w:footnoteRef/>
      </w:r>
      <w:r>
        <w:t xml:space="preserve"> </w:t>
      </w:r>
      <w:r w:rsidRPr="00E95635">
        <w:rPr>
          <w:sz w:val="18"/>
        </w:rPr>
        <w:t xml:space="preserve">Mivel a beruházások utólagos finanszírozásúak, ezért élhetünk azzal a feltételezéssel, hogy 80%-os – benyújtott! - kifizetési kérelem arány </w:t>
      </w:r>
      <w:r>
        <w:rPr>
          <w:sz w:val="18"/>
        </w:rPr>
        <w:t xml:space="preserve">mellett </w:t>
      </w:r>
      <w:r w:rsidRPr="00E95635">
        <w:rPr>
          <w:sz w:val="18"/>
        </w:rPr>
        <w:t xml:space="preserve">a beruházás </w:t>
      </w:r>
      <w:r>
        <w:rPr>
          <w:sz w:val="18"/>
        </w:rPr>
        <w:t xml:space="preserve">valós készültsége közel </w:t>
      </w:r>
      <w:r w:rsidRPr="00E95635">
        <w:rPr>
          <w:sz w:val="18"/>
        </w:rPr>
        <w:t>100%</w:t>
      </w:r>
      <w:r>
        <w:rPr>
          <w:sz w:val="18"/>
        </w:rPr>
        <w:t>-os. Módszertan: az MVH Szervezési és Koo</w:t>
      </w:r>
      <w:r>
        <w:rPr>
          <w:sz w:val="18"/>
        </w:rPr>
        <w:t>r</w:t>
      </w:r>
      <w:r>
        <w:rPr>
          <w:sz w:val="18"/>
        </w:rPr>
        <w:t>dinációs Főosztálytól 2010.08.06-án kapott „tételes lista” támogatási és kifizetési kérelem adatbázisának összevezet</w:t>
      </w:r>
      <w:r>
        <w:rPr>
          <w:sz w:val="18"/>
        </w:rPr>
        <w:t>é</w:t>
      </w:r>
      <w:r>
        <w:rPr>
          <w:sz w:val="18"/>
        </w:rPr>
        <w:t>se.</w:t>
      </w:r>
    </w:p>
  </w:footnote>
  <w:footnote w:id="26">
    <w:p w:rsidR="00B057D9" w:rsidRDefault="00B057D9" w:rsidP="00084397">
      <w:pPr>
        <w:pStyle w:val="FootnoteText"/>
        <w:jc w:val="both"/>
      </w:pPr>
      <w:r>
        <w:rPr>
          <w:rStyle w:val="FootnoteReference"/>
        </w:rPr>
        <w:footnoteRef/>
      </w:r>
      <w:r>
        <w:t xml:space="preserve"> </w:t>
      </w:r>
      <w:r w:rsidRPr="00FD444E">
        <w:rPr>
          <w:sz w:val="18"/>
        </w:rPr>
        <w:t xml:space="preserve">A FADN adatbázis alapján készített </w:t>
      </w:r>
      <w:proofErr w:type="spellStart"/>
      <w:r w:rsidRPr="00FD444E">
        <w:rPr>
          <w:sz w:val="18"/>
        </w:rPr>
        <w:t>ökonometriai</w:t>
      </w:r>
      <w:proofErr w:type="spellEnd"/>
      <w:r w:rsidRPr="00FD444E">
        <w:rPr>
          <w:sz w:val="18"/>
        </w:rPr>
        <w:t xml:space="preserve"> modell a 121-es intézkedés jogcímeit együttesen kezelte – abból csak az ÁTK jogcímet önállóan vizsgálni nem lehetett.</w:t>
      </w:r>
    </w:p>
  </w:footnote>
  <w:footnote w:id="27">
    <w:p w:rsidR="00B057D9" w:rsidRDefault="00B057D9" w:rsidP="00084397">
      <w:pPr>
        <w:pStyle w:val="FootnoteText"/>
        <w:jc w:val="both"/>
      </w:pPr>
      <w:r>
        <w:rPr>
          <w:rStyle w:val="FootnoteReference"/>
        </w:rPr>
        <w:footnoteRef/>
      </w:r>
      <w:r>
        <w:t xml:space="preserve"> </w:t>
      </w:r>
      <w:r w:rsidRPr="00CC5C96">
        <w:rPr>
          <w:sz w:val="18"/>
        </w:rPr>
        <w:t>Vizsgált és kontroll csoport mintaszám rendre: 92/104 – ÁTK és 16/19 – ÉLIP.</w:t>
      </w:r>
    </w:p>
  </w:footnote>
  <w:footnote w:id="28">
    <w:p w:rsidR="00B057D9" w:rsidRDefault="00B057D9" w:rsidP="00084397">
      <w:pPr>
        <w:pStyle w:val="FootnoteText"/>
        <w:jc w:val="both"/>
      </w:pPr>
      <w:r>
        <w:rPr>
          <w:rStyle w:val="FootnoteReference"/>
        </w:rPr>
        <w:footnoteRef/>
      </w:r>
      <w:r>
        <w:t xml:space="preserve"> </w:t>
      </w:r>
      <w:r w:rsidRPr="00E27D78">
        <w:rPr>
          <w:sz w:val="18"/>
        </w:rPr>
        <w:t>Csak a jóváhagyott támogatási kérelmeket vettük figyelembe, ezen belül is csak azokat, ahol az IIER tartalmazott létszámra vonatkozó adatot! A pontos mintanagyságot lásd a táblázatban.</w:t>
      </w:r>
    </w:p>
  </w:footnote>
  <w:footnote w:id="29">
    <w:p w:rsidR="00B057D9" w:rsidRDefault="00B057D9" w:rsidP="00084397">
      <w:pPr>
        <w:pStyle w:val="FootnoteText"/>
        <w:jc w:val="both"/>
      </w:pPr>
      <w:r>
        <w:rPr>
          <w:rStyle w:val="FootnoteReference"/>
        </w:rPr>
        <w:footnoteRef/>
      </w:r>
      <w:r>
        <w:t xml:space="preserve"> </w:t>
      </w:r>
      <w:r w:rsidRPr="00EE49B3">
        <w:rPr>
          <w:sz w:val="18"/>
        </w:rPr>
        <w:t xml:space="preserve">Az IIER nem tartalmazott </w:t>
      </w:r>
      <w:proofErr w:type="gramStart"/>
      <w:r w:rsidRPr="00EE49B3">
        <w:rPr>
          <w:sz w:val="18"/>
        </w:rPr>
        <w:t>ezen</w:t>
      </w:r>
      <w:proofErr w:type="gramEnd"/>
      <w:r w:rsidRPr="00EE49B3">
        <w:rPr>
          <w:sz w:val="18"/>
        </w:rPr>
        <w:t xml:space="preserve"> kedvezményezettekhez SFH értéket.</w:t>
      </w:r>
    </w:p>
  </w:footnote>
  <w:footnote w:id="30">
    <w:p w:rsidR="00B057D9" w:rsidRDefault="00B057D9" w:rsidP="00084397">
      <w:pPr>
        <w:pStyle w:val="FootnoteText"/>
      </w:pPr>
      <w:r>
        <w:rPr>
          <w:rStyle w:val="FootnoteReference"/>
        </w:rPr>
        <w:footnoteRef/>
      </w:r>
      <w:r>
        <w:t xml:space="preserve"> </w:t>
      </w:r>
      <w:r w:rsidRPr="00EE49B3">
        <w:rPr>
          <w:sz w:val="18"/>
        </w:rPr>
        <w:t xml:space="preserve">Az IIER nem tartalmazott </w:t>
      </w:r>
      <w:proofErr w:type="gramStart"/>
      <w:r w:rsidRPr="00EE49B3">
        <w:rPr>
          <w:sz w:val="18"/>
        </w:rPr>
        <w:t>ezen</w:t>
      </w:r>
      <w:proofErr w:type="gramEnd"/>
      <w:r w:rsidRPr="00EE49B3">
        <w:rPr>
          <w:sz w:val="18"/>
        </w:rPr>
        <w:t xml:space="preserve"> kedvezményezettekhez SFH értéket.</w:t>
      </w:r>
    </w:p>
  </w:footnote>
  <w:footnote w:id="31">
    <w:p w:rsidR="00B057D9" w:rsidRPr="00256D95" w:rsidRDefault="00B057D9" w:rsidP="00084397">
      <w:pPr>
        <w:pStyle w:val="FootnoteText"/>
        <w:jc w:val="both"/>
        <w:rPr>
          <w:sz w:val="18"/>
          <w:szCs w:val="18"/>
        </w:rPr>
      </w:pPr>
      <w:r w:rsidRPr="00256D95">
        <w:rPr>
          <w:rStyle w:val="FootnoteReference"/>
          <w:sz w:val="18"/>
          <w:szCs w:val="18"/>
        </w:rPr>
        <w:footnoteRef/>
      </w:r>
      <w:r w:rsidRPr="00256D95">
        <w:rPr>
          <w:sz w:val="18"/>
          <w:szCs w:val="18"/>
        </w:rPr>
        <w:t xml:space="preserve"> Csak azon jogcímeknél tudtuk ezt megadni, ahol a költségszerkezeti táblák tartalmazták a gépek származási helyét is.</w:t>
      </w:r>
    </w:p>
  </w:footnote>
  <w:footnote w:id="32">
    <w:p w:rsidR="00B057D9" w:rsidRDefault="00B057D9" w:rsidP="00084397">
      <w:pPr>
        <w:pStyle w:val="FootnoteText"/>
        <w:jc w:val="both"/>
      </w:pPr>
      <w:r>
        <w:rPr>
          <w:rStyle w:val="FootnoteReference"/>
        </w:rPr>
        <w:footnoteRef/>
      </w:r>
      <w:r>
        <w:t xml:space="preserve"> </w:t>
      </w:r>
      <w:r w:rsidRPr="00744227">
        <w:rPr>
          <w:sz w:val="18"/>
        </w:rPr>
        <w:t>Forrás: Gépkatalógus.</w:t>
      </w:r>
    </w:p>
  </w:footnote>
  <w:footnote w:id="33">
    <w:p w:rsidR="00B057D9" w:rsidRDefault="00B057D9" w:rsidP="00084397">
      <w:pPr>
        <w:pStyle w:val="FootnoteText"/>
        <w:jc w:val="both"/>
      </w:pPr>
      <w:r>
        <w:rPr>
          <w:rStyle w:val="FootnoteReference"/>
        </w:rPr>
        <w:footnoteRef/>
      </w:r>
      <w:r>
        <w:t xml:space="preserve"> </w:t>
      </w:r>
      <w:r w:rsidRPr="00B54CDA">
        <w:rPr>
          <w:sz w:val="18"/>
        </w:rPr>
        <w:t xml:space="preserve">Ennek használatát – a megadott költségtételek, vagyis az elszámolható kiadások bemutatása helyett </w:t>
      </w:r>
      <w:proofErr w:type="gramStart"/>
      <w:r w:rsidRPr="00B54CDA">
        <w:rPr>
          <w:sz w:val="18"/>
        </w:rPr>
        <w:t>-  azért</w:t>
      </w:r>
      <w:proofErr w:type="gramEnd"/>
      <w:r w:rsidRPr="00B54CDA">
        <w:rPr>
          <w:sz w:val="18"/>
        </w:rPr>
        <w:t xml:space="preserve"> tartottuk célravezetőnek, mert megítélésünk szerint ez ad pontosabb képet arról: a megítélt támogatási összegből milyen rész irányul az egyes kiadási tételekre.</w:t>
      </w:r>
    </w:p>
  </w:footnote>
  <w:footnote w:id="34">
    <w:p w:rsidR="00B057D9" w:rsidRDefault="00B057D9" w:rsidP="00084397">
      <w:pPr>
        <w:pStyle w:val="FootnoteText"/>
        <w:jc w:val="both"/>
      </w:pPr>
      <w:r>
        <w:rPr>
          <w:rStyle w:val="FootnoteReference"/>
        </w:rPr>
        <w:footnoteRef/>
      </w:r>
      <w:r>
        <w:t xml:space="preserve"> </w:t>
      </w:r>
      <w:r w:rsidRPr="00F3676C">
        <w:rPr>
          <w:sz w:val="18"/>
        </w:rPr>
        <w:t>A gépazonosító kód első két számjegye.</w:t>
      </w:r>
    </w:p>
  </w:footnote>
  <w:footnote w:id="35">
    <w:p w:rsidR="00B057D9" w:rsidRDefault="00B057D9" w:rsidP="00084397">
      <w:pPr>
        <w:pStyle w:val="FootnoteText"/>
        <w:jc w:val="both"/>
      </w:pPr>
      <w:r>
        <w:rPr>
          <w:rStyle w:val="FootnoteReference"/>
        </w:rPr>
        <w:footnoteRef/>
      </w:r>
      <w:r>
        <w:t xml:space="preserve"> </w:t>
      </w:r>
      <w:r w:rsidRPr="00D74201">
        <w:rPr>
          <w:sz w:val="18"/>
        </w:rPr>
        <w:t>A megítélt támogatási összegek költségszerkezeti arányokkal súlyozott értéke alapján.</w:t>
      </w:r>
    </w:p>
  </w:footnote>
  <w:footnote w:id="36">
    <w:p w:rsidR="00B057D9" w:rsidRDefault="00B057D9" w:rsidP="00084397">
      <w:pPr>
        <w:pStyle w:val="FootnoteText"/>
        <w:jc w:val="both"/>
      </w:pPr>
      <w:r>
        <w:rPr>
          <w:rStyle w:val="FootnoteReference"/>
        </w:rPr>
        <w:footnoteRef/>
      </w:r>
      <w:r>
        <w:t xml:space="preserve"> </w:t>
      </w:r>
      <w:r>
        <w:rPr>
          <w:sz w:val="18"/>
        </w:rPr>
        <w:t>A növénytermesztés létesítésének korszerűsítése jogcím.</w:t>
      </w:r>
    </w:p>
  </w:footnote>
  <w:footnote w:id="37">
    <w:p w:rsidR="00B057D9" w:rsidRDefault="00B057D9" w:rsidP="00084397">
      <w:pPr>
        <w:pStyle w:val="FootnoteText"/>
        <w:jc w:val="both"/>
      </w:pPr>
      <w:r>
        <w:rPr>
          <w:rStyle w:val="FootnoteReference"/>
        </w:rPr>
        <w:footnoteRef/>
      </w:r>
      <w:r>
        <w:t xml:space="preserve"> </w:t>
      </w:r>
      <w:r w:rsidRPr="0082126F">
        <w:rPr>
          <w:sz w:val="18"/>
        </w:rPr>
        <w:t>Forrás: MVH Szervezési és Koordinációs Főosztálytól 2010.08.06-án kapott tételes lista alapján.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7D9" w:rsidRPr="0056470D" w:rsidRDefault="00B057D9" w:rsidP="0056470D">
    <w:pPr>
      <w:pStyle w:val="Header"/>
      <w:pBdr>
        <w:bottom w:val="single" w:sz="4" w:space="1" w:color="auto"/>
      </w:pBdr>
      <w:tabs>
        <w:tab w:val="clear" w:pos="4536"/>
        <w:tab w:val="left" w:pos="426"/>
      </w:tabs>
      <w:spacing w:before="60" w:after="60" w:line="280" w:lineRule="atLeast"/>
      <w:ind w:left="426" w:right="91"/>
      <w:rPr>
        <w:smallCaps/>
        <w:color w:val="53564F"/>
      </w:rPr>
    </w:pPr>
    <w:r>
      <w:rPr>
        <w:b/>
        <w:smallCaps/>
        <w:noProof/>
        <w:color w:val="53564F"/>
      </w:rPr>
      <w:drawing>
        <wp:anchor distT="0" distB="0" distL="114300" distR="114300" simplePos="0" relativeHeight="251658240" behindDoc="0" locked="0" layoutInCell="1" allowOverlap="1">
          <wp:simplePos x="0" y="0"/>
          <wp:positionH relativeFrom="column">
            <wp:posOffset>-90170</wp:posOffset>
          </wp:positionH>
          <wp:positionV relativeFrom="paragraph">
            <wp:posOffset>-210185</wp:posOffset>
          </wp:positionV>
          <wp:extent cx="294640" cy="838835"/>
          <wp:effectExtent l="19050" t="0" r="0" b="0"/>
          <wp:wrapSquare wrapText="bothSides"/>
          <wp:docPr id="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srcRect l="3052"/>
                  <a:stretch>
                    <a:fillRect/>
                  </a:stretch>
                </pic:blipFill>
                <pic:spPr bwMode="auto">
                  <a:xfrm>
                    <a:off x="0" y="0"/>
                    <a:ext cx="294640" cy="838835"/>
                  </a:xfrm>
                  <a:prstGeom prst="rect">
                    <a:avLst/>
                  </a:prstGeom>
                  <a:noFill/>
                  <a:ln w="9525">
                    <a:noFill/>
                    <a:miter lim="800000"/>
                    <a:headEnd/>
                    <a:tailEnd/>
                  </a:ln>
                </pic:spPr>
              </pic:pic>
            </a:graphicData>
          </a:graphic>
        </wp:anchor>
      </w:drawing>
    </w:r>
    <w:r w:rsidRPr="00A47147">
      <w:rPr>
        <w:b/>
        <w:smallCaps/>
        <w:color w:val="53564F"/>
      </w:rPr>
      <w:t>HUNGARIKUM KONZORCIUM</w:t>
    </w:r>
    <w:r>
      <w:rPr>
        <w:b/>
        <w:smallCaps/>
        <w:color w:val="53564F"/>
      </w:rPr>
      <w:tab/>
    </w:r>
    <w:r w:rsidR="003B4254" w:rsidRPr="003B4254">
      <w:rPr>
        <w:smallCaps/>
        <w:color w:val="53564F"/>
      </w:rPr>
      <w:t>4</w:t>
    </w:r>
    <w:r w:rsidR="00F305A5">
      <w:rPr>
        <w:smallCaps/>
        <w:color w:val="53564F"/>
      </w:rPr>
      <w:t>.8. melléklet</w:t>
    </w:r>
  </w:p>
  <w:p w:rsidR="00B057D9" w:rsidRPr="00185D59" w:rsidRDefault="00F305A5" w:rsidP="0056470D">
    <w:pPr>
      <w:pStyle w:val="Header"/>
      <w:tabs>
        <w:tab w:val="clear" w:pos="4536"/>
        <w:tab w:val="left" w:pos="426"/>
      </w:tabs>
      <w:spacing w:before="60" w:after="60" w:line="280" w:lineRule="atLeast"/>
      <w:ind w:left="426" w:right="91"/>
      <w:rPr>
        <w:highlight w:val="yellow"/>
      </w:rPr>
    </w:pPr>
    <w:r>
      <w:rPr>
        <w:color w:val="53564F"/>
      </w:rPr>
      <w:t>ÚMVP FÉLIDEI</w:t>
    </w:r>
    <w:r w:rsidR="00B057D9">
      <w:rPr>
        <w:color w:val="53564F"/>
      </w:rPr>
      <w:t xml:space="preserve"> ÉRTÉKELÉS</w:t>
    </w:r>
    <w:r w:rsidR="00B057D9">
      <w:rPr>
        <w:color w:val="53564F"/>
      </w:rPr>
      <w:tab/>
    </w:r>
    <w:r w:rsidR="003F44DC">
      <w:rPr>
        <w:color w:val="53564F"/>
      </w:rPr>
      <w:fldChar w:fldCharType="begin"/>
    </w:r>
    <w:r w:rsidR="00B057D9">
      <w:rPr>
        <w:color w:val="53564F"/>
      </w:rPr>
      <w:instrText xml:space="preserve"> PAGE   \* MERGEFORMAT </w:instrText>
    </w:r>
    <w:r w:rsidR="003F44DC">
      <w:rPr>
        <w:color w:val="53564F"/>
      </w:rPr>
      <w:fldChar w:fldCharType="separate"/>
    </w:r>
    <w:r w:rsidR="003B4254">
      <w:rPr>
        <w:noProof/>
        <w:color w:val="53564F"/>
      </w:rPr>
      <w:t>7</w:t>
    </w:r>
    <w:r w:rsidR="003F44DC">
      <w:rPr>
        <w:color w:val="53564F"/>
      </w:rPr>
      <w:fldChar w:fldCharType="end"/>
    </w:r>
    <w:r w:rsidR="00B057D9">
      <w:rPr>
        <w:color w:val="53564F"/>
      </w:rPr>
      <w:t>/</w:t>
    </w:r>
    <w:fldSimple w:instr=" DOCPROPERTY  Pages  \* MERGEFORMAT ">
      <w:r w:rsidR="00B057D9" w:rsidRPr="00361F3F">
        <w:rPr>
          <w:color w:val="53564F"/>
        </w:rPr>
        <w:t>118</w:t>
      </w:r>
    </w:fldSimple>
    <w:r w:rsidR="003F44DC">
      <w:rPr>
        <w:noProof/>
      </w:rPr>
      <w:pict>
        <v:shapetype id="_x0000_t202" coordsize="21600,21600" o:spt="202" path="m,l,21600r21600,l21600,xe">
          <v:stroke joinstyle="miter"/>
          <v:path gradientshapeok="t" o:connecttype="rect"/>
        </v:shapetype>
        <v:shape id="_x0000_s2049" type="#_x0000_t202" style="position:absolute;left:0;text-align:left;margin-left:985.8pt;margin-top:2.8pt;width:33pt;height:57pt;z-index:251657216;mso-position-horizontal-relative:text;mso-position-vertical-relative:text;mso-width-relative:margin;mso-height-relative:margin" filled="f" stroked="f">
          <v:textbox style="layout-flow:vertical;mso-layout-flow-alt:bottom-to-top;mso-next-textbox:#_x0000_s2049">
            <w:txbxContent>
              <w:p w:rsidR="00B057D9" w:rsidRPr="00D57088" w:rsidRDefault="003F44DC" w:rsidP="00637532">
                <w:pPr>
                  <w:jc w:val="center"/>
                  <w:rPr>
                    <w:rFonts w:ascii="Franklin Gothic Demi" w:hAnsi="Franklin Gothic Demi"/>
                    <w:color w:val="FFFFFF"/>
                    <w:sz w:val="18"/>
                    <w:szCs w:val="18"/>
                  </w:rPr>
                </w:pPr>
                <w:r w:rsidRPr="00D57088">
                  <w:rPr>
                    <w:rFonts w:ascii="Franklin Gothic Demi" w:hAnsi="Franklin Gothic Demi"/>
                    <w:color w:val="FFFFFF"/>
                    <w:sz w:val="18"/>
                    <w:szCs w:val="18"/>
                  </w:rPr>
                  <w:fldChar w:fldCharType="begin"/>
                </w:r>
                <w:r w:rsidR="00B057D9" w:rsidRPr="00D57088">
                  <w:rPr>
                    <w:rFonts w:ascii="Franklin Gothic Demi" w:hAnsi="Franklin Gothic Demi"/>
                    <w:color w:val="FFFFFF"/>
                    <w:sz w:val="18"/>
                    <w:szCs w:val="18"/>
                  </w:rPr>
                  <w:instrText xml:space="preserve"> PAGE </w:instrText>
                </w:r>
                <w:r w:rsidRPr="00D57088">
                  <w:rPr>
                    <w:rFonts w:ascii="Franklin Gothic Demi" w:hAnsi="Franklin Gothic Demi"/>
                    <w:color w:val="FFFFFF"/>
                    <w:sz w:val="18"/>
                    <w:szCs w:val="18"/>
                  </w:rPr>
                  <w:fldChar w:fldCharType="separate"/>
                </w:r>
                <w:r w:rsidR="003B4254">
                  <w:rPr>
                    <w:rFonts w:ascii="Franklin Gothic Demi" w:hAnsi="Franklin Gothic Demi"/>
                    <w:noProof/>
                    <w:color w:val="FFFFFF"/>
                    <w:sz w:val="18"/>
                    <w:szCs w:val="18"/>
                  </w:rPr>
                  <w:t>7</w:t>
                </w:r>
                <w:r w:rsidRPr="00D57088">
                  <w:rPr>
                    <w:rFonts w:ascii="Franklin Gothic Demi" w:hAnsi="Franklin Gothic Demi"/>
                    <w:color w:val="FFFFFF"/>
                    <w:sz w:val="18"/>
                    <w:szCs w:val="18"/>
                  </w:rPr>
                  <w:fldChar w:fldCharType="end"/>
                </w:r>
                <w:r w:rsidR="00B057D9" w:rsidRPr="00D57088">
                  <w:rPr>
                    <w:rFonts w:ascii="Franklin Gothic Demi" w:hAnsi="Franklin Gothic Demi"/>
                    <w:color w:val="FFFFFF"/>
                    <w:sz w:val="18"/>
                    <w:szCs w:val="18"/>
                  </w:rPr>
                  <w:t xml:space="preserve"> / </w:t>
                </w:r>
                <w:r w:rsidRPr="00D57088">
                  <w:rPr>
                    <w:rFonts w:ascii="Franklin Gothic Demi" w:hAnsi="Franklin Gothic Demi"/>
                    <w:color w:val="FFFFFF"/>
                    <w:sz w:val="18"/>
                    <w:szCs w:val="18"/>
                  </w:rPr>
                  <w:fldChar w:fldCharType="begin"/>
                </w:r>
                <w:r w:rsidR="00B057D9" w:rsidRPr="00D57088">
                  <w:rPr>
                    <w:rFonts w:ascii="Franklin Gothic Demi" w:hAnsi="Franklin Gothic Demi"/>
                    <w:color w:val="FFFFFF"/>
                    <w:sz w:val="18"/>
                    <w:szCs w:val="18"/>
                  </w:rPr>
                  <w:instrText xml:space="preserve"> NUMPAGES  </w:instrText>
                </w:r>
                <w:r w:rsidRPr="00D57088">
                  <w:rPr>
                    <w:rFonts w:ascii="Franklin Gothic Demi" w:hAnsi="Franklin Gothic Demi"/>
                    <w:color w:val="FFFFFF"/>
                    <w:sz w:val="18"/>
                    <w:szCs w:val="18"/>
                  </w:rPr>
                  <w:fldChar w:fldCharType="separate"/>
                </w:r>
                <w:r w:rsidR="003B4254">
                  <w:rPr>
                    <w:rFonts w:ascii="Franklin Gothic Demi" w:hAnsi="Franklin Gothic Demi"/>
                    <w:noProof/>
                    <w:color w:val="FFFFFF"/>
                    <w:sz w:val="18"/>
                    <w:szCs w:val="18"/>
                  </w:rPr>
                  <w:t>64</w:t>
                </w:r>
                <w:r w:rsidRPr="00D57088">
                  <w:rPr>
                    <w:rFonts w:ascii="Franklin Gothic Demi" w:hAnsi="Franklin Gothic Demi"/>
                    <w:color w:val="FFFFFF"/>
                    <w:sz w:val="18"/>
                    <w:szCs w:val="18"/>
                  </w:rPr>
                  <w:fldChar w:fldCharType="end"/>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7D9" w:rsidRPr="00FC134F" w:rsidRDefault="00B057D9" w:rsidP="00FC134F">
    <w:pPr>
      <w:pStyle w:val="Header"/>
      <w:tabs>
        <w:tab w:val="clear" w:pos="4536"/>
        <w:tab w:val="clear"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64A88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1B870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0B0FA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9322CD0"/>
    <w:lvl w:ilvl="0">
      <w:start w:val="1"/>
      <w:numFmt w:val="decimal"/>
      <w:pStyle w:val="ListNumber2"/>
      <w:lvlText w:val="%1."/>
      <w:lvlJc w:val="left"/>
      <w:pPr>
        <w:tabs>
          <w:tab w:val="num" w:pos="643"/>
        </w:tabs>
        <w:ind w:left="643" w:hanging="360"/>
      </w:pPr>
    </w:lvl>
  </w:abstractNum>
  <w:abstractNum w:abstractNumId="4">
    <w:nsid w:val="FFFFFF88"/>
    <w:multiLevelType w:val="singleLevel"/>
    <w:tmpl w:val="BBF2D77E"/>
    <w:lvl w:ilvl="0">
      <w:start w:val="1"/>
      <w:numFmt w:val="decimal"/>
      <w:pStyle w:val="ListNumber"/>
      <w:lvlText w:val="%1."/>
      <w:lvlJc w:val="left"/>
      <w:pPr>
        <w:tabs>
          <w:tab w:val="num" w:pos="360"/>
        </w:tabs>
        <w:ind w:left="360" w:hanging="360"/>
      </w:pPr>
    </w:lvl>
  </w:abstractNum>
  <w:abstractNum w:abstractNumId="5">
    <w:nsid w:val="015E24F5"/>
    <w:multiLevelType w:val="hybridMultilevel"/>
    <w:tmpl w:val="283E60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76C7385"/>
    <w:multiLevelType w:val="hybridMultilevel"/>
    <w:tmpl w:val="2BF6EE14"/>
    <w:lvl w:ilvl="0" w:tplc="045EE3CE">
      <w:start w:val="1"/>
      <w:numFmt w:val="bullet"/>
      <w:pStyle w:val="HUNBullet3"/>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A26098A"/>
    <w:multiLevelType w:val="hybridMultilevel"/>
    <w:tmpl w:val="3AF6742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A4B1D19"/>
    <w:multiLevelType w:val="hybridMultilevel"/>
    <w:tmpl w:val="D91A4A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ACF494B"/>
    <w:multiLevelType w:val="hybridMultilevel"/>
    <w:tmpl w:val="209EA7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17A3050"/>
    <w:multiLevelType w:val="hybridMultilevel"/>
    <w:tmpl w:val="4DD66836"/>
    <w:lvl w:ilvl="0" w:tplc="D13EEC4E">
      <w:start w:val="1"/>
      <w:numFmt w:val="upperLetter"/>
      <w:pStyle w:val="HUNAnnexheading2"/>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5994A36"/>
    <w:multiLevelType w:val="hybridMultilevel"/>
    <w:tmpl w:val="940CF85A"/>
    <w:lvl w:ilvl="0" w:tplc="2BD856D4">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A463300"/>
    <w:multiLevelType w:val="hybridMultilevel"/>
    <w:tmpl w:val="6FF696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ED46D30"/>
    <w:multiLevelType w:val="hybridMultilevel"/>
    <w:tmpl w:val="39887E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1B13B7A"/>
    <w:multiLevelType w:val="hybridMultilevel"/>
    <w:tmpl w:val="DB84EB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1C12DCF"/>
    <w:multiLevelType w:val="hybridMultilevel"/>
    <w:tmpl w:val="391085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6745EDB"/>
    <w:multiLevelType w:val="hybridMultilevel"/>
    <w:tmpl w:val="70341B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8BD15C1"/>
    <w:multiLevelType w:val="hybridMultilevel"/>
    <w:tmpl w:val="96E6A362"/>
    <w:lvl w:ilvl="0" w:tplc="040E000D">
      <w:start w:val="1"/>
      <w:numFmt w:val="bullet"/>
      <w:lvlText w:val=""/>
      <w:lvlJc w:val="left"/>
      <w:pPr>
        <w:tabs>
          <w:tab w:val="num" w:pos="720"/>
        </w:tabs>
        <w:ind w:left="720" w:hanging="360"/>
      </w:pPr>
      <w:rPr>
        <w:rFonts w:ascii="Wingdings" w:hAnsi="Wingdings" w:hint="default"/>
      </w:rPr>
    </w:lvl>
    <w:lvl w:ilvl="1" w:tplc="689CB15E">
      <w:start w:val="1"/>
      <w:numFmt w:val="bullet"/>
      <w:lvlText w:val="•"/>
      <w:lvlJc w:val="left"/>
      <w:pPr>
        <w:tabs>
          <w:tab w:val="num" w:pos="1440"/>
        </w:tabs>
        <w:ind w:left="1440" w:hanging="360"/>
      </w:pPr>
      <w:rPr>
        <w:rFonts w:ascii="Times New Roman" w:hAnsi="Times New Roman" w:hint="default"/>
      </w:rPr>
    </w:lvl>
    <w:lvl w:ilvl="2" w:tplc="0B42287A" w:tentative="1">
      <w:start w:val="1"/>
      <w:numFmt w:val="bullet"/>
      <w:lvlText w:val="•"/>
      <w:lvlJc w:val="left"/>
      <w:pPr>
        <w:tabs>
          <w:tab w:val="num" w:pos="2160"/>
        </w:tabs>
        <w:ind w:left="2160" w:hanging="360"/>
      </w:pPr>
      <w:rPr>
        <w:rFonts w:ascii="Times New Roman" w:hAnsi="Times New Roman" w:hint="default"/>
      </w:rPr>
    </w:lvl>
    <w:lvl w:ilvl="3" w:tplc="1EBA0F2E" w:tentative="1">
      <w:start w:val="1"/>
      <w:numFmt w:val="bullet"/>
      <w:lvlText w:val="•"/>
      <w:lvlJc w:val="left"/>
      <w:pPr>
        <w:tabs>
          <w:tab w:val="num" w:pos="2880"/>
        </w:tabs>
        <w:ind w:left="2880" w:hanging="360"/>
      </w:pPr>
      <w:rPr>
        <w:rFonts w:ascii="Times New Roman" w:hAnsi="Times New Roman" w:hint="default"/>
      </w:rPr>
    </w:lvl>
    <w:lvl w:ilvl="4" w:tplc="CF36DD42" w:tentative="1">
      <w:start w:val="1"/>
      <w:numFmt w:val="bullet"/>
      <w:lvlText w:val="•"/>
      <w:lvlJc w:val="left"/>
      <w:pPr>
        <w:tabs>
          <w:tab w:val="num" w:pos="3600"/>
        </w:tabs>
        <w:ind w:left="3600" w:hanging="360"/>
      </w:pPr>
      <w:rPr>
        <w:rFonts w:ascii="Times New Roman" w:hAnsi="Times New Roman" w:hint="default"/>
      </w:rPr>
    </w:lvl>
    <w:lvl w:ilvl="5" w:tplc="C0FE899A" w:tentative="1">
      <w:start w:val="1"/>
      <w:numFmt w:val="bullet"/>
      <w:lvlText w:val="•"/>
      <w:lvlJc w:val="left"/>
      <w:pPr>
        <w:tabs>
          <w:tab w:val="num" w:pos="4320"/>
        </w:tabs>
        <w:ind w:left="4320" w:hanging="360"/>
      </w:pPr>
      <w:rPr>
        <w:rFonts w:ascii="Times New Roman" w:hAnsi="Times New Roman" w:hint="default"/>
      </w:rPr>
    </w:lvl>
    <w:lvl w:ilvl="6" w:tplc="6CBE4816" w:tentative="1">
      <w:start w:val="1"/>
      <w:numFmt w:val="bullet"/>
      <w:lvlText w:val="•"/>
      <w:lvlJc w:val="left"/>
      <w:pPr>
        <w:tabs>
          <w:tab w:val="num" w:pos="5040"/>
        </w:tabs>
        <w:ind w:left="5040" w:hanging="360"/>
      </w:pPr>
      <w:rPr>
        <w:rFonts w:ascii="Times New Roman" w:hAnsi="Times New Roman" w:hint="default"/>
      </w:rPr>
    </w:lvl>
    <w:lvl w:ilvl="7" w:tplc="D31EAE36" w:tentative="1">
      <w:start w:val="1"/>
      <w:numFmt w:val="bullet"/>
      <w:lvlText w:val="•"/>
      <w:lvlJc w:val="left"/>
      <w:pPr>
        <w:tabs>
          <w:tab w:val="num" w:pos="5760"/>
        </w:tabs>
        <w:ind w:left="5760" w:hanging="360"/>
      </w:pPr>
      <w:rPr>
        <w:rFonts w:ascii="Times New Roman" w:hAnsi="Times New Roman" w:hint="default"/>
      </w:rPr>
    </w:lvl>
    <w:lvl w:ilvl="8" w:tplc="DEC607D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91C4877"/>
    <w:multiLevelType w:val="hybridMultilevel"/>
    <w:tmpl w:val="6690093C"/>
    <w:lvl w:ilvl="0" w:tplc="864A6930">
      <w:start w:val="1"/>
      <w:numFmt w:val="decimal"/>
      <w:lvlText w:val="%1."/>
      <w:lvlJc w:val="left"/>
      <w:pPr>
        <w:tabs>
          <w:tab w:val="num" w:pos="0"/>
        </w:tabs>
        <w:ind w:left="425" w:hanging="425"/>
      </w:pPr>
      <w:rPr>
        <w:rFonts w:hint="default"/>
      </w:rPr>
    </w:lvl>
    <w:lvl w:ilvl="1" w:tplc="040E0001">
      <w:start w:val="1"/>
      <w:numFmt w:val="bullet"/>
      <w:lvlText w:val=""/>
      <w:lvlJc w:val="left"/>
      <w:pPr>
        <w:tabs>
          <w:tab w:val="num" w:pos="1364"/>
        </w:tabs>
        <w:ind w:left="1364" w:hanging="284"/>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2A621AD7"/>
    <w:multiLevelType w:val="hybridMultilevel"/>
    <w:tmpl w:val="0F16407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2F296401"/>
    <w:multiLevelType w:val="hybridMultilevel"/>
    <w:tmpl w:val="7BF4DE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00024D8"/>
    <w:multiLevelType w:val="hybridMultilevel"/>
    <w:tmpl w:val="6C8A7904"/>
    <w:lvl w:ilvl="0" w:tplc="040E000F">
      <w:start w:val="1"/>
      <w:numFmt w:val="decimal"/>
      <w:lvlText w:val="%1."/>
      <w:lvlJc w:val="left"/>
      <w:pPr>
        <w:tabs>
          <w:tab w:val="num" w:pos="780"/>
        </w:tabs>
        <w:ind w:left="780" w:hanging="360"/>
      </w:pPr>
      <w:rPr>
        <w:rFonts w:cs="Times New Roman"/>
      </w:rPr>
    </w:lvl>
    <w:lvl w:ilvl="1" w:tplc="040E0019">
      <w:start w:val="1"/>
      <w:numFmt w:val="lowerLetter"/>
      <w:lvlText w:val="%2."/>
      <w:lvlJc w:val="left"/>
      <w:pPr>
        <w:tabs>
          <w:tab w:val="num" w:pos="1500"/>
        </w:tabs>
        <w:ind w:left="1500" w:hanging="360"/>
      </w:pPr>
      <w:rPr>
        <w:rFonts w:cs="Times New Roman"/>
      </w:rPr>
    </w:lvl>
    <w:lvl w:ilvl="2" w:tplc="040E001B">
      <w:start w:val="1"/>
      <w:numFmt w:val="lowerRoman"/>
      <w:lvlText w:val="%3."/>
      <w:lvlJc w:val="right"/>
      <w:pPr>
        <w:tabs>
          <w:tab w:val="num" w:pos="2220"/>
        </w:tabs>
        <w:ind w:left="2220" w:hanging="180"/>
      </w:pPr>
      <w:rPr>
        <w:rFonts w:cs="Times New Roman"/>
      </w:rPr>
    </w:lvl>
    <w:lvl w:ilvl="3" w:tplc="040E000F">
      <w:start w:val="1"/>
      <w:numFmt w:val="decimal"/>
      <w:lvlText w:val="%4."/>
      <w:lvlJc w:val="left"/>
      <w:pPr>
        <w:tabs>
          <w:tab w:val="num" w:pos="2940"/>
        </w:tabs>
        <w:ind w:left="2940" w:hanging="360"/>
      </w:pPr>
      <w:rPr>
        <w:rFonts w:cs="Times New Roman"/>
      </w:rPr>
    </w:lvl>
    <w:lvl w:ilvl="4" w:tplc="040E0019">
      <w:start w:val="1"/>
      <w:numFmt w:val="lowerLetter"/>
      <w:lvlText w:val="%5."/>
      <w:lvlJc w:val="left"/>
      <w:pPr>
        <w:tabs>
          <w:tab w:val="num" w:pos="3660"/>
        </w:tabs>
        <w:ind w:left="3660" w:hanging="360"/>
      </w:pPr>
      <w:rPr>
        <w:rFonts w:cs="Times New Roman"/>
      </w:rPr>
    </w:lvl>
    <w:lvl w:ilvl="5" w:tplc="040E001B">
      <w:start w:val="1"/>
      <w:numFmt w:val="lowerRoman"/>
      <w:lvlText w:val="%6."/>
      <w:lvlJc w:val="right"/>
      <w:pPr>
        <w:tabs>
          <w:tab w:val="num" w:pos="4380"/>
        </w:tabs>
        <w:ind w:left="4380" w:hanging="180"/>
      </w:pPr>
      <w:rPr>
        <w:rFonts w:cs="Times New Roman"/>
      </w:rPr>
    </w:lvl>
    <w:lvl w:ilvl="6" w:tplc="040E000F">
      <w:start w:val="1"/>
      <w:numFmt w:val="decimal"/>
      <w:lvlText w:val="%7."/>
      <w:lvlJc w:val="left"/>
      <w:pPr>
        <w:tabs>
          <w:tab w:val="num" w:pos="5100"/>
        </w:tabs>
        <w:ind w:left="5100" w:hanging="360"/>
      </w:pPr>
      <w:rPr>
        <w:rFonts w:cs="Times New Roman"/>
      </w:rPr>
    </w:lvl>
    <w:lvl w:ilvl="7" w:tplc="040E0019">
      <w:start w:val="1"/>
      <w:numFmt w:val="lowerLetter"/>
      <w:lvlText w:val="%8."/>
      <w:lvlJc w:val="left"/>
      <w:pPr>
        <w:tabs>
          <w:tab w:val="num" w:pos="5820"/>
        </w:tabs>
        <w:ind w:left="5820" w:hanging="360"/>
      </w:pPr>
      <w:rPr>
        <w:rFonts w:cs="Times New Roman"/>
      </w:rPr>
    </w:lvl>
    <w:lvl w:ilvl="8" w:tplc="040E001B">
      <w:start w:val="1"/>
      <w:numFmt w:val="lowerRoman"/>
      <w:lvlText w:val="%9."/>
      <w:lvlJc w:val="right"/>
      <w:pPr>
        <w:tabs>
          <w:tab w:val="num" w:pos="6540"/>
        </w:tabs>
        <w:ind w:left="6540" w:hanging="180"/>
      </w:pPr>
      <w:rPr>
        <w:rFonts w:cs="Times New Roman"/>
      </w:rPr>
    </w:lvl>
  </w:abstractNum>
  <w:abstractNum w:abstractNumId="22">
    <w:nsid w:val="31F82AD9"/>
    <w:multiLevelType w:val="multilevel"/>
    <w:tmpl w:val="526A309A"/>
    <w:lvl w:ilvl="0">
      <w:start w:val="1"/>
      <w:numFmt w:val="decimal"/>
      <w:lvlText w:val="%1."/>
      <w:lvlJc w:val="left"/>
      <w:pPr>
        <w:tabs>
          <w:tab w:val="num" w:pos="360"/>
        </w:tabs>
        <w:ind w:left="0" w:firstLine="0"/>
      </w:pPr>
    </w:lvl>
    <w:lvl w:ilvl="1">
      <w:start w:val="1"/>
      <w:numFmt w:val="decimal"/>
      <w:lvlText w:val="%1.%2"/>
      <w:lvlJc w:val="left"/>
      <w:pPr>
        <w:tabs>
          <w:tab w:val="num" w:pos="720"/>
        </w:tabs>
        <w:ind w:left="-284" w:firstLine="284"/>
      </w:pPr>
    </w:lvl>
    <w:lvl w:ilvl="2">
      <w:start w:val="1"/>
      <w:numFmt w:val="decimal"/>
      <w:lvlText w:val="%1.%2.%3"/>
      <w:lvlJc w:val="left"/>
      <w:pPr>
        <w:tabs>
          <w:tab w:val="num" w:pos="964"/>
        </w:tabs>
        <w:ind w:left="964" w:hanging="964"/>
      </w:pPr>
      <w:rPr>
        <w:rFonts w:cs="Times New Roman"/>
        <w:b w:val="0"/>
        <w:bCs w:val="0"/>
        <w:i w:val="0"/>
        <w:iCs w:val="0"/>
        <w: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1247"/>
        </w:tabs>
        <w:ind w:left="1247" w:hanging="1247"/>
      </w:pPr>
    </w:lvl>
    <w:lvl w:ilvl="4">
      <w:start w:val="1"/>
      <w:numFmt w:val="decimal"/>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1702"/>
        </w:tabs>
        <w:ind w:left="1702" w:firstLine="0"/>
      </w:pPr>
    </w:lvl>
  </w:abstractNum>
  <w:abstractNum w:abstractNumId="23">
    <w:nsid w:val="337850F5"/>
    <w:multiLevelType w:val="hybridMultilevel"/>
    <w:tmpl w:val="1AC8A978"/>
    <w:lvl w:ilvl="0" w:tplc="040E000F">
      <w:start w:val="1"/>
      <w:numFmt w:val="decimal"/>
      <w:lvlText w:val="%1."/>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4">
    <w:nsid w:val="344874A5"/>
    <w:multiLevelType w:val="hybridMultilevel"/>
    <w:tmpl w:val="3D00B40C"/>
    <w:lvl w:ilvl="0" w:tplc="31760880">
      <w:start w:val="1"/>
      <w:numFmt w:val="bullet"/>
      <w:lvlText w:val=""/>
      <w:lvlJc w:val="left"/>
      <w:pPr>
        <w:tabs>
          <w:tab w:val="num" w:pos="284"/>
        </w:tabs>
        <w:ind w:left="567"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3CFF30C5"/>
    <w:multiLevelType w:val="hybridMultilevel"/>
    <w:tmpl w:val="730E5C8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3E4E6483"/>
    <w:multiLevelType w:val="hybridMultilevel"/>
    <w:tmpl w:val="4AEE25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0B6515A"/>
    <w:multiLevelType w:val="hybridMultilevel"/>
    <w:tmpl w:val="6ACCAB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94B75BC"/>
    <w:multiLevelType w:val="hybridMultilevel"/>
    <w:tmpl w:val="E3FA840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D015CB7"/>
    <w:multiLevelType w:val="hybridMultilevel"/>
    <w:tmpl w:val="2C7E5D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4E65340F"/>
    <w:multiLevelType w:val="hybridMultilevel"/>
    <w:tmpl w:val="AE42CA78"/>
    <w:lvl w:ilvl="0" w:tplc="3E78D81E">
      <w:start w:val="1"/>
      <w:numFmt w:val="bullet"/>
      <w:pStyle w:val="HUNBullet2"/>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82C499E"/>
    <w:multiLevelType w:val="hybridMultilevel"/>
    <w:tmpl w:val="0B9836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5A1B7B40"/>
    <w:multiLevelType w:val="hybridMultilevel"/>
    <w:tmpl w:val="34C6EC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5A997C21"/>
    <w:multiLevelType w:val="hybridMultilevel"/>
    <w:tmpl w:val="C8120B66"/>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4">
    <w:nsid w:val="5DBE1D52"/>
    <w:multiLevelType w:val="multilevel"/>
    <w:tmpl w:val="17E0544E"/>
    <w:lvl w:ilvl="0">
      <w:start w:val="1"/>
      <w:numFmt w:val="decimal"/>
      <w:pStyle w:val="HUNHeading1"/>
      <w:lvlText w:val="%1."/>
      <w:lvlJc w:val="left"/>
      <w:pPr>
        <w:ind w:left="360" w:hanging="360"/>
      </w:pPr>
    </w:lvl>
    <w:lvl w:ilvl="1">
      <w:start w:val="1"/>
      <w:numFmt w:val="decimal"/>
      <w:pStyle w:val="HUNHeading2"/>
      <w:lvlText w:val="%1.%2."/>
      <w:lvlJc w:val="left"/>
      <w:pPr>
        <w:ind w:left="792" w:hanging="432"/>
      </w:pPr>
    </w:lvl>
    <w:lvl w:ilvl="2">
      <w:start w:val="1"/>
      <w:numFmt w:val="decimal"/>
      <w:pStyle w:val="HUNHeading3"/>
      <w:lvlText w:val="%1.%2.%3."/>
      <w:lvlJc w:val="left"/>
      <w:pPr>
        <w:ind w:left="1224" w:hanging="504"/>
      </w:pPr>
    </w:lvl>
    <w:lvl w:ilvl="3">
      <w:start w:val="1"/>
      <w:numFmt w:val="decimal"/>
      <w:pStyle w:val="HUNHeading4"/>
      <w:lvlText w:val="%1.%2.%3.%4."/>
      <w:lvlJc w:val="left"/>
      <w:pPr>
        <w:ind w:left="1728" w:hanging="648"/>
      </w:pPr>
    </w:lvl>
    <w:lvl w:ilvl="4">
      <w:start w:val="1"/>
      <w:numFmt w:val="decimal"/>
      <w:pStyle w:val="HUNHeading5"/>
      <w:lvlText w:val="%1.%2.%3.%4.%5."/>
      <w:lvlJc w:val="left"/>
      <w:pPr>
        <w:ind w:left="2232" w:hanging="792"/>
      </w:pPr>
    </w:lvl>
    <w:lvl w:ilvl="5">
      <w:start w:val="1"/>
      <w:numFmt w:val="decimal"/>
      <w:pStyle w:val="HUNHeading6"/>
      <w:lvlText w:val="%1.%2.%3.%4.%5.%6."/>
      <w:lvlJc w:val="left"/>
      <w:pPr>
        <w:ind w:left="2736" w:hanging="936"/>
      </w:pPr>
    </w:lvl>
    <w:lvl w:ilvl="6">
      <w:start w:val="1"/>
      <w:numFmt w:val="decimal"/>
      <w:pStyle w:val="HUNHeading7"/>
      <w:lvlText w:val="%1.%2.%3.%4.%5.%6.%7."/>
      <w:lvlJc w:val="left"/>
      <w:pPr>
        <w:ind w:left="3240" w:hanging="1080"/>
      </w:pPr>
    </w:lvl>
    <w:lvl w:ilvl="7">
      <w:start w:val="1"/>
      <w:numFmt w:val="decimal"/>
      <w:pStyle w:val="HUNHeading8"/>
      <w:lvlText w:val="%1.%2.%3.%4.%5.%6.%7.%8."/>
      <w:lvlJc w:val="left"/>
      <w:pPr>
        <w:ind w:left="3744" w:hanging="1224"/>
      </w:pPr>
    </w:lvl>
    <w:lvl w:ilvl="8">
      <w:start w:val="1"/>
      <w:numFmt w:val="decimal"/>
      <w:lvlText w:val="%1.%2.%3.%4.%5.%6.%7.%8.%9."/>
      <w:lvlJc w:val="left"/>
      <w:pPr>
        <w:ind w:left="4320" w:hanging="1440"/>
      </w:pPr>
    </w:lvl>
  </w:abstractNum>
  <w:abstractNum w:abstractNumId="35">
    <w:nsid w:val="5FBC6E39"/>
    <w:multiLevelType w:val="hybridMultilevel"/>
    <w:tmpl w:val="DB26BA5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5FED4C49"/>
    <w:multiLevelType w:val="hybridMultilevel"/>
    <w:tmpl w:val="CDAE3858"/>
    <w:lvl w:ilvl="0" w:tplc="040E000D">
      <w:start w:val="1"/>
      <w:numFmt w:val="bullet"/>
      <w:lvlText w:val=""/>
      <w:lvlJc w:val="left"/>
      <w:pPr>
        <w:tabs>
          <w:tab w:val="num" w:pos="720"/>
        </w:tabs>
        <w:ind w:left="720" w:hanging="360"/>
      </w:pPr>
      <w:rPr>
        <w:rFonts w:ascii="Wingdings" w:hAnsi="Wingdings" w:hint="default"/>
      </w:rPr>
    </w:lvl>
    <w:lvl w:ilvl="1" w:tplc="040E000F">
      <w:start w:val="1"/>
      <w:numFmt w:val="decimal"/>
      <w:lvlText w:val="%2."/>
      <w:lvlJc w:val="left"/>
      <w:pPr>
        <w:tabs>
          <w:tab w:val="num" w:pos="1440"/>
        </w:tabs>
        <w:ind w:left="1440" w:hanging="360"/>
      </w:pPr>
      <w:rPr>
        <w:rFonts w:hint="default"/>
      </w:rPr>
    </w:lvl>
    <w:lvl w:ilvl="2" w:tplc="7F56A3C4">
      <w:start w:val="1"/>
      <w:numFmt w:val="upperRoman"/>
      <w:lvlText w:val="%3."/>
      <w:lvlJc w:val="left"/>
      <w:pPr>
        <w:ind w:left="2520" w:hanging="720"/>
      </w:pPr>
      <w:rPr>
        <w:rFonts w:hint="default"/>
      </w:rPr>
    </w:lvl>
    <w:lvl w:ilvl="3" w:tplc="E3F6DAE0">
      <w:start w:val="4"/>
      <w:numFmt w:val="bullet"/>
      <w:lvlText w:val="-"/>
      <w:lvlJc w:val="left"/>
      <w:pPr>
        <w:ind w:left="2880" w:hanging="360"/>
      </w:pPr>
      <w:rPr>
        <w:rFonts w:ascii="Franklin Gothic Book" w:eastAsia="Times New Roman" w:hAnsi="Franklin Gothic Book" w:cs="Times New Roman" w:hint="default"/>
      </w:rPr>
    </w:lvl>
    <w:lvl w:ilvl="4" w:tplc="CF36DD42" w:tentative="1">
      <w:start w:val="1"/>
      <w:numFmt w:val="bullet"/>
      <w:lvlText w:val="•"/>
      <w:lvlJc w:val="left"/>
      <w:pPr>
        <w:tabs>
          <w:tab w:val="num" w:pos="3600"/>
        </w:tabs>
        <w:ind w:left="3600" w:hanging="360"/>
      </w:pPr>
      <w:rPr>
        <w:rFonts w:ascii="Times New Roman" w:hAnsi="Times New Roman" w:hint="default"/>
      </w:rPr>
    </w:lvl>
    <w:lvl w:ilvl="5" w:tplc="C0FE899A" w:tentative="1">
      <w:start w:val="1"/>
      <w:numFmt w:val="bullet"/>
      <w:lvlText w:val="•"/>
      <w:lvlJc w:val="left"/>
      <w:pPr>
        <w:tabs>
          <w:tab w:val="num" w:pos="4320"/>
        </w:tabs>
        <w:ind w:left="4320" w:hanging="360"/>
      </w:pPr>
      <w:rPr>
        <w:rFonts w:ascii="Times New Roman" w:hAnsi="Times New Roman" w:hint="default"/>
      </w:rPr>
    </w:lvl>
    <w:lvl w:ilvl="6" w:tplc="6CBE4816" w:tentative="1">
      <w:start w:val="1"/>
      <w:numFmt w:val="bullet"/>
      <w:lvlText w:val="•"/>
      <w:lvlJc w:val="left"/>
      <w:pPr>
        <w:tabs>
          <w:tab w:val="num" w:pos="5040"/>
        </w:tabs>
        <w:ind w:left="5040" w:hanging="360"/>
      </w:pPr>
      <w:rPr>
        <w:rFonts w:ascii="Times New Roman" w:hAnsi="Times New Roman" w:hint="default"/>
      </w:rPr>
    </w:lvl>
    <w:lvl w:ilvl="7" w:tplc="D31EAE36" w:tentative="1">
      <w:start w:val="1"/>
      <w:numFmt w:val="bullet"/>
      <w:lvlText w:val="•"/>
      <w:lvlJc w:val="left"/>
      <w:pPr>
        <w:tabs>
          <w:tab w:val="num" w:pos="5760"/>
        </w:tabs>
        <w:ind w:left="5760" w:hanging="360"/>
      </w:pPr>
      <w:rPr>
        <w:rFonts w:ascii="Times New Roman" w:hAnsi="Times New Roman" w:hint="default"/>
      </w:rPr>
    </w:lvl>
    <w:lvl w:ilvl="8" w:tplc="DEC607D2"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22F67E4"/>
    <w:multiLevelType w:val="hybridMultilevel"/>
    <w:tmpl w:val="D8C6B4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65E55DD4"/>
    <w:multiLevelType w:val="hybridMultilevel"/>
    <w:tmpl w:val="C876EA82"/>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9">
    <w:nsid w:val="6AF50CA2"/>
    <w:multiLevelType w:val="hybridMultilevel"/>
    <w:tmpl w:val="C142A8F6"/>
    <w:lvl w:ilvl="0" w:tplc="D29AF77C">
      <w:start w:val="1"/>
      <w:numFmt w:val="bullet"/>
      <w:pStyle w:val="HUNBullet1"/>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73234A78"/>
    <w:multiLevelType w:val="hybridMultilevel"/>
    <w:tmpl w:val="6446283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73EF76E9"/>
    <w:multiLevelType w:val="hybridMultilevel"/>
    <w:tmpl w:val="1F1CF666"/>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2">
    <w:nsid w:val="77BF300A"/>
    <w:multiLevelType w:val="hybridMultilevel"/>
    <w:tmpl w:val="724068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7BDE361F"/>
    <w:multiLevelType w:val="hybridMultilevel"/>
    <w:tmpl w:val="0630CC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7D9E7D0E"/>
    <w:multiLevelType w:val="hybridMultilevel"/>
    <w:tmpl w:val="730E5C8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7F7F7718"/>
    <w:multiLevelType w:val="hybridMultilevel"/>
    <w:tmpl w:val="5F3ABF40"/>
    <w:lvl w:ilvl="0" w:tplc="88B4CEB2">
      <w:start w:val="1"/>
      <w:numFmt w:val="lowerLetter"/>
      <w:pStyle w:val="HUNAlphabeticallist1"/>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2"/>
  </w:num>
  <w:num w:numId="2">
    <w:abstractNumId w:val="39"/>
  </w:num>
  <w:num w:numId="3">
    <w:abstractNumId w:val="30"/>
  </w:num>
  <w:num w:numId="4">
    <w:abstractNumId w:val="6"/>
  </w:num>
  <w:num w:numId="5">
    <w:abstractNumId w:val="45"/>
  </w:num>
  <w:num w:numId="6">
    <w:abstractNumId w:val="10"/>
  </w:num>
  <w:num w:numId="7">
    <w:abstractNumId w:val="4"/>
  </w:num>
  <w:num w:numId="8">
    <w:abstractNumId w:val="3"/>
  </w:num>
  <w:num w:numId="9">
    <w:abstractNumId w:val="2"/>
  </w:num>
  <w:num w:numId="10">
    <w:abstractNumId w:val="1"/>
  </w:num>
  <w:num w:numId="11">
    <w:abstractNumId w:val="0"/>
  </w:num>
  <w:num w:numId="12">
    <w:abstractNumId w:val="34"/>
  </w:num>
  <w:num w:numId="13">
    <w:abstractNumId w:val="32"/>
  </w:num>
  <w:num w:numId="14">
    <w:abstractNumId w:val="41"/>
  </w:num>
  <w:num w:numId="15">
    <w:abstractNumId w:val="38"/>
  </w:num>
  <w:num w:numId="16">
    <w:abstractNumId w:val="21"/>
  </w:num>
  <w:num w:numId="17">
    <w:abstractNumId w:val="15"/>
  </w:num>
  <w:num w:numId="18">
    <w:abstractNumId w:val="27"/>
  </w:num>
  <w:num w:numId="19">
    <w:abstractNumId w:val="42"/>
  </w:num>
  <w:num w:numId="20">
    <w:abstractNumId w:val="8"/>
  </w:num>
  <w:num w:numId="21">
    <w:abstractNumId w:val="31"/>
  </w:num>
  <w:num w:numId="22">
    <w:abstractNumId w:val="24"/>
  </w:num>
  <w:num w:numId="23">
    <w:abstractNumId w:val="18"/>
  </w:num>
  <w:num w:numId="24">
    <w:abstractNumId w:val="26"/>
  </w:num>
  <w:num w:numId="25">
    <w:abstractNumId w:val="12"/>
  </w:num>
  <w:num w:numId="26">
    <w:abstractNumId w:val="29"/>
  </w:num>
  <w:num w:numId="27">
    <w:abstractNumId w:val="33"/>
  </w:num>
  <w:num w:numId="28">
    <w:abstractNumId w:val="23"/>
  </w:num>
  <w:num w:numId="29">
    <w:abstractNumId w:val="28"/>
  </w:num>
  <w:num w:numId="30">
    <w:abstractNumId w:val="37"/>
  </w:num>
  <w:num w:numId="31">
    <w:abstractNumId w:val="17"/>
  </w:num>
  <w:num w:numId="32">
    <w:abstractNumId w:val="36"/>
  </w:num>
  <w:num w:numId="33">
    <w:abstractNumId w:val="9"/>
  </w:num>
  <w:num w:numId="34">
    <w:abstractNumId w:val="14"/>
  </w:num>
  <w:num w:numId="35">
    <w:abstractNumId w:val="13"/>
  </w:num>
  <w:num w:numId="36">
    <w:abstractNumId w:val="20"/>
  </w:num>
  <w:num w:numId="37">
    <w:abstractNumId w:val="40"/>
  </w:num>
  <w:num w:numId="38">
    <w:abstractNumId w:val="35"/>
  </w:num>
  <w:num w:numId="39">
    <w:abstractNumId w:val="7"/>
  </w:num>
  <w:num w:numId="40">
    <w:abstractNumId w:val="19"/>
  </w:num>
  <w:num w:numId="41">
    <w:abstractNumId w:val="44"/>
  </w:num>
  <w:num w:numId="42">
    <w:abstractNumId w:val="11"/>
  </w:num>
  <w:num w:numId="43">
    <w:abstractNumId w:val="25"/>
  </w:num>
  <w:num w:numId="44">
    <w:abstractNumId w:val="16"/>
  </w:num>
  <w:num w:numId="45">
    <w:abstractNumId w:val="5"/>
  </w:num>
  <w:num w:numId="46">
    <w:abstractNumId w:val="43"/>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hu-HU" w:vendorID="7" w:dllVersion="513" w:checkStyle="1"/>
  <w:activeWritingStyle w:appName="MSWord" w:lang="hu-HU" w:vendorID="7" w:dllVersion="522" w:checkStyle="1"/>
  <w:activeWritingStyle w:appName="MSWord" w:lang="de-DE" w:vendorID="9" w:dllVersion="512" w:checkStyle="1"/>
  <w:proofState w:spelling="clean" w:grammar="clean"/>
  <w:stylePaneFormatFilter w:val="3F04"/>
  <w:defaultTabStop w:val="3402"/>
  <w:autoHyphenation/>
  <w:hyphenationZone w:val="393"/>
  <w:drawingGridHorizontalSpacing w:val="100"/>
  <w:displayHorizontalDrawingGridEvery w:val="0"/>
  <w:displayVerticalDrawingGridEvery w:val="0"/>
  <w:noPunctuationKerning/>
  <w:characterSpacingControl w:val="doNotCompress"/>
  <w:hdrShapeDefaults>
    <o:shapedefaults v:ext="edit" spidmax="10242" style="mso-width-relative:margin;mso-height-relative:margin" fill="f" fillcolor="white" stroke="f">
      <v:fill color="white" on="f"/>
      <v:stroke on="f"/>
      <v:textbox style="layout-flow:vertical;mso-layout-flow-alt:bottom-to-top"/>
      <o:colormru v:ext="edit" colors="#daf2e0"/>
    </o:shapedefaults>
    <o:shapelayout v:ext="edit">
      <o:idmap v:ext="edit" data="2"/>
    </o:shapelayout>
  </w:hdrShapeDefaults>
  <w:footnotePr>
    <w:footnote w:id="-1"/>
    <w:footnote w:id="0"/>
  </w:footnotePr>
  <w:endnotePr>
    <w:endnote w:id="-1"/>
    <w:endnote w:id="0"/>
  </w:endnotePr>
  <w:compat/>
  <w:rsids>
    <w:rsidRoot w:val="00EE5CAC"/>
    <w:rsid w:val="0000216F"/>
    <w:rsid w:val="0000301F"/>
    <w:rsid w:val="00003DA2"/>
    <w:rsid w:val="0000424C"/>
    <w:rsid w:val="00004EFB"/>
    <w:rsid w:val="00006F96"/>
    <w:rsid w:val="0000706A"/>
    <w:rsid w:val="000104EF"/>
    <w:rsid w:val="00011767"/>
    <w:rsid w:val="00012C67"/>
    <w:rsid w:val="00013C9A"/>
    <w:rsid w:val="00013F6A"/>
    <w:rsid w:val="0001680E"/>
    <w:rsid w:val="000171CA"/>
    <w:rsid w:val="000173D9"/>
    <w:rsid w:val="00020ED1"/>
    <w:rsid w:val="00022863"/>
    <w:rsid w:val="000236A3"/>
    <w:rsid w:val="00023CC9"/>
    <w:rsid w:val="0002680D"/>
    <w:rsid w:val="00033059"/>
    <w:rsid w:val="00035FBD"/>
    <w:rsid w:val="0003662A"/>
    <w:rsid w:val="000369BB"/>
    <w:rsid w:val="0004087D"/>
    <w:rsid w:val="00041BD5"/>
    <w:rsid w:val="0004416C"/>
    <w:rsid w:val="00045A62"/>
    <w:rsid w:val="00046D6A"/>
    <w:rsid w:val="00051FA6"/>
    <w:rsid w:val="0005279D"/>
    <w:rsid w:val="00053891"/>
    <w:rsid w:val="00054933"/>
    <w:rsid w:val="000559A2"/>
    <w:rsid w:val="00060075"/>
    <w:rsid w:val="000629CF"/>
    <w:rsid w:val="00062A8E"/>
    <w:rsid w:val="00065EB4"/>
    <w:rsid w:val="00066EC9"/>
    <w:rsid w:val="00067065"/>
    <w:rsid w:val="00067F22"/>
    <w:rsid w:val="00070404"/>
    <w:rsid w:val="00070CFC"/>
    <w:rsid w:val="00071630"/>
    <w:rsid w:val="00071BE4"/>
    <w:rsid w:val="0007274B"/>
    <w:rsid w:val="000741DC"/>
    <w:rsid w:val="00080866"/>
    <w:rsid w:val="000837D3"/>
    <w:rsid w:val="0008397B"/>
    <w:rsid w:val="00084397"/>
    <w:rsid w:val="00087F1D"/>
    <w:rsid w:val="00090425"/>
    <w:rsid w:val="0009123C"/>
    <w:rsid w:val="000925FB"/>
    <w:rsid w:val="000929E9"/>
    <w:rsid w:val="00092AC2"/>
    <w:rsid w:val="00093633"/>
    <w:rsid w:val="0009428C"/>
    <w:rsid w:val="000A04F6"/>
    <w:rsid w:val="000A0CE8"/>
    <w:rsid w:val="000A1F21"/>
    <w:rsid w:val="000A38BA"/>
    <w:rsid w:val="000A6576"/>
    <w:rsid w:val="000A6B1F"/>
    <w:rsid w:val="000B0205"/>
    <w:rsid w:val="000B1234"/>
    <w:rsid w:val="000B158A"/>
    <w:rsid w:val="000B3039"/>
    <w:rsid w:val="000B38E6"/>
    <w:rsid w:val="000B52E6"/>
    <w:rsid w:val="000B6D96"/>
    <w:rsid w:val="000B7BE4"/>
    <w:rsid w:val="000C02B7"/>
    <w:rsid w:val="000C0A7E"/>
    <w:rsid w:val="000C0E5C"/>
    <w:rsid w:val="000C1280"/>
    <w:rsid w:val="000C27B6"/>
    <w:rsid w:val="000C52B8"/>
    <w:rsid w:val="000C6A52"/>
    <w:rsid w:val="000C77B8"/>
    <w:rsid w:val="000D0410"/>
    <w:rsid w:val="000D0518"/>
    <w:rsid w:val="000D1FBF"/>
    <w:rsid w:val="000D285E"/>
    <w:rsid w:val="000D2875"/>
    <w:rsid w:val="000D376F"/>
    <w:rsid w:val="000D452C"/>
    <w:rsid w:val="000D48C2"/>
    <w:rsid w:val="000D5EAB"/>
    <w:rsid w:val="000D6578"/>
    <w:rsid w:val="000D7BEB"/>
    <w:rsid w:val="000E047A"/>
    <w:rsid w:val="000E1542"/>
    <w:rsid w:val="000E1BEE"/>
    <w:rsid w:val="000E258B"/>
    <w:rsid w:val="000E2B80"/>
    <w:rsid w:val="000E3514"/>
    <w:rsid w:val="000E3ACF"/>
    <w:rsid w:val="000E5C0B"/>
    <w:rsid w:val="000F06BD"/>
    <w:rsid w:val="000F0CF3"/>
    <w:rsid w:val="000F24B7"/>
    <w:rsid w:val="000F387F"/>
    <w:rsid w:val="000F5429"/>
    <w:rsid w:val="000F553F"/>
    <w:rsid w:val="000F63D3"/>
    <w:rsid w:val="0010128C"/>
    <w:rsid w:val="0010200F"/>
    <w:rsid w:val="00102173"/>
    <w:rsid w:val="00103FDF"/>
    <w:rsid w:val="00104A8A"/>
    <w:rsid w:val="00106EB2"/>
    <w:rsid w:val="00110280"/>
    <w:rsid w:val="001102B7"/>
    <w:rsid w:val="001102FE"/>
    <w:rsid w:val="00110E04"/>
    <w:rsid w:val="001124E0"/>
    <w:rsid w:val="00115198"/>
    <w:rsid w:val="00115859"/>
    <w:rsid w:val="00116D50"/>
    <w:rsid w:val="00117073"/>
    <w:rsid w:val="001173B0"/>
    <w:rsid w:val="001176BC"/>
    <w:rsid w:val="00117A63"/>
    <w:rsid w:val="0012051D"/>
    <w:rsid w:val="00120AD6"/>
    <w:rsid w:val="00120E05"/>
    <w:rsid w:val="001236DA"/>
    <w:rsid w:val="001265D0"/>
    <w:rsid w:val="00126CFE"/>
    <w:rsid w:val="00127BC0"/>
    <w:rsid w:val="001366A8"/>
    <w:rsid w:val="00140D79"/>
    <w:rsid w:val="00141499"/>
    <w:rsid w:val="00143511"/>
    <w:rsid w:val="001444F9"/>
    <w:rsid w:val="00146174"/>
    <w:rsid w:val="0014650A"/>
    <w:rsid w:val="00146D26"/>
    <w:rsid w:val="00153D1E"/>
    <w:rsid w:val="00155225"/>
    <w:rsid w:val="00162133"/>
    <w:rsid w:val="001631E6"/>
    <w:rsid w:val="00166161"/>
    <w:rsid w:val="00166586"/>
    <w:rsid w:val="00167ED7"/>
    <w:rsid w:val="00170ED3"/>
    <w:rsid w:val="001711E0"/>
    <w:rsid w:val="00172943"/>
    <w:rsid w:val="00176263"/>
    <w:rsid w:val="00177A34"/>
    <w:rsid w:val="00182EBA"/>
    <w:rsid w:val="00185ABC"/>
    <w:rsid w:val="00185D59"/>
    <w:rsid w:val="00186059"/>
    <w:rsid w:val="00190515"/>
    <w:rsid w:val="00190587"/>
    <w:rsid w:val="00193107"/>
    <w:rsid w:val="00194230"/>
    <w:rsid w:val="0019532B"/>
    <w:rsid w:val="00196DF8"/>
    <w:rsid w:val="001A3220"/>
    <w:rsid w:val="001A33AC"/>
    <w:rsid w:val="001A479D"/>
    <w:rsid w:val="001A496E"/>
    <w:rsid w:val="001B0A45"/>
    <w:rsid w:val="001B1840"/>
    <w:rsid w:val="001B37FC"/>
    <w:rsid w:val="001C0764"/>
    <w:rsid w:val="001C16AA"/>
    <w:rsid w:val="001C35A2"/>
    <w:rsid w:val="001C55A3"/>
    <w:rsid w:val="001C5664"/>
    <w:rsid w:val="001C585E"/>
    <w:rsid w:val="001C78E4"/>
    <w:rsid w:val="001D0E85"/>
    <w:rsid w:val="001D1CB8"/>
    <w:rsid w:val="001D21E0"/>
    <w:rsid w:val="001D42EE"/>
    <w:rsid w:val="001D51CB"/>
    <w:rsid w:val="001D5DBF"/>
    <w:rsid w:val="001E0110"/>
    <w:rsid w:val="001E4E0A"/>
    <w:rsid w:val="001E54B5"/>
    <w:rsid w:val="001E6503"/>
    <w:rsid w:val="001E780C"/>
    <w:rsid w:val="001E7EE9"/>
    <w:rsid w:val="001F015F"/>
    <w:rsid w:val="001F38D4"/>
    <w:rsid w:val="001F62CB"/>
    <w:rsid w:val="001F71D8"/>
    <w:rsid w:val="00202AED"/>
    <w:rsid w:val="002107C5"/>
    <w:rsid w:val="00211027"/>
    <w:rsid w:val="00212310"/>
    <w:rsid w:val="00213358"/>
    <w:rsid w:val="0021447D"/>
    <w:rsid w:val="002167B5"/>
    <w:rsid w:val="00216BB2"/>
    <w:rsid w:val="00216C97"/>
    <w:rsid w:val="00217225"/>
    <w:rsid w:val="0021759E"/>
    <w:rsid w:val="00217CC2"/>
    <w:rsid w:val="002212F7"/>
    <w:rsid w:val="0022280C"/>
    <w:rsid w:val="00222A11"/>
    <w:rsid w:val="0022453D"/>
    <w:rsid w:val="002275D8"/>
    <w:rsid w:val="0023233B"/>
    <w:rsid w:val="00232C53"/>
    <w:rsid w:val="00234D36"/>
    <w:rsid w:val="0023510A"/>
    <w:rsid w:val="002365FB"/>
    <w:rsid w:val="00240048"/>
    <w:rsid w:val="002407AB"/>
    <w:rsid w:val="00242900"/>
    <w:rsid w:val="00242CEE"/>
    <w:rsid w:val="0024358C"/>
    <w:rsid w:val="0024404B"/>
    <w:rsid w:val="00244526"/>
    <w:rsid w:val="002458F7"/>
    <w:rsid w:val="00246816"/>
    <w:rsid w:val="00247E95"/>
    <w:rsid w:val="0025092A"/>
    <w:rsid w:val="00253024"/>
    <w:rsid w:val="002548F1"/>
    <w:rsid w:val="0026114B"/>
    <w:rsid w:val="00262675"/>
    <w:rsid w:val="002632C3"/>
    <w:rsid w:val="0027343E"/>
    <w:rsid w:val="0027345C"/>
    <w:rsid w:val="00273B06"/>
    <w:rsid w:val="0027676D"/>
    <w:rsid w:val="002777DE"/>
    <w:rsid w:val="002828D1"/>
    <w:rsid w:val="00284226"/>
    <w:rsid w:val="002844E9"/>
    <w:rsid w:val="00284A88"/>
    <w:rsid w:val="00287E46"/>
    <w:rsid w:val="00297059"/>
    <w:rsid w:val="00297E39"/>
    <w:rsid w:val="002A0676"/>
    <w:rsid w:val="002A188C"/>
    <w:rsid w:val="002A3FBC"/>
    <w:rsid w:val="002A5C77"/>
    <w:rsid w:val="002A5EC6"/>
    <w:rsid w:val="002A6543"/>
    <w:rsid w:val="002B1752"/>
    <w:rsid w:val="002B2053"/>
    <w:rsid w:val="002B2129"/>
    <w:rsid w:val="002B3E3F"/>
    <w:rsid w:val="002B3F37"/>
    <w:rsid w:val="002B5CAB"/>
    <w:rsid w:val="002B5E9C"/>
    <w:rsid w:val="002B7F7F"/>
    <w:rsid w:val="002C29A7"/>
    <w:rsid w:val="002C3807"/>
    <w:rsid w:val="002C49D7"/>
    <w:rsid w:val="002C5069"/>
    <w:rsid w:val="002C60A1"/>
    <w:rsid w:val="002C6883"/>
    <w:rsid w:val="002C7448"/>
    <w:rsid w:val="002D0E4C"/>
    <w:rsid w:val="002D1929"/>
    <w:rsid w:val="002D1B7A"/>
    <w:rsid w:val="002D2612"/>
    <w:rsid w:val="002E4C5E"/>
    <w:rsid w:val="002E5048"/>
    <w:rsid w:val="002F2B9F"/>
    <w:rsid w:val="002F350F"/>
    <w:rsid w:val="002F3CC5"/>
    <w:rsid w:val="002F5CC0"/>
    <w:rsid w:val="002F7134"/>
    <w:rsid w:val="00300756"/>
    <w:rsid w:val="00301997"/>
    <w:rsid w:val="00305476"/>
    <w:rsid w:val="00307027"/>
    <w:rsid w:val="003111B7"/>
    <w:rsid w:val="00311478"/>
    <w:rsid w:val="003124E2"/>
    <w:rsid w:val="00314346"/>
    <w:rsid w:val="003147E0"/>
    <w:rsid w:val="00315BB1"/>
    <w:rsid w:val="00316840"/>
    <w:rsid w:val="00317D20"/>
    <w:rsid w:val="00321377"/>
    <w:rsid w:val="0032473A"/>
    <w:rsid w:val="00327F31"/>
    <w:rsid w:val="00330D1B"/>
    <w:rsid w:val="00331C38"/>
    <w:rsid w:val="00331CFD"/>
    <w:rsid w:val="0033512C"/>
    <w:rsid w:val="003356DD"/>
    <w:rsid w:val="00335BE2"/>
    <w:rsid w:val="003365AF"/>
    <w:rsid w:val="0033714E"/>
    <w:rsid w:val="003378EC"/>
    <w:rsid w:val="00337936"/>
    <w:rsid w:val="00337C2E"/>
    <w:rsid w:val="0034281A"/>
    <w:rsid w:val="00342A1D"/>
    <w:rsid w:val="00343D98"/>
    <w:rsid w:val="00344956"/>
    <w:rsid w:val="00344E53"/>
    <w:rsid w:val="00347A9F"/>
    <w:rsid w:val="00347CC7"/>
    <w:rsid w:val="0035480F"/>
    <w:rsid w:val="00355EF6"/>
    <w:rsid w:val="00356356"/>
    <w:rsid w:val="00356A4D"/>
    <w:rsid w:val="003608EB"/>
    <w:rsid w:val="00360FB8"/>
    <w:rsid w:val="00361F14"/>
    <w:rsid w:val="00361F3F"/>
    <w:rsid w:val="0036325F"/>
    <w:rsid w:val="003665CC"/>
    <w:rsid w:val="003722D8"/>
    <w:rsid w:val="00372C95"/>
    <w:rsid w:val="00374AFA"/>
    <w:rsid w:val="00376973"/>
    <w:rsid w:val="003819B6"/>
    <w:rsid w:val="00385D3D"/>
    <w:rsid w:val="00386C6F"/>
    <w:rsid w:val="00387E03"/>
    <w:rsid w:val="00390072"/>
    <w:rsid w:val="00394AE8"/>
    <w:rsid w:val="0039510C"/>
    <w:rsid w:val="00396CE8"/>
    <w:rsid w:val="00396E59"/>
    <w:rsid w:val="003A12DE"/>
    <w:rsid w:val="003A14F8"/>
    <w:rsid w:val="003A1E4F"/>
    <w:rsid w:val="003A205B"/>
    <w:rsid w:val="003A261B"/>
    <w:rsid w:val="003A2E92"/>
    <w:rsid w:val="003A44B1"/>
    <w:rsid w:val="003A6414"/>
    <w:rsid w:val="003A75ED"/>
    <w:rsid w:val="003B05E0"/>
    <w:rsid w:val="003B31C9"/>
    <w:rsid w:val="003B4254"/>
    <w:rsid w:val="003B4F8A"/>
    <w:rsid w:val="003B532F"/>
    <w:rsid w:val="003B7448"/>
    <w:rsid w:val="003C0C2D"/>
    <w:rsid w:val="003C156C"/>
    <w:rsid w:val="003C3D1B"/>
    <w:rsid w:val="003C3F01"/>
    <w:rsid w:val="003C44C7"/>
    <w:rsid w:val="003C4859"/>
    <w:rsid w:val="003C5828"/>
    <w:rsid w:val="003C6BB6"/>
    <w:rsid w:val="003D387B"/>
    <w:rsid w:val="003D455F"/>
    <w:rsid w:val="003D55B4"/>
    <w:rsid w:val="003D69FC"/>
    <w:rsid w:val="003D78AB"/>
    <w:rsid w:val="003D7F36"/>
    <w:rsid w:val="003E01E4"/>
    <w:rsid w:val="003E06B1"/>
    <w:rsid w:val="003E1913"/>
    <w:rsid w:val="003E33BB"/>
    <w:rsid w:val="003E3B7D"/>
    <w:rsid w:val="003E7504"/>
    <w:rsid w:val="003E75E6"/>
    <w:rsid w:val="003E7A3A"/>
    <w:rsid w:val="003E7B1B"/>
    <w:rsid w:val="003F2E25"/>
    <w:rsid w:val="003F32F3"/>
    <w:rsid w:val="003F44DC"/>
    <w:rsid w:val="003F69F6"/>
    <w:rsid w:val="003F7953"/>
    <w:rsid w:val="003F7ED0"/>
    <w:rsid w:val="004035BF"/>
    <w:rsid w:val="004043BE"/>
    <w:rsid w:val="0040522E"/>
    <w:rsid w:val="0040544A"/>
    <w:rsid w:val="004059D6"/>
    <w:rsid w:val="00405ACC"/>
    <w:rsid w:val="00407613"/>
    <w:rsid w:val="00407C26"/>
    <w:rsid w:val="0041342B"/>
    <w:rsid w:val="00413B4A"/>
    <w:rsid w:val="00413E6F"/>
    <w:rsid w:val="00415959"/>
    <w:rsid w:val="00415EDE"/>
    <w:rsid w:val="0042018D"/>
    <w:rsid w:val="00421E1F"/>
    <w:rsid w:val="0042429D"/>
    <w:rsid w:val="0042431D"/>
    <w:rsid w:val="004312CC"/>
    <w:rsid w:val="00433619"/>
    <w:rsid w:val="00434188"/>
    <w:rsid w:val="00435C25"/>
    <w:rsid w:val="00435C3F"/>
    <w:rsid w:val="00435E00"/>
    <w:rsid w:val="004400E8"/>
    <w:rsid w:val="00441B65"/>
    <w:rsid w:val="0044205D"/>
    <w:rsid w:val="00445CB7"/>
    <w:rsid w:val="00446CFB"/>
    <w:rsid w:val="0044744B"/>
    <w:rsid w:val="004479EC"/>
    <w:rsid w:val="00447E91"/>
    <w:rsid w:val="00455004"/>
    <w:rsid w:val="0045563A"/>
    <w:rsid w:val="0045563D"/>
    <w:rsid w:val="004560FB"/>
    <w:rsid w:val="004604FD"/>
    <w:rsid w:val="0046088A"/>
    <w:rsid w:val="00461A8A"/>
    <w:rsid w:val="00461C63"/>
    <w:rsid w:val="00465055"/>
    <w:rsid w:val="004651D8"/>
    <w:rsid w:val="00466848"/>
    <w:rsid w:val="00471B5C"/>
    <w:rsid w:val="004726BF"/>
    <w:rsid w:val="0047346D"/>
    <w:rsid w:val="004754E5"/>
    <w:rsid w:val="0047779D"/>
    <w:rsid w:val="00477D93"/>
    <w:rsid w:val="00481509"/>
    <w:rsid w:val="004850D4"/>
    <w:rsid w:val="00485C69"/>
    <w:rsid w:val="00486786"/>
    <w:rsid w:val="00486DA9"/>
    <w:rsid w:val="004902B5"/>
    <w:rsid w:val="00490F75"/>
    <w:rsid w:val="00492607"/>
    <w:rsid w:val="004935E2"/>
    <w:rsid w:val="004938BD"/>
    <w:rsid w:val="00495D56"/>
    <w:rsid w:val="004A09A3"/>
    <w:rsid w:val="004A0B95"/>
    <w:rsid w:val="004A12C7"/>
    <w:rsid w:val="004A49C3"/>
    <w:rsid w:val="004A5228"/>
    <w:rsid w:val="004A60D4"/>
    <w:rsid w:val="004A63C1"/>
    <w:rsid w:val="004A7A3F"/>
    <w:rsid w:val="004B39BE"/>
    <w:rsid w:val="004B45B1"/>
    <w:rsid w:val="004B551F"/>
    <w:rsid w:val="004B737D"/>
    <w:rsid w:val="004C0D17"/>
    <w:rsid w:val="004C1177"/>
    <w:rsid w:val="004C5637"/>
    <w:rsid w:val="004D0C68"/>
    <w:rsid w:val="004D0F39"/>
    <w:rsid w:val="004D144A"/>
    <w:rsid w:val="004D1652"/>
    <w:rsid w:val="004D4F85"/>
    <w:rsid w:val="004D6E6C"/>
    <w:rsid w:val="004D72FF"/>
    <w:rsid w:val="004D7E05"/>
    <w:rsid w:val="004E1C02"/>
    <w:rsid w:val="004E1ED5"/>
    <w:rsid w:val="004E382C"/>
    <w:rsid w:val="004E603B"/>
    <w:rsid w:val="004E60C9"/>
    <w:rsid w:val="004E7101"/>
    <w:rsid w:val="004F0031"/>
    <w:rsid w:val="004F0CBD"/>
    <w:rsid w:val="004F2144"/>
    <w:rsid w:val="004F44E5"/>
    <w:rsid w:val="004F4501"/>
    <w:rsid w:val="004F455A"/>
    <w:rsid w:val="005000A2"/>
    <w:rsid w:val="00501097"/>
    <w:rsid w:val="0050155E"/>
    <w:rsid w:val="00503BB3"/>
    <w:rsid w:val="00504BC9"/>
    <w:rsid w:val="005075F2"/>
    <w:rsid w:val="0051424A"/>
    <w:rsid w:val="00514767"/>
    <w:rsid w:val="0052161C"/>
    <w:rsid w:val="00522340"/>
    <w:rsid w:val="00523152"/>
    <w:rsid w:val="00524CB1"/>
    <w:rsid w:val="005272E6"/>
    <w:rsid w:val="005319D5"/>
    <w:rsid w:val="00531E88"/>
    <w:rsid w:val="00532142"/>
    <w:rsid w:val="005333EA"/>
    <w:rsid w:val="00534527"/>
    <w:rsid w:val="00536449"/>
    <w:rsid w:val="00536798"/>
    <w:rsid w:val="005403C7"/>
    <w:rsid w:val="00540ED6"/>
    <w:rsid w:val="00542024"/>
    <w:rsid w:val="005430D9"/>
    <w:rsid w:val="00543736"/>
    <w:rsid w:val="00544199"/>
    <w:rsid w:val="00544A1A"/>
    <w:rsid w:val="00544F85"/>
    <w:rsid w:val="005450F1"/>
    <w:rsid w:val="00547348"/>
    <w:rsid w:val="005474FC"/>
    <w:rsid w:val="00552389"/>
    <w:rsid w:val="00553A19"/>
    <w:rsid w:val="005545DA"/>
    <w:rsid w:val="00554AAC"/>
    <w:rsid w:val="0055668F"/>
    <w:rsid w:val="00556B86"/>
    <w:rsid w:val="0055711F"/>
    <w:rsid w:val="00557C09"/>
    <w:rsid w:val="00560782"/>
    <w:rsid w:val="00561BF6"/>
    <w:rsid w:val="0056470D"/>
    <w:rsid w:val="00566F60"/>
    <w:rsid w:val="00567BEB"/>
    <w:rsid w:val="005710D4"/>
    <w:rsid w:val="00571535"/>
    <w:rsid w:val="00571ACD"/>
    <w:rsid w:val="0057202B"/>
    <w:rsid w:val="00572818"/>
    <w:rsid w:val="00572CAD"/>
    <w:rsid w:val="00576778"/>
    <w:rsid w:val="005768EC"/>
    <w:rsid w:val="00576D36"/>
    <w:rsid w:val="00580077"/>
    <w:rsid w:val="00581EE5"/>
    <w:rsid w:val="00583976"/>
    <w:rsid w:val="00584EA0"/>
    <w:rsid w:val="0058722C"/>
    <w:rsid w:val="0058793C"/>
    <w:rsid w:val="00587CF9"/>
    <w:rsid w:val="0059148B"/>
    <w:rsid w:val="00591C87"/>
    <w:rsid w:val="00593AE2"/>
    <w:rsid w:val="00593B10"/>
    <w:rsid w:val="00594EE7"/>
    <w:rsid w:val="00597F7C"/>
    <w:rsid w:val="005A2699"/>
    <w:rsid w:val="005A470D"/>
    <w:rsid w:val="005A4B5D"/>
    <w:rsid w:val="005A56C5"/>
    <w:rsid w:val="005B11C6"/>
    <w:rsid w:val="005B1775"/>
    <w:rsid w:val="005B2F14"/>
    <w:rsid w:val="005B4F2E"/>
    <w:rsid w:val="005B5205"/>
    <w:rsid w:val="005B59BE"/>
    <w:rsid w:val="005B5E42"/>
    <w:rsid w:val="005B6455"/>
    <w:rsid w:val="005B6BD5"/>
    <w:rsid w:val="005B7230"/>
    <w:rsid w:val="005C2FC3"/>
    <w:rsid w:val="005C3A74"/>
    <w:rsid w:val="005C3C77"/>
    <w:rsid w:val="005C3E86"/>
    <w:rsid w:val="005C6F02"/>
    <w:rsid w:val="005C77C1"/>
    <w:rsid w:val="005D1B89"/>
    <w:rsid w:val="005D3776"/>
    <w:rsid w:val="005D4BE8"/>
    <w:rsid w:val="005D4C39"/>
    <w:rsid w:val="005D5C47"/>
    <w:rsid w:val="005D6BD2"/>
    <w:rsid w:val="005E05ED"/>
    <w:rsid w:val="005E2849"/>
    <w:rsid w:val="005E37C5"/>
    <w:rsid w:val="005E3D6B"/>
    <w:rsid w:val="005E5E25"/>
    <w:rsid w:val="005F2D6E"/>
    <w:rsid w:val="005F341D"/>
    <w:rsid w:val="005F3DB1"/>
    <w:rsid w:val="005F5FF1"/>
    <w:rsid w:val="005F67FE"/>
    <w:rsid w:val="005F72A6"/>
    <w:rsid w:val="00600DD7"/>
    <w:rsid w:val="00602902"/>
    <w:rsid w:val="00603705"/>
    <w:rsid w:val="00604BBD"/>
    <w:rsid w:val="00605139"/>
    <w:rsid w:val="00605A24"/>
    <w:rsid w:val="0060666A"/>
    <w:rsid w:val="0060753C"/>
    <w:rsid w:val="006075B2"/>
    <w:rsid w:val="00607669"/>
    <w:rsid w:val="0061153A"/>
    <w:rsid w:val="00612CA6"/>
    <w:rsid w:val="00614059"/>
    <w:rsid w:val="00616697"/>
    <w:rsid w:val="00617952"/>
    <w:rsid w:val="006219C2"/>
    <w:rsid w:val="00622455"/>
    <w:rsid w:val="00623B40"/>
    <w:rsid w:val="00623C38"/>
    <w:rsid w:val="006240CB"/>
    <w:rsid w:val="006267DE"/>
    <w:rsid w:val="00626987"/>
    <w:rsid w:val="0062773C"/>
    <w:rsid w:val="006322CB"/>
    <w:rsid w:val="00636A99"/>
    <w:rsid w:val="0063732B"/>
    <w:rsid w:val="00637532"/>
    <w:rsid w:val="00640FB2"/>
    <w:rsid w:val="00641DF7"/>
    <w:rsid w:val="006442B5"/>
    <w:rsid w:val="006446E8"/>
    <w:rsid w:val="006474D6"/>
    <w:rsid w:val="00647954"/>
    <w:rsid w:val="00647BB4"/>
    <w:rsid w:val="00652CA1"/>
    <w:rsid w:val="006548EB"/>
    <w:rsid w:val="00655B73"/>
    <w:rsid w:val="006603F4"/>
    <w:rsid w:val="00660A22"/>
    <w:rsid w:val="006618BC"/>
    <w:rsid w:val="00661978"/>
    <w:rsid w:val="00661BF0"/>
    <w:rsid w:val="00662906"/>
    <w:rsid w:val="00663B5B"/>
    <w:rsid w:val="00663CEB"/>
    <w:rsid w:val="006664F1"/>
    <w:rsid w:val="00666CC0"/>
    <w:rsid w:val="00667F7F"/>
    <w:rsid w:val="006737D6"/>
    <w:rsid w:val="006739B9"/>
    <w:rsid w:val="00673C9E"/>
    <w:rsid w:val="00673E27"/>
    <w:rsid w:val="00680052"/>
    <w:rsid w:val="0068101E"/>
    <w:rsid w:val="00681E28"/>
    <w:rsid w:val="006820D9"/>
    <w:rsid w:val="006877AB"/>
    <w:rsid w:val="0068787C"/>
    <w:rsid w:val="0069045D"/>
    <w:rsid w:val="00691A8C"/>
    <w:rsid w:val="00692303"/>
    <w:rsid w:val="00692891"/>
    <w:rsid w:val="00693492"/>
    <w:rsid w:val="0069429B"/>
    <w:rsid w:val="00695AD0"/>
    <w:rsid w:val="00696436"/>
    <w:rsid w:val="00696D06"/>
    <w:rsid w:val="0069713E"/>
    <w:rsid w:val="0069743B"/>
    <w:rsid w:val="00697F0F"/>
    <w:rsid w:val="006A034F"/>
    <w:rsid w:val="006A14D3"/>
    <w:rsid w:val="006A3D62"/>
    <w:rsid w:val="006A422B"/>
    <w:rsid w:val="006A47C9"/>
    <w:rsid w:val="006A5BB5"/>
    <w:rsid w:val="006A61E5"/>
    <w:rsid w:val="006B0FF7"/>
    <w:rsid w:val="006B4135"/>
    <w:rsid w:val="006B5E48"/>
    <w:rsid w:val="006B661A"/>
    <w:rsid w:val="006C1EA1"/>
    <w:rsid w:val="006C33F5"/>
    <w:rsid w:val="006C4F27"/>
    <w:rsid w:val="006C5123"/>
    <w:rsid w:val="006C6BC8"/>
    <w:rsid w:val="006C6F98"/>
    <w:rsid w:val="006C70EA"/>
    <w:rsid w:val="006D13B9"/>
    <w:rsid w:val="006D2196"/>
    <w:rsid w:val="006D247C"/>
    <w:rsid w:val="006D3748"/>
    <w:rsid w:val="006D4B58"/>
    <w:rsid w:val="006D77FE"/>
    <w:rsid w:val="006E2728"/>
    <w:rsid w:val="006E3378"/>
    <w:rsid w:val="006E39AB"/>
    <w:rsid w:val="006E5FF8"/>
    <w:rsid w:val="006E7503"/>
    <w:rsid w:val="006E78D6"/>
    <w:rsid w:val="006E7A25"/>
    <w:rsid w:val="006F282F"/>
    <w:rsid w:val="006F43D1"/>
    <w:rsid w:val="006F4836"/>
    <w:rsid w:val="006F7517"/>
    <w:rsid w:val="00700C1D"/>
    <w:rsid w:val="00700CAA"/>
    <w:rsid w:val="00704907"/>
    <w:rsid w:val="00704BAD"/>
    <w:rsid w:val="00705A59"/>
    <w:rsid w:val="00705ADC"/>
    <w:rsid w:val="00706250"/>
    <w:rsid w:val="00707574"/>
    <w:rsid w:val="00712E36"/>
    <w:rsid w:val="007143D3"/>
    <w:rsid w:val="00714877"/>
    <w:rsid w:val="00716A06"/>
    <w:rsid w:val="00717092"/>
    <w:rsid w:val="00720CF0"/>
    <w:rsid w:val="00723D52"/>
    <w:rsid w:val="00723E3B"/>
    <w:rsid w:val="00724B5A"/>
    <w:rsid w:val="00724BAB"/>
    <w:rsid w:val="00724BFB"/>
    <w:rsid w:val="00726633"/>
    <w:rsid w:val="0072728D"/>
    <w:rsid w:val="0072795A"/>
    <w:rsid w:val="0073076F"/>
    <w:rsid w:val="00730EE1"/>
    <w:rsid w:val="00731CFA"/>
    <w:rsid w:val="00737EA5"/>
    <w:rsid w:val="0074087D"/>
    <w:rsid w:val="00741A90"/>
    <w:rsid w:val="0074229F"/>
    <w:rsid w:val="00742A54"/>
    <w:rsid w:val="007432AF"/>
    <w:rsid w:val="00744837"/>
    <w:rsid w:val="00745369"/>
    <w:rsid w:val="007475C2"/>
    <w:rsid w:val="00747CBA"/>
    <w:rsid w:val="00750099"/>
    <w:rsid w:val="007511BE"/>
    <w:rsid w:val="007519BE"/>
    <w:rsid w:val="00752CA8"/>
    <w:rsid w:val="00754A70"/>
    <w:rsid w:val="00757218"/>
    <w:rsid w:val="007622EA"/>
    <w:rsid w:val="007639F9"/>
    <w:rsid w:val="007640A3"/>
    <w:rsid w:val="00773AE9"/>
    <w:rsid w:val="00775F68"/>
    <w:rsid w:val="00780539"/>
    <w:rsid w:val="007809B4"/>
    <w:rsid w:val="007815EF"/>
    <w:rsid w:val="00781BF4"/>
    <w:rsid w:val="00783179"/>
    <w:rsid w:val="00783CAC"/>
    <w:rsid w:val="00784FAD"/>
    <w:rsid w:val="0078517C"/>
    <w:rsid w:val="00785D3E"/>
    <w:rsid w:val="00787135"/>
    <w:rsid w:val="007905C3"/>
    <w:rsid w:val="0079127F"/>
    <w:rsid w:val="00791C73"/>
    <w:rsid w:val="00793A57"/>
    <w:rsid w:val="00795091"/>
    <w:rsid w:val="00795244"/>
    <w:rsid w:val="0079672E"/>
    <w:rsid w:val="0079738B"/>
    <w:rsid w:val="00797A58"/>
    <w:rsid w:val="00797FB5"/>
    <w:rsid w:val="007A215C"/>
    <w:rsid w:val="007A3872"/>
    <w:rsid w:val="007A3CB5"/>
    <w:rsid w:val="007A3D1C"/>
    <w:rsid w:val="007A4E97"/>
    <w:rsid w:val="007A5975"/>
    <w:rsid w:val="007A611D"/>
    <w:rsid w:val="007A6D09"/>
    <w:rsid w:val="007A72A2"/>
    <w:rsid w:val="007B1F25"/>
    <w:rsid w:val="007B2E8E"/>
    <w:rsid w:val="007B472D"/>
    <w:rsid w:val="007B5B5B"/>
    <w:rsid w:val="007B78E3"/>
    <w:rsid w:val="007C0659"/>
    <w:rsid w:val="007C0F34"/>
    <w:rsid w:val="007C1424"/>
    <w:rsid w:val="007C19F6"/>
    <w:rsid w:val="007C3E2D"/>
    <w:rsid w:val="007C492C"/>
    <w:rsid w:val="007C634A"/>
    <w:rsid w:val="007C7E8C"/>
    <w:rsid w:val="007D1D73"/>
    <w:rsid w:val="007D4A67"/>
    <w:rsid w:val="007D5B24"/>
    <w:rsid w:val="007E1FC8"/>
    <w:rsid w:val="007E2D1C"/>
    <w:rsid w:val="007E7810"/>
    <w:rsid w:val="007F1201"/>
    <w:rsid w:val="007F25D1"/>
    <w:rsid w:val="007F321A"/>
    <w:rsid w:val="007F457C"/>
    <w:rsid w:val="00802BA9"/>
    <w:rsid w:val="0080329C"/>
    <w:rsid w:val="00805D13"/>
    <w:rsid w:val="008069C0"/>
    <w:rsid w:val="00811378"/>
    <w:rsid w:val="008136CB"/>
    <w:rsid w:val="00815172"/>
    <w:rsid w:val="00815ED5"/>
    <w:rsid w:val="00816138"/>
    <w:rsid w:val="008202E2"/>
    <w:rsid w:val="0082208D"/>
    <w:rsid w:val="0082344A"/>
    <w:rsid w:val="008245FF"/>
    <w:rsid w:val="0082472C"/>
    <w:rsid w:val="00827587"/>
    <w:rsid w:val="008275AA"/>
    <w:rsid w:val="008278EF"/>
    <w:rsid w:val="008308C9"/>
    <w:rsid w:val="00835142"/>
    <w:rsid w:val="00835492"/>
    <w:rsid w:val="00836611"/>
    <w:rsid w:val="008375D6"/>
    <w:rsid w:val="00841609"/>
    <w:rsid w:val="00842CFC"/>
    <w:rsid w:val="008448FB"/>
    <w:rsid w:val="008452C0"/>
    <w:rsid w:val="008465AF"/>
    <w:rsid w:val="00847FFC"/>
    <w:rsid w:val="008512AB"/>
    <w:rsid w:val="00851505"/>
    <w:rsid w:val="00851C61"/>
    <w:rsid w:val="00852AE8"/>
    <w:rsid w:val="00853E81"/>
    <w:rsid w:val="0085412D"/>
    <w:rsid w:val="008553FD"/>
    <w:rsid w:val="00855982"/>
    <w:rsid w:val="00855B39"/>
    <w:rsid w:val="00856CE6"/>
    <w:rsid w:val="00860134"/>
    <w:rsid w:val="00860907"/>
    <w:rsid w:val="00861790"/>
    <w:rsid w:val="00863909"/>
    <w:rsid w:val="0086612B"/>
    <w:rsid w:val="0086650B"/>
    <w:rsid w:val="008672A5"/>
    <w:rsid w:val="00867CC1"/>
    <w:rsid w:val="00872149"/>
    <w:rsid w:val="0087543E"/>
    <w:rsid w:val="00875C22"/>
    <w:rsid w:val="008779A4"/>
    <w:rsid w:val="008830C6"/>
    <w:rsid w:val="008856F0"/>
    <w:rsid w:val="00886B3E"/>
    <w:rsid w:val="0089088D"/>
    <w:rsid w:val="008919F5"/>
    <w:rsid w:val="00892C77"/>
    <w:rsid w:val="00893696"/>
    <w:rsid w:val="00893FC8"/>
    <w:rsid w:val="008975AF"/>
    <w:rsid w:val="008A006D"/>
    <w:rsid w:val="008A0383"/>
    <w:rsid w:val="008A0568"/>
    <w:rsid w:val="008A1ED0"/>
    <w:rsid w:val="008A2B23"/>
    <w:rsid w:val="008A2C22"/>
    <w:rsid w:val="008A3954"/>
    <w:rsid w:val="008A541B"/>
    <w:rsid w:val="008A783C"/>
    <w:rsid w:val="008B2169"/>
    <w:rsid w:val="008B6F11"/>
    <w:rsid w:val="008B75CE"/>
    <w:rsid w:val="008B7A74"/>
    <w:rsid w:val="008C0E43"/>
    <w:rsid w:val="008C0F89"/>
    <w:rsid w:val="008C2FD0"/>
    <w:rsid w:val="008C79A5"/>
    <w:rsid w:val="008C7B87"/>
    <w:rsid w:val="008D083C"/>
    <w:rsid w:val="008D1E07"/>
    <w:rsid w:val="008D211D"/>
    <w:rsid w:val="008D3E98"/>
    <w:rsid w:val="008D718E"/>
    <w:rsid w:val="008D7B10"/>
    <w:rsid w:val="008E0BEF"/>
    <w:rsid w:val="008E4779"/>
    <w:rsid w:val="008F1229"/>
    <w:rsid w:val="008F24C9"/>
    <w:rsid w:val="008F2DA2"/>
    <w:rsid w:val="009005AC"/>
    <w:rsid w:val="00902A59"/>
    <w:rsid w:val="00902C2E"/>
    <w:rsid w:val="0090458C"/>
    <w:rsid w:val="0090526B"/>
    <w:rsid w:val="00906361"/>
    <w:rsid w:val="00906B1F"/>
    <w:rsid w:val="009071A1"/>
    <w:rsid w:val="00911415"/>
    <w:rsid w:val="00911ACC"/>
    <w:rsid w:val="00912CDA"/>
    <w:rsid w:val="00914138"/>
    <w:rsid w:val="00914318"/>
    <w:rsid w:val="0091436B"/>
    <w:rsid w:val="00914542"/>
    <w:rsid w:val="0091493F"/>
    <w:rsid w:val="009157AA"/>
    <w:rsid w:val="00915E1D"/>
    <w:rsid w:val="0091749A"/>
    <w:rsid w:val="00917C5F"/>
    <w:rsid w:val="00920532"/>
    <w:rsid w:val="009240C6"/>
    <w:rsid w:val="00924899"/>
    <w:rsid w:val="009265E0"/>
    <w:rsid w:val="009279C4"/>
    <w:rsid w:val="00932496"/>
    <w:rsid w:val="0093287D"/>
    <w:rsid w:val="0093384C"/>
    <w:rsid w:val="00933FF6"/>
    <w:rsid w:val="00934447"/>
    <w:rsid w:val="00940345"/>
    <w:rsid w:val="009433C9"/>
    <w:rsid w:val="00944B64"/>
    <w:rsid w:val="009458DC"/>
    <w:rsid w:val="009464A2"/>
    <w:rsid w:val="00946EED"/>
    <w:rsid w:val="00947154"/>
    <w:rsid w:val="00951B41"/>
    <w:rsid w:val="00953FC0"/>
    <w:rsid w:val="00956982"/>
    <w:rsid w:val="00957746"/>
    <w:rsid w:val="009577E2"/>
    <w:rsid w:val="00963878"/>
    <w:rsid w:val="009638DB"/>
    <w:rsid w:val="009639D6"/>
    <w:rsid w:val="009651EE"/>
    <w:rsid w:val="009660A6"/>
    <w:rsid w:val="00966798"/>
    <w:rsid w:val="00966DA8"/>
    <w:rsid w:val="00967CB8"/>
    <w:rsid w:val="009712E0"/>
    <w:rsid w:val="009717AD"/>
    <w:rsid w:val="00973DB7"/>
    <w:rsid w:val="00973E16"/>
    <w:rsid w:val="00974FE3"/>
    <w:rsid w:val="00975274"/>
    <w:rsid w:val="00981178"/>
    <w:rsid w:val="009819CA"/>
    <w:rsid w:val="00983CBB"/>
    <w:rsid w:val="00990FCC"/>
    <w:rsid w:val="00993976"/>
    <w:rsid w:val="00994B5D"/>
    <w:rsid w:val="00995295"/>
    <w:rsid w:val="00997062"/>
    <w:rsid w:val="009A0C26"/>
    <w:rsid w:val="009A3D78"/>
    <w:rsid w:val="009A6C85"/>
    <w:rsid w:val="009A7A2F"/>
    <w:rsid w:val="009B0F9D"/>
    <w:rsid w:val="009B1043"/>
    <w:rsid w:val="009B156F"/>
    <w:rsid w:val="009B290E"/>
    <w:rsid w:val="009B33C3"/>
    <w:rsid w:val="009B47F4"/>
    <w:rsid w:val="009B5974"/>
    <w:rsid w:val="009B5DC7"/>
    <w:rsid w:val="009C0633"/>
    <w:rsid w:val="009C0734"/>
    <w:rsid w:val="009C134D"/>
    <w:rsid w:val="009C5508"/>
    <w:rsid w:val="009C6562"/>
    <w:rsid w:val="009C6B40"/>
    <w:rsid w:val="009D7F7B"/>
    <w:rsid w:val="009E13DA"/>
    <w:rsid w:val="009E570B"/>
    <w:rsid w:val="009E6507"/>
    <w:rsid w:val="009E6F8D"/>
    <w:rsid w:val="009E7369"/>
    <w:rsid w:val="009F5D1F"/>
    <w:rsid w:val="009F6211"/>
    <w:rsid w:val="009F6995"/>
    <w:rsid w:val="009F6A8F"/>
    <w:rsid w:val="00A01324"/>
    <w:rsid w:val="00A020FD"/>
    <w:rsid w:val="00A023FF"/>
    <w:rsid w:val="00A0582A"/>
    <w:rsid w:val="00A05FF9"/>
    <w:rsid w:val="00A07006"/>
    <w:rsid w:val="00A10661"/>
    <w:rsid w:val="00A13084"/>
    <w:rsid w:val="00A143D1"/>
    <w:rsid w:val="00A15A79"/>
    <w:rsid w:val="00A1623A"/>
    <w:rsid w:val="00A21C4B"/>
    <w:rsid w:val="00A2235B"/>
    <w:rsid w:val="00A23023"/>
    <w:rsid w:val="00A24958"/>
    <w:rsid w:val="00A25CFD"/>
    <w:rsid w:val="00A2607B"/>
    <w:rsid w:val="00A261BD"/>
    <w:rsid w:val="00A31AFE"/>
    <w:rsid w:val="00A32DF1"/>
    <w:rsid w:val="00A32F19"/>
    <w:rsid w:val="00A34E6D"/>
    <w:rsid w:val="00A362C3"/>
    <w:rsid w:val="00A41436"/>
    <w:rsid w:val="00A41B70"/>
    <w:rsid w:val="00A42311"/>
    <w:rsid w:val="00A44306"/>
    <w:rsid w:val="00A44684"/>
    <w:rsid w:val="00A46B9D"/>
    <w:rsid w:val="00A47147"/>
    <w:rsid w:val="00A504EA"/>
    <w:rsid w:val="00A54CD9"/>
    <w:rsid w:val="00A575DF"/>
    <w:rsid w:val="00A60EEE"/>
    <w:rsid w:val="00A61D42"/>
    <w:rsid w:val="00A66757"/>
    <w:rsid w:val="00A67211"/>
    <w:rsid w:val="00A679E5"/>
    <w:rsid w:val="00A67A86"/>
    <w:rsid w:val="00A67B55"/>
    <w:rsid w:val="00A7045C"/>
    <w:rsid w:val="00A7051C"/>
    <w:rsid w:val="00A723E9"/>
    <w:rsid w:val="00A72ADB"/>
    <w:rsid w:val="00A74B57"/>
    <w:rsid w:val="00A75525"/>
    <w:rsid w:val="00A76072"/>
    <w:rsid w:val="00A76E60"/>
    <w:rsid w:val="00A7741F"/>
    <w:rsid w:val="00A7779A"/>
    <w:rsid w:val="00A8077E"/>
    <w:rsid w:val="00A8132B"/>
    <w:rsid w:val="00A81B79"/>
    <w:rsid w:val="00A823FE"/>
    <w:rsid w:val="00A82B80"/>
    <w:rsid w:val="00A82EA2"/>
    <w:rsid w:val="00A85CBE"/>
    <w:rsid w:val="00A8717C"/>
    <w:rsid w:val="00A87A3A"/>
    <w:rsid w:val="00A906FA"/>
    <w:rsid w:val="00A91DFF"/>
    <w:rsid w:val="00A92A78"/>
    <w:rsid w:val="00A95970"/>
    <w:rsid w:val="00A96E95"/>
    <w:rsid w:val="00AA0630"/>
    <w:rsid w:val="00AA0C25"/>
    <w:rsid w:val="00AA6727"/>
    <w:rsid w:val="00AA6DE5"/>
    <w:rsid w:val="00AB1F11"/>
    <w:rsid w:val="00AB2252"/>
    <w:rsid w:val="00AB3C02"/>
    <w:rsid w:val="00AB4160"/>
    <w:rsid w:val="00AB7296"/>
    <w:rsid w:val="00AB733D"/>
    <w:rsid w:val="00AC16C1"/>
    <w:rsid w:val="00AC25BB"/>
    <w:rsid w:val="00AC4DA2"/>
    <w:rsid w:val="00AC599C"/>
    <w:rsid w:val="00AC5F14"/>
    <w:rsid w:val="00AC6208"/>
    <w:rsid w:val="00AD0B01"/>
    <w:rsid w:val="00AD0C2B"/>
    <w:rsid w:val="00AD4E64"/>
    <w:rsid w:val="00AE07C8"/>
    <w:rsid w:val="00AE1CFD"/>
    <w:rsid w:val="00AE250D"/>
    <w:rsid w:val="00AE257E"/>
    <w:rsid w:val="00AE2668"/>
    <w:rsid w:val="00AE341E"/>
    <w:rsid w:val="00AE3662"/>
    <w:rsid w:val="00AE5476"/>
    <w:rsid w:val="00AE59C2"/>
    <w:rsid w:val="00AE607E"/>
    <w:rsid w:val="00AE7D30"/>
    <w:rsid w:val="00AF2005"/>
    <w:rsid w:val="00AF36C0"/>
    <w:rsid w:val="00AF588C"/>
    <w:rsid w:val="00AF62AB"/>
    <w:rsid w:val="00AF6685"/>
    <w:rsid w:val="00AF6C6F"/>
    <w:rsid w:val="00AF7ADC"/>
    <w:rsid w:val="00B005EE"/>
    <w:rsid w:val="00B0212E"/>
    <w:rsid w:val="00B03B16"/>
    <w:rsid w:val="00B040A6"/>
    <w:rsid w:val="00B0478A"/>
    <w:rsid w:val="00B057D9"/>
    <w:rsid w:val="00B069C0"/>
    <w:rsid w:val="00B10A14"/>
    <w:rsid w:val="00B140CE"/>
    <w:rsid w:val="00B165E2"/>
    <w:rsid w:val="00B16FAA"/>
    <w:rsid w:val="00B20BA4"/>
    <w:rsid w:val="00B21812"/>
    <w:rsid w:val="00B2234C"/>
    <w:rsid w:val="00B22814"/>
    <w:rsid w:val="00B22F54"/>
    <w:rsid w:val="00B24D40"/>
    <w:rsid w:val="00B26EE2"/>
    <w:rsid w:val="00B26F3F"/>
    <w:rsid w:val="00B30839"/>
    <w:rsid w:val="00B30E1D"/>
    <w:rsid w:val="00B31788"/>
    <w:rsid w:val="00B3596D"/>
    <w:rsid w:val="00B40223"/>
    <w:rsid w:val="00B40447"/>
    <w:rsid w:val="00B41CCF"/>
    <w:rsid w:val="00B41FB4"/>
    <w:rsid w:val="00B45813"/>
    <w:rsid w:val="00B47393"/>
    <w:rsid w:val="00B50C06"/>
    <w:rsid w:val="00B531DA"/>
    <w:rsid w:val="00B539D3"/>
    <w:rsid w:val="00B54032"/>
    <w:rsid w:val="00B5495E"/>
    <w:rsid w:val="00B56EDD"/>
    <w:rsid w:val="00B57171"/>
    <w:rsid w:val="00B634B1"/>
    <w:rsid w:val="00B67EC3"/>
    <w:rsid w:val="00B70182"/>
    <w:rsid w:val="00B70EE1"/>
    <w:rsid w:val="00B716E5"/>
    <w:rsid w:val="00B8183B"/>
    <w:rsid w:val="00B83365"/>
    <w:rsid w:val="00B862EA"/>
    <w:rsid w:val="00B87A63"/>
    <w:rsid w:val="00B92410"/>
    <w:rsid w:val="00B93251"/>
    <w:rsid w:val="00B93373"/>
    <w:rsid w:val="00BA068E"/>
    <w:rsid w:val="00BA098A"/>
    <w:rsid w:val="00BA0B3B"/>
    <w:rsid w:val="00BA11EE"/>
    <w:rsid w:val="00BA171D"/>
    <w:rsid w:val="00BA17BA"/>
    <w:rsid w:val="00BA3419"/>
    <w:rsid w:val="00BA3A1D"/>
    <w:rsid w:val="00BA727A"/>
    <w:rsid w:val="00BB046B"/>
    <w:rsid w:val="00BB33A5"/>
    <w:rsid w:val="00BB60F5"/>
    <w:rsid w:val="00BB620F"/>
    <w:rsid w:val="00BB6605"/>
    <w:rsid w:val="00BB713B"/>
    <w:rsid w:val="00BC4625"/>
    <w:rsid w:val="00BC65AC"/>
    <w:rsid w:val="00BC7E05"/>
    <w:rsid w:val="00BC7E8A"/>
    <w:rsid w:val="00BD0681"/>
    <w:rsid w:val="00BD0E64"/>
    <w:rsid w:val="00BD431B"/>
    <w:rsid w:val="00BD4EF2"/>
    <w:rsid w:val="00BD5F5B"/>
    <w:rsid w:val="00BD771B"/>
    <w:rsid w:val="00BE0423"/>
    <w:rsid w:val="00BE0A0A"/>
    <w:rsid w:val="00BE158C"/>
    <w:rsid w:val="00BE24CF"/>
    <w:rsid w:val="00BE38A7"/>
    <w:rsid w:val="00BE3F51"/>
    <w:rsid w:val="00BE4AFE"/>
    <w:rsid w:val="00BE73A4"/>
    <w:rsid w:val="00BE7BDD"/>
    <w:rsid w:val="00BE7DD2"/>
    <w:rsid w:val="00BF127A"/>
    <w:rsid w:val="00BF1854"/>
    <w:rsid w:val="00BF2D7E"/>
    <w:rsid w:val="00BF2D94"/>
    <w:rsid w:val="00BF3657"/>
    <w:rsid w:val="00BF6979"/>
    <w:rsid w:val="00BF7D8B"/>
    <w:rsid w:val="00C0655F"/>
    <w:rsid w:val="00C06849"/>
    <w:rsid w:val="00C07603"/>
    <w:rsid w:val="00C11B09"/>
    <w:rsid w:val="00C12DD9"/>
    <w:rsid w:val="00C16A71"/>
    <w:rsid w:val="00C17404"/>
    <w:rsid w:val="00C178FB"/>
    <w:rsid w:val="00C23029"/>
    <w:rsid w:val="00C2529D"/>
    <w:rsid w:val="00C268A1"/>
    <w:rsid w:val="00C2752C"/>
    <w:rsid w:val="00C27DFC"/>
    <w:rsid w:val="00C30638"/>
    <w:rsid w:val="00C306F6"/>
    <w:rsid w:val="00C30FB8"/>
    <w:rsid w:val="00C3156D"/>
    <w:rsid w:val="00C3258D"/>
    <w:rsid w:val="00C3274F"/>
    <w:rsid w:val="00C328B8"/>
    <w:rsid w:val="00C35AEE"/>
    <w:rsid w:val="00C365D4"/>
    <w:rsid w:val="00C36B3F"/>
    <w:rsid w:val="00C36F66"/>
    <w:rsid w:val="00C41C66"/>
    <w:rsid w:val="00C41CC8"/>
    <w:rsid w:val="00C43C8C"/>
    <w:rsid w:val="00C52581"/>
    <w:rsid w:val="00C54288"/>
    <w:rsid w:val="00C544FC"/>
    <w:rsid w:val="00C6038C"/>
    <w:rsid w:val="00C62ABD"/>
    <w:rsid w:val="00C62F31"/>
    <w:rsid w:val="00C65968"/>
    <w:rsid w:val="00C665C3"/>
    <w:rsid w:val="00C66D20"/>
    <w:rsid w:val="00C72D95"/>
    <w:rsid w:val="00C7494D"/>
    <w:rsid w:val="00C74BC0"/>
    <w:rsid w:val="00C75004"/>
    <w:rsid w:val="00C7650D"/>
    <w:rsid w:val="00C81836"/>
    <w:rsid w:val="00C8355D"/>
    <w:rsid w:val="00C87FB0"/>
    <w:rsid w:val="00C90063"/>
    <w:rsid w:val="00C9070D"/>
    <w:rsid w:val="00C93B96"/>
    <w:rsid w:val="00C945DE"/>
    <w:rsid w:val="00C95472"/>
    <w:rsid w:val="00C95C53"/>
    <w:rsid w:val="00C9655A"/>
    <w:rsid w:val="00CA0886"/>
    <w:rsid w:val="00CA0908"/>
    <w:rsid w:val="00CA158C"/>
    <w:rsid w:val="00CA382C"/>
    <w:rsid w:val="00CA4CF0"/>
    <w:rsid w:val="00CA5E4F"/>
    <w:rsid w:val="00CA77B6"/>
    <w:rsid w:val="00CB1359"/>
    <w:rsid w:val="00CB190D"/>
    <w:rsid w:val="00CB1C66"/>
    <w:rsid w:val="00CB7F1F"/>
    <w:rsid w:val="00CC10EE"/>
    <w:rsid w:val="00CC15EC"/>
    <w:rsid w:val="00CC3736"/>
    <w:rsid w:val="00CC44EB"/>
    <w:rsid w:val="00CC460E"/>
    <w:rsid w:val="00CC4D99"/>
    <w:rsid w:val="00CC50DF"/>
    <w:rsid w:val="00CC72E7"/>
    <w:rsid w:val="00CD03D3"/>
    <w:rsid w:val="00CD2114"/>
    <w:rsid w:val="00CD2CE4"/>
    <w:rsid w:val="00CD365D"/>
    <w:rsid w:val="00CD3AB4"/>
    <w:rsid w:val="00CD46B2"/>
    <w:rsid w:val="00CD6DBC"/>
    <w:rsid w:val="00CD76CE"/>
    <w:rsid w:val="00CD78AD"/>
    <w:rsid w:val="00CE14FC"/>
    <w:rsid w:val="00CE26D8"/>
    <w:rsid w:val="00CE3290"/>
    <w:rsid w:val="00CE57B3"/>
    <w:rsid w:val="00CE5E0C"/>
    <w:rsid w:val="00CE6B2B"/>
    <w:rsid w:val="00CF08F0"/>
    <w:rsid w:val="00CF102C"/>
    <w:rsid w:val="00CF1960"/>
    <w:rsid w:val="00CF26FA"/>
    <w:rsid w:val="00CF44AD"/>
    <w:rsid w:val="00D00C96"/>
    <w:rsid w:val="00D011D6"/>
    <w:rsid w:val="00D012B0"/>
    <w:rsid w:val="00D013BA"/>
    <w:rsid w:val="00D01A01"/>
    <w:rsid w:val="00D0246F"/>
    <w:rsid w:val="00D02C8F"/>
    <w:rsid w:val="00D03A12"/>
    <w:rsid w:val="00D05C97"/>
    <w:rsid w:val="00D06972"/>
    <w:rsid w:val="00D06C05"/>
    <w:rsid w:val="00D10631"/>
    <w:rsid w:val="00D11337"/>
    <w:rsid w:val="00D117CE"/>
    <w:rsid w:val="00D11EBE"/>
    <w:rsid w:val="00D121C1"/>
    <w:rsid w:val="00D13A68"/>
    <w:rsid w:val="00D1468B"/>
    <w:rsid w:val="00D1608A"/>
    <w:rsid w:val="00D16C6D"/>
    <w:rsid w:val="00D17B30"/>
    <w:rsid w:val="00D17C6B"/>
    <w:rsid w:val="00D213EB"/>
    <w:rsid w:val="00D2190F"/>
    <w:rsid w:val="00D223B4"/>
    <w:rsid w:val="00D22DAD"/>
    <w:rsid w:val="00D23373"/>
    <w:rsid w:val="00D240F2"/>
    <w:rsid w:val="00D2523C"/>
    <w:rsid w:val="00D2574C"/>
    <w:rsid w:val="00D26C55"/>
    <w:rsid w:val="00D27D70"/>
    <w:rsid w:val="00D30041"/>
    <w:rsid w:val="00D30AE9"/>
    <w:rsid w:val="00D30F55"/>
    <w:rsid w:val="00D310BB"/>
    <w:rsid w:val="00D357E4"/>
    <w:rsid w:val="00D374DE"/>
    <w:rsid w:val="00D40931"/>
    <w:rsid w:val="00D41F0A"/>
    <w:rsid w:val="00D4317C"/>
    <w:rsid w:val="00D436ED"/>
    <w:rsid w:val="00D44B6E"/>
    <w:rsid w:val="00D45492"/>
    <w:rsid w:val="00D45A14"/>
    <w:rsid w:val="00D53FAF"/>
    <w:rsid w:val="00D55BAB"/>
    <w:rsid w:val="00D57088"/>
    <w:rsid w:val="00D610FA"/>
    <w:rsid w:val="00D632C3"/>
    <w:rsid w:val="00D6580B"/>
    <w:rsid w:val="00D67A16"/>
    <w:rsid w:val="00D70339"/>
    <w:rsid w:val="00D70554"/>
    <w:rsid w:val="00D705C8"/>
    <w:rsid w:val="00D70941"/>
    <w:rsid w:val="00D758EC"/>
    <w:rsid w:val="00D76AE3"/>
    <w:rsid w:val="00D809ED"/>
    <w:rsid w:val="00D82F93"/>
    <w:rsid w:val="00D83B75"/>
    <w:rsid w:val="00D874CB"/>
    <w:rsid w:val="00D8757B"/>
    <w:rsid w:val="00D945B5"/>
    <w:rsid w:val="00D9525A"/>
    <w:rsid w:val="00D96424"/>
    <w:rsid w:val="00D967E2"/>
    <w:rsid w:val="00DA162E"/>
    <w:rsid w:val="00DA1D2B"/>
    <w:rsid w:val="00DA373A"/>
    <w:rsid w:val="00DA3C88"/>
    <w:rsid w:val="00DA4AC7"/>
    <w:rsid w:val="00DA4D44"/>
    <w:rsid w:val="00DA4D8A"/>
    <w:rsid w:val="00DA5858"/>
    <w:rsid w:val="00DA5ED3"/>
    <w:rsid w:val="00DA67BE"/>
    <w:rsid w:val="00DB2299"/>
    <w:rsid w:val="00DB2B8B"/>
    <w:rsid w:val="00DB3112"/>
    <w:rsid w:val="00DB330B"/>
    <w:rsid w:val="00DB4B63"/>
    <w:rsid w:val="00DB62D2"/>
    <w:rsid w:val="00DB725D"/>
    <w:rsid w:val="00DC008D"/>
    <w:rsid w:val="00DC032A"/>
    <w:rsid w:val="00DC0593"/>
    <w:rsid w:val="00DC0806"/>
    <w:rsid w:val="00DC2093"/>
    <w:rsid w:val="00DC3068"/>
    <w:rsid w:val="00DC3C07"/>
    <w:rsid w:val="00DC3C73"/>
    <w:rsid w:val="00DC4E29"/>
    <w:rsid w:val="00DC55AE"/>
    <w:rsid w:val="00DC7511"/>
    <w:rsid w:val="00DC777F"/>
    <w:rsid w:val="00DC7C0D"/>
    <w:rsid w:val="00DD04BF"/>
    <w:rsid w:val="00DD16DA"/>
    <w:rsid w:val="00DD308C"/>
    <w:rsid w:val="00DD3A21"/>
    <w:rsid w:val="00DD44B3"/>
    <w:rsid w:val="00DD53E9"/>
    <w:rsid w:val="00DD5C8D"/>
    <w:rsid w:val="00DE0B2E"/>
    <w:rsid w:val="00DE2176"/>
    <w:rsid w:val="00DE63A8"/>
    <w:rsid w:val="00DE7AA9"/>
    <w:rsid w:val="00DF5939"/>
    <w:rsid w:val="00DF5E45"/>
    <w:rsid w:val="00DF6A7B"/>
    <w:rsid w:val="00E03D5A"/>
    <w:rsid w:val="00E05272"/>
    <w:rsid w:val="00E10E6A"/>
    <w:rsid w:val="00E118BE"/>
    <w:rsid w:val="00E15D8F"/>
    <w:rsid w:val="00E2181A"/>
    <w:rsid w:val="00E21912"/>
    <w:rsid w:val="00E21A38"/>
    <w:rsid w:val="00E21FE5"/>
    <w:rsid w:val="00E24A0E"/>
    <w:rsid w:val="00E24C54"/>
    <w:rsid w:val="00E25171"/>
    <w:rsid w:val="00E255EC"/>
    <w:rsid w:val="00E32749"/>
    <w:rsid w:val="00E337A4"/>
    <w:rsid w:val="00E355E8"/>
    <w:rsid w:val="00E366E1"/>
    <w:rsid w:val="00E409C5"/>
    <w:rsid w:val="00E40FED"/>
    <w:rsid w:val="00E4163A"/>
    <w:rsid w:val="00E4234E"/>
    <w:rsid w:val="00E45C6E"/>
    <w:rsid w:val="00E52C40"/>
    <w:rsid w:val="00E537CF"/>
    <w:rsid w:val="00E53AA2"/>
    <w:rsid w:val="00E5607E"/>
    <w:rsid w:val="00E560CB"/>
    <w:rsid w:val="00E6035D"/>
    <w:rsid w:val="00E61177"/>
    <w:rsid w:val="00E61846"/>
    <w:rsid w:val="00E6198B"/>
    <w:rsid w:val="00E63639"/>
    <w:rsid w:val="00E7205C"/>
    <w:rsid w:val="00E721DB"/>
    <w:rsid w:val="00E74BBB"/>
    <w:rsid w:val="00E77D64"/>
    <w:rsid w:val="00E82A02"/>
    <w:rsid w:val="00E83080"/>
    <w:rsid w:val="00E84E49"/>
    <w:rsid w:val="00E91200"/>
    <w:rsid w:val="00E9245A"/>
    <w:rsid w:val="00EA0376"/>
    <w:rsid w:val="00EA12A3"/>
    <w:rsid w:val="00EA25A5"/>
    <w:rsid w:val="00EA64C1"/>
    <w:rsid w:val="00EA6C20"/>
    <w:rsid w:val="00EB043C"/>
    <w:rsid w:val="00EB18E7"/>
    <w:rsid w:val="00EB2666"/>
    <w:rsid w:val="00EB3787"/>
    <w:rsid w:val="00EB3A97"/>
    <w:rsid w:val="00EB4941"/>
    <w:rsid w:val="00EB7AFB"/>
    <w:rsid w:val="00EC196A"/>
    <w:rsid w:val="00EC2459"/>
    <w:rsid w:val="00ED684B"/>
    <w:rsid w:val="00EE0C79"/>
    <w:rsid w:val="00EE1454"/>
    <w:rsid w:val="00EE14EC"/>
    <w:rsid w:val="00EE48D0"/>
    <w:rsid w:val="00EE4E22"/>
    <w:rsid w:val="00EE4FB9"/>
    <w:rsid w:val="00EE54F0"/>
    <w:rsid w:val="00EE5CAC"/>
    <w:rsid w:val="00EE6E21"/>
    <w:rsid w:val="00EF0CF4"/>
    <w:rsid w:val="00EF1399"/>
    <w:rsid w:val="00EF1595"/>
    <w:rsid w:val="00EF1DCD"/>
    <w:rsid w:val="00EF4DD9"/>
    <w:rsid w:val="00EF5C5C"/>
    <w:rsid w:val="00EF5E60"/>
    <w:rsid w:val="00EF7093"/>
    <w:rsid w:val="00F006A4"/>
    <w:rsid w:val="00F0123F"/>
    <w:rsid w:val="00F059C0"/>
    <w:rsid w:val="00F061DD"/>
    <w:rsid w:val="00F0656E"/>
    <w:rsid w:val="00F075FE"/>
    <w:rsid w:val="00F07CB5"/>
    <w:rsid w:val="00F10F3C"/>
    <w:rsid w:val="00F1190A"/>
    <w:rsid w:val="00F133C6"/>
    <w:rsid w:val="00F166A6"/>
    <w:rsid w:val="00F2089D"/>
    <w:rsid w:val="00F20B18"/>
    <w:rsid w:val="00F25CAC"/>
    <w:rsid w:val="00F26ED3"/>
    <w:rsid w:val="00F301AB"/>
    <w:rsid w:val="00F305A5"/>
    <w:rsid w:val="00F3076A"/>
    <w:rsid w:val="00F31A4B"/>
    <w:rsid w:val="00F376BE"/>
    <w:rsid w:val="00F408D5"/>
    <w:rsid w:val="00F4136B"/>
    <w:rsid w:val="00F433B8"/>
    <w:rsid w:val="00F440EE"/>
    <w:rsid w:val="00F44762"/>
    <w:rsid w:val="00F44780"/>
    <w:rsid w:val="00F45A7A"/>
    <w:rsid w:val="00F464F0"/>
    <w:rsid w:val="00F5361B"/>
    <w:rsid w:val="00F5509C"/>
    <w:rsid w:val="00F56399"/>
    <w:rsid w:val="00F56AFC"/>
    <w:rsid w:val="00F60AD1"/>
    <w:rsid w:val="00F60E61"/>
    <w:rsid w:val="00F63D96"/>
    <w:rsid w:val="00F64782"/>
    <w:rsid w:val="00F65865"/>
    <w:rsid w:val="00F65F32"/>
    <w:rsid w:val="00F70CB5"/>
    <w:rsid w:val="00F717E8"/>
    <w:rsid w:val="00F72EDF"/>
    <w:rsid w:val="00F72F88"/>
    <w:rsid w:val="00F75522"/>
    <w:rsid w:val="00F7776D"/>
    <w:rsid w:val="00F80246"/>
    <w:rsid w:val="00F80BB4"/>
    <w:rsid w:val="00F834E7"/>
    <w:rsid w:val="00F84A01"/>
    <w:rsid w:val="00F854E4"/>
    <w:rsid w:val="00F85994"/>
    <w:rsid w:val="00F86724"/>
    <w:rsid w:val="00F86D30"/>
    <w:rsid w:val="00F8733E"/>
    <w:rsid w:val="00F92868"/>
    <w:rsid w:val="00F94047"/>
    <w:rsid w:val="00F95390"/>
    <w:rsid w:val="00F95672"/>
    <w:rsid w:val="00F97E5E"/>
    <w:rsid w:val="00FA11D9"/>
    <w:rsid w:val="00FA1B20"/>
    <w:rsid w:val="00FA6046"/>
    <w:rsid w:val="00FB19A9"/>
    <w:rsid w:val="00FB1DCC"/>
    <w:rsid w:val="00FB2CAB"/>
    <w:rsid w:val="00FB4451"/>
    <w:rsid w:val="00FB55B2"/>
    <w:rsid w:val="00FB5CEC"/>
    <w:rsid w:val="00FB67B6"/>
    <w:rsid w:val="00FB7608"/>
    <w:rsid w:val="00FC1217"/>
    <w:rsid w:val="00FC134F"/>
    <w:rsid w:val="00FC1D51"/>
    <w:rsid w:val="00FC2C13"/>
    <w:rsid w:val="00FC36D7"/>
    <w:rsid w:val="00FC596F"/>
    <w:rsid w:val="00FC65C0"/>
    <w:rsid w:val="00FC6CA6"/>
    <w:rsid w:val="00FC6F38"/>
    <w:rsid w:val="00FC7E90"/>
    <w:rsid w:val="00FD05D1"/>
    <w:rsid w:val="00FD08B2"/>
    <w:rsid w:val="00FD27AE"/>
    <w:rsid w:val="00FD2916"/>
    <w:rsid w:val="00FD43B3"/>
    <w:rsid w:val="00FD4450"/>
    <w:rsid w:val="00FD5F1E"/>
    <w:rsid w:val="00FD5FA9"/>
    <w:rsid w:val="00FD66BC"/>
    <w:rsid w:val="00FD68D2"/>
    <w:rsid w:val="00FD73A8"/>
    <w:rsid w:val="00FE20A0"/>
    <w:rsid w:val="00FE34EB"/>
    <w:rsid w:val="00FE774B"/>
    <w:rsid w:val="00FF2A5C"/>
    <w:rsid w:val="00FF41D4"/>
    <w:rsid w:val="00FF4E9D"/>
    <w:rsid w:val="00FF722A"/>
    <w:rsid w:val="00FF77BD"/>
    <w:rsid w:val="00FF7B9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style="mso-width-relative:margin;mso-height-relative:margin" fill="f" fillcolor="white" stroke="f">
      <v:fill color="white" on="f"/>
      <v:stroke on="f"/>
      <v:textbox style="layout-flow:vertical;mso-layout-flow-alt:bottom-to-top"/>
      <o:colormru v:ext="edit" colors="#daf2e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Title" w:semiHidden="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semiHidden/>
    <w:qFormat/>
    <w:rsid w:val="00DF6A7B"/>
    <w:pPr>
      <w:spacing w:before="60" w:after="120" w:line="280" w:lineRule="atLeast"/>
    </w:pPr>
    <w:rPr>
      <w:rFonts w:ascii="Franklin Gothic Book" w:hAnsi="Franklin Gothic Book"/>
    </w:rPr>
  </w:style>
  <w:style w:type="paragraph" w:styleId="Heading1">
    <w:name w:val="heading 1"/>
    <w:basedOn w:val="Normal"/>
    <w:next w:val="Normal"/>
    <w:semiHidden/>
    <w:qFormat/>
    <w:rsid w:val="00DF6A7B"/>
    <w:pPr>
      <w:keepNext/>
      <w:tabs>
        <w:tab w:val="left" w:pos="397"/>
      </w:tabs>
      <w:spacing w:before="240" w:after="240"/>
      <w:outlineLvl w:val="0"/>
    </w:pPr>
    <w:rPr>
      <w:rFonts w:ascii="Franklin Gothic Demi" w:hAnsi="Franklin Gothic Demi"/>
      <w:caps/>
      <w:sz w:val="30"/>
    </w:rPr>
  </w:style>
  <w:style w:type="paragraph" w:styleId="Heading2">
    <w:name w:val="heading 2"/>
    <w:basedOn w:val="Heading1"/>
    <w:next w:val="Normal"/>
    <w:semiHidden/>
    <w:qFormat/>
    <w:rsid w:val="00B24D40"/>
    <w:pPr>
      <w:numPr>
        <w:ilvl w:val="1"/>
      </w:numPr>
      <w:tabs>
        <w:tab w:val="clear" w:pos="397"/>
        <w:tab w:val="left" w:pos="567"/>
      </w:tabs>
      <w:outlineLvl w:val="1"/>
    </w:pPr>
    <w:rPr>
      <w:caps w:val="0"/>
      <w:smallCaps/>
      <w:sz w:val="28"/>
    </w:rPr>
  </w:style>
  <w:style w:type="paragraph" w:styleId="Heading3">
    <w:name w:val="heading 3"/>
    <w:basedOn w:val="Heading2"/>
    <w:next w:val="Normal"/>
    <w:semiHidden/>
    <w:qFormat/>
    <w:rsid w:val="00B24D40"/>
    <w:pPr>
      <w:numPr>
        <w:ilvl w:val="2"/>
      </w:numPr>
      <w:tabs>
        <w:tab w:val="clear" w:pos="567"/>
        <w:tab w:val="left" w:pos="794"/>
      </w:tabs>
      <w:outlineLvl w:val="2"/>
    </w:pPr>
  </w:style>
  <w:style w:type="paragraph" w:styleId="Heading4">
    <w:name w:val="heading 4"/>
    <w:basedOn w:val="Heading1"/>
    <w:next w:val="Normal"/>
    <w:semiHidden/>
    <w:qFormat/>
    <w:rsid w:val="00B24D40"/>
    <w:pPr>
      <w:numPr>
        <w:ilvl w:val="3"/>
      </w:numPr>
      <w:tabs>
        <w:tab w:val="clear" w:pos="397"/>
        <w:tab w:val="left" w:pos="964"/>
      </w:tabs>
      <w:outlineLvl w:val="3"/>
    </w:pPr>
    <w:rPr>
      <w:caps w:val="0"/>
      <w:smallCaps/>
      <w:sz w:val="24"/>
    </w:rPr>
  </w:style>
  <w:style w:type="paragraph" w:styleId="Heading5">
    <w:name w:val="heading 5"/>
    <w:basedOn w:val="Heading1"/>
    <w:next w:val="Normal"/>
    <w:semiHidden/>
    <w:qFormat/>
    <w:rsid w:val="00B24D40"/>
    <w:pPr>
      <w:numPr>
        <w:ilvl w:val="4"/>
      </w:numPr>
      <w:tabs>
        <w:tab w:val="clear" w:pos="397"/>
        <w:tab w:val="left" w:pos="1134"/>
      </w:tabs>
      <w:outlineLvl w:val="4"/>
    </w:pPr>
    <w:rPr>
      <w:caps w:val="0"/>
      <w:smallCaps/>
      <w:sz w:val="24"/>
    </w:rPr>
  </w:style>
  <w:style w:type="paragraph" w:styleId="Heading6">
    <w:name w:val="heading 6"/>
    <w:basedOn w:val="Normal"/>
    <w:next w:val="Normal"/>
    <w:semiHidden/>
    <w:qFormat/>
    <w:rsid w:val="00B24D40"/>
    <w:pPr>
      <w:keepNext/>
      <w:numPr>
        <w:ilvl w:val="5"/>
        <w:numId w:val="1"/>
      </w:numPr>
      <w:tabs>
        <w:tab w:val="clear" w:pos="0"/>
        <w:tab w:val="left" w:pos="1361"/>
      </w:tabs>
      <w:spacing w:before="240" w:after="240"/>
      <w:outlineLvl w:val="5"/>
    </w:pPr>
    <w:rPr>
      <w:rFonts w:ascii="Franklin Gothic Demi" w:hAnsi="Franklin Gothic Demi"/>
      <w:smallCaps/>
      <w:sz w:val="24"/>
    </w:rPr>
  </w:style>
  <w:style w:type="paragraph" w:styleId="Heading7">
    <w:name w:val="heading 7"/>
    <w:basedOn w:val="Heading6"/>
    <w:next w:val="Normal"/>
    <w:semiHidden/>
    <w:qFormat/>
    <w:rsid w:val="00B24D40"/>
    <w:pPr>
      <w:numPr>
        <w:ilvl w:val="6"/>
      </w:numPr>
      <w:tabs>
        <w:tab w:val="clear" w:pos="0"/>
        <w:tab w:val="clear" w:pos="1361"/>
        <w:tab w:val="left" w:pos="1588"/>
      </w:tabs>
      <w:outlineLvl w:val="6"/>
    </w:pPr>
  </w:style>
  <w:style w:type="paragraph" w:styleId="Heading8">
    <w:name w:val="heading 8"/>
    <w:basedOn w:val="Heading7"/>
    <w:next w:val="Normal"/>
    <w:semiHidden/>
    <w:qFormat/>
    <w:rsid w:val="009464A2"/>
    <w:pPr>
      <w:numPr>
        <w:ilvl w:val="7"/>
      </w:numPr>
      <w:tabs>
        <w:tab w:val="clear" w:pos="0"/>
        <w:tab w:val="clear" w:pos="1588"/>
        <w:tab w:val="left" w:pos="1814"/>
      </w:tabs>
      <w:outlineLvl w:val="7"/>
    </w:pPr>
  </w:style>
  <w:style w:type="paragraph" w:styleId="Heading9">
    <w:name w:val="heading 9"/>
    <w:basedOn w:val="Normal"/>
    <w:next w:val="Normal"/>
    <w:semiHidden/>
    <w:rsid w:val="003C3F01"/>
    <w:pPr>
      <w:numPr>
        <w:ilvl w:val="8"/>
        <w:numId w:val="1"/>
      </w:numPr>
      <w:tabs>
        <w:tab w:val="clear" w:pos="1702"/>
        <w:tab w:val="left" w:pos="397"/>
      </w:tabs>
      <w:ind w:left="0"/>
      <w:outlineLvl w:val="8"/>
    </w:pPr>
    <w:rPr>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B31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E780C"/>
    <w:rPr>
      <w:rFonts w:ascii="Tahoma" w:hAnsi="Tahoma" w:cs="Tahoma"/>
      <w:sz w:val="16"/>
      <w:szCs w:val="16"/>
    </w:rPr>
  </w:style>
  <w:style w:type="paragraph" w:customStyle="1" w:styleId="HUNBullet1">
    <w:name w:val="HUN_Bullet 1"/>
    <w:basedOn w:val="Normal"/>
    <w:qFormat/>
    <w:rsid w:val="00ED684B"/>
    <w:pPr>
      <w:numPr>
        <w:numId w:val="2"/>
      </w:numPr>
      <w:ind w:left="568" w:hanging="284"/>
      <w:jc w:val="both"/>
    </w:pPr>
  </w:style>
  <w:style w:type="paragraph" w:customStyle="1" w:styleId="HUNBullet2">
    <w:name w:val="HUN_Bullet 2"/>
    <w:basedOn w:val="Normal"/>
    <w:qFormat/>
    <w:rsid w:val="00ED684B"/>
    <w:pPr>
      <w:numPr>
        <w:numId w:val="3"/>
      </w:numPr>
      <w:tabs>
        <w:tab w:val="left" w:pos="907"/>
      </w:tabs>
      <w:ind w:left="851" w:hanging="284"/>
      <w:jc w:val="both"/>
    </w:pPr>
  </w:style>
  <w:style w:type="paragraph" w:customStyle="1" w:styleId="HUNBullet3">
    <w:name w:val="HUN_Bullet 3"/>
    <w:basedOn w:val="Normal"/>
    <w:qFormat/>
    <w:rsid w:val="00ED684B"/>
    <w:pPr>
      <w:numPr>
        <w:numId w:val="4"/>
      </w:numPr>
      <w:tabs>
        <w:tab w:val="left" w:pos="1191"/>
      </w:tabs>
      <w:ind w:left="1135" w:hanging="284"/>
      <w:jc w:val="both"/>
    </w:pPr>
  </w:style>
  <w:style w:type="paragraph" w:customStyle="1" w:styleId="HUNAlphabeticallist1">
    <w:name w:val="HUN_Alphabetical list 1"/>
    <w:basedOn w:val="Normal"/>
    <w:qFormat/>
    <w:rsid w:val="00C41CC8"/>
    <w:pPr>
      <w:numPr>
        <w:numId w:val="5"/>
      </w:numPr>
      <w:ind w:left="568" w:hanging="284"/>
      <w:jc w:val="both"/>
    </w:pPr>
  </w:style>
  <w:style w:type="paragraph" w:customStyle="1" w:styleId="HUNAnnexheading1">
    <w:name w:val="HUN_Annex heading 1"/>
    <w:basedOn w:val="Heading1"/>
    <w:next w:val="Normal"/>
    <w:qFormat/>
    <w:rsid w:val="00EF0CF4"/>
  </w:style>
  <w:style w:type="paragraph" w:customStyle="1" w:styleId="HUNAnnexheading2">
    <w:name w:val="HUN_Annex heading 2"/>
    <w:basedOn w:val="Heading2"/>
    <w:next w:val="Normal"/>
    <w:qFormat/>
    <w:rsid w:val="00EF0CF4"/>
    <w:pPr>
      <w:pageBreakBefore/>
      <w:numPr>
        <w:ilvl w:val="0"/>
        <w:numId w:val="6"/>
      </w:numPr>
      <w:tabs>
        <w:tab w:val="clear" w:pos="567"/>
        <w:tab w:val="left" w:pos="397"/>
      </w:tabs>
      <w:ind w:left="0" w:firstLine="0"/>
    </w:pPr>
  </w:style>
  <w:style w:type="table" w:styleId="TableGrid">
    <w:name w:val="Table Grid"/>
    <w:basedOn w:val="TableNormal"/>
    <w:rsid w:val="00067F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AM">
    <w:name w:val="AAM"/>
    <w:basedOn w:val="TableNormal"/>
    <w:uiPriority w:val="99"/>
    <w:qFormat/>
    <w:rsid w:val="00BD771B"/>
    <w:pPr>
      <w:ind w:left="57" w:right="57"/>
    </w:pPr>
    <w:rPr>
      <w:rFonts w:ascii="Franklin Gothic Book" w:hAnsi="Franklin Gothic Book"/>
    </w:rPr>
    <w:tblPr>
      <w:tblStyleRowBandSize w:val="1"/>
      <w:tblStyleColBandSize w:val="1"/>
      <w:tblInd w:w="57" w:type="dxa"/>
      <w:tblBorders>
        <w:insideH w:val="single" w:sz="4" w:space="0" w:color="DCEEC5"/>
      </w:tblBorders>
      <w:tblCellMar>
        <w:top w:w="0" w:type="dxa"/>
        <w:left w:w="0" w:type="dxa"/>
        <w:bottom w:w="0" w:type="dxa"/>
        <w:right w:w="0" w:type="dxa"/>
      </w:tblCellMar>
    </w:tblPr>
    <w:tcPr>
      <w:shd w:val="clear" w:color="auto" w:fill="auto"/>
    </w:tcPr>
    <w:tblStylePr w:type="firstRow">
      <w:rPr>
        <w:rFonts w:ascii="Franklin Gothic Book" w:hAnsi="Franklin Gothic Book"/>
        <w:b/>
        <w:caps w:val="0"/>
        <w:smallCaps/>
        <w:sz w:val="20"/>
      </w:rPr>
      <w:tblPr/>
      <w:tcPr>
        <w:tcBorders>
          <w:bottom w:val="nil"/>
        </w:tcBorders>
        <w:shd w:val="clear" w:color="auto" w:fill="76923C"/>
      </w:tcPr>
    </w:tblStylePr>
    <w:tblStylePr w:type="lastRow">
      <w:rPr>
        <w:rFonts w:ascii="Franklin Gothic Book" w:hAnsi="Franklin Gothic Book"/>
        <w:b/>
        <w:caps w:val="0"/>
        <w:smallCaps/>
        <w:sz w:val="20"/>
      </w:rPr>
      <w:tblPr/>
      <w:tcPr>
        <w:tcBorders>
          <w:top w:val="nil"/>
        </w:tcBorders>
        <w:shd w:val="clear" w:color="auto" w:fill="76923C"/>
      </w:tcPr>
    </w:tblStylePr>
    <w:tblStylePr w:type="firstCol">
      <w:rPr>
        <w:rFonts w:ascii="Franklin Gothic Book" w:hAnsi="Franklin Gothic Book"/>
        <w:b/>
        <w:caps w:val="0"/>
        <w:smallCaps/>
        <w:sz w:val="20"/>
      </w:rPr>
      <w:tblPr/>
      <w:tcPr>
        <w:shd w:val="clear" w:color="auto" w:fill="76923C"/>
      </w:tcPr>
    </w:tblStylePr>
    <w:tblStylePr w:type="lastCol">
      <w:rPr>
        <w:rFonts w:ascii="Franklin Gothic Book" w:hAnsi="Franklin Gothic Book"/>
        <w:b/>
        <w:caps w:val="0"/>
        <w:smallCaps/>
        <w:sz w:val="20"/>
      </w:rPr>
      <w:tblPr/>
      <w:tcPr>
        <w:shd w:val="clear" w:color="auto" w:fill="76923C"/>
      </w:tc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Pr/>
      <w:tcPr>
        <w:tcBorders>
          <w:top w:val="nil"/>
          <w:left w:val="nil"/>
          <w:bottom w:val="nil"/>
          <w:right w:val="nil"/>
          <w:insideH w:val="nil"/>
          <w:insideV w:val="nil"/>
          <w:tl2br w:val="nil"/>
          <w:tr2bl w:val="nil"/>
        </w:tcBorders>
        <w:shd w:val="clear" w:color="auto" w:fill="C2D69B"/>
      </w:tcPr>
    </w:tblStylePr>
    <w:tblStylePr w:type="band2Horz">
      <w:rPr>
        <w:rFonts w:ascii="Franklin Gothic Book" w:hAnsi="Franklin Gothic Book"/>
        <w:sz w:val="20"/>
      </w:rPr>
      <w:tblPr/>
      <w:tcPr>
        <w:tcBorders>
          <w:top w:val="nil"/>
          <w:left w:val="nil"/>
          <w:bottom w:val="nil"/>
          <w:right w:val="nil"/>
          <w:insideH w:val="nil"/>
          <w:insideV w:val="nil"/>
          <w:tl2br w:val="nil"/>
          <w:tr2bl w:val="nil"/>
        </w:tcBorders>
        <w:shd w:val="clear" w:color="auto" w:fill="D6E3BC"/>
      </w:tcPr>
    </w:tblStylePr>
    <w:tblStylePr w:type="neCell">
      <w:tblPr/>
      <w:tcPr>
        <w:tcBorders>
          <w:bottom w:val="nil"/>
        </w:tcBorders>
        <w:shd w:val="clear" w:color="auto" w:fill="76923C"/>
      </w:tcPr>
    </w:tblStylePr>
    <w:tblStylePr w:type="nwCell">
      <w:tblPr/>
      <w:tcPr>
        <w:tcBorders>
          <w:bottom w:val="nil"/>
        </w:tcBorders>
        <w:shd w:val="clear" w:color="auto" w:fill="76923C"/>
      </w:tcPr>
    </w:tblStylePr>
    <w:tblStylePr w:type="seCell">
      <w:tblPr/>
      <w:tcPr>
        <w:tcBorders>
          <w:top w:val="nil"/>
        </w:tcBorders>
        <w:shd w:val="clear" w:color="auto" w:fill="76923C"/>
      </w:tcPr>
    </w:tblStylePr>
    <w:tblStylePr w:type="swCell">
      <w:tblPr/>
      <w:tcPr>
        <w:tcBorders>
          <w:top w:val="nil"/>
        </w:tcBorders>
        <w:shd w:val="clear" w:color="auto" w:fill="76923C"/>
      </w:tcPr>
    </w:tblStylePr>
  </w:style>
  <w:style w:type="table" w:customStyle="1" w:styleId="AAM4">
    <w:name w:val="AAM4"/>
    <w:basedOn w:val="TableNormal"/>
    <w:uiPriority w:val="99"/>
    <w:qFormat/>
    <w:rsid w:val="002632C3"/>
    <w:pPr>
      <w:spacing w:before="60" w:after="120" w:line="280" w:lineRule="atLeast"/>
      <w:ind w:left="57" w:right="57"/>
    </w:pPr>
    <w:rPr>
      <w:rFonts w:ascii="Franklin Gothic Book" w:hAnsi="Franklin Gothic Book"/>
    </w:rPr>
    <w:tblPr>
      <w:tblInd w:w="57" w:type="dxa"/>
      <w:tblBorders>
        <w:top w:val="single" w:sz="18" w:space="0" w:color="53564F"/>
        <w:left w:val="single" w:sz="18" w:space="0" w:color="53564F"/>
        <w:bottom w:val="single" w:sz="18" w:space="0" w:color="53564F"/>
        <w:right w:val="single" w:sz="18" w:space="0" w:color="53564F"/>
        <w:insideH w:val="single" w:sz="8" w:space="0" w:color="53564F"/>
        <w:insideV w:val="single" w:sz="8" w:space="0" w:color="53564F"/>
      </w:tblBorders>
      <w:tblCellMar>
        <w:top w:w="0" w:type="dxa"/>
        <w:left w:w="0" w:type="dxa"/>
        <w:bottom w:w="0" w:type="dxa"/>
        <w:right w:w="0" w:type="dxa"/>
      </w:tblCellMar>
    </w:tblPr>
    <w:tcPr>
      <w:shd w:val="clear" w:color="auto" w:fill="auto"/>
    </w:tcPr>
    <w:tblStylePr w:type="firstRow">
      <w:pPr>
        <w:jc w:val="center"/>
      </w:pPr>
      <w:rPr>
        <w:rFonts w:ascii="Franklin Gothic Book" w:hAnsi="Franklin Gothic Book"/>
        <w:b/>
        <w:caps w:val="0"/>
        <w:smallCaps/>
        <w:sz w:val="20"/>
      </w:rPr>
      <w:tblPr/>
      <w:tcPr>
        <w:tcBorders>
          <w:top w:val="single" w:sz="18" w:space="0" w:color="53564F"/>
          <w:left w:val="single" w:sz="18" w:space="0" w:color="53564F"/>
          <w:bottom w:val="single" w:sz="18" w:space="0" w:color="53564F"/>
          <w:right w:val="single" w:sz="18" w:space="0" w:color="53564F"/>
          <w:insideH w:val="nil"/>
          <w:insideV w:val="single" w:sz="4" w:space="0" w:color="53564F"/>
          <w:tl2br w:val="nil"/>
          <w:tr2bl w:val="nil"/>
        </w:tcBorders>
        <w:shd w:val="clear" w:color="auto" w:fill="BFBFBF"/>
      </w:tcPr>
    </w:tblStylePr>
    <w:tblStylePr w:type="lastRow">
      <w:rPr>
        <w:rFonts w:ascii="Franklin Gothic Book" w:hAnsi="Franklin Gothic Book"/>
        <w:b/>
        <w:caps w:val="0"/>
        <w:smallCaps/>
        <w:sz w:val="20"/>
      </w:rPr>
      <w:tblPr/>
      <w:tcPr>
        <w:tcBorders>
          <w:top w:val="double" w:sz="12" w:space="0" w:color="53564F"/>
          <w:left w:val="single" w:sz="18" w:space="0" w:color="53564F"/>
          <w:bottom w:val="single" w:sz="18" w:space="0" w:color="53564F"/>
          <w:right w:val="single" w:sz="18" w:space="0" w:color="53564F"/>
          <w:insideH w:val="nil"/>
          <w:insideV w:val="single" w:sz="4" w:space="0" w:color="53564F"/>
          <w:tl2br w:val="nil"/>
          <w:tr2bl w:val="nil"/>
        </w:tcBorders>
        <w:shd w:val="clear" w:color="auto" w:fill="BFBFBF"/>
      </w:tcPr>
    </w:tblStylePr>
    <w:tblStylePr w:type="firstCol">
      <w:rPr>
        <w:rFonts w:ascii="Franklin Gothic Book" w:hAnsi="Franklin Gothic Book"/>
        <w:b/>
        <w:caps w:val="0"/>
        <w:smallCaps/>
        <w:sz w:val="20"/>
      </w:rPr>
      <w:tblPr/>
      <w:tcPr>
        <w:tcBorders>
          <w:top w:val="single" w:sz="18" w:space="0" w:color="53564F"/>
          <w:left w:val="single" w:sz="18" w:space="0" w:color="53564F"/>
          <w:bottom w:val="single" w:sz="18" w:space="0" w:color="53564F"/>
          <w:right w:val="single" w:sz="18" w:space="0" w:color="53564F"/>
          <w:insideH w:val="nil"/>
          <w:insideV w:val="nil"/>
          <w:tl2br w:val="nil"/>
          <w:tr2bl w:val="nil"/>
        </w:tcBorders>
        <w:shd w:val="clear" w:color="auto" w:fill="auto"/>
      </w:tcPr>
    </w:tblStylePr>
    <w:tblStylePr w:type="lastCol">
      <w:rPr>
        <w:rFonts w:ascii="Franklin Gothic Book" w:hAnsi="Franklin Gothic Book"/>
        <w:b/>
        <w:caps w:val="0"/>
        <w:smallCaps/>
        <w:sz w:val="20"/>
      </w:rPr>
      <w:tblPr/>
      <w:tcPr>
        <w:tcBorders>
          <w:left w:val="single" w:sz="18" w:space="0" w:color="53564F"/>
        </w:tcBorders>
        <w:shd w:val="clear" w:color="auto" w:fill="auto"/>
      </w:tcPr>
    </w:tblStylePr>
    <w:tblStylePr w:type="neCell">
      <w:tblPr/>
      <w:tcPr>
        <w:tcBorders>
          <w:left w:val="single" w:sz="18" w:space="0" w:color="53564F"/>
        </w:tcBorders>
        <w:shd w:val="clear" w:color="auto" w:fill="BFBFBF"/>
      </w:tcPr>
    </w:tblStylePr>
    <w:tblStylePr w:type="nwCell">
      <w:tblPr/>
      <w:tcPr>
        <w:tcBorders>
          <w:right w:val="single" w:sz="18" w:space="0" w:color="53564F"/>
        </w:tcBorders>
        <w:shd w:val="clear" w:color="auto" w:fill="BFBFBF"/>
      </w:tcPr>
    </w:tblStylePr>
    <w:tblStylePr w:type="seCell">
      <w:tblPr/>
      <w:tcPr>
        <w:tcBorders>
          <w:left w:val="single" w:sz="18" w:space="0" w:color="53564F"/>
        </w:tcBorders>
        <w:shd w:val="clear" w:color="auto" w:fill="BFBFBF"/>
      </w:tcPr>
    </w:tblStylePr>
    <w:tblStylePr w:type="swCell">
      <w:tblPr/>
      <w:tcPr>
        <w:tcBorders>
          <w:right w:val="single" w:sz="18" w:space="0" w:color="53564F"/>
        </w:tcBorders>
        <w:shd w:val="clear" w:color="auto" w:fill="BFBFBF"/>
      </w:tcPr>
    </w:tblStylePr>
  </w:style>
  <w:style w:type="table" w:customStyle="1" w:styleId="AAM2">
    <w:name w:val="AAM_2"/>
    <w:basedOn w:val="TableNormal"/>
    <w:uiPriority w:val="99"/>
    <w:qFormat/>
    <w:rsid w:val="00BD771B"/>
    <w:pPr>
      <w:ind w:left="57" w:right="57"/>
    </w:pPr>
    <w:rPr>
      <w:rFonts w:ascii="Franklin Gothic Book" w:hAnsi="Franklin Gothic Book"/>
    </w:rPr>
    <w:tblPr>
      <w:tblInd w:w="57" w:type="dxa"/>
      <w:tblBorders>
        <w:insideH w:val="single" w:sz="4" w:space="0" w:color="8CC63F"/>
        <w:insideV w:val="single" w:sz="4" w:space="0" w:color="8CC63F"/>
      </w:tblBorders>
      <w:tblCellMar>
        <w:top w:w="0" w:type="dxa"/>
        <w:left w:w="0" w:type="dxa"/>
        <w:bottom w:w="0" w:type="dxa"/>
        <w:right w:w="0" w:type="dxa"/>
      </w:tblCellMar>
    </w:tblPr>
    <w:tblStylePr w:type="firstRow">
      <w:pPr>
        <w:jc w:val="center"/>
      </w:pPr>
      <w:rPr>
        <w:rFonts w:ascii="Franklin Gothic Book" w:hAnsi="Franklin Gothic Book"/>
        <w:b/>
        <w:i w:val="0"/>
        <w:caps w:val="0"/>
        <w:smallCaps/>
        <w:strike w:val="0"/>
        <w:dstrike w:val="0"/>
        <w:outline w:val="0"/>
        <w:shadow w:val="0"/>
        <w:emboss w:val="0"/>
        <w:imprint w:val="0"/>
        <w:vanish w:val="0"/>
        <w:color w:val="auto"/>
        <w:sz w:val="20"/>
        <w:vertAlign w:val="baseline"/>
      </w:rPr>
      <w:tblPr/>
      <w:tcPr>
        <w:tcBorders>
          <w:top w:val="nil"/>
          <w:left w:val="nil"/>
          <w:bottom w:val="single" w:sz="18" w:space="0" w:color="8CC63F"/>
          <w:right w:val="nil"/>
          <w:insideH w:val="nil"/>
          <w:insideV w:val="single" w:sz="2" w:space="0" w:color="8CC63F"/>
          <w:tl2br w:val="nil"/>
          <w:tr2bl w:val="nil"/>
        </w:tcBorders>
        <w:vAlign w:val="center"/>
      </w:tcPr>
    </w:tblStylePr>
    <w:tblStylePr w:type="lastRow">
      <w:rPr>
        <w:rFonts w:ascii="Franklin Gothic Book" w:hAnsi="Franklin Gothic Book"/>
        <w:b/>
        <w:caps w:val="0"/>
        <w:smallCaps/>
        <w:sz w:val="20"/>
      </w:rPr>
      <w:tblPr/>
      <w:tcPr>
        <w:tcBorders>
          <w:top w:val="single" w:sz="18" w:space="0" w:color="8CC63F"/>
          <w:left w:val="nil"/>
          <w:bottom w:val="nil"/>
          <w:right w:val="nil"/>
          <w:insideH w:val="nil"/>
          <w:insideV w:val="single" w:sz="2" w:space="0" w:color="8CC63F"/>
          <w:tl2br w:val="nil"/>
          <w:tr2bl w:val="nil"/>
        </w:tcBorders>
      </w:tcPr>
    </w:tblStylePr>
    <w:tblStylePr w:type="firstCol">
      <w:rPr>
        <w:rFonts w:ascii="Franklin Gothic Book" w:hAnsi="Franklin Gothic Book"/>
        <w:b/>
        <w:caps w:val="0"/>
        <w:smallCaps/>
        <w:sz w:val="20"/>
      </w:rPr>
      <w:tblPr/>
      <w:tcPr>
        <w:tcBorders>
          <w:top w:val="nil"/>
          <w:left w:val="nil"/>
          <w:bottom w:val="nil"/>
          <w:right w:val="single" w:sz="18" w:space="0" w:color="8CC63F"/>
          <w:insideH w:val="nil"/>
          <w:insideV w:val="nil"/>
          <w:tl2br w:val="nil"/>
          <w:tr2bl w:val="nil"/>
        </w:tcBorders>
      </w:tcPr>
    </w:tblStylePr>
    <w:tblStylePr w:type="lastCol">
      <w:rPr>
        <w:rFonts w:ascii="Franklin Gothic Book" w:hAnsi="Franklin Gothic Book"/>
        <w:b/>
        <w:caps w:val="0"/>
        <w:smallCaps/>
        <w:sz w:val="20"/>
      </w:rPr>
      <w:tblPr/>
      <w:tcPr>
        <w:tcBorders>
          <w:top w:val="nil"/>
          <w:left w:val="single" w:sz="18" w:space="0" w:color="8CC63F"/>
          <w:bottom w:val="nil"/>
          <w:right w:val="nil"/>
          <w:insideH w:val="nil"/>
          <w:insideV w:val="nil"/>
          <w:tl2br w:val="nil"/>
          <w:tr2bl w:val="nil"/>
        </w:tcBorders>
      </w:tcPr>
    </w:tblStylePr>
    <w:tblStylePr w:type="neCell">
      <w:tblPr/>
      <w:tcPr>
        <w:tcBorders>
          <w:left w:val="single" w:sz="18" w:space="0" w:color="8CC63F"/>
        </w:tcBorders>
      </w:tcPr>
    </w:tblStylePr>
    <w:tblStylePr w:type="nwCell">
      <w:tblPr/>
      <w:tcPr>
        <w:tcBorders>
          <w:right w:val="single" w:sz="18" w:space="0" w:color="8CC63F"/>
        </w:tcBorders>
      </w:tcPr>
    </w:tblStylePr>
    <w:tblStylePr w:type="seCell">
      <w:tblPr/>
      <w:tcPr>
        <w:tcBorders>
          <w:left w:val="single" w:sz="18" w:space="0" w:color="8CC63F"/>
        </w:tcBorders>
      </w:tcPr>
    </w:tblStylePr>
    <w:tblStylePr w:type="swCell">
      <w:tblPr/>
      <w:tcPr>
        <w:tcBorders>
          <w:right w:val="single" w:sz="18" w:space="0" w:color="8CC63F"/>
        </w:tcBorders>
      </w:tcPr>
    </w:tblStylePr>
  </w:style>
  <w:style w:type="table" w:customStyle="1" w:styleId="AAM3">
    <w:name w:val="AAM_3"/>
    <w:basedOn w:val="TableNormal"/>
    <w:uiPriority w:val="99"/>
    <w:qFormat/>
    <w:rsid w:val="007D5B24"/>
    <w:pPr>
      <w:spacing w:before="60" w:after="120" w:line="280" w:lineRule="atLeast"/>
      <w:ind w:left="57" w:right="57"/>
      <w:jc w:val="center"/>
    </w:pPr>
    <w:rPr>
      <w:rFonts w:ascii="Franklin Gothic Book" w:hAnsi="Franklin Gothic Book"/>
    </w:rPr>
    <w:tblPr>
      <w:tblStyleRowBandSize w:val="1"/>
      <w:tblStyleColBandSize w:val="1"/>
      <w:tblInd w:w="57" w:type="dxa"/>
      <w:tblBorders>
        <w:top w:val="single" w:sz="18" w:space="0" w:color="53564F"/>
        <w:left w:val="single" w:sz="18" w:space="0" w:color="53564F"/>
        <w:bottom w:val="single" w:sz="18" w:space="0" w:color="53564F"/>
        <w:right w:val="single" w:sz="18" w:space="0" w:color="53564F"/>
        <w:insideH w:val="single" w:sz="2" w:space="0" w:color="53564F"/>
        <w:insideV w:val="single" w:sz="2" w:space="0" w:color="53564F"/>
      </w:tblBorders>
      <w:tblCellMar>
        <w:top w:w="0" w:type="dxa"/>
        <w:left w:w="0" w:type="dxa"/>
        <w:bottom w:w="0" w:type="dxa"/>
        <w:right w:w="0" w:type="dxa"/>
      </w:tblCellMar>
    </w:tblPr>
    <w:tcPr>
      <w:vAlign w:val="center"/>
    </w:tcPr>
    <w:tblStylePr w:type="firstRow">
      <w:pPr>
        <w:wordWrap/>
        <w:contextualSpacing w:val="0"/>
        <w:mirrorIndents w:val="0"/>
        <w:jc w:val="center"/>
      </w:pPr>
      <w:rPr>
        <w:rFonts w:ascii="Franklin Gothic Book" w:hAnsi="Franklin Gothic Book"/>
        <w:b/>
        <w:i w:val="0"/>
        <w:caps w:val="0"/>
        <w:smallCaps/>
        <w:sz w:val="20"/>
      </w:rPr>
      <w:tblPr/>
      <w:tcPr>
        <w:tcBorders>
          <w:top w:val="single" w:sz="18" w:space="0" w:color="53564F"/>
          <w:left w:val="single" w:sz="18" w:space="0" w:color="53564F"/>
          <w:bottom w:val="single" w:sz="18" w:space="0" w:color="53564F"/>
          <w:right w:val="single" w:sz="18" w:space="0" w:color="53564F"/>
          <w:insideH w:val="nil"/>
          <w:insideV w:val="single" w:sz="2" w:space="0" w:color="53564F"/>
          <w:tl2br w:val="nil"/>
          <w:tr2bl w:val="nil"/>
        </w:tcBorders>
        <w:shd w:val="clear" w:color="auto" w:fill="DCEEC5"/>
      </w:tcPr>
    </w:tblStylePr>
    <w:tblStylePr w:type="lastRow">
      <w:rPr>
        <w:rFonts w:ascii="Franklin Gothic Book" w:hAnsi="Franklin Gothic Book"/>
        <w:b/>
        <w:i w:val="0"/>
        <w:caps w:val="0"/>
        <w:smallCaps/>
        <w:sz w:val="20"/>
      </w:rPr>
      <w:tblPr/>
      <w:tcPr>
        <w:tcBorders>
          <w:top w:val="double" w:sz="12" w:space="0" w:color="53564F"/>
          <w:left w:val="single" w:sz="18" w:space="0" w:color="53564F"/>
          <w:bottom w:val="single" w:sz="18" w:space="0" w:color="53564F"/>
          <w:right w:val="single" w:sz="18" w:space="0" w:color="53564F"/>
          <w:insideH w:val="nil"/>
          <w:insideV w:val="nil"/>
          <w:tl2br w:val="nil"/>
          <w:tr2bl w:val="nil"/>
        </w:tcBorders>
        <w:shd w:val="clear" w:color="auto" w:fill="DCEEC5"/>
      </w:tcPr>
    </w:tblStylePr>
    <w:tblStylePr w:type="firstCol">
      <w:rPr>
        <w:rFonts w:ascii="Franklin Gothic Book" w:hAnsi="Franklin Gothic Book"/>
        <w:b/>
        <w:i w:val="0"/>
        <w:caps w:val="0"/>
        <w:smallCaps/>
        <w:sz w:val="20"/>
      </w:rPr>
      <w:tblPr/>
      <w:tcPr>
        <w:tcBorders>
          <w:top w:val="single" w:sz="18" w:space="0" w:color="53564F"/>
          <w:left w:val="single" w:sz="18" w:space="0" w:color="53564F"/>
          <w:bottom w:val="single" w:sz="18" w:space="0" w:color="53564F"/>
          <w:right w:val="single" w:sz="18" w:space="0" w:color="53564F"/>
          <w:insideH w:val="nil"/>
          <w:insideV w:val="nil"/>
          <w:tl2br w:val="nil"/>
          <w:tr2bl w:val="nil"/>
        </w:tcBorders>
      </w:tcPr>
    </w:tblStylePr>
    <w:tblStylePr w:type="lastCol">
      <w:rPr>
        <w:rFonts w:ascii="Franklin Gothic Book" w:hAnsi="Franklin Gothic Book"/>
        <w:b/>
        <w:i w:val="0"/>
        <w:caps w:val="0"/>
        <w:smallCaps/>
        <w:sz w:val="20"/>
      </w:rPr>
      <w:tblPr/>
      <w:tcPr>
        <w:tcBorders>
          <w:top w:val="single" w:sz="18" w:space="0" w:color="53564F"/>
          <w:left w:val="single" w:sz="18" w:space="0" w:color="53564F"/>
          <w:bottom w:val="single" w:sz="18" w:space="0" w:color="53564F"/>
          <w:right w:val="single" w:sz="18" w:space="0" w:color="53564F"/>
          <w:insideH w:val="nil"/>
          <w:insideV w:val="nil"/>
          <w:tl2br w:val="nil"/>
          <w:tr2bl w:val="nil"/>
        </w:tcBorders>
      </w:tcPr>
    </w:tblStylePr>
    <w:tblStylePr w:type="band1Vert">
      <w:rPr>
        <w:rFonts w:ascii="Franklin Gothic Book" w:hAnsi="Franklin Gothic Book"/>
        <w:b w:val="0"/>
        <w:i w:val="0"/>
        <w:sz w:val="20"/>
      </w:rPr>
    </w:tblStylePr>
    <w:tblStylePr w:type="band2Vert">
      <w:rPr>
        <w:rFonts w:ascii="Franklin Gothic Book" w:hAnsi="Franklin Gothic Book"/>
        <w:b w:val="0"/>
        <w:i w:val="0"/>
        <w:sz w:val="20"/>
      </w:rPr>
    </w:tblStylePr>
    <w:tblStylePr w:type="band1Horz">
      <w:rPr>
        <w:rFonts w:ascii="Franklin Gothic Book" w:hAnsi="Franklin Gothic Book"/>
        <w:b w:val="0"/>
        <w:i w:val="0"/>
        <w:sz w:val="20"/>
      </w:rPr>
    </w:tblStylePr>
    <w:tblStylePr w:type="band2Horz">
      <w:rPr>
        <w:rFonts w:ascii="Franklin Gothic Book" w:hAnsi="Franklin Gothic Book"/>
        <w:b w:val="0"/>
        <w:i w:val="0"/>
        <w:sz w:val="20"/>
      </w:rPr>
    </w:tblStylePr>
    <w:tblStylePr w:type="neCell">
      <w:tblPr/>
      <w:tcPr>
        <w:tcBorders>
          <w:top w:val="single" w:sz="18" w:space="0" w:color="53564F"/>
          <w:left w:val="single" w:sz="18" w:space="0" w:color="53564F"/>
          <w:bottom w:val="single" w:sz="18" w:space="0" w:color="53564F"/>
          <w:right w:val="single" w:sz="18" w:space="0" w:color="53564F"/>
        </w:tcBorders>
      </w:tcPr>
    </w:tblStylePr>
    <w:tblStylePr w:type="nwCell">
      <w:tblPr/>
      <w:tcPr>
        <w:tcBorders>
          <w:top w:val="single" w:sz="18" w:space="0" w:color="53564F"/>
          <w:left w:val="single" w:sz="18" w:space="0" w:color="53564F"/>
          <w:bottom w:val="single" w:sz="18" w:space="0" w:color="53564F"/>
          <w:right w:val="single" w:sz="18" w:space="0" w:color="53564F"/>
        </w:tcBorders>
      </w:tcPr>
    </w:tblStylePr>
    <w:tblStylePr w:type="seCell">
      <w:tblPr/>
      <w:tcPr>
        <w:tcBorders>
          <w:left w:val="single" w:sz="18" w:space="0" w:color="53564F"/>
        </w:tcBorders>
      </w:tcPr>
    </w:tblStylePr>
    <w:tblStylePr w:type="swCell">
      <w:tblPr/>
      <w:tcPr>
        <w:tcBorders>
          <w:right w:val="single" w:sz="18" w:space="0" w:color="53564F"/>
        </w:tcBorders>
      </w:tcPr>
    </w:tblStylePr>
  </w:style>
  <w:style w:type="paragraph" w:styleId="Header">
    <w:name w:val="header"/>
    <w:basedOn w:val="Normal"/>
    <w:link w:val="HeaderChar"/>
    <w:uiPriority w:val="99"/>
    <w:rsid w:val="00A96E95"/>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96E95"/>
    <w:rPr>
      <w:rFonts w:ascii="Franklin Gothic Book" w:hAnsi="Franklin Gothic Book"/>
    </w:rPr>
  </w:style>
  <w:style w:type="paragraph" w:styleId="Footer">
    <w:name w:val="footer"/>
    <w:basedOn w:val="Normal"/>
    <w:link w:val="FooterChar"/>
    <w:uiPriority w:val="99"/>
    <w:semiHidden/>
    <w:rsid w:val="00A96E95"/>
    <w:pPr>
      <w:tabs>
        <w:tab w:val="center" w:pos="4536"/>
        <w:tab w:val="right" w:pos="9072"/>
      </w:tabs>
      <w:spacing w:before="0" w:after="0" w:line="240" w:lineRule="auto"/>
    </w:pPr>
  </w:style>
  <w:style w:type="character" w:customStyle="1" w:styleId="FooterChar">
    <w:name w:val="Footer Char"/>
    <w:basedOn w:val="DefaultParagraphFont"/>
    <w:link w:val="Footer"/>
    <w:uiPriority w:val="99"/>
    <w:semiHidden/>
    <w:rsid w:val="00A96E95"/>
    <w:rPr>
      <w:rFonts w:ascii="Franklin Gothic Book" w:hAnsi="Franklin Gothic Book"/>
    </w:rPr>
  </w:style>
  <w:style w:type="paragraph" w:customStyle="1" w:styleId="HUNDocumentTitle">
    <w:name w:val="HUN_Document Title"/>
    <w:basedOn w:val="Normal"/>
    <w:qFormat/>
    <w:rsid w:val="00EA6C20"/>
    <w:pPr>
      <w:spacing w:before="3480" w:after="240"/>
    </w:pPr>
    <w:rPr>
      <w:rFonts w:ascii="Franklin Gothic Demi" w:hAnsi="Franklin Gothic Demi"/>
      <w:smallCaps/>
      <w:sz w:val="70"/>
    </w:rPr>
  </w:style>
  <w:style w:type="paragraph" w:customStyle="1" w:styleId="HUNDocumentSubject">
    <w:name w:val="HUN_Document Subject"/>
    <w:basedOn w:val="Normal"/>
    <w:qFormat/>
    <w:rsid w:val="00EA6C20"/>
    <w:pPr>
      <w:spacing w:before="120"/>
      <w:ind w:right="4536"/>
    </w:pPr>
    <w:rPr>
      <w:sz w:val="30"/>
    </w:rPr>
  </w:style>
  <w:style w:type="paragraph" w:styleId="TOC1">
    <w:name w:val="toc 1"/>
    <w:basedOn w:val="Normal"/>
    <w:next w:val="Normal"/>
    <w:autoRedefine/>
    <w:uiPriority w:val="39"/>
    <w:qFormat/>
    <w:rsid w:val="0082208D"/>
    <w:pPr>
      <w:keepNext/>
      <w:pBdr>
        <w:top w:val="single" w:sz="18" w:space="1" w:color="FFFFFF"/>
        <w:bottom w:val="single" w:sz="18" w:space="1" w:color="FFFFFF"/>
        <w:between w:val="single" w:sz="12" w:space="1" w:color="FFFFFF"/>
      </w:pBdr>
      <w:shd w:val="clear" w:color="auto" w:fill="BFBFBF"/>
      <w:tabs>
        <w:tab w:val="left" w:pos="284"/>
        <w:tab w:val="right" w:pos="9015"/>
      </w:tabs>
      <w:spacing w:before="0" w:after="0" w:line="240" w:lineRule="auto"/>
    </w:pPr>
    <w:rPr>
      <w:caps/>
      <w:noProof/>
    </w:rPr>
  </w:style>
  <w:style w:type="paragraph" w:styleId="TOC2">
    <w:name w:val="toc 2"/>
    <w:basedOn w:val="Normal"/>
    <w:next w:val="Normal"/>
    <w:autoRedefine/>
    <w:uiPriority w:val="39"/>
    <w:qFormat/>
    <w:rsid w:val="0082208D"/>
    <w:pPr>
      <w:pBdr>
        <w:between w:val="single" w:sz="12" w:space="1" w:color="FFFFFF"/>
      </w:pBdr>
      <w:shd w:val="clear" w:color="auto" w:fill="DCEEC5"/>
      <w:tabs>
        <w:tab w:val="left" w:pos="454"/>
        <w:tab w:val="right" w:pos="9015"/>
      </w:tabs>
      <w:spacing w:before="0" w:after="0" w:line="240" w:lineRule="auto"/>
    </w:pPr>
  </w:style>
  <w:style w:type="paragraph" w:styleId="TOC3">
    <w:name w:val="toc 3"/>
    <w:basedOn w:val="Normal"/>
    <w:next w:val="Normal"/>
    <w:autoRedefine/>
    <w:uiPriority w:val="39"/>
    <w:qFormat/>
    <w:rsid w:val="0082208D"/>
    <w:pPr>
      <w:pBdr>
        <w:between w:val="single" w:sz="12" w:space="1" w:color="FFFFFF"/>
      </w:pBdr>
      <w:shd w:val="clear" w:color="auto" w:fill="DCEEC5"/>
      <w:tabs>
        <w:tab w:val="left" w:pos="624"/>
        <w:tab w:val="right" w:pos="9015"/>
      </w:tabs>
      <w:spacing w:before="0" w:after="0" w:line="240" w:lineRule="auto"/>
    </w:pPr>
  </w:style>
  <w:style w:type="paragraph" w:styleId="TOC4">
    <w:name w:val="toc 4"/>
    <w:basedOn w:val="Normal"/>
    <w:next w:val="Normal"/>
    <w:autoRedefine/>
    <w:uiPriority w:val="39"/>
    <w:rsid w:val="0082208D"/>
    <w:pPr>
      <w:pBdr>
        <w:between w:val="single" w:sz="12" w:space="1" w:color="FFFFFF"/>
      </w:pBdr>
      <w:shd w:val="clear" w:color="auto" w:fill="DCEEC5"/>
      <w:tabs>
        <w:tab w:val="left" w:pos="794"/>
        <w:tab w:val="right" w:pos="9015"/>
      </w:tabs>
      <w:spacing w:before="0" w:after="0" w:line="240" w:lineRule="auto"/>
    </w:pPr>
  </w:style>
  <w:style w:type="paragraph" w:styleId="TOC5">
    <w:name w:val="toc 5"/>
    <w:basedOn w:val="Normal"/>
    <w:next w:val="Normal"/>
    <w:autoRedefine/>
    <w:uiPriority w:val="39"/>
    <w:rsid w:val="0082208D"/>
    <w:pPr>
      <w:pBdr>
        <w:between w:val="single" w:sz="12" w:space="1" w:color="FFFFFF"/>
      </w:pBdr>
      <w:shd w:val="clear" w:color="auto" w:fill="DCEEC5"/>
      <w:tabs>
        <w:tab w:val="left" w:pos="964"/>
        <w:tab w:val="right" w:pos="9015"/>
      </w:tabs>
      <w:spacing w:before="0" w:after="0" w:line="240" w:lineRule="auto"/>
    </w:pPr>
  </w:style>
  <w:style w:type="paragraph" w:styleId="TOC6">
    <w:name w:val="toc 6"/>
    <w:basedOn w:val="Normal"/>
    <w:next w:val="Normal"/>
    <w:autoRedefine/>
    <w:uiPriority w:val="39"/>
    <w:rsid w:val="0082208D"/>
    <w:pPr>
      <w:pBdr>
        <w:between w:val="single" w:sz="12" w:space="1" w:color="FFFFFF"/>
      </w:pBdr>
      <w:shd w:val="clear" w:color="auto" w:fill="DCEEC5"/>
      <w:tabs>
        <w:tab w:val="left" w:pos="1134"/>
        <w:tab w:val="right" w:pos="9015"/>
      </w:tabs>
      <w:spacing w:before="0" w:after="0" w:line="240" w:lineRule="auto"/>
    </w:pPr>
  </w:style>
  <w:style w:type="paragraph" w:styleId="TOC7">
    <w:name w:val="toc 7"/>
    <w:basedOn w:val="Normal"/>
    <w:next w:val="Normal"/>
    <w:autoRedefine/>
    <w:uiPriority w:val="39"/>
    <w:rsid w:val="0082208D"/>
    <w:pPr>
      <w:pBdr>
        <w:between w:val="single" w:sz="12" w:space="1" w:color="FFFFFF"/>
      </w:pBdr>
      <w:shd w:val="clear" w:color="auto" w:fill="DCEEC5"/>
      <w:tabs>
        <w:tab w:val="left" w:pos="1304"/>
        <w:tab w:val="right" w:pos="9015"/>
      </w:tabs>
      <w:spacing w:before="0" w:after="0" w:line="240" w:lineRule="auto"/>
    </w:pPr>
  </w:style>
  <w:style w:type="paragraph" w:styleId="TOC8">
    <w:name w:val="toc 8"/>
    <w:basedOn w:val="Normal"/>
    <w:next w:val="Normal"/>
    <w:autoRedefine/>
    <w:uiPriority w:val="39"/>
    <w:rsid w:val="0082208D"/>
    <w:pPr>
      <w:pBdr>
        <w:between w:val="single" w:sz="12" w:space="1" w:color="FFFFFF"/>
      </w:pBdr>
      <w:shd w:val="clear" w:color="auto" w:fill="DCEEC5"/>
      <w:tabs>
        <w:tab w:val="left" w:pos="1474"/>
        <w:tab w:val="right" w:pos="9015"/>
      </w:tabs>
      <w:spacing w:before="0" w:after="0" w:line="240" w:lineRule="auto"/>
    </w:pPr>
  </w:style>
  <w:style w:type="character" w:styleId="Hyperlink">
    <w:name w:val="Hyperlink"/>
    <w:aliases w:val="AAM_Hyperlink"/>
    <w:basedOn w:val="DefaultParagraphFont"/>
    <w:uiPriority w:val="99"/>
    <w:unhideWhenUsed/>
    <w:rsid w:val="00572CAD"/>
    <w:rPr>
      <w:color w:val="0000FF"/>
      <w:u w:val="single"/>
    </w:rPr>
  </w:style>
  <w:style w:type="paragraph" w:customStyle="1" w:styleId="HUNReferencedateandTOCTitle">
    <w:name w:val="HUN_Reference date and TOC Title"/>
    <w:basedOn w:val="Normal"/>
    <w:rsid w:val="00A85CBE"/>
    <w:pPr>
      <w:spacing w:after="600"/>
      <w:ind w:right="-2"/>
    </w:pPr>
    <w:rPr>
      <w:rFonts w:ascii="Franklin Gothic Demi" w:hAnsi="Franklin Gothic Demi"/>
      <w:sz w:val="30"/>
    </w:rPr>
  </w:style>
  <w:style w:type="paragraph" w:customStyle="1" w:styleId="HUNDocumentTitle2">
    <w:name w:val="HUN_Document Title2"/>
    <w:basedOn w:val="Normal"/>
    <w:rsid w:val="006F7517"/>
    <w:pPr>
      <w:spacing w:before="240"/>
      <w:jc w:val="center"/>
    </w:pPr>
    <w:rPr>
      <w:rFonts w:ascii="Franklin Gothic Demi" w:hAnsi="Franklin Gothic Demi"/>
      <w:smallCaps/>
      <w:sz w:val="36"/>
    </w:rPr>
  </w:style>
  <w:style w:type="paragraph" w:customStyle="1" w:styleId="HUNDocumentSubtitle">
    <w:name w:val="HUN_Document Subtitle"/>
    <w:basedOn w:val="HUNDocumentTitle2"/>
    <w:rsid w:val="006F7517"/>
    <w:rPr>
      <w:smallCaps w:val="0"/>
      <w:sz w:val="24"/>
    </w:rPr>
  </w:style>
  <w:style w:type="paragraph" w:customStyle="1" w:styleId="HUNHeading1">
    <w:name w:val="HUN_Heading 1"/>
    <w:basedOn w:val="Heading1"/>
    <w:next w:val="HUNNormal"/>
    <w:qFormat/>
    <w:rsid w:val="006267DE"/>
    <w:pPr>
      <w:pageBreakBefore/>
      <w:numPr>
        <w:numId w:val="12"/>
      </w:numPr>
    </w:pPr>
  </w:style>
  <w:style w:type="paragraph" w:customStyle="1" w:styleId="HUNNormal">
    <w:name w:val="HUN_Normal"/>
    <w:basedOn w:val="Normal"/>
    <w:qFormat/>
    <w:rsid w:val="00F92868"/>
    <w:pPr>
      <w:jc w:val="both"/>
    </w:pPr>
  </w:style>
  <w:style w:type="paragraph" w:customStyle="1" w:styleId="HUNHeading2">
    <w:name w:val="HUN_Heading 2"/>
    <w:basedOn w:val="Heading2"/>
    <w:next w:val="HUNNormal"/>
    <w:qFormat/>
    <w:rsid w:val="006267DE"/>
    <w:pPr>
      <w:numPr>
        <w:numId w:val="12"/>
      </w:numPr>
    </w:pPr>
    <w:rPr>
      <w:szCs w:val="28"/>
    </w:rPr>
  </w:style>
  <w:style w:type="paragraph" w:customStyle="1" w:styleId="HUNHeading3">
    <w:name w:val="HUN_Heading 3"/>
    <w:basedOn w:val="Heading3"/>
    <w:next w:val="HUNNormal"/>
    <w:qFormat/>
    <w:rsid w:val="00A143D1"/>
    <w:pPr>
      <w:numPr>
        <w:numId w:val="12"/>
      </w:numPr>
    </w:pPr>
  </w:style>
  <w:style w:type="paragraph" w:styleId="TOCHeading">
    <w:name w:val="TOC Heading"/>
    <w:basedOn w:val="Heading1"/>
    <w:next w:val="Normal"/>
    <w:uiPriority w:val="39"/>
    <w:unhideWhenUsed/>
    <w:qFormat/>
    <w:rsid w:val="0000706A"/>
    <w:pPr>
      <w:keepLines/>
      <w:tabs>
        <w:tab w:val="clear" w:pos="397"/>
      </w:tabs>
      <w:spacing w:before="480" w:after="0" w:line="276" w:lineRule="auto"/>
      <w:outlineLvl w:val="9"/>
    </w:pPr>
    <w:rPr>
      <w:rFonts w:ascii="Cambria" w:hAnsi="Cambria"/>
      <w:b/>
      <w:bCs/>
      <w:caps w:val="0"/>
      <w:color w:val="365F91"/>
      <w:sz w:val="28"/>
      <w:szCs w:val="28"/>
      <w:lang w:eastAsia="en-US"/>
    </w:rPr>
  </w:style>
  <w:style w:type="paragraph" w:customStyle="1" w:styleId="HUNHeading4">
    <w:name w:val="HUN_Heading 4"/>
    <w:basedOn w:val="Heading4"/>
    <w:next w:val="HUNNormal"/>
    <w:qFormat/>
    <w:rsid w:val="006267DE"/>
    <w:pPr>
      <w:numPr>
        <w:numId w:val="12"/>
      </w:numPr>
    </w:pPr>
    <w:rPr>
      <w:szCs w:val="24"/>
    </w:rPr>
  </w:style>
  <w:style w:type="paragraph" w:customStyle="1" w:styleId="HUNHeading5">
    <w:name w:val="HUN_Heading 5"/>
    <w:basedOn w:val="Heading5"/>
    <w:next w:val="HUNNormal"/>
    <w:qFormat/>
    <w:rsid w:val="006267DE"/>
    <w:pPr>
      <w:numPr>
        <w:numId w:val="12"/>
      </w:numPr>
    </w:pPr>
  </w:style>
  <w:style w:type="paragraph" w:customStyle="1" w:styleId="HUNHeading6">
    <w:name w:val="HUN_Heading 6"/>
    <w:basedOn w:val="Heading6"/>
    <w:next w:val="HUNNormal"/>
    <w:qFormat/>
    <w:rsid w:val="006267DE"/>
    <w:pPr>
      <w:numPr>
        <w:numId w:val="12"/>
      </w:numPr>
      <w:ind w:left="936"/>
    </w:pPr>
  </w:style>
  <w:style w:type="paragraph" w:customStyle="1" w:styleId="HUNHeading7">
    <w:name w:val="HUN_Heading 7"/>
    <w:basedOn w:val="Heading7"/>
    <w:next w:val="HUNNormal"/>
    <w:qFormat/>
    <w:rsid w:val="006267DE"/>
    <w:pPr>
      <w:numPr>
        <w:numId w:val="12"/>
      </w:numPr>
      <w:ind w:left="1077" w:hanging="1077"/>
    </w:pPr>
  </w:style>
  <w:style w:type="paragraph" w:customStyle="1" w:styleId="HUNHeading8">
    <w:name w:val="HUN_Heading 8"/>
    <w:basedOn w:val="Heading8"/>
    <w:next w:val="HUNNormal"/>
    <w:qFormat/>
    <w:rsid w:val="006267DE"/>
    <w:pPr>
      <w:numPr>
        <w:numId w:val="12"/>
      </w:numPr>
      <w:ind w:left="1225" w:hanging="1225"/>
    </w:pPr>
  </w:style>
  <w:style w:type="paragraph" w:styleId="ListNumber">
    <w:name w:val="List Number"/>
    <w:basedOn w:val="Normal"/>
    <w:semiHidden/>
    <w:rsid w:val="004A49C3"/>
    <w:pPr>
      <w:numPr>
        <w:numId w:val="7"/>
      </w:numPr>
      <w:contextualSpacing/>
    </w:pPr>
  </w:style>
  <w:style w:type="paragraph" w:styleId="ListNumber2">
    <w:name w:val="List Number 2"/>
    <w:basedOn w:val="Normal"/>
    <w:semiHidden/>
    <w:rsid w:val="004A49C3"/>
    <w:pPr>
      <w:numPr>
        <w:numId w:val="8"/>
      </w:numPr>
      <w:contextualSpacing/>
    </w:pPr>
  </w:style>
  <w:style w:type="paragraph" w:styleId="ListNumber3">
    <w:name w:val="List Number 3"/>
    <w:basedOn w:val="Normal"/>
    <w:rsid w:val="004A49C3"/>
    <w:pPr>
      <w:numPr>
        <w:numId w:val="9"/>
      </w:numPr>
      <w:contextualSpacing/>
    </w:pPr>
  </w:style>
  <w:style w:type="paragraph" w:styleId="ListNumber4">
    <w:name w:val="List Number 4"/>
    <w:basedOn w:val="Normal"/>
    <w:semiHidden/>
    <w:rsid w:val="004A49C3"/>
    <w:pPr>
      <w:numPr>
        <w:numId w:val="10"/>
      </w:numPr>
      <w:contextualSpacing/>
    </w:pPr>
  </w:style>
  <w:style w:type="paragraph" w:styleId="ListNumber5">
    <w:name w:val="List Number 5"/>
    <w:basedOn w:val="Normal"/>
    <w:semiHidden/>
    <w:rsid w:val="004A49C3"/>
    <w:pPr>
      <w:numPr>
        <w:numId w:val="11"/>
      </w:numPr>
      <w:contextualSpacing/>
    </w:pPr>
  </w:style>
  <w:style w:type="paragraph" w:customStyle="1" w:styleId="HUNListNumber1">
    <w:name w:val="HUN_List Number 1"/>
    <w:basedOn w:val="ListNumber"/>
    <w:qFormat/>
    <w:rsid w:val="00E52C40"/>
    <w:pPr>
      <w:ind w:left="568" w:hanging="284"/>
    </w:pPr>
  </w:style>
  <w:style w:type="paragraph" w:customStyle="1" w:styleId="HUNListNumber2">
    <w:name w:val="HUN_List Number 2"/>
    <w:basedOn w:val="ListNumber2"/>
    <w:qFormat/>
    <w:rsid w:val="00E52C40"/>
    <w:pPr>
      <w:ind w:left="851" w:hanging="284"/>
    </w:pPr>
  </w:style>
  <w:style w:type="paragraph" w:customStyle="1" w:styleId="HUNListNumber3">
    <w:name w:val="HUN_List Number 3"/>
    <w:basedOn w:val="ListNumber3"/>
    <w:qFormat/>
    <w:rsid w:val="00E52C40"/>
    <w:pPr>
      <w:ind w:left="1135" w:hanging="284"/>
    </w:pPr>
  </w:style>
  <w:style w:type="paragraph" w:customStyle="1" w:styleId="HUNListNumber4">
    <w:name w:val="HUN_List Number 4"/>
    <w:basedOn w:val="ListNumber4"/>
    <w:qFormat/>
    <w:rsid w:val="006C6BC8"/>
  </w:style>
  <w:style w:type="paragraph" w:customStyle="1" w:styleId="HUNListNumber5">
    <w:name w:val="HUN_List Number 5"/>
    <w:basedOn w:val="ListNumber5"/>
    <w:qFormat/>
    <w:rsid w:val="006C6BC8"/>
  </w:style>
  <w:style w:type="paragraph" w:customStyle="1" w:styleId="HUNTOC1">
    <w:name w:val="HUN_TOC 1"/>
    <w:basedOn w:val="TOC1"/>
    <w:qFormat/>
    <w:rsid w:val="006B4135"/>
  </w:style>
  <w:style w:type="paragraph" w:customStyle="1" w:styleId="HUNTOC2">
    <w:name w:val="HUN_TOC 2"/>
    <w:basedOn w:val="TOC2"/>
    <w:qFormat/>
    <w:rsid w:val="006B4135"/>
  </w:style>
  <w:style w:type="paragraph" w:customStyle="1" w:styleId="HUNTOC3">
    <w:name w:val="HUN_TOC 3"/>
    <w:basedOn w:val="TOC3"/>
    <w:qFormat/>
    <w:rsid w:val="006B4135"/>
  </w:style>
  <w:style w:type="paragraph" w:customStyle="1" w:styleId="HUNTOC4">
    <w:name w:val="HUN_TOC 4"/>
    <w:basedOn w:val="TOC4"/>
    <w:qFormat/>
    <w:rsid w:val="006B4135"/>
  </w:style>
  <w:style w:type="paragraph" w:customStyle="1" w:styleId="HUNTOC5">
    <w:name w:val="HUN_TOC 5"/>
    <w:basedOn w:val="TOC5"/>
    <w:qFormat/>
    <w:rsid w:val="006B4135"/>
  </w:style>
  <w:style w:type="paragraph" w:customStyle="1" w:styleId="HUNTOC6">
    <w:name w:val="HUN_TOC 6"/>
    <w:basedOn w:val="TOC6"/>
    <w:qFormat/>
    <w:rsid w:val="006B4135"/>
  </w:style>
  <w:style w:type="paragraph" w:customStyle="1" w:styleId="HUNTOC7">
    <w:name w:val="HUN_TOC 7"/>
    <w:basedOn w:val="TOC7"/>
    <w:qFormat/>
    <w:rsid w:val="006B4135"/>
  </w:style>
  <w:style w:type="paragraph" w:customStyle="1" w:styleId="HUNTOC8">
    <w:name w:val="HUN_TOC 8"/>
    <w:basedOn w:val="TOC8"/>
    <w:qFormat/>
    <w:rsid w:val="006B4135"/>
  </w:style>
  <w:style w:type="table" w:customStyle="1" w:styleId="AAM5">
    <w:name w:val="AAM5"/>
    <w:basedOn w:val="TableNormal"/>
    <w:uiPriority w:val="99"/>
    <w:qFormat/>
    <w:rsid w:val="002632C3"/>
    <w:pPr>
      <w:spacing w:before="60" w:after="120" w:line="280" w:lineRule="atLeast"/>
      <w:ind w:left="57" w:right="57"/>
    </w:pPr>
    <w:rPr>
      <w:rFonts w:ascii="Franklin Gothic Book" w:hAnsi="Franklin Gothic Book"/>
    </w:rPr>
    <w:tblPr>
      <w:tblInd w:w="57" w:type="dxa"/>
      <w:tblBorders>
        <w:top w:val="single" w:sz="18" w:space="0" w:color="53564F"/>
        <w:left w:val="single" w:sz="18" w:space="0" w:color="53564F"/>
        <w:bottom w:val="single" w:sz="18" w:space="0" w:color="53564F"/>
        <w:right w:val="single" w:sz="18" w:space="0" w:color="53564F"/>
        <w:insideH w:val="single" w:sz="4" w:space="0" w:color="auto"/>
        <w:insideV w:val="single" w:sz="4" w:space="0" w:color="auto"/>
      </w:tblBorders>
      <w:tblCellMar>
        <w:top w:w="0" w:type="dxa"/>
        <w:left w:w="0" w:type="dxa"/>
        <w:bottom w:w="0" w:type="dxa"/>
        <w:right w:w="0" w:type="dxa"/>
      </w:tblCellMar>
    </w:tblPr>
    <w:tblStylePr w:type="firstRow">
      <w:rPr>
        <w:rFonts w:ascii="Franklin Gothic Book" w:hAnsi="Franklin Gothic Book"/>
        <w:b/>
        <w:caps w:val="0"/>
        <w:smallCaps/>
        <w:sz w:val="20"/>
      </w:rPr>
      <w:tblPr/>
      <w:tcPr>
        <w:tcBorders>
          <w:top w:val="single" w:sz="18" w:space="0" w:color="53564F"/>
          <w:left w:val="single" w:sz="18" w:space="0" w:color="53564F"/>
          <w:bottom w:val="single" w:sz="18" w:space="0" w:color="53564F"/>
          <w:right w:val="single" w:sz="18" w:space="0" w:color="53564F"/>
        </w:tcBorders>
        <w:shd w:val="clear" w:color="auto" w:fill="DCEEC5"/>
      </w:tcPr>
    </w:tblStylePr>
    <w:tblStylePr w:type="lastRow">
      <w:rPr>
        <w:rFonts w:ascii="Franklin Gothic Book" w:hAnsi="Franklin Gothic Book"/>
        <w:b/>
        <w:sz w:val="20"/>
      </w:rPr>
      <w:tblPr/>
      <w:tcPr>
        <w:tcBorders>
          <w:top w:val="double" w:sz="12" w:space="0" w:color="53564F"/>
          <w:left w:val="single" w:sz="18" w:space="0" w:color="53564F"/>
          <w:bottom w:val="single" w:sz="18" w:space="0" w:color="53564F"/>
          <w:right w:val="single" w:sz="18" w:space="0" w:color="53564F"/>
        </w:tcBorders>
        <w:shd w:val="clear" w:color="auto" w:fill="DCEEC5"/>
      </w:tcPr>
    </w:tblStylePr>
    <w:tblStylePr w:type="firstCol">
      <w:rPr>
        <w:rFonts w:ascii="Franklin Gothic Book" w:hAnsi="Franklin Gothic Book"/>
        <w:b/>
        <w:caps w:val="0"/>
        <w:smallCaps/>
        <w:sz w:val="20"/>
      </w:rPr>
      <w:tblPr/>
      <w:tcPr>
        <w:tcBorders>
          <w:top w:val="single" w:sz="18" w:space="0" w:color="53564F"/>
          <w:left w:val="single" w:sz="18" w:space="0" w:color="53564F"/>
          <w:bottom w:val="single" w:sz="18" w:space="0" w:color="53564F"/>
          <w:right w:val="single" w:sz="18" w:space="0" w:color="53564F"/>
        </w:tcBorders>
        <w:shd w:val="clear" w:color="auto" w:fill="DCEEC5"/>
      </w:tcPr>
    </w:tblStylePr>
    <w:tblStylePr w:type="lastCol">
      <w:rPr>
        <w:rFonts w:ascii="Franklin Gothic Book" w:hAnsi="Franklin Gothic Book"/>
        <w:b/>
        <w:sz w:val="20"/>
      </w:rPr>
      <w:tblPr/>
      <w:tcPr>
        <w:tcBorders>
          <w:top w:val="single" w:sz="18" w:space="0" w:color="53564F"/>
          <w:left w:val="single" w:sz="18" w:space="0" w:color="53564F"/>
          <w:bottom w:val="single" w:sz="18" w:space="0" w:color="53564F"/>
          <w:right w:val="single" w:sz="18" w:space="0" w:color="53564F"/>
        </w:tcBorders>
        <w:shd w:val="clear" w:color="auto" w:fill="DCEEC5"/>
      </w:tcPr>
    </w:tblStylePr>
    <w:tblStylePr w:type="neCell">
      <w:tblPr/>
      <w:tcPr>
        <w:tcBorders>
          <w:top w:val="single" w:sz="18" w:space="0" w:color="53564F"/>
          <w:left w:val="single" w:sz="18" w:space="0" w:color="53564F"/>
          <w:bottom w:val="single" w:sz="18" w:space="0" w:color="53564F"/>
          <w:right w:val="single" w:sz="18" w:space="0" w:color="53564F"/>
        </w:tcBorders>
      </w:tcPr>
    </w:tblStylePr>
    <w:tblStylePr w:type="nwCell">
      <w:tblPr/>
      <w:tcPr>
        <w:tcBorders>
          <w:top w:val="single" w:sz="18" w:space="0" w:color="53564F"/>
          <w:left w:val="single" w:sz="18" w:space="0" w:color="53564F"/>
          <w:bottom w:val="single" w:sz="18" w:space="0" w:color="53564F"/>
          <w:right w:val="single" w:sz="18" w:space="0" w:color="53564F"/>
        </w:tcBorders>
      </w:tcPr>
    </w:tblStylePr>
    <w:tblStylePr w:type="seCell">
      <w:tblPr/>
      <w:tcPr>
        <w:tcBorders>
          <w:top w:val="double" w:sz="12" w:space="0" w:color="53564F"/>
          <w:left w:val="single" w:sz="18" w:space="0" w:color="53564F"/>
          <w:bottom w:val="single" w:sz="18" w:space="0" w:color="53564F"/>
          <w:right w:val="single" w:sz="18" w:space="0" w:color="53564F"/>
        </w:tcBorders>
      </w:tcPr>
    </w:tblStylePr>
    <w:tblStylePr w:type="swCell">
      <w:tblPr/>
      <w:tcPr>
        <w:tcBorders>
          <w:top w:val="double" w:sz="12" w:space="0" w:color="53564F"/>
          <w:left w:val="single" w:sz="18" w:space="0" w:color="53564F"/>
          <w:bottom w:val="single" w:sz="18" w:space="0" w:color="53564F"/>
          <w:right w:val="single" w:sz="18" w:space="0" w:color="53564F"/>
        </w:tcBorders>
      </w:tcPr>
    </w:tblStylePr>
  </w:style>
  <w:style w:type="character" w:styleId="PlaceholderText">
    <w:name w:val="Placeholder Text"/>
    <w:basedOn w:val="DefaultParagraphFont"/>
    <w:uiPriority w:val="99"/>
    <w:semiHidden/>
    <w:rsid w:val="00953FC0"/>
    <w:rPr>
      <w:color w:val="808080"/>
    </w:rPr>
  </w:style>
  <w:style w:type="paragraph" w:customStyle="1" w:styleId="HUNListContinue1">
    <w:name w:val="HUN_List Continue 1"/>
    <w:basedOn w:val="HUNNormal"/>
    <w:rsid w:val="00BE0A0A"/>
    <w:pPr>
      <w:ind w:left="567"/>
    </w:pPr>
  </w:style>
  <w:style w:type="paragraph" w:customStyle="1" w:styleId="HUNListContinue2">
    <w:name w:val="HUN_List Continue 2"/>
    <w:basedOn w:val="HUNListContinue1"/>
    <w:rsid w:val="00F7776D"/>
    <w:pPr>
      <w:ind w:left="851"/>
    </w:pPr>
  </w:style>
  <w:style w:type="paragraph" w:customStyle="1" w:styleId="HUNListContinue3">
    <w:name w:val="HUN_List Continue 3"/>
    <w:basedOn w:val="HUNListContinue2"/>
    <w:rsid w:val="00F7776D"/>
    <w:pPr>
      <w:ind w:left="1134"/>
    </w:pPr>
  </w:style>
  <w:style w:type="paragraph" w:styleId="TOC9">
    <w:name w:val="toc 9"/>
    <w:basedOn w:val="Normal"/>
    <w:next w:val="Normal"/>
    <w:autoRedefine/>
    <w:uiPriority w:val="39"/>
    <w:unhideWhenUsed/>
    <w:rsid w:val="002C49D7"/>
    <w:pPr>
      <w:spacing w:before="0" w:after="100" w:line="276" w:lineRule="auto"/>
      <w:ind w:left="1760"/>
    </w:pPr>
    <w:rPr>
      <w:rFonts w:ascii="Calibri" w:hAnsi="Calibri"/>
      <w:sz w:val="22"/>
      <w:szCs w:val="22"/>
    </w:rPr>
  </w:style>
  <w:style w:type="paragraph" w:customStyle="1" w:styleId="StyleHUNHeading2Justified">
    <w:name w:val="Style HUN_Heading 2 + Justified"/>
    <w:basedOn w:val="HUNHeading2"/>
    <w:rsid w:val="00485C69"/>
    <w:pPr>
      <w:ind w:left="432"/>
      <w:jc w:val="both"/>
    </w:pPr>
    <w:rPr>
      <w:szCs w:val="20"/>
    </w:rPr>
  </w:style>
  <w:style w:type="paragraph" w:customStyle="1" w:styleId="StyleHUNHeading3Justified">
    <w:name w:val="Style HUN_Heading 3 + Justified"/>
    <w:basedOn w:val="HUNHeading3"/>
    <w:rsid w:val="006E5FF8"/>
    <w:pPr>
      <w:jc w:val="both"/>
    </w:pPr>
    <w:rPr>
      <w:sz w:val="24"/>
    </w:rPr>
  </w:style>
  <w:style w:type="paragraph" w:styleId="ListParagraph">
    <w:name w:val="List Paragraph"/>
    <w:basedOn w:val="Normal"/>
    <w:uiPriority w:val="34"/>
    <w:qFormat/>
    <w:rsid w:val="00B20BA4"/>
    <w:pPr>
      <w:ind w:left="720"/>
      <w:contextualSpacing/>
    </w:pPr>
  </w:style>
  <w:style w:type="table" w:styleId="MediumShading2-Accent2">
    <w:name w:val="Medium Shading 2 Accent 2"/>
    <w:basedOn w:val="TableNormal"/>
    <w:uiPriority w:val="64"/>
    <w:rsid w:val="0016658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noteText">
    <w:name w:val="footnote text"/>
    <w:basedOn w:val="Normal"/>
    <w:link w:val="FootnoteTextChar"/>
    <w:rsid w:val="002C60A1"/>
    <w:pPr>
      <w:spacing w:before="0" w:after="0" w:line="240" w:lineRule="auto"/>
    </w:pPr>
  </w:style>
  <w:style w:type="character" w:customStyle="1" w:styleId="FootnoteTextChar">
    <w:name w:val="Footnote Text Char"/>
    <w:basedOn w:val="DefaultParagraphFont"/>
    <w:link w:val="FootnoteText"/>
    <w:rsid w:val="002C60A1"/>
    <w:rPr>
      <w:rFonts w:ascii="Franklin Gothic Book" w:hAnsi="Franklin Gothic Book"/>
    </w:rPr>
  </w:style>
  <w:style w:type="character" w:styleId="FootnoteReference">
    <w:name w:val="footnote reference"/>
    <w:basedOn w:val="DefaultParagraphFont"/>
    <w:rsid w:val="002C60A1"/>
    <w:rPr>
      <w:vertAlign w:val="superscript"/>
    </w:rPr>
  </w:style>
  <w:style w:type="table" w:styleId="ColorfulList-Accent2">
    <w:name w:val="Colorful List Accent 2"/>
    <w:basedOn w:val="TableNormal"/>
    <w:uiPriority w:val="72"/>
    <w:rsid w:val="000A6B1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styleId="CommentReference">
    <w:name w:val="annotation reference"/>
    <w:basedOn w:val="DefaultParagraphFont"/>
    <w:semiHidden/>
    <w:rsid w:val="00090425"/>
    <w:rPr>
      <w:sz w:val="16"/>
      <w:szCs w:val="16"/>
    </w:rPr>
  </w:style>
  <w:style w:type="paragraph" w:styleId="CommentText">
    <w:name w:val="annotation text"/>
    <w:basedOn w:val="Normal"/>
    <w:link w:val="CommentTextChar"/>
    <w:semiHidden/>
    <w:rsid w:val="00090425"/>
    <w:pPr>
      <w:spacing w:line="240" w:lineRule="auto"/>
    </w:pPr>
  </w:style>
  <w:style w:type="character" w:customStyle="1" w:styleId="CommentTextChar">
    <w:name w:val="Comment Text Char"/>
    <w:basedOn w:val="DefaultParagraphFont"/>
    <w:link w:val="CommentText"/>
    <w:semiHidden/>
    <w:rsid w:val="00090425"/>
    <w:rPr>
      <w:rFonts w:ascii="Franklin Gothic Book" w:hAnsi="Franklin Gothic Book"/>
    </w:rPr>
  </w:style>
  <w:style w:type="paragraph" w:styleId="CommentSubject">
    <w:name w:val="annotation subject"/>
    <w:basedOn w:val="CommentText"/>
    <w:next w:val="CommentText"/>
    <w:link w:val="CommentSubjectChar"/>
    <w:semiHidden/>
    <w:rsid w:val="00090425"/>
    <w:rPr>
      <w:b/>
      <w:bCs/>
    </w:rPr>
  </w:style>
  <w:style w:type="character" w:customStyle="1" w:styleId="CommentSubjectChar">
    <w:name w:val="Comment Subject Char"/>
    <w:basedOn w:val="CommentTextChar"/>
    <w:link w:val="CommentSubject"/>
    <w:semiHidden/>
    <w:rsid w:val="00090425"/>
    <w:rPr>
      <w:b/>
      <w:bCs/>
    </w:rPr>
  </w:style>
  <w:style w:type="paragraph" w:customStyle="1" w:styleId="AAMNormal">
    <w:name w:val="AAM_Normal"/>
    <w:basedOn w:val="Normal"/>
    <w:qFormat/>
    <w:rsid w:val="00EE6E21"/>
    <w:pPr>
      <w:jc w:val="both"/>
    </w:pPr>
  </w:style>
  <w:style w:type="table" w:styleId="MediumShading1-Accent2">
    <w:name w:val="Medium Shading 1 Accent 2"/>
    <w:basedOn w:val="TableNormal"/>
    <w:uiPriority w:val="63"/>
    <w:rsid w:val="009B597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MainTitle">
    <w:name w:val="Main Title"/>
    <w:basedOn w:val="Normal"/>
    <w:rsid w:val="00C75004"/>
    <w:pPr>
      <w:spacing w:before="120" w:line="288" w:lineRule="auto"/>
    </w:pPr>
    <w:rPr>
      <w:rFonts w:ascii="Univers CE 45 Light" w:hAnsi="Univers CE 45 Light" w:cs="Arial"/>
      <w:color w:val="00338D"/>
      <w:sz w:val="28"/>
      <w:szCs w:val="28"/>
      <w:lang w:eastAsia="en-US"/>
    </w:rPr>
  </w:style>
  <w:style w:type="character" w:styleId="FollowedHyperlink">
    <w:name w:val="FollowedHyperlink"/>
    <w:basedOn w:val="DefaultParagraphFont"/>
    <w:semiHidden/>
    <w:rsid w:val="006B5E48"/>
    <w:rPr>
      <w:color w:val="800080" w:themeColor="followedHyperlink"/>
      <w:u w:val="single"/>
    </w:rPr>
  </w:style>
  <w:style w:type="paragraph" w:customStyle="1" w:styleId="HUNHeading20">
    <w:name w:val="HUN_Heading 2 +"/>
    <w:basedOn w:val="HUNHeading2"/>
    <w:qFormat/>
    <w:rsid w:val="003B4F8A"/>
    <w:pPr>
      <w:numPr>
        <w:ilvl w:val="0"/>
        <w:numId w:val="0"/>
      </w:numPr>
    </w:pPr>
  </w:style>
  <w:style w:type="paragraph" w:styleId="Caption">
    <w:name w:val="caption"/>
    <w:basedOn w:val="Normal"/>
    <w:next w:val="Normal"/>
    <w:semiHidden/>
    <w:qFormat/>
    <w:rsid w:val="002D1929"/>
    <w:pPr>
      <w:spacing w:before="0" w:after="200" w:line="240" w:lineRule="auto"/>
    </w:pPr>
    <w:rPr>
      <w:b/>
      <w:bCs/>
      <w:color w:val="4F81BD" w:themeColor="accent1"/>
      <w:sz w:val="18"/>
      <w:szCs w:val="18"/>
    </w:rPr>
  </w:style>
  <w:style w:type="table" w:styleId="MediumGrid3-Accent2">
    <w:name w:val="Medium Grid 3 Accent 2"/>
    <w:basedOn w:val="TableNormal"/>
    <w:uiPriority w:val="69"/>
    <w:rsid w:val="00EF709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r="http://schemas.openxmlformats.org/officeDocument/2006/relationships" xmlns:w="http://schemas.openxmlformats.org/wordprocessingml/2006/main">
  <w:divs>
    <w:div w:id="52005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png"/><Relationship Id="rId50" Type="http://schemas.openxmlformats.org/officeDocument/2006/relationships/image" Target="media/image43.emf"/><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hyperlink" Target="http://www.aki.gov.hu"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png"/><Relationship Id="rId56"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chart" Target="charts/chart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oleObject" Target="file:///Z:\&#218;MVP\Quantitative\ATK_TK_Cost_v03.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u-HU"/>
  <c:roundedCorners val="1"/>
  <c:style val="26"/>
  <c:chart>
    <c:title>
      <c:tx>
        <c:rich>
          <a:bodyPr/>
          <a:lstStyle/>
          <a:p>
            <a:pPr>
              <a:defRPr sz="1200"/>
            </a:pPr>
            <a:r>
              <a:rPr lang="hu-HU" sz="1200"/>
              <a:t>Költség</a:t>
            </a:r>
            <a:r>
              <a:rPr lang="hu-HU" sz="1200" baseline="0"/>
              <a:t>kategóriák arányaival súlyozott megítélt támogatási összegek</a:t>
            </a:r>
          </a:p>
        </c:rich>
      </c:tx>
    </c:title>
    <c:plotArea>
      <c:layout/>
      <c:barChart>
        <c:barDir val="bar"/>
        <c:grouping val="stacked"/>
        <c:ser>
          <c:idx val="0"/>
          <c:order val="0"/>
          <c:tx>
            <c:strRef>
              <c:f>Kimutatások!$G$21</c:f>
              <c:strCache>
                <c:ptCount val="1"/>
                <c:pt idx="0">
                  <c:v>Jövedelemszerző beruházás</c:v>
                </c:pt>
              </c:strCache>
            </c:strRef>
          </c:tx>
          <c:dLbls>
            <c:delete val="1"/>
          </c:dLbls>
          <c:cat>
            <c:strRef>
              <c:f>Kimutatások!$F$22:$F$28</c:f>
              <c:strCache>
                <c:ptCount val="7"/>
                <c:pt idx="0">
                  <c:v>Nem technológiai kiadás.</c:v>
                </c:pt>
                <c:pt idx="1">
                  <c:v>Trágya-biogáz</c:v>
                </c:pt>
                <c:pt idx="2">
                  <c:v>Új férőhelyek</c:v>
                </c:pt>
                <c:pt idx="3">
                  <c:v>Minőség</c:v>
                </c:pt>
                <c:pt idx="4">
                  <c:v>Takarmány előállítás</c:v>
                </c:pt>
                <c:pt idx="5">
                  <c:v>IT</c:v>
                </c:pt>
                <c:pt idx="6">
                  <c:v>Környezetkímélő gépek</c:v>
                </c:pt>
              </c:strCache>
            </c:strRef>
          </c:cat>
          <c:val>
            <c:numRef>
              <c:f>Kimutatások!$G$22:$G$28</c:f>
              <c:numCache>
                <c:formatCode>_-* #,##0\ "Ft"_-;\-* #,##0\ "Ft"_-;_-* "-"??\ "Ft"_-;_-@_-</c:formatCode>
                <c:ptCount val="7"/>
                <c:pt idx="0">
                  <c:v>20204665030.851768</c:v>
                </c:pt>
                <c:pt idx="1">
                  <c:v>34241196217.38763</c:v>
                </c:pt>
                <c:pt idx="2">
                  <c:v>35042761328.813484</c:v>
                </c:pt>
                <c:pt idx="3">
                  <c:v>13699403711.589766</c:v>
                </c:pt>
                <c:pt idx="4">
                  <c:v>14649933124.694052</c:v>
                </c:pt>
                <c:pt idx="5">
                  <c:v>948943732.34370589</c:v>
                </c:pt>
                <c:pt idx="6">
                  <c:v>28294767.435128763</c:v>
                </c:pt>
              </c:numCache>
            </c:numRef>
          </c:val>
        </c:ser>
        <c:ser>
          <c:idx val="1"/>
          <c:order val="1"/>
          <c:tx>
            <c:strRef>
              <c:f>Kimutatások!$H$21</c:f>
              <c:strCache>
                <c:ptCount val="1"/>
                <c:pt idx="0">
                  <c:v>Nem jövedelemszerző beruházás</c:v>
                </c:pt>
              </c:strCache>
            </c:strRef>
          </c:tx>
          <c:dLbls>
            <c:dLbl>
              <c:idx val="2"/>
              <c:layout>
                <c:manualLayout>
                  <c:x val="0.12330198537095099"/>
                  <c:y val="-6.0806373292039333E-17"/>
                </c:manualLayout>
              </c:layout>
              <c:showVal val="1"/>
            </c:dLbl>
            <c:dLbl>
              <c:idx val="5"/>
              <c:layout>
                <c:manualLayout>
                  <c:x val="9.1954022988507383E-2"/>
                  <c:y val="0"/>
                </c:manualLayout>
              </c:layout>
              <c:showVal val="1"/>
            </c:dLbl>
            <c:dLbl>
              <c:idx val="6"/>
              <c:layout>
                <c:manualLayout>
                  <c:x val="0.12041884816753927"/>
                  <c:y val="0"/>
                </c:manualLayout>
              </c:layout>
              <c:showVal val="1"/>
            </c:dLbl>
            <c:showVal val="1"/>
          </c:dLbls>
          <c:cat>
            <c:strRef>
              <c:f>Kimutatások!$F$22:$F$28</c:f>
              <c:strCache>
                <c:ptCount val="7"/>
                <c:pt idx="0">
                  <c:v>Nem technológiai kiadás.</c:v>
                </c:pt>
                <c:pt idx="1">
                  <c:v>Trágya-biogáz</c:v>
                </c:pt>
                <c:pt idx="2">
                  <c:v>Új férőhelyek</c:v>
                </c:pt>
                <c:pt idx="3">
                  <c:v>Minőség</c:v>
                </c:pt>
                <c:pt idx="4">
                  <c:v>Takarmány előállítás</c:v>
                </c:pt>
                <c:pt idx="5">
                  <c:v>IT</c:v>
                </c:pt>
                <c:pt idx="6">
                  <c:v>Környezetkímélő gépek</c:v>
                </c:pt>
              </c:strCache>
            </c:strRef>
          </c:cat>
          <c:val>
            <c:numRef>
              <c:f>Kimutatások!$H$22:$H$28</c:f>
              <c:numCache>
                <c:formatCode>_-* #,##0\ "Ft"_-;\-* #,##0\ "Ft"_-;_-* "-"??\ "Ft"_-;_-@_-</c:formatCode>
                <c:ptCount val="7"/>
                <c:pt idx="0">
                  <c:v>21310994957.629536</c:v>
                </c:pt>
                <c:pt idx="1">
                  <c:v>37906371825.360435</c:v>
                </c:pt>
                <c:pt idx="2">
                  <c:v>15301654954.004688</c:v>
                </c:pt>
                <c:pt idx="3">
                  <c:v>13543216144.320915</c:v>
                </c:pt>
                <c:pt idx="4">
                  <c:v>2717467174.4745436</c:v>
                </c:pt>
                <c:pt idx="5">
                  <c:v>363551195.93935019</c:v>
                </c:pt>
                <c:pt idx="6">
                  <c:v>232704817.15519232</c:v>
                </c:pt>
              </c:numCache>
            </c:numRef>
          </c:val>
        </c:ser>
        <c:dLbls>
          <c:showVal val="1"/>
        </c:dLbls>
        <c:gapWidth val="95"/>
        <c:overlap val="100"/>
        <c:axId val="114654208"/>
        <c:axId val="65196800"/>
      </c:barChart>
      <c:catAx>
        <c:axId val="114654208"/>
        <c:scaling>
          <c:orientation val="maxMin"/>
        </c:scaling>
        <c:axPos val="l"/>
        <c:majorTickMark val="none"/>
        <c:tickLblPos val="nextTo"/>
        <c:crossAx val="65196800"/>
        <c:crosses val="autoZero"/>
        <c:auto val="1"/>
        <c:lblAlgn val="ctr"/>
        <c:lblOffset val="100"/>
      </c:catAx>
      <c:valAx>
        <c:axId val="65196800"/>
        <c:scaling>
          <c:orientation val="minMax"/>
        </c:scaling>
        <c:delete val="1"/>
        <c:axPos val="t"/>
        <c:numFmt formatCode="_-* #,##0\ &quot;Ft&quot;_-;\-* #,##0\ &quot;Ft&quot;_-;_-* &quot;-&quot;??\ &quot;Ft&quot;_-;_-@_-" sourceLinked="1"/>
        <c:tickLblPos val="none"/>
        <c:crossAx val="114654208"/>
        <c:crosses val="autoZero"/>
        <c:crossBetween val="between"/>
      </c:valAx>
      <c:spPr>
        <a:solidFill>
          <a:sysClr val="window" lastClr="FFFFFF">
            <a:lumMod val="95000"/>
          </a:sysClr>
        </a:solidFill>
      </c:spPr>
    </c:plotArea>
    <c:legend>
      <c:legendPos val="t"/>
    </c:legend>
    <c:plotVisOnly val="1"/>
  </c:chart>
  <c:spPr>
    <a:solidFill>
      <a:sysClr val="window" lastClr="FFFFFF">
        <a:lumMod val="95000"/>
      </a:sysClr>
    </a:solidFill>
    <a:effectLst>
      <a:outerShdw blurRad="50800" dist="127000" dir="2700000" algn="tl" rotWithShape="0">
        <a:prstClr val="black">
          <a:alpha val="40000"/>
        </a:prstClr>
      </a:outerShdw>
    </a:effectLst>
  </c:spPr>
  <c:txPr>
    <a:bodyPr/>
    <a:lstStyle/>
    <a:p>
      <a:pPr>
        <a:defRPr sz="900" b="1" i="1" cap="small" baseline="0">
          <a:latin typeface="Franklin Gothic Book" pitchFamily="34" charset="0"/>
        </a:defRPr>
      </a:pPr>
      <a:endParaRPr lang="hu-H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4ED0-0D38-450B-B921-92B438C7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13525</Words>
  <Characters>93325</Characters>
  <Application>Microsoft Office Word</Application>
  <DocSecurity>0</DocSecurity>
  <Lines>777</Lines>
  <Paragraphs>213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106637</CharactersWithSpaces>
  <SharedDoc>false</SharedDoc>
  <HLinks>
    <vt:vector size="84" baseType="variant">
      <vt:variant>
        <vt:i4>1900593</vt:i4>
      </vt:variant>
      <vt:variant>
        <vt:i4>83</vt:i4>
      </vt:variant>
      <vt:variant>
        <vt:i4>0</vt:i4>
      </vt:variant>
      <vt:variant>
        <vt:i4>5</vt:i4>
      </vt:variant>
      <vt:variant>
        <vt:lpwstr/>
      </vt:variant>
      <vt:variant>
        <vt:lpwstr>_Toc273966626</vt:lpwstr>
      </vt:variant>
      <vt:variant>
        <vt:i4>1900593</vt:i4>
      </vt:variant>
      <vt:variant>
        <vt:i4>77</vt:i4>
      </vt:variant>
      <vt:variant>
        <vt:i4>0</vt:i4>
      </vt:variant>
      <vt:variant>
        <vt:i4>5</vt:i4>
      </vt:variant>
      <vt:variant>
        <vt:lpwstr/>
      </vt:variant>
      <vt:variant>
        <vt:lpwstr>_Toc273966625</vt:lpwstr>
      </vt:variant>
      <vt:variant>
        <vt:i4>1900593</vt:i4>
      </vt:variant>
      <vt:variant>
        <vt:i4>71</vt:i4>
      </vt:variant>
      <vt:variant>
        <vt:i4>0</vt:i4>
      </vt:variant>
      <vt:variant>
        <vt:i4>5</vt:i4>
      </vt:variant>
      <vt:variant>
        <vt:lpwstr/>
      </vt:variant>
      <vt:variant>
        <vt:lpwstr>_Toc273966624</vt:lpwstr>
      </vt:variant>
      <vt:variant>
        <vt:i4>1900593</vt:i4>
      </vt:variant>
      <vt:variant>
        <vt:i4>65</vt:i4>
      </vt:variant>
      <vt:variant>
        <vt:i4>0</vt:i4>
      </vt:variant>
      <vt:variant>
        <vt:i4>5</vt:i4>
      </vt:variant>
      <vt:variant>
        <vt:lpwstr/>
      </vt:variant>
      <vt:variant>
        <vt:lpwstr>_Toc273966623</vt:lpwstr>
      </vt:variant>
      <vt:variant>
        <vt:i4>1900593</vt:i4>
      </vt:variant>
      <vt:variant>
        <vt:i4>59</vt:i4>
      </vt:variant>
      <vt:variant>
        <vt:i4>0</vt:i4>
      </vt:variant>
      <vt:variant>
        <vt:i4>5</vt:i4>
      </vt:variant>
      <vt:variant>
        <vt:lpwstr/>
      </vt:variant>
      <vt:variant>
        <vt:lpwstr>_Toc273966622</vt:lpwstr>
      </vt:variant>
      <vt:variant>
        <vt:i4>1900593</vt:i4>
      </vt:variant>
      <vt:variant>
        <vt:i4>53</vt:i4>
      </vt:variant>
      <vt:variant>
        <vt:i4>0</vt:i4>
      </vt:variant>
      <vt:variant>
        <vt:i4>5</vt:i4>
      </vt:variant>
      <vt:variant>
        <vt:lpwstr/>
      </vt:variant>
      <vt:variant>
        <vt:lpwstr>_Toc273966621</vt:lpwstr>
      </vt:variant>
      <vt:variant>
        <vt:i4>1900593</vt:i4>
      </vt:variant>
      <vt:variant>
        <vt:i4>47</vt:i4>
      </vt:variant>
      <vt:variant>
        <vt:i4>0</vt:i4>
      </vt:variant>
      <vt:variant>
        <vt:i4>5</vt:i4>
      </vt:variant>
      <vt:variant>
        <vt:lpwstr/>
      </vt:variant>
      <vt:variant>
        <vt:lpwstr>_Toc273966620</vt:lpwstr>
      </vt:variant>
      <vt:variant>
        <vt:i4>1966129</vt:i4>
      </vt:variant>
      <vt:variant>
        <vt:i4>41</vt:i4>
      </vt:variant>
      <vt:variant>
        <vt:i4>0</vt:i4>
      </vt:variant>
      <vt:variant>
        <vt:i4>5</vt:i4>
      </vt:variant>
      <vt:variant>
        <vt:lpwstr/>
      </vt:variant>
      <vt:variant>
        <vt:lpwstr>_Toc273966619</vt:lpwstr>
      </vt:variant>
      <vt:variant>
        <vt:i4>1966129</vt:i4>
      </vt:variant>
      <vt:variant>
        <vt:i4>35</vt:i4>
      </vt:variant>
      <vt:variant>
        <vt:i4>0</vt:i4>
      </vt:variant>
      <vt:variant>
        <vt:i4>5</vt:i4>
      </vt:variant>
      <vt:variant>
        <vt:lpwstr/>
      </vt:variant>
      <vt:variant>
        <vt:lpwstr>_Toc273966618</vt:lpwstr>
      </vt:variant>
      <vt:variant>
        <vt:i4>1966129</vt:i4>
      </vt:variant>
      <vt:variant>
        <vt:i4>29</vt:i4>
      </vt:variant>
      <vt:variant>
        <vt:i4>0</vt:i4>
      </vt:variant>
      <vt:variant>
        <vt:i4>5</vt:i4>
      </vt:variant>
      <vt:variant>
        <vt:lpwstr/>
      </vt:variant>
      <vt:variant>
        <vt:lpwstr>_Toc273966617</vt:lpwstr>
      </vt:variant>
      <vt:variant>
        <vt:i4>1966129</vt:i4>
      </vt:variant>
      <vt:variant>
        <vt:i4>23</vt:i4>
      </vt:variant>
      <vt:variant>
        <vt:i4>0</vt:i4>
      </vt:variant>
      <vt:variant>
        <vt:i4>5</vt:i4>
      </vt:variant>
      <vt:variant>
        <vt:lpwstr/>
      </vt:variant>
      <vt:variant>
        <vt:lpwstr>_Toc273966616</vt:lpwstr>
      </vt:variant>
      <vt:variant>
        <vt:i4>1966129</vt:i4>
      </vt:variant>
      <vt:variant>
        <vt:i4>17</vt:i4>
      </vt:variant>
      <vt:variant>
        <vt:i4>0</vt:i4>
      </vt:variant>
      <vt:variant>
        <vt:i4>5</vt:i4>
      </vt:variant>
      <vt:variant>
        <vt:lpwstr/>
      </vt:variant>
      <vt:variant>
        <vt:lpwstr>_Toc273966615</vt:lpwstr>
      </vt:variant>
      <vt:variant>
        <vt:i4>1966129</vt:i4>
      </vt:variant>
      <vt:variant>
        <vt:i4>11</vt:i4>
      </vt:variant>
      <vt:variant>
        <vt:i4>0</vt:i4>
      </vt:variant>
      <vt:variant>
        <vt:i4>5</vt:i4>
      </vt:variant>
      <vt:variant>
        <vt:lpwstr/>
      </vt:variant>
      <vt:variant>
        <vt:lpwstr>_Toc273966614</vt:lpwstr>
      </vt:variant>
      <vt:variant>
        <vt:i4>1966129</vt:i4>
      </vt:variant>
      <vt:variant>
        <vt:i4>5</vt:i4>
      </vt:variant>
      <vt:variant>
        <vt:i4>0</vt:i4>
      </vt:variant>
      <vt:variant>
        <vt:i4>5</vt:i4>
      </vt:variant>
      <vt:variant>
        <vt:lpwstr/>
      </vt:variant>
      <vt:variant>
        <vt:lpwstr>_Toc273966613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2010-12-05T23:25:00Z</dcterms:created>
  <dcterms:modified xsi:type="dcterms:W3CDTF">2010-12-21T10:51:00Z</dcterms:modified>
</cp:coreProperties>
</file>